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4569" w14:textId="77777777" w:rsidR="00017515" w:rsidRPr="00F73BFB" w:rsidRDefault="00A567F8">
      <w:pPr>
        <w:pStyle w:val="Heading1"/>
        <w:rPr>
          <w:lang w:val="en-GB"/>
        </w:rPr>
      </w:pPr>
      <w:r w:rsidRPr="00F73BFB">
        <w:rPr>
          <w:color w:val="223D5D"/>
          <w:lang w:val="en-GB"/>
        </w:rPr>
        <w:t>Responding</w:t>
      </w:r>
      <w:r w:rsidRPr="00F73BFB">
        <w:rPr>
          <w:color w:val="223D5D"/>
          <w:spacing w:val="24"/>
          <w:lang w:val="en-GB"/>
        </w:rPr>
        <w:t xml:space="preserve"> </w:t>
      </w:r>
      <w:r w:rsidRPr="00F73BFB">
        <w:rPr>
          <w:color w:val="223D5D"/>
          <w:lang w:val="en-GB"/>
        </w:rPr>
        <w:t>to</w:t>
      </w:r>
      <w:r w:rsidRPr="00F73BFB">
        <w:rPr>
          <w:color w:val="223D5D"/>
          <w:spacing w:val="26"/>
          <w:lang w:val="en-GB"/>
        </w:rPr>
        <w:t xml:space="preserve"> </w:t>
      </w:r>
      <w:r w:rsidRPr="00F73BFB">
        <w:rPr>
          <w:color w:val="223D5D"/>
          <w:lang w:val="en-GB"/>
        </w:rPr>
        <w:t>this</w:t>
      </w:r>
      <w:r w:rsidRPr="00F73BFB">
        <w:rPr>
          <w:color w:val="223D5D"/>
          <w:spacing w:val="26"/>
          <w:lang w:val="en-GB"/>
        </w:rPr>
        <w:t xml:space="preserve"> </w:t>
      </w:r>
      <w:r w:rsidRPr="00F73BFB">
        <w:rPr>
          <w:color w:val="223D5D"/>
          <w:lang w:val="en-GB"/>
        </w:rPr>
        <w:t>Discussion</w:t>
      </w:r>
      <w:r w:rsidRPr="00F73BFB">
        <w:rPr>
          <w:color w:val="223D5D"/>
          <w:spacing w:val="26"/>
          <w:lang w:val="en-GB"/>
        </w:rPr>
        <w:t xml:space="preserve"> </w:t>
      </w:r>
      <w:r w:rsidRPr="00F73BFB">
        <w:rPr>
          <w:color w:val="223D5D"/>
          <w:spacing w:val="-2"/>
          <w:lang w:val="en-GB"/>
        </w:rPr>
        <w:t>Paper</w:t>
      </w:r>
    </w:p>
    <w:p w14:paraId="1812B5E6" w14:textId="77777777" w:rsidR="00017515" w:rsidRPr="00F73BFB" w:rsidRDefault="00A567F8">
      <w:pPr>
        <w:pStyle w:val="BodyText"/>
        <w:spacing w:line="120" w:lineRule="exact"/>
        <w:ind w:left="114"/>
        <w:rPr>
          <w:position w:val="-1"/>
          <w:sz w:val="12"/>
          <w:lang w:val="en-GB"/>
        </w:rPr>
      </w:pPr>
      <w:r w:rsidRPr="00F73BFB">
        <w:rPr>
          <w:noProof/>
          <w:position w:val="-1"/>
          <w:sz w:val="12"/>
          <w:lang w:val="en-GB"/>
        </w:rPr>
        <mc:AlternateContent>
          <mc:Choice Requires="wpg">
            <w:drawing>
              <wp:inline distT="0" distB="0" distL="0" distR="0" wp14:anchorId="4E269539" wp14:editId="393786D2">
                <wp:extent cx="5614035" cy="762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4035" cy="76200"/>
                          <a:chOff x="0" y="0"/>
                          <a:chExt cx="5614035" cy="76200"/>
                        </a:xfrm>
                      </wpg:grpSpPr>
                      <wps:wsp>
                        <wps:cNvPr id="20" name="Graphic 20"/>
                        <wps:cNvSpPr/>
                        <wps:spPr>
                          <a:xfrm>
                            <a:off x="0" y="0"/>
                            <a:ext cx="5614035" cy="76200"/>
                          </a:xfrm>
                          <a:custGeom>
                            <a:avLst/>
                            <a:gdLst/>
                            <a:ahLst/>
                            <a:cxnLst/>
                            <a:rect l="l" t="t" r="r" b="b"/>
                            <a:pathLst>
                              <a:path w="5614035" h="76200">
                                <a:moveTo>
                                  <a:pt x="5613781" y="0"/>
                                </a:moveTo>
                                <a:lnTo>
                                  <a:pt x="0" y="0"/>
                                </a:lnTo>
                                <a:lnTo>
                                  <a:pt x="0" y="76200"/>
                                </a:lnTo>
                                <a:lnTo>
                                  <a:pt x="5613781" y="76200"/>
                                </a:lnTo>
                                <a:lnTo>
                                  <a:pt x="5613781" y="0"/>
                                </a:lnTo>
                                <a:close/>
                              </a:path>
                            </a:pathLst>
                          </a:custGeom>
                          <a:solidFill>
                            <a:srgbClr val="EBD052"/>
                          </a:solidFill>
                        </wps:spPr>
                        <wps:bodyPr wrap="square" lIns="0" tIns="0" rIns="0" bIns="0" rtlCol="0">
                          <a:prstTxWarp prst="textNoShape">
                            <a:avLst/>
                          </a:prstTxWarp>
                          <a:noAutofit/>
                        </wps:bodyPr>
                      </wps:wsp>
                    </wpg:wgp>
                  </a:graphicData>
                </a:graphic>
              </wp:inline>
            </w:drawing>
          </mc:Choice>
          <mc:Fallback>
            <w:pict>
              <v:group w14:anchorId="49A05366" id="Group 19" o:spid="_x0000_s1026" style="width:442.05pt;height:6pt;mso-position-horizontal-relative:char;mso-position-vertical-relative:line" coordsize="5614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">
                <v:shape id="Graphic 20" o:spid="_x0000_s1027" style="position:absolute;width:56140;height:762;visibility:visible;mso-wrap-style:square;v-text-anchor:top" coordsize="56140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" path="m5613781,l,,,76200r5613781,l5613781,xe" fillcolor="#ebd052" stroked="f">
                  <v:path arrowok="t"/>
                </v:shape>
                <w10:anchorlock/>
              </v:group>
            </w:pict>
          </mc:Fallback>
        </mc:AlternateContent>
      </w:r>
    </w:p>
    <w:p w14:paraId="20D8E9A3" w14:textId="77777777" w:rsidR="00017515" w:rsidRPr="00F73BFB" w:rsidRDefault="00017515">
      <w:pPr>
        <w:pStyle w:val="BodyText"/>
        <w:rPr>
          <w:lang w:val="en-GB"/>
        </w:rPr>
      </w:pPr>
    </w:p>
    <w:p w14:paraId="3C87C4B8" w14:textId="77777777" w:rsidR="00017515" w:rsidRPr="00F73BFB" w:rsidRDefault="00017515">
      <w:pPr>
        <w:pStyle w:val="BodyText"/>
        <w:spacing w:before="54"/>
        <w:rPr>
          <w:lang w:val="en-GB"/>
        </w:rPr>
      </w:pPr>
    </w:p>
    <w:p w14:paraId="3F928AA7" w14:textId="77777777" w:rsidR="00017515" w:rsidRPr="00F73BFB" w:rsidRDefault="00A567F8">
      <w:pPr>
        <w:pStyle w:val="BodyText"/>
        <w:spacing w:line="276" w:lineRule="auto"/>
        <w:ind w:left="143" w:right="184"/>
        <w:rPr>
          <w:lang w:val="en-GB"/>
        </w:rPr>
      </w:pPr>
      <w:r w:rsidRPr="00F73BFB">
        <w:rPr>
          <w:lang w:val="en-GB"/>
        </w:rPr>
        <w:t>The EBA invites comments on all proposals put forward in this paper and in particular on the specific</w:t>
      </w:r>
      <w:r w:rsidRPr="00F73BFB">
        <w:rPr>
          <w:spacing w:val="-4"/>
          <w:lang w:val="en-GB"/>
        </w:rPr>
        <w:t xml:space="preserve"> </w:t>
      </w:r>
      <w:r w:rsidRPr="00F73BFB">
        <w:rPr>
          <w:lang w:val="en-GB"/>
        </w:rPr>
        <w:t>questions</w:t>
      </w:r>
      <w:r w:rsidRPr="00F73BFB">
        <w:rPr>
          <w:spacing w:val="-5"/>
          <w:lang w:val="en-GB"/>
        </w:rPr>
        <w:t xml:space="preserve"> </w:t>
      </w:r>
      <w:r w:rsidRPr="00F73BFB">
        <w:rPr>
          <w:lang w:val="en-GB"/>
        </w:rPr>
        <w:t>stated</w:t>
      </w:r>
      <w:r w:rsidRPr="00F73BFB">
        <w:rPr>
          <w:spacing w:val="-2"/>
          <w:lang w:val="en-GB"/>
        </w:rPr>
        <w:t xml:space="preserve"> </w:t>
      </w:r>
      <w:r w:rsidRPr="00F73BFB">
        <w:rPr>
          <w:lang w:val="en-GB"/>
        </w:rPr>
        <w:t>in</w:t>
      </w:r>
      <w:r w:rsidRPr="00F73BFB">
        <w:rPr>
          <w:spacing w:val="-6"/>
          <w:lang w:val="en-GB"/>
        </w:rPr>
        <w:t xml:space="preserve"> </w:t>
      </w:r>
      <w:r w:rsidRPr="00F73BFB">
        <w:rPr>
          <w:lang w:val="en-GB"/>
        </w:rPr>
        <w:t>the</w:t>
      </w:r>
      <w:r w:rsidRPr="00F73BFB">
        <w:rPr>
          <w:spacing w:val="-2"/>
          <w:lang w:val="en-GB"/>
        </w:rPr>
        <w:t xml:space="preserve"> </w:t>
      </w:r>
      <w:r w:rsidRPr="00F73BFB">
        <w:rPr>
          <w:lang w:val="en-GB"/>
        </w:rPr>
        <w:t>boxes</w:t>
      </w:r>
      <w:r w:rsidRPr="00F73BFB">
        <w:rPr>
          <w:spacing w:val="-5"/>
          <w:lang w:val="en-GB"/>
        </w:rPr>
        <w:t xml:space="preserve"> </w:t>
      </w:r>
      <w:r w:rsidRPr="00F73BFB">
        <w:rPr>
          <w:lang w:val="en-GB"/>
        </w:rPr>
        <w:t>below</w:t>
      </w:r>
      <w:r w:rsidRPr="00F73BFB">
        <w:rPr>
          <w:spacing w:val="-1"/>
          <w:lang w:val="en-GB"/>
        </w:rPr>
        <w:t xml:space="preserve"> </w:t>
      </w:r>
      <w:r w:rsidRPr="00F73BFB">
        <w:rPr>
          <w:lang w:val="en-GB"/>
        </w:rPr>
        <w:t>(and</w:t>
      </w:r>
      <w:r w:rsidRPr="00F73BFB">
        <w:rPr>
          <w:spacing w:val="-3"/>
          <w:lang w:val="en-GB"/>
        </w:rPr>
        <w:t xml:space="preserve"> </w:t>
      </w:r>
      <w:r w:rsidRPr="00F73BFB">
        <w:rPr>
          <w:lang w:val="en-GB"/>
        </w:rPr>
        <w:t>in</w:t>
      </w:r>
      <w:r w:rsidRPr="00F73BFB">
        <w:rPr>
          <w:spacing w:val="-2"/>
          <w:lang w:val="en-GB"/>
        </w:rPr>
        <w:t xml:space="preserve"> </w:t>
      </w:r>
      <w:r w:rsidRPr="00F73BFB">
        <w:rPr>
          <w:lang w:val="en-GB"/>
        </w:rPr>
        <w:t>the</w:t>
      </w:r>
      <w:r w:rsidRPr="00F73BFB">
        <w:rPr>
          <w:spacing w:val="-2"/>
          <w:lang w:val="en-GB"/>
        </w:rPr>
        <w:t xml:space="preserve"> </w:t>
      </w:r>
      <w:r w:rsidRPr="00F73BFB">
        <w:rPr>
          <w:lang w:val="en-GB"/>
        </w:rPr>
        <w:t>Annex 1</w:t>
      </w:r>
      <w:r w:rsidRPr="00F73BFB">
        <w:rPr>
          <w:spacing w:val="-3"/>
          <w:lang w:val="en-GB"/>
        </w:rPr>
        <w:t xml:space="preserve"> </w:t>
      </w:r>
      <w:r w:rsidRPr="00F73BFB">
        <w:rPr>
          <w:lang w:val="en-GB"/>
        </w:rPr>
        <w:t>of</w:t>
      </w:r>
      <w:r w:rsidRPr="00F73BFB">
        <w:rPr>
          <w:spacing w:val="-2"/>
          <w:lang w:val="en-GB"/>
        </w:rPr>
        <w:t xml:space="preserve"> </w:t>
      </w:r>
      <w:r w:rsidRPr="00F73BFB">
        <w:rPr>
          <w:lang w:val="en-GB"/>
        </w:rPr>
        <w:t>this</w:t>
      </w:r>
      <w:r w:rsidRPr="00F73BFB">
        <w:rPr>
          <w:spacing w:val="-5"/>
          <w:lang w:val="en-GB"/>
        </w:rPr>
        <w:t xml:space="preserve"> </w:t>
      </w:r>
      <w:r w:rsidRPr="00F73BFB">
        <w:rPr>
          <w:lang w:val="en-GB"/>
        </w:rPr>
        <w:t>paper).</w:t>
      </w:r>
      <w:r w:rsidRPr="00F73BFB">
        <w:rPr>
          <w:spacing w:val="-1"/>
          <w:lang w:val="en-GB"/>
        </w:rPr>
        <w:t xml:space="preserve"> </w:t>
      </w:r>
      <w:r w:rsidRPr="00F73BFB">
        <w:rPr>
          <w:lang w:val="en-GB"/>
        </w:rPr>
        <w:t>Comments</w:t>
      </w:r>
      <w:r w:rsidRPr="00F73BFB">
        <w:rPr>
          <w:spacing w:val="-2"/>
          <w:lang w:val="en-GB"/>
        </w:rPr>
        <w:t xml:space="preserve"> </w:t>
      </w:r>
      <w:r w:rsidRPr="00F73BFB">
        <w:rPr>
          <w:lang w:val="en-GB"/>
        </w:rPr>
        <w:t>are most helpful if they:</w:t>
      </w:r>
    </w:p>
    <w:p w14:paraId="73DE1144" w14:textId="77777777" w:rsidR="00017515" w:rsidRPr="00F73BFB" w:rsidRDefault="00A567F8" w:rsidP="00144FAB">
      <w:pPr>
        <w:pStyle w:val="ListParagraph"/>
        <w:numPr>
          <w:ilvl w:val="0"/>
          <w:numId w:val="1"/>
        </w:numPr>
        <w:tabs>
          <w:tab w:val="left" w:pos="862"/>
        </w:tabs>
        <w:ind w:left="862" w:hanging="719"/>
        <w:jc w:val="left"/>
        <w:rPr>
          <w:lang w:val="en-GB"/>
        </w:rPr>
      </w:pPr>
      <w:r w:rsidRPr="00F73BFB">
        <w:rPr>
          <w:lang w:val="en-GB"/>
        </w:rPr>
        <w:t>respond</w:t>
      </w:r>
      <w:r w:rsidRPr="00F73BFB">
        <w:rPr>
          <w:spacing w:val="-6"/>
          <w:lang w:val="en-GB"/>
        </w:rPr>
        <w:t xml:space="preserve"> </w:t>
      </w:r>
      <w:r w:rsidRPr="00F73BFB">
        <w:rPr>
          <w:lang w:val="en-GB"/>
        </w:rPr>
        <w:t>to</w:t>
      </w:r>
      <w:r w:rsidRPr="00F73BFB">
        <w:rPr>
          <w:spacing w:val="-5"/>
          <w:lang w:val="en-GB"/>
        </w:rPr>
        <w:t xml:space="preserve"> </w:t>
      </w:r>
      <w:r w:rsidRPr="00F73BFB">
        <w:rPr>
          <w:lang w:val="en-GB"/>
        </w:rPr>
        <w:t>the</w:t>
      </w:r>
      <w:r w:rsidRPr="00F73BFB">
        <w:rPr>
          <w:spacing w:val="-4"/>
          <w:lang w:val="en-GB"/>
        </w:rPr>
        <w:t xml:space="preserve"> </w:t>
      </w:r>
      <w:r w:rsidRPr="00F73BFB">
        <w:rPr>
          <w:lang w:val="en-GB"/>
        </w:rPr>
        <w:t>question</w:t>
      </w:r>
      <w:r w:rsidRPr="00F73BFB">
        <w:rPr>
          <w:spacing w:val="-6"/>
          <w:lang w:val="en-GB"/>
        </w:rPr>
        <w:t xml:space="preserve"> </w:t>
      </w:r>
      <w:r w:rsidRPr="00F73BFB">
        <w:rPr>
          <w:spacing w:val="-2"/>
          <w:lang w:val="en-GB"/>
        </w:rPr>
        <w:t>stated;</w:t>
      </w:r>
    </w:p>
    <w:p w14:paraId="29494D6C" w14:textId="77777777" w:rsidR="00017515" w:rsidRPr="00F73BFB" w:rsidRDefault="00A567F8" w:rsidP="00144FAB">
      <w:pPr>
        <w:pStyle w:val="ListParagraph"/>
        <w:numPr>
          <w:ilvl w:val="0"/>
          <w:numId w:val="1"/>
        </w:numPr>
        <w:tabs>
          <w:tab w:val="left" w:pos="862"/>
        </w:tabs>
        <w:spacing w:before="1" w:line="267" w:lineRule="exact"/>
        <w:ind w:left="862" w:hanging="719"/>
        <w:jc w:val="left"/>
        <w:rPr>
          <w:lang w:val="en-GB"/>
        </w:rPr>
      </w:pPr>
      <w:r w:rsidRPr="00F73BFB">
        <w:rPr>
          <w:lang w:val="en-GB"/>
        </w:rPr>
        <w:t>indicate</w:t>
      </w:r>
      <w:r w:rsidRPr="00F73BFB">
        <w:rPr>
          <w:spacing w:val="-3"/>
          <w:lang w:val="en-GB"/>
        </w:rPr>
        <w:t xml:space="preserve"> </w:t>
      </w:r>
      <w:r w:rsidRPr="00F73BFB">
        <w:rPr>
          <w:lang w:val="en-GB"/>
        </w:rPr>
        <w:t>the</w:t>
      </w:r>
      <w:r w:rsidRPr="00F73BFB">
        <w:rPr>
          <w:spacing w:val="-5"/>
          <w:lang w:val="en-GB"/>
        </w:rPr>
        <w:t xml:space="preserve"> </w:t>
      </w:r>
      <w:r w:rsidRPr="00F73BFB">
        <w:rPr>
          <w:lang w:val="en-GB"/>
        </w:rPr>
        <w:t>specific</w:t>
      </w:r>
      <w:r w:rsidRPr="00F73BFB">
        <w:rPr>
          <w:spacing w:val="-3"/>
          <w:lang w:val="en-GB"/>
        </w:rPr>
        <w:t xml:space="preserve"> </w:t>
      </w:r>
      <w:r w:rsidRPr="00F73BFB">
        <w:rPr>
          <w:lang w:val="en-GB"/>
        </w:rPr>
        <w:t>point</w:t>
      </w:r>
      <w:r w:rsidRPr="00F73BFB">
        <w:rPr>
          <w:spacing w:val="-3"/>
          <w:lang w:val="en-GB"/>
        </w:rPr>
        <w:t xml:space="preserve"> </w:t>
      </w:r>
      <w:r w:rsidRPr="00F73BFB">
        <w:rPr>
          <w:lang w:val="en-GB"/>
        </w:rPr>
        <w:t>to</w:t>
      </w:r>
      <w:r w:rsidRPr="00F73BFB">
        <w:rPr>
          <w:spacing w:val="-2"/>
          <w:lang w:val="en-GB"/>
        </w:rPr>
        <w:t xml:space="preserve"> </w:t>
      </w:r>
      <w:r w:rsidRPr="00F73BFB">
        <w:rPr>
          <w:lang w:val="en-GB"/>
        </w:rPr>
        <w:t>which</w:t>
      </w:r>
      <w:r w:rsidRPr="00F73BFB">
        <w:rPr>
          <w:spacing w:val="-7"/>
          <w:lang w:val="en-GB"/>
        </w:rPr>
        <w:t xml:space="preserve"> </w:t>
      </w:r>
      <w:r w:rsidRPr="00F73BFB">
        <w:rPr>
          <w:lang w:val="en-GB"/>
        </w:rPr>
        <w:t>a</w:t>
      </w:r>
      <w:r w:rsidRPr="00F73BFB">
        <w:rPr>
          <w:spacing w:val="-3"/>
          <w:lang w:val="en-GB"/>
        </w:rPr>
        <w:t xml:space="preserve"> </w:t>
      </w:r>
      <w:r w:rsidRPr="00F73BFB">
        <w:rPr>
          <w:lang w:val="en-GB"/>
        </w:rPr>
        <w:t>comment</w:t>
      </w:r>
      <w:r w:rsidRPr="00F73BFB">
        <w:rPr>
          <w:spacing w:val="-4"/>
          <w:lang w:val="en-GB"/>
        </w:rPr>
        <w:t xml:space="preserve"> </w:t>
      </w:r>
      <w:r w:rsidRPr="00F73BFB">
        <w:rPr>
          <w:spacing w:val="-2"/>
          <w:lang w:val="en-GB"/>
        </w:rPr>
        <w:t>relates;</w:t>
      </w:r>
    </w:p>
    <w:p w14:paraId="7C2BFB7A" w14:textId="77777777" w:rsidR="00017515" w:rsidRPr="00F73BFB" w:rsidRDefault="00A567F8" w:rsidP="00144FAB">
      <w:pPr>
        <w:pStyle w:val="ListParagraph"/>
        <w:numPr>
          <w:ilvl w:val="0"/>
          <w:numId w:val="1"/>
        </w:numPr>
        <w:tabs>
          <w:tab w:val="left" w:pos="862"/>
        </w:tabs>
        <w:spacing w:before="0" w:line="267" w:lineRule="exact"/>
        <w:ind w:left="862" w:hanging="719"/>
        <w:jc w:val="left"/>
        <w:rPr>
          <w:lang w:val="en-GB"/>
        </w:rPr>
      </w:pPr>
      <w:r w:rsidRPr="00F73BFB">
        <w:rPr>
          <w:lang w:val="en-GB"/>
        </w:rPr>
        <w:t>contain</w:t>
      </w:r>
      <w:r w:rsidRPr="00F73BFB">
        <w:rPr>
          <w:spacing w:val="-3"/>
          <w:lang w:val="en-GB"/>
        </w:rPr>
        <w:t xml:space="preserve"> </w:t>
      </w:r>
      <w:r w:rsidRPr="00F73BFB">
        <w:rPr>
          <w:lang w:val="en-GB"/>
        </w:rPr>
        <w:t>a</w:t>
      </w:r>
      <w:r w:rsidRPr="00F73BFB">
        <w:rPr>
          <w:spacing w:val="-3"/>
          <w:lang w:val="en-GB"/>
        </w:rPr>
        <w:t xml:space="preserve"> </w:t>
      </w:r>
      <w:r w:rsidRPr="00F73BFB">
        <w:rPr>
          <w:lang w:val="en-GB"/>
        </w:rPr>
        <w:t>clear</w:t>
      </w:r>
      <w:r w:rsidRPr="00F73BFB">
        <w:rPr>
          <w:spacing w:val="-4"/>
          <w:lang w:val="en-GB"/>
        </w:rPr>
        <w:t xml:space="preserve"> </w:t>
      </w:r>
      <w:r w:rsidRPr="00F73BFB">
        <w:rPr>
          <w:spacing w:val="-2"/>
          <w:lang w:val="en-GB"/>
        </w:rPr>
        <w:t>rationale;</w:t>
      </w:r>
    </w:p>
    <w:p w14:paraId="3E5B6FF5" w14:textId="77777777" w:rsidR="00017515" w:rsidRPr="00F73BFB" w:rsidRDefault="00A567F8" w:rsidP="00144FAB">
      <w:pPr>
        <w:pStyle w:val="ListParagraph"/>
        <w:numPr>
          <w:ilvl w:val="0"/>
          <w:numId w:val="1"/>
        </w:numPr>
        <w:tabs>
          <w:tab w:val="left" w:pos="862"/>
        </w:tabs>
        <w:spacing w:before="0"/>
        <w:ind w:left="862" w:hanging="719"/>
        <w:jc w:val="left"/>
        <w:rPr>
          <w:lang w:val="en-GB"/>
        </w:rPr>
      </w:pPr>
      <w:r w:rsidRPr="00F73BFB">
        <w:rPr>
          <w:lang w:val="en-GB"/>
        </w:rPr>
        <w:t>provide</w:t>
      </w:r>
      <w:r w:rsidRPr="00F73BFB">
        <w:rPr>
          <w:spacing w:val="-6"/>
          <w:lang w:val="en-GB"/>
        </w:rPr>
        <w:t xml:space="preserve"> </w:t>
      </w:r>
      <w:r w:rsidRPr="00F73BFB">
        <w:rPr>
          <w:lang w:val="en-GB"/>
        </w:rPr>
        <w:t>evidence</w:t>
      </w:r>
      <w:r w:rsidRPr="00F73BFB">
        <w:rPr>
          <w:spacing w:val="-5"/>
          <w:lang w:val="en-GB"/>
        </w:rPr>
        <w:t xml:space="preserve"> </w:t>
      </w:r>
      <w:r w:rsidRPr="00F73BFB">
        <w:rPr>
          <w:lang w:val="en-GB"/>
        </w:rPr>
        <w:t>to</w:t>
      </w:r>
      <w:r w:rsidRPr="00F73BFB">
        <w:rPr>
          <w:spacing w:val="-4"/>
          <w:lang w:val="en-GB"/>
        </w:rPr>
        <w:t xml:space="preserve"> </w:t>
      </w:r>
      <w:r w:rsidRPr="00F73BFB">
        <w:rPr>
          <w:lang w:val="en-GB"/>
        </w:rPr>
        <w:t>support</w:t>
      </w:r>
      <w:r w:rsidRPr="00F73BFB">
        <w:rPr>
          <w:spacing w:val="-4"/>
          <w:lang w:val="en-GB"/>
        </w:rPr>
        <w:t xml:space="preserve"> </w:t>
      </w:r>
      <w:r w:rsidRPr="00F73BFB">
        <w:rPr>
          <w:lang w:val="en-GB"/>
        </w:rPr>
        <w:t>the</w:t>
      </w:r>
      <w:r w:rsidRPr="00F73BFB">
        <w:rPr>
          <w:spacing w:val="-5"/>
          <w:lang w:val="en-GB"/>
        </w:rPr>
        <w:t xml:space="preserve"> </w:t>
      </w:r>
      <w:r w:rsidRPr="00F73BFB">
        <w:rPr>
          <w:lang w:val="en-GB"/>
        </w:rPr>
        <w:t>view</w:t>
      </w:r>
      <w:r w:rsidRPr="00F73BFB">
        <w:rPr>
          <w:spacing w:val="-2"/>
          <w:lang w:val="en-GB"/>
        </w:rPr>
        <w:t xml:space="preserve"> expressed;</w:t>
      </w:r>
    </w:p>
    <w:p w14:paraId="54E2CE90" w14:textId="77777777" w:rsidR="00017515" w:rsidRPr="00F73BFB" w:rsidRDefault="00A567F8" w:rsidP="00144FAB">
      <w:pPr>
        <w:pStyle w:val="ListParagraph"/>
        <w:numPr>
          <w:ilvl w:val="0"/>
          <w:numId w:val="1"/>
        </w:numPr>
        <w:tabs>
          <w:tab w:val="left" w:pos="862"/>
        </w:tabs>
        <w:spacing w:before="1"/>
        <w:ind w:left="862" w:hanging="719"/>
        <w:jc w:val="left"/>
        <w:rPr>
          <w:lang w:val="en-GB"/>
        </w:rPr>
      </w:pPr>
      <w:r w:rsidRPr="00F73BFB">
        <w:rPr>
          <w:lang w:val="en-GB"/>
        </w:rPr>
        <w:t>describe</w:t>
      </w:r>
      <w:r w:rsidRPr="00F73BFB">
        <w:rPr>
          <w:spacing w:val="-5"/>
          <w:lang w:val="en-GB"/>
        </w:rPr>
        <w:t xml:space="preserve"> </w:t>
      </w:r>
      <w:r w:rsidRPr="00F73BFB">
        <w:rPr>
          <w:lang w:val="en-GB"/>
        </w:rPr>
        <w:t>any</w:t>
      </w:r>
      <w:r w:rsidRPr="00F73BFB">
        <w:rPr>
          <w:spacing w:val="-5"/>
          <w:lang w:val="en-GB"/>
        </w:rPr>
        <w:t xml:space="preserve"> </w:t>
      </w:r>
      <w:r w:rsidRPr="00F73BFB">
        <w:rPr>
          <w:lang w:val="en-GB"/>
        </w:rPr>
        <w:t>alternatives</w:t>
      </w:r>
      <w:r w:rsidRPr="00F73BFB">
        <w:rPr>
          <w:spacing w:val="-5"/>
          <w:lang w:val="en-GB"/>
        </w:rPr>
        <w:t xml:space="preserve"> </w:t>
      </w:r>
      <w:r w:rsidRPr="00F73BFB">
        <w:rPr>
          <w:lang w:val="en-GB"/>
        </w:rPr>
        <w:t>the</w:t>
      </w:r>
      <w:r w:rsidRPr="00F73BFB">
        <w:rPr>
          <w:spacing w:val="-5"/>
          <w:lang w:val="en-GB"/>
        </w:rPr>
        <w:t xml:space="preserve"> </w:t>
      </w:r>
      <w:r w:rsidRPr="00F73BFB">
        <w:rPr>
          <w:lang w:val="en-GB"/>
        </w:rPr>
        <w:t>EBA</w:t>
      </w:r>
      <w:r w:rsidRPr="00F73BFB">
        <w:rPr>
          <w:spacing w:val="-5"/>
          <w:lang w:val="en-GB"/>
        </w:rPr>
        <w:t xml:space="preserve"> </w:t>
      </w:r>
      <w:r w:rsidRPr="00F73BFB">
        <w:rPr>
          <w:lang w:val="en-GB"/>
        </w:rPr>
        <w:t>should</w:t>
      </w:r>
      <w:r w:rsidRPr="00F73BFB">
        <w:rPr>
          <w:spacing w:val="-6"/>
          <w:lang w:val="en-GB"/>
        </w:rPr>
        <w:t xml:space="preserve"> </w:t>
      </w:r>
      <w:r w:rsidRPr="00F73BFB">
        <w:rPr>
          <w:lang w:val="en-GB"/>
        </w:rPr>
        <w:t>consider;</w:t>
      </w:r>
      <w:r w:rsidRPr="00F73BFB">
        <w:rPr>
          <w:spacing w:val="-6"/>
          <w:lang w:val="en-GB"/>
        </w:rPr>
        <w:t xml:space="preserve"> </w:t>
      </w:r>
      <w:r w:rsidRPr="00F73BFB">
        <w:rPr>
          <w:spacing w:val="-5"/>
          <w:lang w:val="en-GB"/>
        </w:rPr>
        <w:t>and</w:t>
      </w:r>
    </w:p>
    <w:p w14:paraId="1C1B4BDF" w14:textId="77777777" w:rsidR="00017515" w:rsidRPr="00F73BFB" w:rsidRDefault="00A567F8" w:rsidP="00144FAB">
      <w:pPr>
        <w:pStyle w:val="ListParagraph"/>
        <w:numPr>
          <w:ilvl w:val="0"/>
          <w:numId w:val="1"/>
        </w:numPr>
        <w:tabs>
          <w:tab w:val="left" w:pos="862"/>
        </w:tabs>
        <w:spacing w:before="0"/>
        <w:ind w:left="862" w:hanging="719"/>
        <w:jc w:val="left"/>
        <w:rPr>
          <w:lang w:val="en-GB"/>
        </w:rPr>
      </w:pPr>
      <w:r w:rsidRPr="00F73BFB">
        <w:rPr>
          <w:lang w:val="en-GB"/>
        </w:rPr>
        <w:t>provide</w:t>
      </w:r>
      <w:r w:rsidRPr="00F73BFB">
        <w:rPr>
          <w:spacing w:val="-6"/>
          <w:lang w:val="en-GB"/>
        </w:rPr>
        <w:t xml:space="preserve"> </w:t>
      </w:r>
      <w:r w:rsidRPr="00F73BFB">
        <w:rPr>
          <w:lang w:val="en-GB"/>
        </w:rPr>
        <w:t>where</w:t>
      </w:r>
      <w:r w:rsidRPr="00F73BFB">
        <w:rPr>
          <w:spacing w:val="-3"/>
          <w:lang w:val="en-GB"/>
        </w:rPr>
        <w:t xml:space="preserve"> </w:t>
      </w:r>
      <w:r w:rsidRPr="00F73BFB">
        <w:rPr>
          <w:lang w:val="en-GB"/>
        </w:rPr>
        <w:t>possible</w:t>
      </w:r>
      <w:r w:rsidRPr="00F73BFB">
        <w:rPr>
          <w:spacing w:val="-4"/>
          <w:lang w:val="en-GB"/>
        </w:rPr>
        <w:t xml:space="preserve"> </w:t>
      </w:r>
      <w:r w:rsidRPr="00F73BFB">
        <w:rPr>
          <w:lang w:val="en-GB"/>
        </w:rPr>
        <w:t>data</w:t>
      </w:r>
      <w:r w:rsidRPr="00F73BFB">
        <w:rPr>
          <w:spacing w:val="-3"/>
          <w:lang w:val="en-GB"/>
        </w:rPr>
        <w:t xml:space="preserve"> </w:t>
      </w:r>
      <w:r w:rsidRPr="00F73BFB">
        <w:rPr>
          <w:lang w:val="en-GB"/>
        </w:rPr>
        <w:t>for</w:t>
      </w:r>
      <w:r w:rsidRPr="00F73BFB">
        <w:rPr>
          <w:spacing w:val="-4"/>
          <w:lang w:val="en-GB"/>
        </w:rPr>
        <w:t xml:space="preserve"> </w:t>
      </w:r>
      <w:r w:rsidRPr="00F73BFB">
        <w:rPr>
          <w:lang w:val="en-GB"/>
        </w:rPr>
        <w:t>a</w:t>
      </w:r>
      <w:r w:rsidRPr="00F73BFB">
        <w:rPr>
          <w:spacing w:val="-6"/>
          <w:lang w:val="en-GB"/>
        </w:rPr>
        <w:t xml:space="preserve"> </w:t>
      </w:r>
      <w:r w:rsidRPr="00F73BFB">
        <w:rPr>
          <w:lang w:val="en-GB"/>
        </w:rPr>
        <w:t>cost</w:t>
      </w:r>
      <w:r w:rsidRPr="00F73BFB">
        <w:rPr>
          <w:spacing w:val="-3"/>
          <w:lang w:val="en-GB"/>
        </w:rPr>
        <w:t xml:space="preserve"> </w:t>
      </w:r>
      <w:r w:rsidRPr="00F73BFB">
        <w:rPr>
          <w:lang w:val="en-GB"/>
        </w:rPr>
        <w:t>and</w:t>
      </w:r>
      <w:r w:rsidRPr="00F73BFB">
        <w:rPr>
          <w:spacing w:val="-4"/>
          <w:lang w:val="en-GB"/>
        </w:rPr>
        <w:t xml:space="preserve"> </w:t>
      </w:r>
      <w:r w:rsidRPr="00F73BFB">
        <w:rPr>
          <w:lang w:val="en-GB"/>
        </w:rPr>
        <w:t>benefit</w:t>
      </w:r>
      <w:r w:rsidRPr="00F73BFB">
        <w:rPr>
          <w:spacing w:val="-3"/>
          <w:lang w:val="en-GB"/>
        </w:rPr>
        <w:t xml:space="preserve"> </w:t>
      </w:r>
      <w:r w:rsidRPr="00F73BFB">
        <w:rPr>
          <w:spacing w:val="-2"/>
          <w:lang w:val="en-GB"/>
        </w:rPr>
        <w:t>analysis.</w:t>
      </w:r>
    </w:p>
    <w:p w14:paraId="79F264D6" w14:textId="32D0825F" w:rsidR="00017515" w:rsidRPr="00F73BFB" w:rsidRDefault="00017515" w:rsidP="00E23BEE">
      <w:pPr>
        <w:pStyle w:val="BodyText"/>
        <w:rPr>
          <w:sz w:val="20"/>
          <w:lang w:val="en-GB"/>
        </w:rPr>
      </w:pPr>
    </w:p>
    <w:p w14:paraId="46DC55C2" w14:textId="77777777" w:rsidR="00017515" w:rsidRPr="00F73BFB" w:rsidRDefault="00A567F8">
      <w:pPr>
        <w:pStyle w:val="Heading1"/>
        <w:rPr>
          <w:lang w:val="en-GB"/>
        </w:rPr>
      </w:pPr>
      <w:r w:rsidRPr="00F73BFB">
        <w:rPr>
          <w:color w:val="223D5D"/>
          <w:lang w:val="en-GB"/>
        </w:rPr>
        <w:t>Annex</w:t>
      </w:r>
      <w:r w:rsidRPr="00F73BFB">
        <w:rPr>
          <w:color w:val="223D5D"/>
          <w:spacing w:val="15"/>
          <w:lang w:val="en-GB"/>
        </w:rPr>
        <w:t xml:space="preserve"> </w:t>
      </w:r>
      <w:r w:rsidRPr="00F73BFB">
        <w:rPr>
          <w:color w:val="223D5D"/>
          <w:lang w:val="en-GB"/>
        </w:rPr>
        <w:t>1</w:t>
      </w:r>
      <w:r w:rsidRPr="00F73BFB">
        <w:rPr>
          <w:color w:val="223D5D"/>
          <w:spacing w:val="18"/>
          <w:lang w:val="en-GB"/>
        </w:rPr>
        <w:t xml:space="preserve"> </w:t>
      </w:r>
      <w:r w:rsidRPr="00F73BFB">
        <w:rPr>
          <w:color w:val="223D5D"/>
          <w:lang w:val="en-GB"/>
        </w:rPr>
        <w:t>–</w:t>
      </w:r>
      <w:r w:rsidRPr="00F73BFB">
        <w:rPr>
          <w:color w:val="223D5D"/>
          <w:spacing w:val="14"/>
          <w:lang w:val="en-GB"/>
        </w:rPr>
        <w:t xml:space="preserve"> </w:t>
      </w:r>
      <w:r w:rsidRPr="00F73BFB">
        <w:rPr>
          <w:color w:val="223D5D"/>
          <w:lang w:val="en-GB"/>
        </w:rPr>
        <w:t>List</w:t>
      </w:r>
      <w:r w:rsidRPr="00F73BFB">
        <w:rPr>
          <w:color w:val="223D5D"/>
          <w:spacing w:val="17"/>
          <w:lang w:val="en-GB"/>
        </w:rPr>
        <w:t xml:space="preserve"> </w:t>
      </w:r>
      <w:r w:rsidRPr="00F73BFB">
        <w:rPr>
          <w:color w:val="223D5D"/>
          <w:lang w:val="en-GB"/>
        </w:rPr>
        <w:t>of</w:t>
      </w:r>
      <w:r w:rsidRPr="00F73BFB">
        <w:rPr>
          <w:color w:val="223D5D"/>
          <w:spacing w:val="14"/>
          <w:lang w:val="en-GB"/>
        </w:rPr>
        <w:t xml:space="preserve"> </w:t>
      </w:r>
      <w:r w:rsidRPr="00F73BFB">
        <w:rPr>
          <w:color w:val="223D5D"/>
          <w:lang w:val="en-GB"/>
        </w:rPr>
        <w:t>questions</w:t>
      </w:r>
      <w:r w:rsidRPr="00F73BFB">
        <w:rPr>
          <w:color w:val="223D5D"/>
          <w:spacing w:val="23"/>
          <w:lang w:val="en-GB"/>
        </w:rPr>
        <w:t xml:space="preserve"> </w:t>
      </w:r>
      <w:r w:rsidRPr="00F73BFB">
        <w:rPr>
          <w:color w:val="223D5D"/>
          <w:lang w:val="en-GB"/>
        </w:rPr>
        <w:t>in</w:t>
      </w:r>
      <w:r w:rsidRPr="00F73BFB">
        <w:rPr>
          <w:color w:val="223D5D"/>
          <w:spacing w:val="16"/>
          <w:lang w:val="en-GB"/>
        </w:rPr>
        <w:t xml:space="preserve"> </w:t>
      </w:r>
      <w:r w:rsidRPr="00F73BFB">
        <w:rPr>
          <w:color w:val="223D5D"/>
          <w:lang w:val="en-GB"/>
        </w:rPr>
        <w:t>this</w:t>
      </w:r>
      <w:r w:rsidRPr="00F73BFB">
        <w:rPr>
          <w:color w:val="223D5D"/>
          <w:spacing w:val="16"/>
          <w:lang w:val="en-GB"/>
        </w:rPr>
        <w:t xml:space="preserve"> </w:t>
      </w:r>
      <w:r w:rsidRPr="00F73BFB">
        <w:rPr>
          <w:color w:val="223D5D"/>
          <w:spacing w:val="-5"/>
          <w:lang w:val="en-GB"/>
        </w:rPr>
        <w:t>DP</w:t>
      </w:r>
    </w:p>
    <w:p w14:paraId="0DD2E0A7" w14:textId="77777777" w:rsidR="00017515" w:rsidRPr="00F73BFB" w:rsidRDefault="00A567F8">
      <w:pPr>
        <w:pStyle w:val="BodyText"/>
        <w:spacing w:line="120" w:lineRule="exact"/>
        <w:ind w:left="114"/>
        <w:rPr>
          <w:position w:val="-1"/>
          <w:sz w:val="12"/>
          <w:lang w:val="en-GB"/>
        </w:rPr>
      </w:pPr>
      <w:r w:rsidRPr="00F73BFB">
        <w:rPr>
          <w:noProof/>
          <w:position w:val="-1"/>
          <w:sz w:val="12"/>
          <w:lang w:val="en-GB"/>
        </w:rPr>
        <mc:AlternateContent>
          <mc:Choice Requires="wpg">
            <w:drawing>
              <wp:inline distT="0" distB="0" distL="0" distR="0" wp14:anchorId="2744E037" wp14:editId="185A5D4C">
                <wp:extent cx="5614035" cy="76200"/>
                <wp:effectExtent l="0" t="0" r="0"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4035" cy="76200"/>
                          <a:chOff x="0" y="0"/>
                          <a:chExt cx="5614035" cy="76200"/>
                        </a:xfrm>
                      </wpg:grpSpPr>
                      <wps:wsp>
                        <wps:cNvPr id="179" name="Graphic 179"/>
                        <wps:cNvSpPr/>
                        <wps:spPr>
                          <a:xfrm>
                            <a:off x="0" y="0"/>
                            <a:ext cx="5614035" cy="76200"/>
                          </a:xfrm>
                          <a:custGeom>
                            <a:avLst/>
                            <a:gdLst/>
                            <a:ahLst/>
                            <a:cxnLst/>
                            <a:rect l="l" t="t" r="r" b="b"/>
                            <a:pathLst>
                              <a:path w="5614035" h="76200">
                                <a:moveTo>
                                  <a:pt x="5613781" y="0"/>
                                </a:moveTo>
                                <a:lnTo>
                                  <a:pt x="0" y="0"/>
                                </a:lnTo>
                                <a:lnTo>
                                  <a:pt x="0" y="76200"/>
                                </a:lnTo>
                                <a:lnTo>
                                  <a:pt x="5613781" y="76200"/>
                                </a:lnTo>
                                <a:lnTo>
                                  <a:pt x="5613781" y="0"/>
                                </a:lnTo>
                                <a:close/>
                              </a:path>
                            </a:pathLst>
                          </a:custGeom>
                          <a:solidFill>
                            <a:srgbClr val="EBD052"/>
                          </a:solidFill>
                        </wps:spPr>
                        <wps:bodyPr wrap="square" lIns="0" tIns="0" rIns="0" bIns="0" rtlCol="0">
                          <a:prstTxWarp prst="textNoShape">
                            <a:avLst/>
                          </a:prstTxWarp>
                          <a:noAutofit/>
                        </wps:bodyPr>
                      </wps:wsp>
                    </wpg:wgp>
                  </a:graphicData>
                </a:graphic>
              </wp:inline>
            </w:drawing>
          </mc:Choice>
          <mc:Fallback>
            <w:pict>
              <v:group w14:anchorId="1E861E44" id="Group 178" o:spid="_x0000_s1026" style="width:442.05pt;height:6pt;mso-position-horizontal-relative:char;mso-position-vertical-relative:line" coordsize="5614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">
                <v:shape id="Graphic 179" o:spid="_x0000_s1027" style="position:absolute;width:56140;height:762;visibility:visible;mso-wrap-style:square;v-text-anchor:top" coordsize="56140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" path="m5613781,l,,,76200r5613781,l5613781,xe" fillcolor="#ebd052" stroked="f">
                  <v:path arrowok="t"/>
                </v:shape>
                <w10:anchorlock/>
              </v:group>
            </w:pict>
          </mc:Fallback>
        </mc:AlternateContent>
      </w:r>
    </w:p>
    <w:p w14:paraId="6E010CBB" w14:textId="77777777" w:rsidR="00017515" w:rsidRPr="00F73BFB" w:rsidRDefault="00017515">
      <w:pPr>
        <w:pStyle w:val="BodyText"/>
        <w:rPr>
          <w:lang w:val="en-GB"/>
        </w:rPr>
      </w:pPr>
    </w:p>
    <w:p w14:paraId="39524643" w14:textId="77777777" w:rsidR="00017515" w:rsidRPr="00F73BFB" w:rsidRDefault="00017515">
      <w:pPr>
        <w:pStyle w:val="BodyText"/>
        <w:spacing w:before="54"/>
        <w:rPr>
          <w:lang w:val="en-GB"/>
        </w:rPr>
      </w:pPr>
    </w:p>
    <w:p w14:paraId="23316129" w14:textId="6FE72E04" w:rsidR="00E01AB2" w:rsidRPr="00F73BFB" w:rsidRDefault="00A567F8" w:rsidP="001334EA">
      <w:pPr>
        <w:pStyle w:val="Heading2"/>
        <w:rPr>
          <w:spacing w:val="-2"/>
        </w:rPr>
      </w:pPr>
      <w:r w:rsidRPr="00F73BFB">
        <w:rPr>
          <w:b/>
        </w:rPr>
        <w:t>Q1.</w:t>
      </w:r>
      <w:r w:rsidRPr="00F73BFB">
        <w:rPr>
          <w:b/>
          <w:spacing w:val="-2"/>
        </w:rPr>
        <w:t xml:space="preserve"> </w:t>
      </w:r>
      <w:r w:rsidRPr="00F73BFB">
        <w:t>For</w:t>
      </w:r>
      <w:r w:rsidRPr="00F73BFB">
        <w:rPr>
          <w:spacing w:val="-4"/>
        </w:rPr>
        <w:t xml:space="preserve"> </w:t>
      </w:r>
      <w:r w:rsidRPr="00F73BFB">
        <w:t>the</w:t>
      </w:r>
      <w:r w:rsidRPr="00F73BFB">
        <w:rPr>
          <w:spacing w:val="-3"/>
        </w:rPr>
        <w:t xml:space="preserve"> </w:t>
      </w:r>
      <w:r w:rsidRPr="00F73BFB">
        <w:t>purpose</w:t>
      </w:r>
      <w:r w:rsidRPr="00F73BFB">
        <w:rPr>
          <w:spacing w:val="-5"/>
        </w:rPr>
        <w:t xml:space="preserve"> </w:t>
      </w:r>
      <w:r w:rsidRPr="00F73BFB">
        <w:t>of</w:t>
      </w:r>
      <w:r w:rsidRPr="00F73BFB">
        <w:rPr>
          <w:spacing w:val="-3"/>
        </w:rPr>
        <w:t xml:space="preserve"> </w:t>
      </w:r>
      <w:r w:rsidRPr="00F73BFB">
        <w:t>reporting</w:t>
      </w:r>
      <w:r w:rsidRPr="00F73BFB">
        <w:rPr>
          <w:spacing w:val="-4"/>
        </w:rPr>
        <w:t xml:space="preserve"> </w:t>
      </w:r>
      <w:r w:rsidRPr="00F73BFB">
        <w:t>under</w:t>
      </w:r>
      <w:r w:rsidRPr="00F73BFB">
        <w:rPr>
          <w:spacing w:val="-3"/>
        </w:rPr>
        <w:t xml:space="preserve"> </w:t>
      </w:r>
      <w:r w:rsidRPr="00F73BFB">
        <w:t>CRR</w:t>
      </w:r>
      <w:r w:rsidRPr="00F73BFB">
        <w:rPr>
          <w:spacing w:val="-3"/>
        </w:rPr>
        <w:t xml:space="preserve"> </w:t>
      </w:r>
      <w:r w:rsidRPr="00F73BFB">
        <w:t>Article</w:t>
      </w:r>
      <w:r w:rsidRPr="00F73BFB">
        <w:rPr>
          <w:spacing w:val="-5"/>
        </w:rPr>
        <w:t xml:space="preserve"> </w:t>
      </w:r>
      <w:r w:rsidRPr="00F73BFB">
        <w:t>430a,</w:t>
      </w:r>
      <w:r w:rsidRPr="00F73BFB">
        <w:rPr>
          <w:spacing w:val="-3"/>
        </w:rPr>
        <w:t xml:space="preserve"> </w:t>
      </w:r>
      <w:r w:rsidRPr="00F73BFB">
        <w:t>which</w:t>
      </w:r>
      <w:r w:rsidRPr="00F73BFB">
        <w:rPr>
          <w:spacing w:val="-3"/>
        </w:rPr>
        <w:t xml:space="preserve"> </w:t>
      </w:r>
      <w:r w:rsidRPr="00F73BFB">
        <w:t>definition</w:t>
      </w:r>
      <w:r w:rsidRPr="00F73BFB">
        <w:rPr>
          <w:spacing w:val="-4"/>
        </w:rPr>
        <w:t xml:space="preserve"> </w:t>
      </w:r>
      <w:r w:rsidRPr="00F73BFB">
        <w:t>of</w:t>
      </w:r>
      <w:r w:rsidRPr="00F73BFB">
        <w:rPr>
          <w:spacing w:val="-6"/>
        </w:rPr>
        <w:t xml:space="preserve"> </w:t>
      </w:r>
      <w:r w:rsidRPr="00F73BFB">
        <w:t>loss</w:t>
      </w:r>
      <w:r w:rsidRPr="00F73BFB">
        <w:rPr>
          <w:spacing w:val="-5"/>
        </w:rPr>
        <w:t xml:space="preserve"> </w:t>
      </w:r>
      <w:r w:rsidRPr="00F73BFB">
        <w:t>should</w:t>
      </w:r>
      <w:r w:rsidRPr="00F73BFB">
        <w:rPr>
          <w:spacing w:val="-5"/>
        </w:rPr>
        <w:t xml:space="preserve"> </w:t>
      </w:r>
      <w:r w:rsidRPr="00F73BFB">
        <w:t>be</w:t>
      </w:r>
      <w:r w:rsidRPr="00F73BFB">
        <w:rPr>
          <w:spacing w:val="-2"/>
        </w:rPr>
        <w:t xml:space="preserve"> used?</w:t>
      </w:r>
    </w:p>
    <w:p w14:paraId="340F1C0B" w14:textId="777873AE" w:rsidR="00E01AB2" w:rsidRPr="00F73BFB" w:rsidRDefault="00E01AB2" w:rsidP="009A3F3F">
      <w:pPr>
        <w:pStyle w:val="BodyText"/>
        <w:ind w:left="143"/>
        <w:jc w:val="both"/>
        <w:rPr>
          <w:color w:val="0070C0"/>
        </w:rPr>
      </w:pPr>
      <w:r w:rsidRPr="6AFEC25B">
        <w:rPr>
          <w:b/>
          <w:color w:val="0070C0"/>
        </w:rPr>
        <w:t>[Response:</w:t>
      </w:r>
      <w:r w:rsidRPr="6AFEC25B">
        <w:rPr>
          <w:color w:val="0070C0"/>
        </w:rPr>
        <w:t xml:space="preserve"> </w:t>
      </w:r>
      <w:r w:rsidR="00D04A74">
        <w:rPr>
          <w:color w:val="0070C0"/>
        </w:rPr>
        <w:t>No comment.</w:t>
      </w:r>
      <w:r w:rsidRPr="6AFEC25B">
        <w:rPr>
          <w:color w:val="0070C0"/>
        </w:rPr>
        <w:t>]</w:t>
      </w:r>
    </w:p>
    <w:p w14:paraId="4C6859C0" w14:textId="77777777" w:rsidR="00ED7836" w:rsidRPr="00F73BFB" w:rsidRDefault="00ED7836" w:rsidP="61B07537">
      <w:pPr>
        <w:pStyle w:val="BodyText"/>
        <w:ind w:left="143"/>
        <w:jc w:val="both"/>
        <w:rPr>
          <w:color w:val="0070C0"/>
          <w:lang w:val="en-GB"/>
        </w:rPr>
      </w:pPr>
    </w:p>
    <w:p w14:paraId="52C571E6" w14:textId="77777777" w:rsidR="00017515" w:rsidRPr="00F73BFB" w:rsidRDefault="00A567F8" w:rsidP="001334EA">
      <w:pPr>
        <w:pStyle w:val="Heading2"/>
      </w:pPr>
      <w:r w:rsidRPr="00F73BFB">
        <w:rPr>
          <w:b/>
        </w:rPr>
        <w:t xml:space="preserve">Q2. </w:t>
      </w:r>
      <w:r w:rsidRPr="00F73BFB">
        <w:t>Should the loss data (CRR Article 430a) be used for the assessment of RWs of real estate exposures under CRR Article 126(4) and CRR Article 465(11)?</w:t>
      </w:r>
    </w:p>
    <w:p w14:paraId="28ECCC3B" w14:textId="79268333" w:rsidR="00E01AB2" w:rsidRPr="00F73BFB" w:rsidRDefault="00E01AB2" w:rsidP="009A3F3F">
      <w:pPr>
        <w:pStyle w:val="BodyText"/>
        <w:ind w:left="143"/>
        <w:jc w:val="both"/>
        <w:rPr>
          <w:color w:val="0070C0"/>
        </w:rPr>
      </w:pPr>
      <w:r w:rsidRPr="6AFEC25B">
        <w:rPr>
          <w:color w:val="0070C0"/>
        </w:rPr>
        <w:t>[</w:t>
      </w:r>
      <w:r w:rsidRPr="6AFEC25B">
        <w:rPr>
          <w:b/>
          <w:color w:val="0070C0"/>
        </w:rPr>
        <w:t>Response:</w:t>
      </w:r>
      <w:r w:rsidR="009A3F3F">
        <w:rPr>
          <w:color w:val="0070C0"/>
        </w:rPr>
        <w:t xml:space="preserve"> </w:t>
      </w:r>
      <w:r w:rsidR="00D04A74">
        <w:rPr>
          <w:color w:val="0070C0"/>
        </w:rPr>
        <w:t>No comment.</w:t>
      </w:r>
      <w:r w:rsidRPr="6AFEC25B">
        <w:rPr>
          <w:color w:val="0070C0"/>
        </w:rPr>
        <w:t>]</w:t>
      </w:r>
    </w:p>
    <w:p w14:paraId="3374F521" w14:textId="77777777" w:rsidR="00E01AB2" w:rsidRPr="00F73BFB" w:rsidRDefault="00E01AB2">
      <w:pPr>
        <w:pStyle w:val="BodyText"/>
        <w:spacing w:before="159" w:line="276" w:lineRule="auto"/>
        <w:ind w:left="143" w:right="136"/>
        <w:jc w:val="both"/>
        <w:rPr>
          <w:lang w:val="en-GB"/>
        </w:rPr>
      </w:pPr>
    </w:p>
    <w:p w14:paraId="7BAF5CBE" w14:textId="77777777" w:rsidR="00017515" w:rsidRPr="00F73BFB" w:rsidRDefault="00A567F8" w:rsidP="001334EA">
      <w:pPr>
        <w:pStyle w:val="Heading2"/>
        <w:rPr>
          <w:spacing w:val="-2"/>
        </w:rPr>
      </w:pPr>
      <w:r w:rsidRPr="00F73BFB">
        <w:rPr>
          <w:b/>
        </w:rPr>
        <w:t>Q3.</w:t>
      </w:r>
      <w:r w:rsidRPr="00F73BFB">
        <w:rPr>
          <w:b/>
          <w:spacing w:val="-4"/>
        </w:rPr>
        <w:t xml:space="preserve"> </w:t>
      </w:r>
      <w:r w:rsidRPr="00F73BFB">
        <w:t>Which</w:t>
      </w:r>
      <w:r w:rsidRPr="00F73BFB">
        <w:rPr>
          <w:spacing w:val="-2"/>
        </w:rPr>
        <w:t xml:space="preserve"> </w:t>
      </w:r>
      <w:r w:rsidRPr="00F73BFB">
        <w:t>elements</w:t>
      </w:r>
      <w:r w:rsidRPr="00F73BFB">
        <w:rPr>
          <w:spacing w:val="-4"/>
        </w:rPr>
        <w:t xml:space="preserve"> </w:t>
      </w:r>
      <w:r w:rsidRPr="00F73BFB">
        <w:t>of</w:t>
      </w:r>
      <w:r w:rsidRPr="00F73BFB">
        <w:rPr>
          <w:spacing w:val="-5"/>
        </w:rPr>
        <w:t xml:space="preserve"> </w:t>
      </w:r>
      <w:r w:rsidRPr="00F73BFB">
        <w:t>the</w:t>
      </w:r>
      <w:r w:rsidRPr="00F73BFB">
        <w:rPr>
          <w:spacing w:val="-4"/>
        </w:rPr>
        <w:t xml:space="preserve"> </w:t>
      </w:r>
      <w:r w:rsidRPr="00F73BFB">
        <w:t>real</w:t>
      </w:r>
      <w:r w:rsidRPr="00F73BFB">
        <w:rPr>
          <w:spacing w:val="-2"/>
        </w:rPr>
        <w:t xml:space="preserve"> </w:t>
      </w:r>
      <w:r w:rsidRPr="00F73BFB">
        <w:t>estate</w:t>
      </w:r>
      <w:r w:rsidRPr="00F73BFB">
        <w:rPr>
          <w:spacing w:val="-4"/>
        </w:rPr>
        <w:t xml:space="preserve"> </w:t>
      </w:r>
      <w:r w:rsidRPr="00F73BFB">
        <w:t>framework</w:t>
      </w:r>
      <w:r w:rsidRPr="00F73BFB">
        <w:rPr>
          <w:spacing w:val="-6"/>
        </w:rPr>
        <w:t xml:space="preserve"> </w:t>
      </w:r>
      <w:r w:rsidRPr="00F73BFB">
        <w:t>should</w:t>
      </w:r>
      <w:r w:rsidRPr="00F73BFB">
        <w:rPr>
          <w:spacing w:val="-4"/>
        </w:rPr>
        <w:t xml:space="preserve"> </w:t>
      </w:r>
      <w:r w:rsidRPr="00F73BFB">
        <w:t>be</w:t>
      </w:r>
      <w:r w:rsidRPr="00F73BFB">
        <w:rPr>
          <w:spacing w:val="-2"/>
        </w:rPr>
        <w:t xml:space="preserve"> </w:t>
      </w:r>
      <w:r w:rsidRPr="00F73BFB">
        <w:t>further</w:t>
      </w:r>
      <w:r w:rsidRPr="00F73BFB">
        <w:rPr>
          <w:spacing w:val="-2"/>
        </w:rPr>
        <w:t xml:space="preserve"> simplified?</w:t>
      </w:r>
    </w:p>
    <w:p w14:paraId="7326FB05" w14:textId="25512A78" w:rsidR="00E01AB2" w:rsidRPr="00F73BFB" w:rsidRDefault="00E01AB2" w:rsidP="61B07537">
      <w:pPr>
        <w:pStyle w:val="BodyText"/>
        <w:ind w:left="143"/>
        <w:jc w:val="both"/>
        <w:rPr>
          <w:color w:val="0070C0"/>
          <w:lang w:val="en-GB"/>
        </w:rPr>
      </w:pPr>
      <w:r w:rsidRPr="00F73BFB">
        <w:rPr>
          <w:color w:val="0070C0"/>
          <w:lang w:val="en-GB"/>
        </w:rPr>
        <w:t>[</w:t>
      </w:r>
      <w:r w:rsidRPr="00F73BFB">
        <w:rPr>
          <w:b/>
          <w:bCs/>
          <w:color w:val="0070C0"/>
          <w:lang w:val="en-GB"/>
        </w:rPr>
        <w:t>Response:</w:t>
      </w:r>
      <w:r w:rsidRPr="00F73BFB">
        <w:rPr>
          <w:color w:val="0070C0"/>
          <w:lang w:val="en-GB"/>
        </w:rPr>
        <w:t xml:space="preserve"> </w:t>
      </w:r>
    </w:p>
    <w:p w14:paraId="32A8816A" w14:textId="55967694" w:rsidR="00BC76E5" w:rsidRPr="00F73BFB" w:rsidRDefault="00C8762F" w:rsidP="00144FAB">
      <w:pPr>
        <w:pStyle w:val="BodyText"/>
        <w:numPr>
          <w:ilvl w:val="0"/>
          <w:numId w:val="8"/>
        </w:numPr>
        <w:spacing w:before="122"/>
        <w:jc w:val="both"/>
        <w:rPr>
          <w:color w:val="0070C0"/>
          <w:lang w:val="en-GB"/>
        </w:rPr>
      </w:pPr>
      <w:r w:rsidRPr="00F73BFB">
        <w:rPr>
          <w:color w:val="0070C0"/>
          <w:lang w:val="en-GB"/>
        </w:rPr>
        <w:t>Article 430(a) is used to determine both the preferential risk</w:t>
      </w:r>
      <w:r w:rsidRPr="00F73BFB">
        <w:rPr>
          <w:rFonts w:ascii="Cambria Math" w:hAnsi="Cambria Math" w:cs="Cambria Math"/>
          <w:color w:val="0070C0"/>
          <w:lang w:val="en-GB"/>
        </w:rPr>
        <w:t>‑</w:t>
      </w:r>
      <w:r w:rsidRPr="00F73BFB">
        <w:rPr>
          <w:color w:val="0070C0"/>
          <w:lang w:val="en-GB"/>
        </w:rPr>
        <w:t>weight treatment for IPRE exposures under the Standardised Approach (SA) and the eligibility of immovable residential property collateral for LGD calculations in the IPRE corporate exposure sub</w:t>
      </w:r>
      <w:r w:rsidRPr="00F73BFB">
        <w:rPr>
          <w:rFonts w:ascii="Cambria Math" w:hAnsi="Cambria Math" w:cs="Cambria Math"/>
          <w:color w:val="0070C0"/>
          <w:lang w:val="en-GB"/>
        </w:rPr>
        <w:t>‑</w:t>
      </w:r>
      <w:r w:rsidRPr="00F73BFB">
        <w:rPr>
          <w:color w:val="0070C0"/>
          <w:lang w:val="en-GB"/>
        </w:rPr>
        <w:t xml:space="preserve">class. However, as highlighted in the Discussion Paper, the scope of Article 430(a) </w:t>
      </w:r>
      <w:r w:rsidR="00BC76E5" w:rsidRPr="00F73BFB">
        <w:rPr>
          <w:color w:val="0070C0"/>
          <w:lang w:val="en-GB"/>
        </w:rPr>
        <w:t>is very broad, namely:</w:t>
      </w:r>
    </w:p>
    <w:p w14:paraId="1506CF8A" w14:textId="77777777" w:rsidR="00BC76E5" w:rsidRPr="00F73BFB" w:rsidRDefault="00C8762F" w:rsidP="00144FAB">
      <w:pPr>
        <w:pStyle w:val="BodyText"/>
        <w:numPr>
          <w:ilvl w:val="1"/>
          <w:numId w:val="8"/>
        </w:numPr>
        <w:spacing w:before="122"/>
        <w:jc w:val="both"/>
        <w:rPr>
          <w:color w:val="0070C0"/>
          <w:lang w:val="en-GB"/>
        </w:rPr>
      </w:pPr>
      <w:r w:rsidRPr="00F73BFB">
        <w:rPr>
          <w:color w:val="0070C0"/>
          <w:lang w:val="en-GB"/>
        </w:rPr>
        <w:t>under the SA it</w:t>
      </w:r>
      <w:r w:rsidR="00BC76E5" w:rsidRPr="00F73BFB">
        <w:rPr>
          <w:color w:val="0070C0"/>
          <w:lang w:val="en-GB"/>
        </w:rPr>
        <w:t xml:space="preserve"> </w:t>
      </w:r>
      <w:r w:rsidRPr="00F73BFB">
        <w:rPr>
          <w:color w:val="0070C0"/>
          <w:lang w:val="en-GB"/>
        </w:rPr>
        <w:t xml:space="preserve">includes all IPRE </w:t>
      </w:r>
      <w:r w:rsidRPr="00F73BFB">
        <w:rPr>
          <w:i/>
          <w:iCs/>
          <w:color w:val="0070C0"/>
          <w:lang w:val="en-GB"/>
        </w:rPr>
        <w:t>and</w:t>
      </w:r>
      <w:r w:rsidRPr="00F73BFB">
        <w:rPr>
          <w:color w:val="0070C0"/>
          <w:lang w:val="en-GB"/>
        </w:rPr>
        <w:t xml:space="preserve"> non</w:t>
      </w:r>
      <w:r w:rsidRPr="00F73BFB">
        <w:rPr>
          <w:rFonts w:ascii="Cambria Math" w:hAnsi="Cambria Math" w:cs="Cambria Math"/>
          <w:color w:val="0070C0"/>
          <w:lang w:val="en-GB"/>
        </w:rPr>
        <w:t>‑</w:t>
      </w:r>
      <w:r w:rsidRPr="00F73BFB">
        <w:rPr>
          <w:color w:val="0070C0"/>
          <w:lang w:val="en-GB"/>
        </w:rPr>
        <w:t>IPRE residential and commercial property values in the numerator, and all exposure values in the denominator; a</w:t>
      </w:r>
      <w:r w:rsidR="00617530" w:rsidRPr="00F73BFB">
        <w:rPr>
          <w:color w:val="0070C0"/>
          <w:lang w:val="en-GB"/>
        </w:rPr>
        <w:t>nd</w:t>
      </w:r>
    </w:p>
    <w:p w14:paraId="1DE64046" w14:textId="025F1720" w:rsidR="00C8762F" w:rsidRPr="00F73BFB" w:rsidRDefault="00AB1116" w:rsidP="00144FAB">
      <w:pPr>
        <w:pStyle w:val="BodyText"/>
        <w:numPr>
          <w:ilvl w:val="1"/>
          <w:numId w:val="8"/>
        </w:numPr>
        <w:spacing w:before="122"/>
        <w:jc w:val="both"/>
        <w:rPr>
          <w:color w:val="0070C0"/>
          <w:lang w:val="en-GB"/>
        </w:rPr>
      </w:pPr>
      <w:r w:rsidRPr="00F73BFB">
        <w:rPr>
          <w:color w:val="0070C0"/>
          <w:lang w:val="en-GB"/>
        </w:rPr>
        <w:t>under</w:t>
      </w:r>
      <w:r w:rsidR="00963A7A" w:rsidRPr="00F73BFB">
        <w:rPr>
          <w:color w:val="0070C0"/>
          <w:lang w:val="en-GB"/>
        </w:rPr>
        <w:t xml:space="preserve"> IRB </w:t>
      </w:r>
      <w:r w:rsidR="00555C8F" w:rsidRPr="00F73BFB">
        <w:rPr>
          <w:color w:val="0070C0"/>
          <w:lang w:val="en-GB"/>
        </w:rPr>
        <w:t xml:space="preserve">LGD </w:t>
      </w:r>
      <w:r w:rsidR="00D92822" w:rsidRPr="00F73BFB">
        <w:rPr>
          <w:color w:val="0070C0"/>
          <w:lang w:val="en-GB"/>
        </w:rPr>
        <w:t>calculations</w:t>
      </w:r>
      <w:r w:rsidR="00BC76E5" w:rsidRPr="00F73BFB">
        <w:rPr>
          <w:color w:val="0070C0"/>
          <w:lang w:val="en-GB"/>
        </w:rPr>
        <w:t xml:space="preserve"> it </w:t>
      </w:r>
      <w:r w:rsidR="00C8762F" w:rsidRPr="00F73BFB">
        <w:rPr>
          <w:color w:val="0070C0"/>
          <w:lang w:val="en-GB"/>
        </w:rPr>
        <w:t xml:space="preserve">includes all IPRE </w:t>
      </w:r>
      <w:r w:rsidR="00C8762F" w:rsidRPr="00F73BFB">
        <w:rPr>
          <w:i/>
          <w:iCs/>
          <w:color w:val="0070C0"/>
          <w:lang w:val="en-GB"/>
        </w:rPr>
        <w:t>and</w:t>
      </w:r>
      <w:r w:rsidR="00C8762F" w:rsidRPr="00F73BFB">
        <w:rPr>
          <w:color w:val="0070C0"/>
          <w:lang w:val="en-GB"/>
        </w:rPr>
        <w:t xml:space="preserve"> non</w:t>
      </w:r>
      <w:r w:rsidR="00C8762F" w:rsidRPr="00F73BFB">
        <w:rPr>
          <w:rFonts w:ascii="Cambria Math" w:hAnsi="Cambria Math" w:cs="Cambria Math"/>
          <w:color w:val="0070C0"/>
          <w:lang w:val="en-GB"/>
        </w:rPr>
        <w:t>‑</w:t>
      </w:r>
      <w:r w:rsidR="00C8762F" w:rsidRPr="00F73BFB">
        <w:rPr>
          <w:color w:val="0070C0"/>
          <w:lang w:val="en-GB"/>
        </w:rPr>
        <w:t>IPRE residential property values and exposure values in the denominator.</w:t>
      </w:r>
    </w:p>
    <w:p w14:paraId="5AB1901C" w14:textId="77777777" w:rsidR="00C8762F" w:rsidRPr="00F73BFB" w:rsidRDefault="00C8762F" w:rsidP="00144FAB">
      <w:pPr>
        <w:pStyle w:val="BodyText"/>
        <w:numPr>
          <w:ilvl w:val="0"/>
          <w:numId w:val="7"/>
        </w:numPr>
        <w:spacing w:before="122"/>
        <w:jc w:val="both"/>
        <w:rPr>
          <w:color w:val="0070C0"/>
          <w:lang w:val="en-GB"/>
        </w:rPr>
      </w:pPr>
      <w:r w:rsidRPr="00F73BFB">
        <w:rPr>
          <w:color w:val="0070C0"/>
          <w:lang w:val="en-GB"/>
        </w:rPr>
        <w:t>In our view, using such an expansive scope dilutes the risk sensitivity of a ratio intended to reflect conditions in the IPRE market.</w:t>
      </w:r>
    </w:p>
    <w:p w14:paraId="5AD39A6C" w14:textId="309E1EC7" w:rsidR="00D04A74" w:rsidRPr="009A3F3F" w:rsidRDefault="00C8762F" w:rsidP="009A3F3F">
      <w:pPr>
        <w:pStyle w:val="BodyText"/>
        <w:numPr>
          <w:ilvl w:val="0"/>
          <w:numId w:val="7"/>
        </w:numPr>
        <w:spacing w:before="122"/>
        <w:jc w:val="both"/>
        <w:rPr>
          <w:color w:val="0070C0"/>
          <w:lang w:val="en-GB"/>
        </w:rPr>
      </w:pPr>
      <w:r w:rsidRPr="00F73BFB">
        <w:rPr>
          <w:color w:val="0070C0"/>
          <w:lang w:val="en-GB"/>
        </w:rPr>
        <w:lastRenderedPageBreak/>
        <w:t xml:space="preserve">Therefore, </w:t>
      </w:r>
      <w:r w:rsidRPr="00F73BFB">
        <w:rPr>
          <w:b/>
          <w:bCs/>
          <w:color w:val="0070C0"/>
          <w:lang w:val="en-GB"/>
        </w:rPr>
        <w:t>our proposal is to limit the scope of Article 430(a) exclusively to immovable properties secured by IPRE collateral</w:t>
      </w:r>
      <w:r w:rsidR="00BC76E5" w:rsidRPr="00F73BFB">
        <w:rPr>
          <w:b/>
          <w:bCs/>
          <w:color w:val="0070C0"/>
          <w:lang w:val="en-GB"/>
        </w:rPr>
        <w:t xml:space="preserve"> (and therefore </w:t>
      </w:r>
      <w:r w:rsidR="00BC76E5" w:rsidRPr="00F73BFB">
        <w:rPr>
          <w:b/>
          <w:bCs/>
          <w:i/>
          <w:iCs/>
          <w:color w:val="0070C0"/>
          <w:lang w:val="en-GB"/>
        </w:rPr>
        <w:t>not</w:t>
      </w:r>
      <w:r w:rsidR="00BC76E5" w:rsidRPr="00F73BFB">
        <w:rPr>
          <w:b/>
          <w:bCs/>
          <w:color w:val="0070C0"/>
          <w:lang w:val="en-GB"/>
        </w:rPr>
        <w:t xml:space="preserve"> also non-IPRE collateral)</w:t>
      </w:r>
      <w:r w:rsidRPr="00F73BFB">
        <w:rPr>
          <w:b/>
          <w:bCs/>
          <w:color w:val="0070C0"/>
          <w:lang w:val="en-GB"/>
        </w:rPr>
        <w:t>.</w:t>
      </w:r>
      <w:r w:rsidRPr="00F73BFB">
        <w:rPr>
          <w:color w:val="0070C0"/>
          <w:lang w:val="en-GB"/>
        </w:rPr>
        <w:t xml:space="preserve"> This narrower definition would ensure that the resulting ratio more accurately reflects developments in the IPRE market and is better aligned with the metric’s intended purpose.</w:t>
      </w:r>
    </w:p>
    <w:p w14:paraId="7370EACD" w14:textId="645B61CF" w:rsidR="00D04A74" w:rsidRDefault="00D04A74" w:rsidP="00B32C21">
      <w:pPr>
        <w:pStyle w:val="BodyText"/>
        <w:spacing w:before="122"/>
        <w:ind w:firstLine="143"/>
        <w:jc w:val="both"/>
        <w:rPr>
          <w:color w:val="0070C0"/>
          <w:lang w:val="en-GB"/>
        </w:rPr>
      </w:pPr>
      <w:r>
        <w:rPr>
          <w:color w:val="0070C0"/>
          <w:lang w:val="en-GB"/>
        </w:rPr>
        <w:t>]</w:t>
      </w:r>
    </w:p>
    <w:p w14:paraId="4541D2EF" w14:textId="77777777" w:rsidR="00D04A74" w:rsidRPr="00F73BFB" w:rsidRDefault="00D04A74" w:rsidP="00BC76E5">
      <w:pPr>
        <w:pStyle w:val="BodyText"/>
        <w:spacing w:before="122"/>
        <w:jc w:val="both"/>
        <w:rPr>
          <w:color w:val="0070C0"/>
          <w:lang w:val="en-GB"/>
        </w:rPr>
      </w:pPr>
    </w:p>
    <w:p w14:paraId="1185DD36" w14:textId="77777777" w:rsidR="00017515" w:rsidRPr="00F73BFB" w:rsidRDefault="00A567F8" w:rsidP="00790CCA">
      <w:pPr>
        <w:pStyle w:val="Heading2"/>
        <w:rPr>
          <w:spacing w:val="-2"/>
        </w:rPr>
      </w:pPr>
      <w:r w:rsidRPr="00F73BFB">
        <w:rPr>
          <w:b/>
        </w:rPr>
        <w:t>Q4.</w:t>
      </w:r>
      <w:r w:rsidRPr="00F73BFB">
        <w:rPr>
          <w:b/>
          <w:spacing w:val="-6"/>
        </w:rPr>
        <w:t xml:space="preserve"> </w:t>
      </w:r>
      <w:r w:rsidRPr="00F73BFB">
        <w:t>Which</w:t>
      </w:r>
      <w:r w:rsidRPr="00F73BFB">
        <w:rPr>
          <w:spacing w:val="-6"/>
        </w:rPr>
        <w:t xml:space="preserve"> </w:t>
      </w:r>
      <w:r w:rsidRPr="00F73BFB">
        <w:t>other</w:t>
      </w:r>
      <w:r w:rsidRPr="00F73BFB">
        <w:rPr>
          <w:spacing w:val="-5"/>
        </w:rPr>
        <w:t xml:space="preserve"> </w:t>
      </w:r>
      <w:r w:rsidRPr="00F73BFB">
        <w:t>clarifications</w:t>
      </w:r>
      <w:r w:rsidRPr="00F73BFB">
        <w:rPr>
          <w:spacing w:val="-3"/>
        </w:rPr>
        <w:t xml:space="preserve"> </w:t>
      </w:r>
      <w:r w:rsidRPr="00F73BFB">
        <w:t>do</w:t>
      </w:r>
      <w:r w:rsidRPr="00F73BFB">
        <w:rPr>
          <w:spacing w:val="-5"/>
        </w:rPr>
        <w:t xml:space="preserve"> </w:t>
      </w:r>
      <w:r w:rsidRPr="00F73BFB">
        <w:t>you</w:t>
      </w:r>
      <w:r w:rsidRPr="00F73BFB">
        <w:rPr>
          <w:spacing w:val="-3"/>
        </w:rPr>
        <w:t xml:space="preserve"> </w:t>
      </w:r>
      <w:r w:rsidRPr="00F73BFB">
        <w:t>consider</w:t>
      </w:r>
      <w:r w:rsidRPr="00F73BFB">
        <w:rPr>
          <w:spacing w:val="-3"/>
        </w:rPr>
        <w:t xml:space="preserve"> </w:t>
      </w:r>
      <w:r w:rsidRPr="00F73BFB">
        <w:t>necessary</w:t>
      </w:r>
      <w:r w:rsidRPr="00F73BFB">
        <w:rPr>
          <w:spacing w:val="-3"/>
        </w:rPr>
        <w:t xml:space="preserve"> </w:t>
      </w:r>
      <w:r w:rsidRPr="00F73BFB">
        <w:t>to</w:t>
      </w:r>
      <w:r w:rsidRPr="00F73BFB">
        <w:rPr>
          <w:spacing w:val="-2"/>
        </w:rPr>
        <w:t xml:space="preserve"> </w:t>
      </w:r>
      <w:r w:rsidRPr="00F73BFB">
        <w:t>apply</w:t>
      </w:r>
      <w:r w:rsidRPr="00F73BFB">
        <w:rPr>
          <w:spacing w:val="-4"/>
        </w:rPr>
        <w:t xml:space="preserve"> </w:t>
      </w:r>
      <w:r w:rsidRPr="00F73BFB">
        <w:t>the</w:t>
      </w:r>
      <w:r w:rsidRPr="00F73BFB">
        <w:rPr>
          <w:spacing w:val="-3"/>
        </w:rPr>
        <w:t xml:space="preserve"> </w:t>
      </w:r>
      <w:r w:rsidRPr="00F73BFB">
        <w:t>new</w:t>
      </w:r>
      <w:r w:rsidRPr="00F73BFB">
        <w:rPr>
          <w:spacing w:val="-5"/>
        </w:rPr>
        <w:t xml:space="preserve"> </w:t>
      </w:r>
      <w:r w:rsidRPr="00F73BFB">
        <w:t>ECAI</w:t>
      </w:r>
      <w:r w:rsidRPr="00F73BFB">
        <w:rPr>
          <w:spacing w:val="-3"/>
        </w:rPr>
        <w:t xml:space="preserve"> </w:t>
      </w:r>
      <w:r w:rsidRPr="00F73BFB">
        <w:rPr>
          <w:spacing w:val="-2"/>
        </w:rPr>
        <w:t>framework?</w:t>
      </w:r>
    </w:p>
    <w:p w14:paraId="3B3C0416" w14:textId="77777777" w:rsidR="00B32C21" w:rsidRDefault="00E01AB2" w:rsidP="693FE9CD">
      <w:pPr>
        <w:pStyle w:val="BodyText"/>
        <w:ind w:left="143"/>
        <w:jc w:val="both"/>
        <w:rPr>
          <w:color w:val="0070C0"/>
        </w:rPr>
      </w:pPr>
      <w:r w:rsidRPr="693FE9CD">
        <w:rPr>
          <w:color w:val="0070C0"/>
        </w:rPr>
        <w:t>[</w:t>
      </w:r>
      <w:r w:rsidRPr="693FE9CD">
        <w:rPr>
          <w:b/>
          <w:bCs/>
          <w:color w:val="0070C0"/>
        </w:rPr>
        <w:t>Response</w:t>
      </w:r>
      <w:r w:rsidRPr="693FE9CD">
        <w:rPr>
          <w:color w:val="0070C0"/>
        </w:rPr>
        <w:t xml:space="preserve">: </w:t>
      </w:r>
    </w:p>
    <w:p w14:paraId="3FBEB52A" w14:textId="0214EE09" w:rsidR="00DD351F" w:rsidRDefault="00C1737C" w:rsidP="693FE9CD">
      <w:pPr>
        <w:pStyle w:val="BodyText"/>
        <w:ind w:left="143"/>
        <w:jc w:val="both"/>
        <w:rPr>
          <w:color w:val="0070C0"/>
        </w:rPr>
      </w:pPr>
      <w:r>
        <w:rPr>
          <w:color w:val="0070C0"/>
        </w:rPr>
        <w:t xml:space="preserve">We welcome </w:t>
      </w:r>
      <w:r w:rsidR="00B32C21">
        <w:rPr>
          <w:color w:val="0070C0"/>
        </w:rPr>
        <w:t>a</w:t>
      </w:r>
      <w:r>
        <w:rPr>
          <w:color w:val="0070C0"/>
        </w:rPr>
        <w:t xml:space="preserve"> temporary extension to use existing </w:t>
      </w:r>
      <w:r w:rsidR="00DD351F">
        <w:rPr>
          <w:color w:val="0070C0"/>
        </w:rPr>
        <w:t>ECAI</w:t>
      </w:r>
      <w:r w:rsidR="007A618E">
        <w:rPr>
          <w:color w:val="0070C0"/>
        </w:rPr>
        <w:t xml:space="preserve"> credit assessments</w:t>
      </w:r>
      <w:r>
        <w:rPr>
          <w:color w:val="0070C0"/>
        </w:rPr>
        <w:t xml:space="preserve">. </w:t>
      </w:r>
      <w:r w:rsidR="00CA7F6B">
        <w:rPr>
          <w:color w:val="0070C0"/>
        </w:rPr>
        <w:t>However, w</w:t>
      </w:r>
      <w:r>
        <w:rPr>
          <w:color w:val="0070C0"/>
        </w:rPr>
        <w:t xml:space="preserve">e would like </w:t>
      </w:r>
      <w:r w:rsidR="00DD351F">
        <w:rPr>
          <w:color w:val="0070C0"/>
        </w:rPr>
        <w:t xml:space="preserve">clarity on two </w:t>
      </w:r>
      <w:r w:rsidR="00CA7F6B">
        <w:rPr>
          <w:color w:val="0070C0"/>
        </w:rPr>
        <w:t>related</w:t>
      </w:r>
      <w:r w:rsidR="00DD351F">
        <w:rPr>
          <w:color w:val="0070C0"/>
        </w:rPr>
        <w:t xml:space="preserve"> aspects:</w:t>
      </w:r>
    </w:p>
    <w:p w14:paraId="268EE3D1" w14:textId="08BFC94D" w:rsidR="00DE56EC" w:rsidRDefault="00DD351F" w:rsidP="00144FAB">
      <w:pPr>
        <w:pStyle w:val="BodyText"/>
        <w:numPr>
          <w:ilvl w:val="0"/>
          <w:numId w:val="18"/>
        </w:numPr>
        <w:jc w:val="both"/>
        <w:rPr>
          <w:color w:val="0070C0"/>
        </w:rPr>
      </w:pPr>
      <w:r w:rsidRPr="5971DC87">
        <w:rPr>
          <w:color w:val="0070C0"/>
          <w:u w:val="single"/>
        </w:rPr>
        <w:t>Deadline</w:t>
      </w:r>
      <w:r w:rsidRPr="5971DC87">
        <w:rPr>
          <w:color w:val="0070C0"/>
        </w:rPr>
        <w:t>: T</w:t>
      </w:r>
      <w:r w:rsidR="00C1737C" w:rsidRPr="5971DC87">
        <w:rPr>
          <w:color w:val="0070C0"/>
        </w:rPr>
        <w:t>he</w:t>
      </w:r>
      <w:r w:rsidR="007A618E" w:rsidRPr="5971DC87">
        <w:rPr>
          <w:color w:val="0070C0"/>
        </w:rPr>
        <w:t xml:space="preserve"> original</w:t>
      </w:r>
      <w:r w:rsidR="00C1737C" w:rsidRPr="5971DC87">
        <w:rPr>
          <w:color w:val="0070C0"/>
        </w:rPr>
        <w:t xml:space="preserve"> deadline </w:t>
      </w:r>
      <w:r w:rsidR="007A618E" w:rsidRPr="5971DC87">
        <w:rPr>
          <w:color w:val="0070C0"/>
        </w:rPr>
        <w:t xml:space="preserve">of </w:t>
      </w:r>
      <w:r w:rsidR="007A618E" w:rsidRPr="007622B9">
        <w:rPr>
          <w:b/>
          <w:bCs/>
          <w:color w:val="0070C0"/>
        </w:rPr>
        <w:t xml:space="preserve">31 December 2029 </w:t>
      </w:r>
      <w:r w:rsidR="007A618E" w:rsidRPr="5971DC87">
        <w:rPr>
          <w:color w:val="0070C0"/>
        </w:rPr>
        <w:t xml:space="preserve">listed in </w:t>
      </w:r>
      <w:r w:rsidR="00C1737C" w:rsidRPr="5971DC87">
        <w:rPr>
          <w:color w:val="0070C0"/>
        </w:rPr>
        <w:t xml:space="preserve">CRR article 495e has </w:t>
      </w:r>
      <w:r w:rsidR="007A618E" w:rsidRPr="5971DC87">
        <w:rPr>
          <w:color w:val="0070C0"/>
        </w:rPr>
        <w:t xml:space="preserve">recently </w:t>
      </w:r>
      <w:r w:rsidR="00C1737C" w:rsidRPr="5971DC87">
        <w:rPr>
          <w:color w:val="0070C0"/>
        </w:rPr>
        <w:t xml:space="preserve">been moved earlier to </w:t>
      </w:r>
      <w:r w:rsidR="00C1737C" w:rsidRPr="007622B9">
        <w:rPr>
          <w:b/>
          <w:bCs/>
          <w:color w:val="0070C0"/>
        </w:rPr>
        <w:t>1 January 2027</w:t>
      </w:r>
      <w:r w:rsidR="00C1737C" w:rsidRPr="5971DC87">
        <w:rPr>
          <w:color w:val="0070C0"/>
        </w:rPr>
        <w:t xml:space="preserve"> by the ECB</w:t>
      </w:r>
      <w:r w:rsidR="007A618E" w:rsidRPr="5971DC87">
        <w:rPr>
          <w:color w:val="0070C0"/>
        </w:rPr>
        <w:t xml:space="preserve"> (refer</w:t>
      </w:r>
      <w:r w:rsidRPr="5971DC87">
        <w:rPr>
          <w:color w:val="0070C0"/>
        </w:rPr>
        <w:t xml:space="preserve"> Article 24a of Regulation (EU) 2025/1520 of the ECB</w:t>
      </w:r>
      <w:r w:rsidR="007A618E" w:rsidRPr="5971DC87">
        <w:rPr>
          <w:color w:val="0070C0"/>
        </w:rPr>
        <w:t>)</w:t>
      </w:r>
      <w:r w:rsidR="00C1737C" w:rsidRPr="5971DC87">
        <w:rPr>
          <w:color w:val="0070C0"/>
        </w:rPr>
        <w:t xml:space="preserve">. </w:t>
      </w:r>
      <w:r w:rsidR="00DE56EC" w:rsidRPr="5971DC87">
        <w:rPr>
          <w:color w:val="0070C0"/>
        </w:rPr>
        <w:t>We would like</w:t>
      </w:r>
      <w:r w:rsidR="327EB520" w:rsidRPr="5971DC87">
        <w:rPr>
          <w:color w:val="0070C0"/>
        </w:rPr>
        <w:t xml:space="preserve"> to</w:t>
      </w:r>
      <w:r w:rsidR="00DE56EC" w:rsidRPr="5971DC87">
        <w:rPr>
          <w:color w:val="0070C0"/>
        </w:rPr>
        <w:t xml:space="preserve"> clari</w:t>
      </w:r>
      <w:r w:rsidR="007B18AF">
        <w:rPr>
          <w:color w:val="0070C0"/>
        </w:rPr>
        <w:t>f</w:t>
      </w:r>
      <w:r w:rsidR="00DE56EC" w:rsidRPr="5971DC87">
        <w:rPr>
          <w:color w:val="0070C0"/>
        </w:rPr>
        <w:t xml:space="preserve">y that the temporary extension means that the ECB </w:t>
      </w:r>
      <w:r w:rsidR="00CA7F6B">
        <w:rPr>
          <w:color w:val="0070C0"/>
        </w:rPr>
        <w:t>regulation</w:t>
      </w:r>
      <w:r w:rsidR="00DE56EC" w:rsidRPr="5971DC87">
        <w:rPr>
          <w:color w:val="0070C0"/>
        </w:rPr>
        <w:t xml:space="preserve"> should be </w:t>
      </w:r>
      <w:r w:rsidR="00DE56EC" w:rsidRPr="007622B9">
        <w:rPr>
          <w:b/>
          <w:bCs/>
          <w:color w:val="0070C0"/>
        </w:rPr>
        <w:t>disapplied</w:t>
      </w:r>
      <w:r w:rsidR="00DE56EC" w:rsidRPr="5971DC87">
        <w:rPr>
          <w:color w:val="0070C0"/>
        </w:rPr>
        <w:t xml:space="preserve"> to the extent of this conflict</w:t>
      </w:r>
      <w:r w:rsidR="00CA7F6B">
        <w:rPr>
          <w:color w:val="0070C0"/>
        </w:rPr>
        <w:t xml:space="preserve"> (the earlier date)</w:t>
      </w:r>
      <w:r w:rsidR="00DE56EC" w:rsidRPr="5971DC87">
        <w:rPr>
          <w:color w:val="0070C0"/>
        </w:rPr>
        <w:t xml:space="preserve">, and that the original </w:t>
      </w:r>
      <w:r w:rsidR="002313CC" w:rsidRPr="5971DC87">
        <w:rPr>
          <w:color w:val="0070C0"/>
        </w:rPr>
        <w:t xml:space="preserve">Level 1 </w:t>
      </w:r>
      <w:r w:rsidR="00DE56EC" w:rsidRPr="5971DC87">
        <w:rPr>
          <w:color w:val="0070C0"/>
        </w:rPr>
        <w:t xml:space="preserve">deadline of </w:t>
      </w:r>
      <w:r w:rsidR="00DE56EC" w:rsidRPr="00C363D6">
        <w:rPr>
          <w:b/>
          <w:bCs/>
          <w:color w:val="0070C0"/>
        </w:rPr>
        <w:t>31</w:t>
      </w:r>
      <w:r w:rsidR="00C363D6">
        <w:rPr>
          <w:b/>
          <w:bCs/>
          <w:color w:val="0070C0"/>
        </w:rPr>
        <w:t xml:space="preserve"> </w:t>
      </w:r>
      <w:r w:rsidR="00DE56EC" w:rsidRPr="00C363D6">
        <w:rPr>
          <w:b/>
          <w:bCs/>
          <w:color w:val="0070C0"/>
        </w:rPr>
        <w:t>December 2029</w:t>
      </w:r>
      <w:r w:rsidR="00DE56EC" w:rsidRPr="5971DC87">
        <w:rPr>
          <w:color w:val="0070C0"/>
        </w:rPr>
        <w:t xml:space="preserve"> </w:t>
      </w:r>
      <w:r w:rsidR="00CA7F6B">
        <w:rPr>
          <w:color w:val="0070C0"/>
        </w:rPr>
        <w:t xml:space="preserve">still </w:t>
      </w:r>
      <w:r w:rsidR="00DE56EC" w:rsidRPr="5971DC87">
        <w:rPr>
          <w:color w:val="0070C0"/>
        </w:rPr>
        <w:t>applies.</w:t>
      </w:r>
    </w:p>
    <w:p w14:paraId="2A4CB764" w14:textId="2641F77C" w:rsidR="00EB5D44" w:rsidRPr="00B32C21" w:rsidRDefault="00DE56EC" w:rsidP="00EB5D44">
      <w:pPr>
        <w:pStyle w:val="BodyText"/>
        <w:numPr>
          <w:ilvl w:val="0"/>
          <w:numId w:val="18"/>
        </w:numPr>
        <w:jc w:val="both"/>
        <w:rPr>
          <w:color w:val="0070C0"/>
        </w:rPr>
      </w:pPr>
      <w:r w:rsidRPr="00CF1705">
        <w:rPr>
          <w:color w:val="0070C0"/>
          <w:u w:val="single"/>
        </w:rPr>
        <w:t>Range of ECAIs</w:t>
      </w:r>
      <w:r>
        <w:rPr>
          <w:color w:val="0070C0"/>
        </w:rPr>
        <w:t xml:space="preserve">: </w:t>
      </w:r>
      <w:r w:rsidR="00D51D34" w:rsidRPr="00D51D34">
        <w:rPr>
          <w:color w:val="0070C0"/>
        </w:rPr>
        <w:t xml:space="preserve">At present, compliant ratings </w:t>
      </w:r>
      <w:r w:rsidR="00892005">
        <w:rPr>
          <w:color w:val="0070C0"/>
        </w:rPr>
        <w:t xml:space="preserve">(those </w:t>
      </w:r>
      <w:r w:rsidR="00D51D34" w:rsidRPr="00D51D34">
        <w:rPr>
          <w:color w:val="0070C0"/>
        </w:rPr>
        <w:t>excluding implicit government support</w:t>
      </w:r>
      <w:r w:rsidR="00892005">
        <w:rPr>
          <w:color w:val="0070C0"/>
        </w:rPr>
        <w:t>)</w:t>
      </w:r>
      <w:r w:rsidR="00D51D34" w:rsidRPr="00D51D34">
        <w:rPr>
          <w:color w:val="0070C0"/>
        </w:rPr>
        <w:t xml:space="preserve"> are available from only </w:t>
      </w:r>
      <w:r w:rsidR="00D51D34" w:rsidRPr="00C363D6">
        <w:rPr>
          <w:b/>
          <w:bCs/>
          <w:color w:val="0070C0"/>
        </w:rPr>
        <w:t>one</w:t>
      </w:r>
      <w:r w:rsidR="00D51D34" w:rsidRPr="00D51D34">
        <w:rPr>
          <w:color w:val="0070C0"/>
        </w:rPr>
        <w:t xml:space="preserve"> major ECAI, namely Fitch. Reliance on a </w:t>
      </w:r>
      <w:r w:rsidR="00D51D34" w:rsidRPr="000B2FBD">
        <w:rPr>
          <w:b/>
          <w:bCs/>
          <w:color w:val="0070C0"/>
        </w:rPr>
        <w:t>single</w:t>
      </w:r>
      <w:r w:rsidR="00D51D34" w:rsidRPr="00D51D34">
        <w:rPr>
          <w:color w:val="0070C0"/>
        </w:rPr>
        <w:t xml:space="preserve"> provider creates </w:t>
      </w:r>
      <w:r w:rsidR="00D51D34" w:rsidRPr="000B2FBD">
        <w:rPr>
          <w:b/>
          <w:bCs/>
          <w:color w:val="0070C0"/>
        </w:rPr>
        <w:t>concentration</w:t>
      </w:r>
      <w:r w:rsidR="00D51D34" w:rsidRPr="00D51D34">
        <w:rPr>
          <w:color w:val="0070C0"/>
        </w:rPr>
        <w:t xml:space="preserve"> and potential </w:t>
      </w:r>
      <w:r w:rsidR="00D51D34" w:rsidRPr="000B2FBD">
        <w:rPr>
          <w:b/>
          <w:bCs/>
          <w:color w:val="0070C0"/>
        </w:rPr>
        <w:t>systemic</w:t>
      </w:r>
      <w:r w:rsidR="00D51D34" w:rsidRPr="00D51D34">
        <w:rPr>
          <w:color w:val="0070C0"/>
        </w:rPr>
        <w:t xml:space="preserve"> risks. We therefore consider that the above deadline should be further extended until compliant ratings</w:t>
      </w:r>
      <w:r w:rsidR="00D1374F">
        <w:rPr>
          <w:color w:val="0070C0"/>
        </w:rPr>
        <w:t xml:space="preserve"> for a broad range of obligors</w:t>
      </w:r>
      <w:r w:rsidR="00D51D34" w:rsidRPr="00D51D34">
        <w:rPr>
          <w:color w:val="0070C0"/>
        </w:rPr>
        <w:t xml:space="preserve"> are available from </w:t>
      </w:r>
      <w:r w:rsidR="00D51D34" w:rsidRPr="00C363D6">
        <w:rPr>
          <w:b/>
          <w:bCs/>
          <w:color w:val="0070C0"/>
        </w:rPr>
        <w:t>more</w:t>
      </w:r>
      <w:r w:rsidR="00D51D34" w:rsidRPr="00D51D34">
        <w:rPr>
          <w:color w:val="0070C0"/>
        </w:rPr>
        <w:t xml:space="preserve"> than one major ECAI</w:t>
      </w:r>
      <w:r w:rsidR="00C363D6">
        <w:rPr>
          <w:color w:val="0070C0"/>
        </w:rPr>
        <w:t xml:space="preserve">. </w:t>
      </w:r>
      <w:r w:rsidR="00D1374F">
        <w:rPr>
          <w:color w:val="0070C0"/>
        </w:rPr>
        <w:t>Furthermore, the onboarding of new ECAIs requires</w:t>
      </w:r>
      <w:r w:rsidR="00D51D34" w:rsidRPr="00D51D34">
        <w:rPr>
          <w:color w:val="0070C0"/>
        </w:rPr>
        <w:t xml:space="preserve"> </w:t>
      </w:r>
      <w:r w:rsidR="00D51D34" w:rsidRPr="000B2FBD">
        <w:rPr>
          <w:b/>
          <w:bCs/>
          <w:color w:val="0070C0"/>
        </w:rPr>
        <w:t>additional</w:t>
      </w:r>
      <w:r w:rsidR="00D51D34" w:rsidRPr="00D51D34">
        <w:rPr>
          <w:color w:val="0070C0"/>
        </w:rPr>
        <w:t xml:space="preserve"> implementation period of at least six months to allow institutions to complete </w:t>
      </w:r>
      <w:r w:rsidR="006834EE">
        <w:rPr>
          <w:color w:val="0070C0"/>
        </w:rPr>
        <w:t xml:space="preserve">ECAI </w:t>
      </w:r>
      <w:r w:rsidR="00CA7F6B">
        <w:rPr>
          <w:color w:val="0070C0"/>
        </w:rPr>
        <w:t xml:space="preserve">nominations, </w:t>
      </w:r>
      <w:r w:rsidR="00D51D34" w:rsidRPr="00D51D34">
        <w:rPr>
          <w:color w:val="0070C0"/>
        </w:rPr>
        <w:t xml:space="preserve">contractual </w:t>
      </w:r>
      <w:r w:rsidR="00892005">
        <w:rPr>
          <w:color w:val="0070C0"/>
        </w:rPr>
        <w:t>negotiations</w:t>
      </w:r>
      <w:r w:rsidR="00CA7F6B">
        <w:rPr>
          <w:color w:val="0070C0"/>
        </w:rPr>
        <w:t>,</w:t>
      </w:r>
      <w:r w:rsidR="00D51D34" w:rsidRPr="00D51D34">
        <w:rPr>
          <w:color w:val="0070C0"/>
        </w:rPr>
        <w:t xml:space="preserve"> and necessary IT</w:t>
      </w:r>
      <w:r w:rsidR="0018353A">
        <w:rPr>
          <w:color w:val="0070C0"/>
        </w:rPr>
        <w:t xml:space="preserve"> feeds, rating mapping,</w:t>
      </w:r>
      <w:r w:rsidR="00D51D34" w:rsidRPr="00D51D34">
        <w:rPr>
          <w:color w:val="0070C0"/>
        </w:rPr>
        <w:t xml:space="preserve"> and systems changes.</w:t>
      </w:r>
    </w:p>
    <w:p w14:paraId="44069C81" w14:textId="52DC1A1E" w:rsidR="00E01AB2" w:rsidRPr="00F73BFB" w:rsidRDefault="00DE56EC" w:rsidP="00DE56EC">
      <w:pPr>
        <w:pStyle w:val="BodyText"/>
        <w:jc w:val="both"/>
        <w:rPr>
          <w:color w:val="0070C0"/>
        </w:rPr>
      </w:pPr>
      <w:r>
        <w:rPr>
          <w:color w:val="0070C0"/>
        </w:rPr>
        <w:t xml:space="preserve">  ]</w:t>
      </w:r>
    </w:p>
    <w:p w14:paraId="1698C9DB" w14:textId="77777777" w:rsidR="00ED7836" w:rsidRPr="00F73BFB" w:rsidRDefault="00ED7836" w:rsidP="61B07537">
      <w:pPr>
        <w:pStyle w:val="BodyText"/>
        <w:ind w:left="143"/>
        <w:jc w:val="both"/>
        <w:rPr>
          <w:color w:val="0070C0"/>
          <w:lang w:val="en-GB"/>
        </w:rPr>
      </w:pPr>
    </w:p>
    <w:p w14:paraId="57842194" w14:textId="77777777" w:rsidR="00017515" w:rsidRPr="00F73BFB" w:rsidRDefault="00A567F8" w:rsidP="00790CCA">
      <w:pPr>
        <w:pStyle w:val="Heading2"/>
      </w:pPr>
      <w:r w:rsidRPr="00F73BFB">
        <w:rPr>
          <w:b/>
        </w:rPr>
        <w:t xml:space="preserve">Q5. </w:t>
      </w:r>
      <w:r w:rsidRPr="00F73BFB">
        <w:t xml:space="preserve">Should the consolidation of regulatory products for credit risk be a priority or should </w:t>
      </w:r>
      <w:proofErr w:type="gramStart"/>
      <w:r w:rsidRPr="00F73BFB">
        <w:t>the regulatory</w:t>
      </w:r>
      <w:proofErr w:type="gramEnd"/>
      <w:r w:rsidRPr="00F73BFB">
        <w:t xml:space="preserve"> stability be preferable instead? Have you identified any redundancies in IRB products?</w:t>
      </w:r>
    </w:p>
    <w:p w14:paraId="4AD84893" w14:textId="32B70233" w:rsidR="00C07F66" w:rsidRDefault="00E01AB2" w:rsidP="00C07F66">
      <w:pPr>
        <w:pStyle w:val="BodyText"/>
        <w:ind w:left="143"/>
        <w:jc w:val="both"/>
        <w:rPr>
          <w:color w:val="0070C0"/>
          <w:lang w:val="en-GB"/>
        </w:rPr>
      </w:pPr>
      <w:r w:rsidRPr="00F73BFB">
        <w:rPr>
          <w:color w:val="0070C0"/>
          <w:lang w:val="en-GB"/>
        </w:rPr>
        <w:t>[</w:t>
      </w:r>
      <w:r w:rsidRPr="00F73BFB">
        <w:rPr>
          <w:b/>
          <w:bCs/>
          <w:color w:val="0070C0"/>
          <w:lang w:val="en-GB"/>
        </w:rPr>
        <w:t>Response:</w:t>
      </w:r>
      <w:r w:rsidRPr="00F73BFB">
        <w:rPr>
          <w:color w:val="0070C0"/>
          <w:lang w:val="en-GB"/>
        </w:rPr>
        <w:t xml:space="preserve"> </w:t>
      </w:r>
    </w:p>
    <w:p w14:paraId="25C84D22" w14:textId="4C3D1D12" w:rsidR="00C07F66" w:rsidRPr="00C07F66" w:rsidRDefault="00C07F66" w:rsidP="00C07F66">
      <w:pPr>
        <w:pStyle w:val="BodyText"/>
        <w:numPr>
          <w:ilvl w:val="0"/>
          <w:numId w:val="29"/>
        </w:numPr>
        <w:jc w:val="both"/>
        <w:rPr>
          <w:b/>
          <w:bCs/>
          <w:color w:val="0070C0"/>
          <w:lang w:val="en-GB"/>
        </w:rPr>
      </w:pPr>
      <w:r w:rsidRPr="00C07F66">
        <w:rPr>
          <w:b/>
          <w:bCs/>
          <w:color w:val="0070C0"/>
          <w:lang w:val="en-GB"/>
        </w:rPr>
        <w:t>Overall, we strongly support regulatory consolidation and simplification, provided it is strictly limited to clarification, harmonisation, and removal of redundancies, without introducing substantive changes that could affect existing models or compromise regulatory stability.</w:t>
      </w:r>
    </w:p>
    <w:p w14:paraId="6A1E3957" w14:textId="617CFAB4" w:rsidR="00C07F66" w:rsidRPr="00C07F66" w:rsidRDefault="00C07F66" w:rsidP="00C07F66">
      <w:pPr>
        <w:pStyle w:val="BodyText"/>
        <w:numPr>
          <w:ilvl w:val="0"/>
          <w:numId w:val="29"/>
        </w:numPr>
        <w:jc w:val="both"/>
        <w:rPr>
          <w:color w:val="0070C0"/>
          <w:lang w:val="en-GB"/>
        </w:rPr>
      </w:pPr>
      <w:r w:rsidRPr="00C07F66">
        <w:rPr>
          <w:color w:val="0070C0"/>
          <w:lang w:val="en-GB"/>
        </w:rPr>
        <w:t>We do not view consolidation of regulatory products and regulatory stability as mutually exclusive objectives. On the contrary, consolidation can</w:t>
      </w:r>
      <w:r>
        <w:rPr>
          <w:color w:val="0070C0"/>
          <w:lang w:val="en-GB"/>
        </w:rPr>
        <w:t xml:space="preserve"> – </w:t>
      </w:r>
      <w:r w:rsidRPr="00C07F66">
        <w:rPr>
          <w:color w:val="0070C0"/>
          <w:lang w:val="en-GB"/>
        </w:rPr>
        <w:t>and should</w:t>
      </w:r>
      <w:r>
        <w:rPr>
          <w:color w:val="0070C0"/>
          <w:lang w:val="en-GB"/>
        </w:rPr>
        <w:t xml:space="preserve"> – </w:t>
      </w:r>
      <w:r w:rsidRPr="00C07F66">
        <w:rPr>
          <w:color w:val="0070C0"/>
          <w:lang w:val="en-GB"/>
        </w:rPr>
        <w:t>be achieved in a way that preserves regulatory stability.</w:t>
      </w:r>
    </w:p>
    <w:p w14:paraId="248A9E71" w14:textId="77777777" w:rsidR="00C07F66" w:rsidRPr="00C07F66" w:rsidRDefault="00C07F66" w:rsidP="00C07F66">
      <w:pPr>
        <w:pStyle w:val="BodyText"/>
        <w:numPr>
          <w:ilvl w:val="0"/>
          <w:numId w:val="29"/>
        </w:numPr>
        <w:jc w:val="both"/>
        <w:rPr>
          <w:color w:val="0070C0"/>
          <w:lang w:val="en-GB"/>
        </w:rPr>
      </w:pPr>
      <w:r w:rsidRPr="00C07F66">
        <w:rPr>
          <w:color w:val="0070C0"/>
          <w:lang w:val="en-GB"/>
        </w:rPr>
        <w:t xml:space="preserve">At a minimum, consolidation efforts should focus on integrating and </w:t>
      </w:r>
      <w:r w:rsidRPr="00C07F66">
        <w:rPr>
          <w:b/>
          <w:bCs/>
          <w:color w:val="0070C0"/>
          <w:lang w:val="en-GB"/>
        </w:rPr>
        <w:t>streamlining existing regulatory guidance without altering its underlying substance</w:t>
      </w:r>
      <w:r w:rsidRPr="00C07F66">
        <w:rPr>
          <w:color w:val="0070C0"/>
          <w:lang w:val="en-GB"/>
        </w:rPr>
        <w:t>. By design, such an approach would enhance clarity and accessibility while avoiding unintended impacts on approved models or capital requirements. This would ensure that consolidation does not introduce instability.</w:t>
      </w:r>
    </w:p>
    <w:p w14:paraId="74ED14BD" w14:textId="77777777" w:rsidR="00C07F66" w:rsidRPr="00C07F66" w:rsidRDefault="00C07F66" w:rsidP="00C07F66">
      <w:pPr>
        <w:pStyle w:val="BodyText"/>
        <w:numPr>
          <w:ilvl w:val="0"/>
          <w:numId w:val="29"/>
        </w:numPr>
        <w:jc w:val="both"/>
        <w:rPr>
          <w:color w:val="0070C0"/>
          <w:lang w:val="en-GB"/>
        </w:rPr>
      </w:pPr>
      <w:r w:rsidRPr="00C07F66">
        <w:rPr>
          <w:color w:val="0070C0"/>
          <w:lang w:val="en-GB"/>
        </w:rPr>
        <w:t>In our view, consolidation should be a clear priority. The current regulatory landscape for IRB approaches remains highly fragmented and complex, requiring institutions to interpret and reconcile multiple guidelines, RTS, and Q&amp;As. This complexity often leads to inconsistent interpretations across banks and supervisors, and contributes to inefficiencies in model development, validation, supervisory review, and implementation processes.</w:t>
      </w:r>
    </w:p>
    <w:p w14:paraId="46417FA2" w14:textId="31F23FB6" w:rsidR="00C07F66" w:rsidRPr="00C07F66" w:rsidRDefault="00C07F66" w:rsidP="00C07F66">
      <w:pPr>
        <w:pStyle w:val="BodyText"/>
        <w:numPr>
          <w:ilvl w:val="0"/>
          <w:numId w:val="29"/>
        </w:numPr>
        <w:jc w:val="both"/>
        <w:rPr>
          <w:color w:val="0070C0"/>
          <w:lang w:val="en-GB"/>
        </w:rPr>
      </w:pPr>
      <w:r w:rsidRPr="00C07F66">
        <w:rPr>
          <w:color w:val="0070C0"/>
          <w:lang w:val="en-GB"/>
        </w:rPr>
        <w:t xml:space="preserve">There are clear redundancies in the current framework. For example, overlapping guidance across EBA guidelines, regulatory technical standards, and subsequent Q&amp;A clarifications often means institutions must consult multiple documents simultaneously. Recent </w:t>
      </w:r>
      <w:r w:rsidRPr="00C07F66">
        <w:rPr>
          <w:color w:val="0070C0"/>
          <w:lang w:val="en-GB"/>
        </w:rPr>
        <w:lastRenderedPageBreak/>
        <w:t>consultations (e.g.</w:t>
      </w:r>
      <w:r w:rsidR="002B5241">
        <w:rPr>
          <w:color w:val="0070C0"/>
          <w:lang w:val="en-GB"/>
        </w:rPr>
        <w:t xml:space="preserve"> </w:t>
      </w:r>
      <w:r w:rsidR="002B5241" w:rsidRPr="693FE9CD">
        <w:rPr>
          <w:color w:val="0070C0"/>
        </w:rPr>
        <w:t>EBA/CP/2025/10</w:t>
      </w:r>
      <w:r w:rsidRPr="00C07F66">
        <w:rPr>
          <w:color w:val="0070C0"/>
          <w:lang w:val="en-GB"/>
        </w:rPr>
        <w:t>) explicitly refer to the need to read proposals in conjunction with prior “IRB repair” materials, highlighting the piecemeal nature of the current framework. Consolidating these elements into a single, coherent rulebook</w:t>
      </w:r>
      <w:r w:rsidR="00C4499D">
        <w:rPr>
          <w:color w:val="0070C0"/>
          <w:lang w:val="en-GB"/>
        </w:rPr>
        <w:t xml:space="preserve"> – </w:t>
      </w:r>
      <w:r w:rsidRPr="00C07F66">
        <w:rPr>
          <w:color w:val="0070C0"/>
          <w:lang w:val="en-GB"/>
        </w:rPr>
        <w:t>or a more harmonised set of guidance</w:t>
      </w:r>
      <w:r w:rsidR="00C4499D">
        <w:rPr>
          <w:color w:val="0070C0"/>
          <w:lang w:val="en-GB"/>
        </w:rPr>
        <w:t xml:space="preserve"> – </w:t>
      </w:r>
      <w:r w:rsidRPr="00C07F66">
        <w:rPr>
          <w:color w:val="0070C0"/>
          <w:lang w:val="en-GB"/>
        </w:rPr>
        <w:t>would significantly reduce duplication and improve usability and consistency across institutions and jurisdictions.</w:t>
      </w:r>
    </w:p>
    <w:p w14:paraId="59CA561F" w14:textId="18534F42" w:rsidR="00C07F66" w:rsidRPr="00C07F66" w:rsidRDefault="00C07F66" w:rsidP="00C07F66">
      <w:pPr>
        <w:pStyle w:val="BodyText"/>
        <w:numPr>
          <w:ilvl w:val="0"/>
          <w:numId w:val="29"/>
        </w:numPr>
        <w:jc w:val="both"/>
        <w:rPr>
          <w:color w:val="0070C0"/>
          <w:lang w:val="en-GB"/>
        </w:rPr>
      </w:pPr>
      <w:r w:rsidRPr="00C07F66">
        <w:rPr>
          <w:color w:val="0070C0"/>
          <w:lang w:val="en-GB"/>
        </w:rPr>
        <w:t>At the same time, consolidation plays an important foundational role in enabling future improvements. A simplified and coherent regulatory baseline is essential to support further refinements, targeted simplifications, and the introduction of additional tools</w:t>
      </w:r>
      <w:r w:rsidR="00C4499D">
        <w:rPr>
          <w:color w:val="0070C0"/>
          <w:lang w:val="en-GB"/>
        </w:rPr>
        <w:t xml:space="preserve"> (in this DP)</w:t>
      </w:r>
      <w:r w:rsidRPr="00C07F66">
        <w:rPr>
          <w:color w:val="0070C0"/>
          <w:lang w:val="en-GB"/>
        </w:rPr>
        <w:t xml:space="preserve"> such as “fallback” approaches. In particular, the introduction of fallback methodologies, alongside consolidated guidance, offers a pragmatic way to support future model development while limiting disruption to existing, approved models.</w:t>
      </w:r>
    </w:p>
    <w:p w14:paraId="4256CF29" w14:textId="467B4DE8" w:rsidR="00C07F66" w:rsidRPr="00C07F66" w:rsidRDefault="00C07F66" w:rsidP="00C07F66">
      <w:pPr>
        <w:pStyle w:val="BodyText"/>
        <w:numPr>
          <w:ilvl w:val="0"/>
          <w:numId w:val="29"/>
        </w:numPr>
        <w:jc w:val="both"/>
        <w:rPr>
          <w:color w:val="0070C0"/>
          <w:lang w:val="en-GB"/>
        </w:rPr>
      </w:pPr>
      <w:r w:rsidRPr="00C07F66">
        <w:rPr>
          <w:color w:val="0070C0"/>
          <w:lang w:val="en-GB"/>
        </w:rPr>
        <w:t xml:space="preserve">However, it </w:t>
      </w:r>
      <w:r w:rsidRPr="00C4499D">
        <w:rPr>
          <w:b/>
          <w:bCs/>
          <w:color w:val="0070C0"/>
          <w:lang w:val="en-GB"/>
        </w:rPr>
        <w:t>is critical that consolidation does not inadvertently introduce substantive changes</w:t>
      </w:r>
      <w:r w:rsidRPr="00C07F66">
        <w:rPr>
          <w:color w:val="0070C0"/>
          <w:lang w:val="en-GB"/>
        </w:rPr>
        <w:t>. There is a material risk that even well-intentioned consolidation could trigger recalibrations, additional validation requirements, or supervisory reassessments. Given the significant investments banks have recently made to implement IRB repair and related changes, further changes in the short term could impose a disproportionate operational burden, strain resources, and introduce unnecessary volatility in risk estimates</w:t>
      </w:r>
      <w:r w:rsidR="00C4499D">
        <w:rPr>
          <w:color w:val="0070C0"/>
          <w:lang w:val="en-GB"/>
        </w:rPr>
        <w:t>,</w:t>
      </w:r>
      <w:r w:rsidRPr="00C07F66">
        <w:rPr>
          <w:color w:val="0070C0"/>
          <w:lang w:val="en-GB"/>
        </w:rPr>
        <w:t xml:space="preserve"> and capital outcomes.</w:t>
      </w:r>
      <w:r w:rsidR="00C4499D">
        <w:rPr>
          <w:color w:val="0070C0"/>
          <w:lang w:val="en-GB"/>
        </w:rPr>
        <w:t xml:space="preserve"> </w:t>
      </w:r>
      <w:r w:rsidR="00C4499D" w:rsidRPr="002B5241">
        <w:rPr>
          <w:b/>
          <w:bCs/>
          <w:color w:val="0070C0"/>
          <w:lang w:val="en-GB"/>
        </w:rPr>
        <w:t>As mitigation, where such inadvertent or unavoidable regulatory changes occur during the consolidation, clear transitional arrangements must be provided.</w:t>
      </w:r>
      <w:r w:rsidR="00C4499D">
        <w:rPr>
          <w:color w:val="0070C0"/>
          <w:lang w:val="en-GB"/>
        </w:rPr>
        <w:t xml:space="preserve"> </w:t>
      </w:r>
    </w:p>
    <w:p w14:paraId="175620F4" w14:textId="77777777" w:rsidR="00C07F66" w:rsidRPr="00C07F66" w:rsidRDefault="00C07F66" w:rsidP="00C07F66">
      <w:pPr>
        <w:pStyle w:val="BodyText"/>
        <w:numPr>
          <w:ilvl w:val="0"/>
          <w:numId w:val="29"/>
        </w:numPr>
        <w:jc w:val="both"/>
        <w:rPr>
          <w:color w:val="0070C0"/>
          <w:lang w:val="en-GB"/>
        </w:rPr>
      </w:pPr>
      <w:r w:rsidRPr="00C07F66">
        <w:rPr>
          <w:color w:val="0070C0"/>
          <w:lang w:val="en-GB"/>
        </w:rPr>
        <w:t>From a governance and planning perspective, a stable regulatory environment remains essential. Frequent or implicit changes can undermine confidence in the framework and make it more difficult for institutions to maintain compliant, validated models and stable capital planning processes.</w:t>
      </w:r>
    </w:p>
    <w:p w14:paraId="6EE0DFCB" w14:textId="52A73F7B" w:rsidR="00C07F66" w:rsidRPr="002B5241" w:rsidRDefault="00C07F66" w:rsidP="002B5241">
      <w:pPr>
        <w:pStyle w:val="BodyText"/>
        <w:numPr>
          <w:ilvl w:val="0"/>
          <w:numId w:val="29"/>
        </w:numPr>
        <w:jc w:val="both"/>
        <w:rPr>
          <w:color w:val="0070C0"/>
          <w:lang w:val="en-GB"/>
        </w:rPr>
      </w:pPr>
      <w:r w:rsidRPr="00C07F66">
        <w:rPr>
          <w:color w:val="0070C0"/>
          <w:lang w:val="en-GB"/>
        </w:rPr>
        <w:t>Finally, alignment between regulatory products issued by different authorities (notably EBA and ECB) is equally important. Reducing inconsistencies and potential contradictions across these bodies would further enhance clarity, comparability, and regulatory certainty.</w:t>
      </w:r>
      <w:r w:rsidR="00C4499D">
        <w:rPr>
          <w:color w:val="0070C0"/>
          <w:lang w:val="en-GB"/>
        </w:rPr>
        <w:t xml:space="preserve"> Also see our response to Q17.</w:t>
      </w:r>
    </w:p>
    <w:p w14:paraId="0D09BD7B" w14:textId="07F2171B" w:rsidR="002B5241" w:rsidRDefault="002B5241" w:rsidP="004444BC">
      <w:pPr>
        <w:pStyle w:val="BodyText"/>
        <w:spacing w:before="161" w:line="276" w:lineRule="auto"/>
        <w:ind w:left="143" w:right="143"/>
        <w:jc w:val="both"/>
        <w:rPr>
          <w:lang w:val="en-GB"/>
        </w:rPr>
      </w:pPr>
      <w:r>
        <w:rPr>
          <w:color w:val="0070C0"/>
        </w:rPr>
        <w:t>]</w:t>
      </w:r>
    </w:p>
    <w:p w14:paraId="0FB85B9F" w14:textId="77777777" w:rsidR="004444BC" w:rsidRPr="00F73BFB" w:rsidRDefault="004444BC" w:rsidP="004444BC">
      <w:pPr>
        <w:pStyle w:val="BodyText"/>
        <w:spacing w:before="161" w:line="276" w:lineRule="auto"/>
        <w:ind w:left="143" w:right="143"/>
        <w:jc w:val="both"/>
        <w:rPr>
          <w:lang w:val="en-GB"/>
        </w:rPr>
      </w:pPr>
    </w:p>
    <w:p w14:paraId="0309171E" w14:textId="77777777" w:rsidR="00017515" w:rsidRPr="00F73BFB" w:rsidRDefault="00A567F8" w:rsidP="00790CCA">
      <w:pPr>
        <w:pStyle w:val="Heading2"/>
      </w:pPr>
      <w:r w:rsidRPr="00F73BFB">
        <w:rPr>
          <w:b/>
        </w:rPr>
        <w:t xml:space="preserve">Q6. </w:t>
      </w:r>
      <w:r w:rsidRPr="00F73BFB">
        <w:t xml:space="preserve">Do you consider that the integration of environmental and social risks into the credit risk framework could be further enhanced without undermining its simplicity? Which areas, if any, would you </w:t>
      </w:r>
      <w:proofErr w:type="spellStart"/>
      <w:r w:rsidRPr="00F73BFB">
        <w:t>prioritise</w:t>
      </w:r>
      <w:proofErr w:type="spellEnd"/>
      <w:r w:rsidRPr="00F73BFB">
        <w:t xml:space="preserve"> for further work or clarification?</w:t>
      </w:r>
    </w:p>
    <w:p w14:paraId="6C479739" w14:textId="7BC7163F" w:rsidR="000E3F1E" w:rsidRDefault="00E01AB2" w:rsidP="0052548A">
      <w:pPr>
        <w:pStyle w:val="BodyText"/>
        <w:ind w:left="143"/>
        <w:jc w:val="both"/>
        <w:rPr>
          <w:color w:val="0070C0"/>
          <w:lang w:val="en-GB"/>
        </w:rPr>
      </w:pPr>
      <w:r w:rsidRPr="00F73BFB">
        <w:rPr>
          <w:color w:val="0070C0"/>
          <w:lang w:val="en-GB"/>
        </w:rPr>
        <w:t>[</w:t>
      </w:r>
      <w:r w:rsidRPr="00F73BFB">
        <w:rPr>
          <w:b/>
          <w:bCs/>
          <w:color w:val="0070C0"/>
          <w:lang w:val="en-GB"/>
        </w:rPr>
        <w:t>Response</w:t>
      </w:r>
      <w:r w:rsidRPr="00F73BFB">
        <w:rPr>
          <w:color w:val="0070C0"/>
          <w:lang w:val="en-GB"/>
        </w:rPr>
        <w:t xml:space="preserve">: </w:t>
      </w:r>
    </w:p>
    <w:p w14:paraId="797A71EC" w14:textId="77777777" w:rsidR="004444BC" w:rsidRDefault="004444BC" w:rsidP="0052548A">
      <w:pPr>
        <w:pStyle w:val="BodyText"/>
        <w:ind w:left="143"/>
        <w:jc w:val="both"/>
        <w:rPr>
          <w:color w:val="0070C0"/>
          <w:lang w:val="en-GB"/>
        </w:rPr>
      </w:pPr>
    </w:p>
    <w:p w14:paraId="5290EF5D" w14:textId="77777777" w:rsidR="000E3F1E" w:rsidRPr="000E3F1E" w:rsidRDefault="000E3F1E" w:rsidP="000E3F1E">
      <w:pPr>
        <w:pStyle w:val="BodyText"/>
        <w:ind w:firstLine="143"/>
        <w:jc w:val="both"/>
        <w:rPr>
          <w:b/>
          <w:bCs/>
          <w:color w:val="0070C0"/>
          <w:lang w:val="en-GB"/>
        </w:rPr>
      </w:pPr>
      <w:r w:rsidRPr="000E3F1E">
        <w:rPr>
          <w:b/>
          <w:bCs/>
          <w:color w:val="0070C0"/>
          <w:lang w:val="en-GB"/>
        </w:rPr>
        <w:t>Overall Position: Enhancing Integration While Preserving Simplicity</w:t>
      </w:r>
    </w:p>
    <w:p w14:paraId="70AE322B" w14:textId="3EC40BD6" w:rsidR="00AF569C" w:rsidRPr="00AF569C" w:rsidRDefault="000E3F1E" w:rsidP="00AF569C">
      <w:pPr>
        <w:pStyle w:val="BodyText"/>
        <w:numPr>
          <w:ilvl w:val="0"/>
          <w:numId w:val="30"/>
        </w:numPr>
        <w:jc w:val="both"/>
        <w:rPr>
          <w:color w:val="0070C0"/>
          <w:lang w:val="en-GB"/>
        </w:rPr>
      </w:pPr>
      <w:r w:rsidRPr="000E3F1E">
        <w:rPr>
          <w:color w:val="0070C0"/>
          <w:lang w:val="en-GB"/>
        </w:rPr>
        <w:t>We believe that the integration of environmental and social (E&amp;S) risks into the credit risk framework can be further enhanced without undermining simplicity, provided that enhancements build on existing mechanisms, respect data limitations, and remain aligned with the framework’s core design principles.</w:t>
      </w:r>
    </w:p>
    <w:p w14:paraId="3117346D" w14:textId="65556083" w:rsidR="00AF569C" w:rsidRPr="00AF569C" w:rsidRDefault="00AF569C" w:rsidP="00AF569C">
      <w:pPr>
        <w:pStyle w:val="BodyText"/>
        <w:numPr>
          <w:ilvl w:val="0"/>
          <w:numId w:val="30"/>
        </w:numPr>
        <w:jc w:val="both"/>
        <w:rPr>
          <w:color w:val="0070C0"/>
          <w:lang w:val="en-GB"/>
        </w:rPr>
      </w:pPr>
      <w:r w:rsidRPr="000E3F1E">
        <w:rPr>
          <w:color w:val="0070C0"/>
          <w:lang w:val="en-GB"/>
        </w:rPr>
        <w:t>Overall, we support further integration of environmental and social risks into the credit risk framework, provided that:</w:t>
      </w:r>
    </w:p>
    <w:p w14:paraId="6242F53D" w14:textId="77777777" w:rsidR="00AF569C" w:rsidRPr="000E3F1E" w:rsidRDefault="00AF569C" w:rsidP="00AF569C">
      <w:pPr>
        <w:pStyle w:val="BodyText"/>
        <w:numPr>
          <w:ilvl w:val="1"/>
          <w:numId w:val="30"/>
        </w:numPr>
        <w:jc w:val="both"/>
        <w:rPr>
          <w:color w:val="0070C0"/>
          <w:lang w:val="en-GB"/>
        </w:rPr>
      </w:pPr>
      <w:r w:rsidRPr="000E3F1E">
        <w:rPr>
          <w:color w:val="0070C0"/>
          <w:lang w:val="en-GB"/>
        </w:rPr>
        <w:t>Pillar 2 remains the primary tool for forward-looking risks,</w:t>
      </w:r>
    </w:p>
    <w:p w14:paraId="3DC7157A" w14:textId="77777777" w:rsidR="00AF569C" w:rsidRPr="000E3F1E" w:rsidRDefault="00AF569C" w:rsidP="00AF569C">
      <w:pPr>
        <w:pStyle w:val="BodyText"/>
        <w:numPr>
          <w:ilvl w:val="1"/>
          <w:numId w:val="30"/>
        </w:numPr>
        <w:jc w:val="both"/>
        <w:rPr>
          <w:color w:val="0070C0"/>
          <w:lang w:val="en-GB"/>
        </w:rPr>
      </w:pPr>
      <w:r w:rsidRPr="000E3F1E">
        <w:rPr>
          <w:color w:val="0070C0"/>
          <w:lang w:val="en-GB"/>
        </w:rPr>
        <w:t>Pillar 1 integration respects its data-driven design constraints,</w:t>
      </w:r>
    </w:p>
    <w:p w14:paraId="198FCDE0" w14:textId="77777777" w:rsidR="00AF569C" w:rsidRPr="000E3F1E" w:rsidRDefault="00AF569C" w:rsidP="00AF569C">
      <w:pPr>
        <w:pStyle w:val="BodyText"/>
        <w:numPr>
          <w:ilvl w:val="1"/>
          <w:numId w:val="30"/>
        </w:numPr>
        <w:jc w:val="both"/>
        <w:rPr>
          <w:color w:val="0070C0"/>
          <w:lang w:val="en-GB"/>
        </w:rPr>
      </w:pPr>
      <w:r w:rsidRPr="000E3F1E">
        <w:rPr>
          <w:color w:val="0070C0"/>
          <w:lang w:val="en-GB"/>
        </w:rPr>
        <w:t>enhancements rely on existing modelling mechanisms,</w:t>
      </w:r>
    </w:p>
    <w:p w14:paraId="3CD9DB13" w14:textId="77777777" w:rsidR="00AF569C" w:rsidRPr="000E3F1E" w:rsidRDefault="00AF569C" w:rsidP="00AF569C">
      <w:pPr>
        <w:pStyle w:val="BodyText"/>
        <w:numPr>
          <w:ilvl w:val="1"/>
          <w:numId w:val="30"/>
        </w:numPr>
        <w:jc w:val="both"/>
        <w:rPr>
          <w:color w:val="0070C0"/>
          <w:lang w:val="en-GB"/>
        </w:rPr>
      </w:pPr>
      <w:r w:rsidRPr="000E3F1E">
        <w:rPr>
          <w:color w:val="0070C0"/>
          <w:lang w:val="en-GB"/>
        </w:rPr>
        <w:t>data standardisation is strengthened, and</w:t>
      </w:r>
    </w:p>
    <w:p w14:paraId="43CE26DD" w14:textId="77777777" w:rsidR="00AF569C" w:rsidRDefault="00AF569C" w:rsidP="00AF569C">
      <w:pPr>
        <w:pStyle w:val="BodyText"/>
        <w:numPr>
          <w:ilvl w:val="1"/>
          <w:numId w:val="30"/>
        </w:numPr>
        <w:jc w:val="both"/>
        <w:rPr>
          <w:color w:val="0070C0"/>
          <w:lang w:val="en-GB"/>
        </w:rPr>
      </w:pPr>
      <w:r w:rsidRPr="000E3F1E">
        <w:rPr>
          <w:color w:val="0070C0"/>
          <w:lang w:val="en-GB"/>
        </w:rPr>
        <w:t>implementation is prioritised and phased.</w:t>
      </w:r>
    </w:p>
    <w:p w14:paraId="72E5B06D" w14:textId="76916B4C" w:rsidR="00AF569C" w:rsidRPr="00AF569C" w:rsidRDefault="00AF569C" w:rsidP="00AF569C">
      <w:pPr>
        <w:pStyle w:val="BodyText"/>
        <w:numPr>
          <w:ilvl w:val="0"/>
          <w:numId w:val="30"/>
        </w:numPr>
        <w:jc w:val="both"/>
        <w:rPr>
          <w:color w:val="0070C0"/>
          <w:lang w:val="en-GB"/>
        </w:rPr>
      </w:pPr>
      <w:r w:rsidRPr="00AF569C">
        <w:rPr>
          <w:color w:val="0070C0"/>
          <w:lang w:val="en-GB"/>
        </w:rPr>
        <w:t>This approach enables meaningful and robust integration while preserving simplicity, comparability, and the integrity of the credit risk framework</w:t>
      </w:r>
    </w:p>
    <w:p w14:paraId="4B038695" w14:textId="77777777" w:rsidR="000E3F1E" w:rsidRDefault="000E3F1E" w:rsidP="000E3F1E">
      <w:pPr>
        <w:pStyle w:val="BodyText"/>
        <w:ind w:left="360"/>
        <w:jc w:val="both"/>
        <w:rPr>
          <w:color w:val="0070C0"/>
          <w:lang w:val="en-GB"/>
        </w:rPr>
      </w:pPr>
    </w:p>
    <w:p w14:paraId="26185E59" w14:textId="554B763B" w:rsidR="000E3F1E" w:rsidRPr="000E3F1E" w:rsidRDefault="000E3F1E" w:rsidP="000E3F1E">
      <w:pPr>
        <w:pStyle w:val="BodyText"/>
        <w:jc w:val="both"/>
        <w:rPr>
          <w:b/>
          <w:bCs/>
          <w:color w:val="0070C0"/>
          <w:lang w:val="en-GB"/>
        </w:rPr>
      </w:pPr>
      <w:r w:rsidRPr="000E3F1E">
        <w:rPr>
          <w:b/>
          <w:bCs/>
          <w:color w:val="0070C0"/>
          <w:lang w:val="en-GB"/>
        </w:rPr>
        <w:lastRenderedPageBreak/>
        <w:t>Role of Pillar 2: Primary Channel for Forward-Looking Risks</w:t>
      </w:r>
    </w:p>
    <w:p w14:paraId="0FE8326F" w14:textId="08DE0AE6" w:rsidR="000E3F1E" w:rsidRPr="000E3F1E" w:rsidRDefault="000E3F1E" w:rsidP="000E3F1E">
      <w:pPr>
        <w:pStyle w:val="BodyText"/>
        <w:numPr>
          <w:ilvl w:val="0"/>
          <w:numId w:val="30"/>
        </w:numPr>
        <w:jc w:val="both"/>
        <w:rPr>
          <w:color w:val="0070C0"/>
          <w:lang w:val="en-GB"/>
        </w:rPr>
      </w:pPr>
      <w:r w:rsidRPr="000E3F1E">
        <w:rPr>
          <w:color w:val="0070C0"/>
          <w:lang w:val="en-GB"/>
        </w:rPr>
        <w:t xml:space="preserve">Existing supervisory guidance provides sufficient direction for incorporating E&amp;S risks, particularly under Pillar 2 frameworks such as ICAAP and stress testing. These tools are well suited to capture the forward-looking, long-term, and systemic nature of </w:t>
      </w:r>
      <w:r w:rsidR="00F171C3">
        <w:rPr>
          <w:color w:val="0070C0"/>
          <w:lang w:val="en-GB"/>
        </w:rPr>
        <w:t>E&amp;S</w:t>
      </w:r>
      <w:r w:rsidRPr="000E3F1E">
        <w:rPr>
          <w:color w:val="0070C0"/>
          <w:lang w:val="en-GB"/>
        </w:rPr>
        <w:t xml:space="preserve"> risks. Recent publications (e.g. ESA joint guidance </w:t>
      </w:r>
      <w:hyperlink r:id="rId11" w:history="1">
        <w:r w:rsidR="00AF569C" w:rsidRPr="00F73BFB">
          <w:rPr>
            <w:rStyle w:val="Hyperlink"/>
            <w:lang w:val="en-GB"/>
          </w:rPr>
          <w:t>JC 2025 78</w:t>
        </w:r>
      </w:hyperlink>
      <w:r w:rsidRPr="000E3F1E">
        <w:rPr>
          <w:color w:val="0070C0"/>
          <w:lang w:val="en-GB"/>
        </w:rPr>
        <w:t>) further reinforce how these risks can be embedded in stress-testing frameworks.</w:t>
      </w:r>
    </w:p>
    <w:p w14:paraId="59E38558" w14:textId="77777777" w:rsidR="000E3F1E" w:rsidRPr="000E3F1E" w:rsidRDefault="000E3F1E" w:rsidP="000E3F1E">
      <w:pPr>
        <w:pStyle w:val="BodyText"/>
        <w:numPr>
          <w:ilvl w:val="0"/>
          <w:numId w:val="30"/>
        </w:numPr>
        <w:jc w:val="both"/>
        <w:rPr>
          <w:color w:val="0070C0"/>
          <w:lang w:val="en-GB"/>
        </w:rPr>
      </w:pPr>
      <w:r w:rsidRPr="000E3F1E">
        <w:rPr>
          <w:color w:val="0070C0"/>
          <w:lang w:val="en-GB"/>
        </w:rPr>
        <w:t>Given the structural characteristics of E&amp;S risks, Pillar 2 should remain the primary channel for addressing forward-looking risks, concentrations, and institution-specific exposures, enabling proportional implementation without undermining the simplicity of Pillar 1.</w:t>
      </w:r>
    </w:p>
    <w:p w14:paraId="087F6394" w14:textId="77777777" w:rsidR="000E3F1E" w:rsidRPr="000E3F1E" w:rsidRDefault="000E3F1E" w:rsidP="000E3F1E">
      <w:pPr>
        <w:pStyle w:val="BodyText"/>
        <w:ind w:left="143"/>
        <w:jc w:val="both"/>
        <w:rPr>
          <w:color w:val="0070C0"/>
          <w:lang w:val="en-GB"/>
        </w:rPr>
      </w:pPr>
    </w:p>
    <w:p w14:paraId="1A1BD9BE" w14:textId="77777777" w:rsidR="000E3F1E" w:rsidRPr="000E3F1E" w:rsidRDefault="000E3F1E" w:rsidP="000E3F1E">
      <w:pPr>
        <w:pStyle w:val="BodyText"/>
        <w:jc w:val="both"/>
        <w:rPr>
          <w:b/>
          <w:bCs/>
          <w:color w:val="0070C0"/>
          <w:lang w:val="en-GB"/>
        </w:rPr>
      </w:pPr>
      <w:r w:rsidRPr="000E3F1E">
        <w:rPr>
          <w:b/>
          <w:bCs/>
          <w:color w:val="0070C0"/>
          <w:lang w:val="en-GB"/>
        </w:rPr>
        <w:t>Pillar 1 Design Constraints and Need for Clarification</w:t>
      </w:r>
    </w:p>
    <w:p w14:paraId="0E19615F" w14:textId="4534445D" w:rsidR="000E3F1E" w:rsidRPr="000E3F1E" w:rsidRDefault="000E3F1E" w:rsidP="000E3F1E">
      <w:pPr>
        <w:pStyle w:val="BodyText"/>
        <w:numPr>
          <w:ilvl w:val="0"/>
          <w:numId w:val="30"/>
        </w:numPr>
        <w:jc w:val="both"/>
        <w:rPr>
          <w:color w:val="0070C0"/>
          <w:lang w:val="en-GB"/>
        </w:rPr>
      </w:pPr>
      <w:r w:rsidRPr="000E3F1E">
        <w:rPr>
          <w:color w:val="0070C0"/>
          <w:lang w:val="en-GB"/>
        </w:rPr>
        <w:t>Further clarification is required regarding the integration of E&amp;S risks into Pillar 1, particularly IRB models. There is an inherent tension between:</w:t>
      </w:r>
    </w:p>
    <w:p w14:paraId="7EB928DD" w14:textId="77777777" w:rsidR="000E3F1E" w:rsidRPr="000E3F1E" w:rsidRDefault="000E3F1E" w:rsidP="000E3F1E">
      <w:pPr>
        <w:pStyle w:val="BodyText"/>
        <w:numPr>
          <w:ilvl w:val="0"/>
          <w:numId w:val="31"/>
        </w:numPr>
        <w:jc w:val="both"/>
        <w:rPr>
          <w:color w:val="0070C0"/>
          <w:lang w:val="en-GB"/>
        </w:rPr>
      </w:pPr>
      <w:r w:rsidRPr="000E3F1E">
        <w:rPr>
          <w:color w:val="0070C0"/>
          <w:lang w:val="en-GB"/>
        </w:rPr>
        <w:t>the requirement to include all material risks, and</w:t>
      </w:r>
    </w:p>
    <w:p w14:paraId="5C11E89B" w14:textId="66E60AD8" w:rsidR="000E3F1E" w:rsidRPr="000E3F1E" w:rsidRDefault="000E3F1E" w:rsidP="000E3F1E">
      <w:pPr>
        <w:pStyle w:val="BodyText"/>
        <w:numPr>
          <w:ilvl w:val="0"/>
          <w:numId w:val="31"/>
        </w:numPr>
        <w:jc w:val="both"/>
        <w:rPr>
          <w:color w:val="0070C0"/>
          <w:lang w:val="en-GB"/>
        </w:rPr>
      </w:pPr>
      <w:r w:rsidRPr="000E3F1E">
        <w:rPr>
          <w:color w:val="0070C0"/>
          <w:lang w:val="en-GB"/>
        </w:rPr>
        <w:t>the reliance on observed historical data and a 12-month risk horizon.</w:t>
      </w:r>
    </w:p>
    <w:p w14:paraId="36156943" w14:textId="74C6A417" w:rsidR="000E3F1E" w:rsidRPr="000E3F1E" w:rsidRDefault="000E3F1E" w:rsidP="000E3F1E">
      <w:pPr>
        <w:pStyle w:val="BodyText"/>
        <w:numPr>
          <w:ilvl w:val="0"/>
          <w:numId w:val="30"/>
        </w:numPr>
        <w:jc w:val="both"/>
        <w:rPr>
          <w:color w:val="0070C0"/>
          <w:lang w:val="en-GB"/>
        </w:rPr>
      </w:pPr>
      <w:r w:rsidRPr="000E3F1E">
        <w:rPr>
          <w:color w:val="0070C0"/>
          <w:lang w:val="en-GB"/>
        </w:rPr>
        <w:t>E&amp;S risks</w:t>
      </w:r>
      <w:r w:rsidR="00F171C3">
        <w:rPr>
          <w:color w:val="0070C0"/>
          <w:lang w:val="en-GB"/>
        </w:rPr>
        <w:t xml:space="preserve"> </w:t>
      </w:r>
      <w:r w:rsidRPr="000E3F1E">
        <w:rPr>
          <w:color w:val="0070C0"/>
          <w:lang w:val="en-GB"/>
        </w:rPr>
        <w:t xml:space="preserve">often materialise over </w:t>
      </w:r>
      <w:r w:rsidR="00DE7E6E">
        <w:rPr>
          <w:color w:val="0070C0"/>
          <w:lang w:val="en-GB"/>
        </w:rPr>
        <w:t xml:space="preserve">much </w:t>
      </w:r>
      <w:r w:rsidRPr="000E3F1E">
        <w:rPr>
          <w:color w:val="0070C0"/>
          <w:lang w:val="en-GB"/>
        </w:rPr>
        <w:t>longer time horizons and are not yet sufficiently reflected in historical data. This creates structural limitations in their reliable quantification within IRB models</w:t>
      </w:r>
      <w:r w:rsidR="00D6599B">
        <w:rPr>
          <w:color w:val="0070C0"/>
          <w:lang w:val="en-GB"/>
        </w:rPr>
        <w:t xml:space="preserve"> that</w:t>
      </w:r>
      <w:r w:rsidR="001F270E">
        <w:rPr>
          <w:color w:val="0070C0"/>
          <w:lang w:val="en-GB"/>
        </w:rPr>
        <w:t xml:space="preserve"> would</w:t>
      </w:r>
      <w:r w:rsidR="00DE7E6E">
        <w:rPr>
          <w:color w:val="0070C0"/>
          <w:lang w:val="en-GB"/>
        </w:rPr>
        <w:t>, amongst other</w:t>
      </w:r>
      <w:r w:rsidR="001F270E">
        <w:rPr>
          <w:color w:val="0070C0"/>
          <w:lang w:val="en-GB"/>
        </w:rPr>
        <w:t xml:space="preserve"> </w:t>
      </w:r>
      <w:r w:rsidR="00D6599B">
        <w:rPr>
          <w:color w:val="0070C0"/>
          <w:lang w:val="en-GB"/>
        </w:rPr>
        <w:t>undermine IRB-model back-testing and can result in double-counting impacts estimated under Pillar 2.</w:t>
      </w:r>
    </w:p>
    <w:p w14:paraId="6E73F8D8" w14:textId="77777777" w:rsidR="000E3F1E" w:rsidRPr="000E3F1E" w:rsidRDefault="000E3F1E" w:rsidP="000E3F1E">
      <w:pPr>
        <w:pStyle w:val="BodyText"/>
        <w:numPr>
          <w:ilvl w:val="0"/>
          <w:numId w:val="30"/>
        </w:numPr>
        <w:jc w:val="both"/>
        <w:rPr>
          <w:color w:val="0070C0"/>
          <w:lang w:val="en-GB"/>
        </w:rPr>
      </w:pPr>
      <w:r w:rsidRPr="00D6599B">
        <w:rPr>
          <w:b/>
          <w:bCs/>
          <w:color w:val="0070C0"/>
          <w:lang w:val="en-GB"/>
        </w:rPr>
        <w:t>Supervisors should explicitly acknowledge this constraint and clarify that E&amp;S risks traditionally assessed under Pillar 2 are not expected to fully migrate into Pillar 1 in the near term</w:t>
      </w:r>
      <w:r w:rsidRPr="000E3F1E">
        <w:rPr>
          <w:color w:val="0070C0"/>
          <w:lang w:val="en-GB"/>
        </w:rPr>
        <w:t>. Attempting to force such integration prematurely risks undermining alignment with Basel design principles, reducing comparability across institutions, and weakening model robustness.</w:t>
      </w:r>
    </w:p>
    <w:p w14:paraId="721E5793" w14:textId="77777777" w:rsidR="000E3F1E" w:rsidRPr="000E3F1E" w:rsidRDefault="000E3F1E" w:rsidP="000E3F1E">
      <w:pPr>
        <w:pStyle w:val="BodyText"/>
        <w:ind w:left="143"/>
        <w:jc w:val="both"/>
        <w:rPr>
          <w:color w:val="0070C0"/>
          <w:lang w:val="en-GB"/>
        </w:rPr>
      </w:pPr>
    </w:p>
    <w:p w14:paraId="11128BD4" w14:textId="77777777" w:rsidR="000E3F1E" w:rsidRPr="000E3F1E" w:rsidRDefault="000E3F1E" w:rsidP="000E3F1E">
      <w:pPr>
        <w:pStyle w:val="BodyText"/>
        <w:jc w:val="both"/>
        <w:rPr>
          <w:b/>
          <w:bCs/>
          <w:color w:val="0070C0"/>
          <w:lang w:val="en-GB"/>
        </w:rPr>
      </w:pPr>
      <w:r w:rsidRPr="000E3F1E">
        <w:rPr>
          <w:b/>
          <w:bCs/>
          <w:color w:val="0070C0"/>
          <w:lang w:val="en-GB"/>
        </w:rPr>
        <w:t>Organic Integration Through IRB Model Monitoring</w:t>
      </w:r>
    </w:p>
    <w:p w14:paraId="0F8B0D60" w14:textId="77777777" w:rsidR="000E3F1E" w:rsidRPr="000E3F1E" w:rsidRDefault="000E3F1E" w:rsidP="000E3F1E">
      <w:pPr>
        <w:pStyle w:val="BodyText"/>
        <w:numPr>
          <w:ilvl w:val="0"/>
          <w:numId w:val="30"/>
        </w:numPr>
        <w:jc w:val="both"/>
        <w:rPr>
          <w:color w:val="0070C0"/>
          <w:lang w:val="en-GB"/>
        </w:rPr>
      </w:pPr>
      <w:r w:rsidRPr="000E3F1E">
        <w:rPr>
          <w:color w:val="0070C0"/>
          <w:lang w:val="en-GB"/>
        </w:rPr>
        <w:t>IRB model monitoring already plays a key role in identifying emerging patterns or early signals of E&amp;S risks. Over time, as these risks materialise in observed default behaviour and become statistically meaningful, they can be naturally incorporated into IRB models.</w:t>
      </w:r>
    </w:p>
    <w:p w14:paraId="648CC8AE" w14:textId="77777777" w:rsidR="000E3F1E" w:rsidRPr="000E3F1E" w:rsidRDefault="000E3F1E" w:rsidP="000E3F1E">
      <w:pPr>
        <w:pStyle w:val="BodyText"/>
        <w:numPr>
          <w:ilvl w:val="0"/>
          <w:numId w:val="30"/>
        </w:numPr>
        <w:jc w:val="both"/>
        <w:rPr>
          <w:color w:val="0070C0"/>
          <w:lang w:val="en-GB"/>
        </w:rPr>
      </w:pPr>
      <w:r w:rsidRPr="000E3F1E">
        <w:rPr>
          <w:color w:val="0070C0"/>
          <w:lang w:val="en-GB"/>
        </w:rPr>
        <w:t>This organic evolution ensures that Pillar 1 models remain evidence-based while gradually capturing E&amp;S risks when supported by sufficient data.</w:t>
      </w:r>
    </w:p>
    <w:p w14:paraId="07FBACE2" w14:textId="77777777" w:rsidR="000E3F1E" w:rsidRPr="000E3F1E" w:rsidRDefault="000E3F1E" w:rsidP="000E3F1E">
      <w:pPr>
        <w:pStyle w:val="BodyText"/>
        <w:ind w:left="143"/>
        <w:jc w:val="both"/>
        <w:rPr>
          <w:color w:val="0070C0"/>
          <w:lang w:val="en-GB"/>
        </w:rPr>
      </w:pPr>
    </w:p>
    <w:p w14:paraId="5D23FC44" w14:textId="77777777" w:rsidR="000E3F1E" w:rsidRPr="000E3F1E" w:rsidRDefault="000E3F1E" w:rsidP="000E3F1E">
      <w:pPr>
        <w:pStyle w:val="BodyText"/>
        <w:jc w:val="both"/>
        <w:rPr>
          <w:b/>
          <w:bCs/>
          <w:color w:val="0070C0"/>
          <w:lang w:val="en-GB"/>
        </w:rPr>
      </w:pPr>
      <w:r w:rsidRPr="000E3F1E">
        <w:rPr>
          <w:b/>
          <w:bCs/>
          <w:color w:val="0070C0"/>
          <w:lang w:val="en-GB"/>
        </w:rPr>
        <w:t>Structural Challenges to Integration</w:t>
      </w:r>
    </w:p>
    <w:p w14:paraId="190BED56" w14:textId="30EECEA9" w:rsidR="000E3F1E" w:rsidRPr="000E3F1E" w:rsidRDefault="000E3F1E" w:rsidP="000E3F1E">
      <w:pPr>
        <w:pStyle w:val="BodyText"/>
        <w:numPr>
          <w:ilvl w:val="0"/>
          <w:numId w:val="30"/>
        </w:numPr>
        <w:jc w:val="both"/>
        <w:rPr>
          <w:color w:val="0070C0"/>
          <w:lang w:val="en-GB"/>
        </w:rPr>
      </w:pPr>
      <w:r w:rsidRPr="000E3F1E">
        <w:rPr>
          <w:color w:val="0070C0"/>
          <w:lang w:val="en-GB"/>
        </w:rPr>
        <w:t>The integration of E&amp;S risks faces several structural challenges:</w:t>
      </w:r>
    </w:p>
    <w:p w14:paraId="799CC0A6" w14:textId="77777777" w:rsidR="000E3F1E" w:rsidRPr="000E3F1E" w:rsidRDefault="000E3F1E" w:rsidP="000E3F1E">
      <w:pPr>
        <w:pStyle w:val="BodyText"/>
        <w:numPr>
          <w:ilvl w:val="1"/>
          <w:numId w:val="30"/>
        </w:numPr>
        <w:jc w:val="both"/>
        <w:rPr>
          <w:color w:val="0070C0"/>
          <w:lang w:val="en-GB"/>
        </w:rPr>
      </w:pPr>
      <w:r w:rsidRPr="00F171C3">
        <w:rPr>
          <w:b/>
          <w:bCs/>
          <w:color w:val="0070C0"/>
          <w:lang w:val="en-GB"/>
        </w:rPr>
        <w:t>Data limitations</w:t>
      </w:r>
      <w:r w:rsidRPr="000E3F1E">
        <w:rPr>
          <w:color w:val="0070C0"/>
          <w:lang w:val="en-GB"/>
        </w:rPr>
        <w:t>: ESG data are incomplete, inconsistent across sectors and geographies, and lack sufficiently long time series.</w:t>
      </w:r>
    </w:p>
    <w:p w14:paraId="0D979A4B" w14:textId="77777777" w:rsidR="000E3F1E" w:rsidRPr="000E3F1E" w:rsidRDefault="000E3F1E" w:rsidP="000E3F1E">
      <w:pPr>
        <w:pStyle w:val="BodyText"/>
        <w:numPr>
          <w:ilvl w:val="1"/>
          <w:numId w:val="30"/>
        </w:numPr>
        <w:jc w:val="both"/>
        <w:rPr>
          <w:color w:val="0070C0"/>
          <w:lang w:val="en-GB"/>
        </w:rPr>
      </w:pPr>
      <w:r w:rsidRPr="00F171C3">
        <w:rPr>
          <w:b/>
          <w:bCs/>
          <w:color w:val="0070C0"/>
          <w:lang w:val="en-GB"/>
        </w:rPr>
        <w:t>Uncertain transmission mechanisms</w:t>
      </w:r>
      <w:r w:rsidRPr="000E3F1E">
        <w:rPr>
          <w:color w:val="0070C0"/>
          <w:lang w:val="en-GB"/>
        </w:rPr>
        <w:t>: The empirical relationship between E&amp;S factors and credit risk parameters (PD, LGD, CCF) is still developing, particularly for long-term transition risks.</w:t>
      </w:r>
    </w:p>
    <w:p w14:paraId="0C06D7A3" w14:textId="77777777" w:rsidR="000E3F1E" w:rsidRPr="000E3F1E" w:rsidRDefault="000E3F1E" w:rsidP="000E3F1E">
      <w:pPr>
        <w:pStyle w:val="BodyText"/>
        <w:numPr>
          <w:ilvl w:val="1"/>
          <w:numId w:val="30"/>
        </w:numPr>
        <w:jc w:val="both"/>
        <w:rPr>
          <w:color w:val="0070C0"/>
          <w:lang w:val="en-GB"/>
        </w:rPr>
      </w:pPr>
      <w:r w:rsidRPr="00F171C3">
        <w:rPr>
          <w:b/>
          <w:bCs/>
          <w:color w:val="0070C0"/>
          <w:lang w:val="en-GB"/>
        </w:rPr>
        <w:t>Time-horizon mismatch</w:t>
      </w:r>
      <w:r w:rsidRPr="000E3F1E">
        <w:rPr>
          <w:color w:val="0070C0"/>
          <w:lang w:val="en-GB"/>
        </w:rPr>
        <w:t>: E&amp;S risks often materialise over longer horizons than those used for credit risk calibration.</w:t>
      </w:r>
    </w:p>
    <w:p w14:paraId="369080DF" w14:textId="77777777" w:rsidR="000E3F1E" w:rsidRDefault="000E3F1E" w:rsidP="000E3F1E">
      <w:pPr>
        <w:pStyle w:val="BodyText"/>
        <w:numPr>
          <w:ilvl w:val="1"/>
          <w:numId w:val="30"/>
        </w:numPr>
        <w:jc w:val="both"/>
        <w:rPr>
          <w:color w:val="0070C0"/>
          <w:lang w:val="en-GB"/>
        </w:rPr>
      </w:pPr>
      <w:r w:rsidRPr="00F171C3">
        <w:rPr>
          <w:b/>
          <w:bCs/>
          <w:color w:val="0070C0"/>
          <w:lang w:val="en-GB"/>
        </w:rPr>
        <w:t>Regulatory fragmentation</w:t>
      </w:r>
      <w:r w:rsidRPr="000E3F1E">
        <w:rPr>
          <w:color w:val="0070C0"/>
          <w:lang w:val="en-GB"/>
        </w:rPr>
        <w:t>: Expectations are spread across Pillar 1, Pillar 2, and disclosure frameworks, increasing complexity.</w:t>
      </w:r>
    </w:p>
    <w:p w14:paraId="15CCD348" w14:textId="136576F0" w:rsidR="000E3F1E" w:rsidRPr="000E3F1E" w:rsidRDefault="000E3F1E" w:rsidP="000E3F1E">
      <w:pPr>
        <w:pStyle w:val="BodyText"/>
        <w:numPr>
          <w:ilvl w:val="0"/>
          <w:numId w:val="30"/>
        </w:numPr>
        <w:jc w:val="both"/>
        <w:rPr>
          <w:color w:val="0070C0"/>
          <w:lang w:val="en-GB"/>
        </w:rPr>
      </w:pPr>
      <w:r w:rsidRPr="000E3F1E">
        <w:rPr>
          <w:color w:val="0070C0"/>
          <w:lang w:val="en-GB"/>
        </w:rPr>
        <w:t>These constraints require a cautious and prioritised approach to further integration.</w:t>
      </w:r>
    </w:p>
    <w:p w14:paraId="6DD233FD" w14:textId="77777777" w:rsidR="000E3F1E" w:rsidRPr="000E3F1E" w:rsidRDefault="000E3F1E" w:rsidP="000E3F1E">
      <w:pPr>
        <w:pStyle w:val="BodyText"/>
        <w:ind w:left="143"/>
        <w:jc w:val="both"/>
        <w:rPr>
          <w:color w:val="0070C0"/>
          <w:lang w:val="en-GB"/>
        </w:rPr>
      </w:pPr>
    </w:p>
    <w:p w14:paraId="34217203" w14:textId="77777777" w:rsidR="000E3F1E" w:rsidRPr="000E3F1E" w:rsidRDefault="000E3F1E" w:rsidP="000E3F1E">
      <w:pPr>
        <w:pStyle w:val="BodyText"/>
        <w:jc w:val="both"/>
        <w:rPr>
          <w:b/>
          <w:bCs/>
          <w:color w:val="0070C0"/>
          <w:lang w:val="en-GB"/>
        </w:rPr>
      </w:pPr>
      <w:r w:rsidRPr="000E3F1E">
        <w:rPr>
          <w:b/>
          <w:bCs/>
          <w:color w:val="0070C0"/>
          <w:lang w:val="en-GB"/>
        </w:rPr>
        <w:t>Enhancing Pillar 1 Within Existing Design Principles</w:t>
      </w:r>
    </w:p>
    <w:p w14:paraId="021FB5BC" w14:textId="77777777" w:rsidR="000E3F1E" w:rsidRPr="000E3F1E" w:rsidRDefault="000E3F1E" w:rsidP="000E3F1E">
      <w:pPr>
        <w:pStyle w:val="BodyText"/>
        <w:numPr>
          <w:ilvl w:val="0"/>
          <w:numId w:val="30"/>
        </w:numPr>
        <w:jc w:val="both"/>
        <w:rPr>
          <w:color w:val="0070C0"/>
          <w:lang w:val="en-GB"/>
        </w:rPr>
      </w:pPr>
      <w:r w:rsidRPr="000E3F1E">
        <w:rPr>
          <w:color w:val="0070C0"/>
          <w:lang w:val="en-GB"/>
        </w:rPr>
        <w:t>Enhancements should focus on leveraging existing modelling mechanisms rather than introducing new complexity:</w:t>
      </w:r>
    </w:p>
    <w:p w14:paraId="158B9C34" w14:textId="77777777" w:rsidR="000E3F1E" w:rsidRPr="000E3F1E" w:rsidRDefault="000E3F1E" w:rsidP="00F171C3">
      <w:pPr>
        <w:pStyle w:val="BodyText"/>
        <w:numPr>
          <w:ilvl w:val="0"/>
          <w:numId w:val="30"/>
        </w:numPr>
        <w:jc w:val="both"/>
        <w:rPr>
          <w:b/>
          <w:bCs/>
          <w:color w:val="0070C0"/>
          <w:lang w:val="en-GB"/>
        </w:rPr>
      </w:pPr>
      <w:r w:rsidRPr="000E3F1E">
        <w:rPr>
          <w:b/>
          <w:bCs/>
          <w:color w:val="0070C0"/>
          <w:lang w:val="en-GB"/>
        </w:rPr>
        <w:t>Transmission Channels via Financial Risk Drivers</w:t>
      </w:r>
    </w:p>
    <w:p w14:paraId="27F4457F" w14:textId="18E3D6D9" w:rsidR="000E3F1E" w:rsidRPr="000E3F1E" w:rsidRDefault="000E3F1E" w:rsidP="00F171C3">
      <w:pPr>
        <w:pStyle w:val="BodyText"/>
        <w:numPr>
          <w:ilvl w:val="1"/>
          <w:numId w:val="30"/>
        </w:numPr>
        <w:jc w:val="both"/>
        <w:rPr>
          <w:color w:val="0070C0"/>
          <w:lang w:val="en-GB"/>
        </w:rPr>
      </w:pPr>
      <w:r w:rsidRPr="000E3F1E">
        <w:rPr>
          <w:color w:val="0070C0"/>
          <w:lang w:val="en-GB"/>
        </w:rPr>
        <w:t>Where financial drivers are already used in IRB models, institutions should assess how E&amp;S indicators (e.g. emissions intensity, environmental fines, physical-risk exposure) correlate with these drivers over time. This helps evaluate whether financial metrics act as transmission channels for E&amp;S risks</w:t>
      </w:r>
      <w:r w:rsidR="00AA1D05">
        <w:rPr>
          <w:color w:val="0070C0"/>
          <w:lang w:val="en-GB"/>
        </w:rPr>
        <w:t xml:space="preserve"> (as outlined in </w:t>
      </w:r>
      <w:r w:rsidR="00AA1D05" w:rsidRPr="00A451EA">
        <w:rPr>
          <w:color w:val="0070C0"/>
          <w:lang w:val="en-GB"/>
        </w:rPr>
        <w:lastRenderedPageBreak/>
        <w:t>EBA/REP/2021/18 and EBA/REP/2023/34</w:t>
      </w:r>
      <w:r w:rsidR="00AA1D05">
        <w:rPr>
          <w:color w:val="0070C0"/>
          <w:lang w:val="en-GB"/>
        </w:rPr>
        <w:t>)</w:t>
      </w:r>
      <w:r w:rsidRPr="000E3F1E">
        <w:rPr>
          <w:color w:val="0070C0"/>
          <w:lang w:val="en-GB"/>
        </w:rPr>
        <w:t>.</w:t>
      </w:r>
    </w:p>
    <w:p w14:paraId="7E772A4B" w14:textId="42165ED1" w:rsidR="00AA1D05" w:rsidRPr="00AA1D05" w:rsidRDefault="000E3F1E" w:rsidP="00AA1D05">
      <w:pPr>
        <w:pStyle w:val="BodyText"/>
        <w:numPr>
          <w:ilvl w:val="1"/>
          <w:numId w:val="30"/>
        </w:numPr>
        <w:jc w:val="both"/>
        <w:rPr>
          <w:color w:val="0070C0"/>
          <w:lang w:val="en-GB"/>
        </w:rPr>
      </w:pPr>
      <w:r w:rsidRPr="000E3F1E">
        <w:rPr>
          <w:color w:val="0070C0"/>
          <w:lang w:val="en-GB"/>
        </w:rPr>
        <w:t>For non-retail portfolios, financial drivers should be prioritised for inclusion</w:t>
      </w:r>
      <w:r w:rsidR="00F171C3">
        <w:rPr>
          <w:color w:val="0070C0"/>
          <w:lang w:val="en-GB"/>
        </w:rPr>
        <w:t xml:space="preserve"> – </w:t>
      </w:r>
      <w:r w:rsidRPr="000E3F1E">
        <w:rPr>
          <w:color w:val="0070C0"/>
          <w:lang w:val="en-GB"/>
        </w:rPr>
        <w:t>e</w:t>
      </w:r>
      <w:r w:rsidR="00F171C3">
        <w:rPr>
          <w:color w:val="0070C0"/>
          <w:lang w:val="en-GB"/>
        </w:rPr>
        <w:t>v</w:t>
      </w:r>
      <w:r w:rsidRPr="000E3F1E">
        <w:rPr>
          <w:color w:val="0070C0"/>
          <w:lang w:val="en-GB"/>
        </w:rPr>
        <w:t>en where their immediate explanatory power is limited. Despite practical challenges (e.g. data gaps, low frequency, limited histories), their inclusion provides an essential foundation for capturing E&amp;S risks in the future and avoids over-reliance on behavioural or non-financial variables.</w:t>
      </w:r>
    </w:p>
    <w:p w14:paraId="1ADFE546" w14:textId="26472A30" w:rsidR="000E3F1E" w:rsidRPr="000E3F1E" w:rsidRDefault="000E3F1E" w:rsidP="00F171C3">
      <w:pPr>
        <w:pStyle w:val="BodyText"/>
        <w:numPr>
          <w:ilvl w:val="0"/>
          <w:numId w:val="30"/>
        </w:numPr>
        <w:jc w:val="both"/>
        <w:rPr>
          <w:color w:val="0070C0"/>
          <w:lang w:val="en-GB"/>
        </w:rPr>
      </w:pPr>
      <w:r w:rsidRPr="000E3F1E">
        <w:rPr>
          <w:b/>
          <w:bCs/>
          <w:color w:val="0070C0"/>
          <w:lang w:val="en-GB"/>
        </w:rPr>
        <w:t>Segmentation Improvements</w:t>
      </w:r>
      <w:r>
        <w:rPr>
          <w:color w:val="0070C0"/>
          <w:lang w:val="en-GB"/>
        </w:rPr>
        <w:t xml:space="preserve">: </w:t>
      </w:r>
      <w:r w:rsidRPr="000E3F1E">
        <w:rPr>
          <w:color w:val="0070C0"/>
          <w:lang w:val="en-GB"/>
        </w:rPr>
        <w:t xml:space="preserve">Institutions should test segmentation by geography and sector, given that E&amp;S risks vary significantly across regions and industries (e.g. flood risk, drought exposure, transition policies). Where segmentation yields meaningful risk differentiation, these segments should be considered for </w:t>
      </w:r>
      <w:r w:rsidR="00F171C3">
        <w:rPr>
          <w:color w:val="0070C0"/>
          <w:lang w:val="en-GB"/>
        </w:rPr>
        <w:t xml:space="preserve">model </w:t>
      </w:r>
      <w:r w:rsidRPr="000E3F1E">
        <w:rPr>
          <w:color w:val="0070C0"/>
          <w:lang w:val="en-GB"/>
        </w:rPr>
        <w:t>calibration.</w:t>
      </w:r>
    </w:p>
    <w:p w14:paraId="33E930C8" w14:textId="0848FB36" w:rsidR="00AA1D05" w:rsidRPr="00AA1D05" w:rsidRDefault="000E3F1E" w:rsidP="00AA1D05">
      <w:pPr>
        <w:pStyle w:val="BodyText"/>
        <w:numPr>
          <w:ilvl w:val="0"/>
          <w:numId w:val="30"/>
        </w:numPr>
        <w:jc w:val="both"/>
        <w:rPr>
          <w:color w:val="0070C0"/>
          <w:lang w:val="en-GB"/>
        </w:rPr>
      </w:pPr>
      <w:r w:rsidRPr="004509D6">
        <w:rPr>
          <w:b/>
          <w:bCs/>
          <w:color w:val="0070C0"/>
          <w:lang w:val="en-GB"/>
        </w:rPr>
        <w:t>Targeted Expert Judgement and Overrides</w:t>
      </w:r>
      <w:r>
        <w:rPr>
          <w:color w:val="0070C0"/>
          <w:lang w:val="en-GB"/>
        </w:rPr>
        <w:t xml:space="preserve">: </w:t>
      </w:r>
      <w:r w:rsidR="00AA1D05" w:rsidRPr="00AA1D05">
        <w:rPr>
          <w:color w:val="0070C0"/>
          <w:lang w:val="en-GB"/>
        </w:rPr>
        <w:t xml:space="preserve">While the classic transmission-channel approach may show limited materiality at overall portfolio level, this does not imply that </w:t>
      </w:r>
      <w:r w:rsidR="00AA1D05">
        <w:rPr>
          <w:color w:val="0070C0"/>
          <w:lang w:val="en-GB"/>
        </w:rPr>
        <w:t>E&amp;S</w:t>
      </w:r>
      <w:r w:rsidR="00AA1D05" w:rsidRPr="00AA1D05">
        <w:rPr>
          <w:color w:val="0070C0"/>
          <w:lang w:val="en-GB"/>
        </w:rPr>
        <w:t xml:space="preserve"> risks are irrelevant </w:t>
      </w:r>
      <w:r w:rsidR="00AA1D05">
        <w:rPr>
          <w:color w:val="0070C0"/>
          <w:lang w:val="en-GB"/>
        </w:rPr>
        <w:t>–</w:t>
      </w:r>
      <w:r w:rsidR="00AA1D05" w:rsidRPr="00AA1D05">
        <w:rPr>
          <w:color w:val="0070C0"/>
          <w:lang w:val="en-GB"/>
        </w:rPr>
        <w:t xml:space="preserve"> pockets of obligors may still be materially exposed, especially in models covering broad segments. For these obligors, manual overrides should be used.</w:t>
      </w:r>
    </w:p>
    <w:p w14:paraId="75179EB2" w14:textId="06910FA6" w:rsidR="000E3F1E" w:rsidRDefault="000E3F1E" w:rsidP="00F171C3">
      <w:pPr>
        <w:pStyle w:val="BodyText"/>
        <w:numPr>
          <w:ilvl w:val="0"/>
          <w:numId w:val="30"/>
        </w:numPr>
        <w:jc w:val="both"/>
        <w:rPr>
          <w:color w:val="0070C0"/>
          <w:lang w:val="en-GB"/>
        </w:rPr>
      </w:pPr>
      <w:r w:rsidRPr="004509D6">
        <w:rPr>
          <w:b/>
          <w:bCs/>
          <w:color w:val="0070C0"/>
          <w:lang w:val="en-GB"/>
        </w:rPr>
        <w:t>Explicit Inclusion of E&amp;S Risk Drivers:</w:t>
      </w:r>
      <w:r>
        <w:rPr>
          <w:color w:val="0070C0"/>
          <w:lang w:val="en-GB"/>
        </w:rPr>
        <w:t xml:space="preserve"> </w:t>
      </w:r>
      <w:r w:rsidRPr="000E3F1E">
        <w:rPr>
          <w:color w:val="0070C0"/>
          <w:lang w:val="en-GB"/>
        </w:rPr>
        <w:t>Where data allows, E&amp;S risk drivers can be incorporated into IRB models via the same pathways as traditional financial drivers. While this may increase the pool of candidate variables, it does not inherently increase model complexity if properly prioritised.</w:t>
      </w:r>
    </w:p>
    <w:p w14:paraId="1962CCD9" w14:textId="77777777" w:rsidR="004509D6" w:rsidRPr="000E3F1E" w:rsidRDefault="004509D6" w:rsidP="004509D6">
      <w:pPr>
        <w:pStyle w:val="BodyText"/>
        <w:ind w:left="1440"/>
        <w:jc w:val="both"/>
        <w:rPr>
          <w:color w:val="0070C0"/>
          <w:lang w:val="en-GB"/>
        </w:rPr>
      </w:pPr>
    </w:p>
    <w:p w14:paraId="1A706B42" w14:textId="77777777" w:rsidR="00F171C3" w:rsidRDefault="000E3F1E" w:rsidP="00F171C3">
      <w:pPr>
        <w:pStyle w:val="BodyText"/>
        <w:jc w:val="both"/>
        <w:rPr>
          <w:color w:val="0070C0"/>
          <w:lang w:val="en-GB"/>
        </w:rPr>
      </w:pPr>
      <w:r w:rsidRPr="004509D6">
        <w:rPr>
          <w:b/>
          <w:bCs/>
          <w:color w:val="0070C0"/>
          <w:lang w:val="en-GB"/>
        </w:rPr>
        <w:t>Targeted Use of Margins of Conservatism (</w:t>
      </w:r>
      <w:proofErr w:type="spellStart"/>
      <w:r w:rsidRPr="004509D6">
        <w:rPr>
          <w:b/>
          <w:bCs/>
          <w:color w:val="0070C0"/>
          <w:lang w:val="en-GB"/>
        </w:rPr>
        <w:t>MoC</w:t>
      </w:r>
      <w:proofErr w:type="spellEnd"/>
      <w:r w:rsidRPr="004509D6">
        <w:rPr>
          <w:b/>
          <w:bCs/>
          <w:color w:val="0070C0"/>
          <w:lang w:val="en-GB"/>
        </w:rPr>
        <w:t>)</w:t>
      </w:r>
      <w:r w:rsidR="004509D6" w:rsidRPr="004509D6">
        <w:rPr>
          <w:b/>
          <w:bCs/>
          <w:color w:val="0070C0"/>
          <w:lang w:val="en-GB"/>
        </w:rPr>
        <w:t>:</w:t>
      </w:r>
      <w:r w:rsidR="004509D6">
        <w:rPr>
          <w:color w:val="0070C0"/>
          <w:lang w:val="en-GB"/>
        </w:rPr>
        <w:t xml:space="preserve"> </w:t>
      </w:r>
    </w:p>
    <w:p w14:paraId="4D01F791" w14:textId="6E6B0374" w:rsidR="000E3F1E" w:rsidRPr="004509D6" w:rsidRDefault="000E3F1E" w:rsidP="00F171C3">
      <w:pPr>
        <w:pStyle w:val="BodyText"/>
        <w:numPr>
          <w:ilvl w:val="0"/>
          <w:numId w:val="30"/>
        </w:numPr>
        <w:jc w:val="both"/>
        <w:rPr>
          <w:color w:val="0070C0"/>
          <w:lang w:val="en-GB"/>
        </w:rPr>
      </w:pPr>
      <w:proofErr w:type="spellStart"/>
      <w:r w:rsidRPr="004509D6">
        <w:rPr>
          <w:color w:val="0070C0"/>
          <w:lang w:val="en-GB"/>
        </w:rPr>
        <w:t>MoC</w:t>
      </w:r>
      <w:proofErr w:type="spellEnd"/>
      <w:r w:rsidRPr="004509D6">
        <w:rPr>
          <w:color w:val="0070C0"/>
          <w:lang w:val="en-GB"/>
        </w:rPr>
        <w:t xml:space="preserve"> should be applied in a targeted and proportionate way:</w:t>
      </w:r>
    </w:p>
    <w:p w14:paraId="5F8346AC" w14:textId="77777777" w:rsidR="000E3F1E" w:rsidRPr="000E3F1E" w:rsidRDefault="000E3F1E" w:rsidP="004509D6">
      <w:pPr>
        <w:pStyle w:val="BodyText"/>
        <w:numPr>
          <w:ilvl w:val="1"/>
          <w:numId w:val="30"/>
        </w:numPr>
        <w:jc w:val="both"/>
        <w:rPr>
          <w:color w:val="0070C0"/>
          <w:lang w:val="en-GB"/>
        </w:rPr>
      </w:pPr>
      <w:r w:rsidRPr="004509D6">
        <w:rPr>
          <w:b/>
          <w:bCs/>
          <w:color w:val="0070C0"/>
          <w:lang w:val="en-GB"/>
        </w:rPr>
        <w:t>Category A (data limitations):</w:t>
      </w:r>
      <w:r w:rsidRPr="000E3F1E">
        <w:rPr>
          <w:color w:val="0070C0"/>
          <w:lang w:val="en-GB"/>
        </w:rPr>
        <w:t xml:space="preserve"> Where E&amp;S drivers are included but data are incomplete.</w:t>
      </w:r>
    </w:p>
    <w:p w14:paraId="59C6CE52" w14:textId="1E6B8215" w:rsidR="00AA1D05" w:rsidRPr="00401CE7" w:rsidRDefault="000E3F1E" w:rsidP="00401CE7">
      <w:pPr>
        <w:pStyle w:val="BodyText"/>
        <w:numPr>
          <w:ilvl w:val="1"/>
          <w:numId w:val="30"/>
        </w:numPr>
        <w:jc w:val="both"/>
        <w:rPr>
          <w:color w:val="0070C0"/>
          <w:lang w:val="en-GB"/>
        </w:rPr>
      </w:pPr>
      <w:r w:rsidRPr="004509D6">
        <w:rPr>
          <w:b/>
          <w:bCs/>
          <w:color w:val="0070C0"/>
          <w:lang w:val="en-GB"/>
        </w:rPr>
        <w:t>Category B (representativeness):</w:t>
      </w:r>
      <w:r w:rsidRPr="000E3F1E">
        <w:rPr>
          <w:color w:val="0070C0"/>
          <w:lang w:val="en-GB"/>
        </w:rPr>
        <w:t xml:space="preserve"> Where observed E&amp;S impacts in the application portfolio are not reflected in estimation data.</w:t>
      </w:r>
      <w:r w:rsidR="00F171C3">
        <w:rPr>
          <w:color w:val="0070C0"/>
          <w:lang w:val="en-GB"/>
        </w:rPr>
        <w:t xml:space="preserve"> </w:t>
      </w:r>
      <w:r w:rsidR="00AA1D05" w:rsidRPr="00401CE7">
        <w:rPr>
          <w:color w:val="0070C0"/>
          <w:lang w:val="en-GB"/>
        </w:rPr>
        <w:t>Importantly, given Pillar 1 design principles, only observed impacts in the application portfolio should be considered – long-term forward-looking scenarios should not be incorporated under this category.</w:t>
      </w:r>
    </w:p>
    <w:p w14:paraId="73E30FEB" w14:textId="77777777" w:rsidR="000E3F1E" w:rsidRPr="000E3F1E" w:rsidRDefault="000E3F1E" w:rsidP="000E3F1E">
      <w:pPr>
        <w:pStyle w:val="BodyText"/>
        <w:ind w:left="143"/>
        <w:jc w:val="both"/>
        <w:rPr>
          <w:color w:val="0070C0"/>
          <w:lang w:val="en-GB"/>
        </w:rPr>
      </w:pPr>
    </w:p>
    <w:p w14:paraId="10D2DF77" w14:textId="77777777" w:rsidR="00F171C3" w:rsidRDefault="000E3F1E" w:rsidP="00F171C3">
      <w:pPr>
        <w:pStyle w:val="BodyText"/>
        <w:jc w:val="both"/>
        <w:rPr>
          <w:color w:val="0070C0"/>
          <w:lang w:val="en-GB"/>
        </w:rPr>
      </w:pPr>
      <w:r w:rsidRPr="004509D6">
        <w:rPr>
          <w:b/>
          <w:bCs/>
          <w:color w:val="0070C0"/>
          <w:lang w:val="en-GB"/>
        </w:rPr>
        <w:t>Data Standardisation and Taxonomy Alignment</w:t>
      </w:r>
      <w:r w:rsidR="004509D6" w:rsidRPr="004509D6">
        <w:rPr>
          <w:b/>
          <w:bCs/>
          <w:color w:val="0070C0"/>
          <w:lang w:val="en-GB"/>
        </w:rPr>
        <w:t>:</w:t>
      </w:r>
      <w:r w:rsidR="004509D6">
        <w:rPr>
          <w:color w:val="0070C0"/>
          <w:lang w:val="en-GB"/>
        </w:rPr>
        <w:t xml:space="preserve"> </w:t>
      </w:r>
    </w:p>
    <w:p w14:paraId="744759DA" w14:textId="68EABFF4" w:rsidR="000E3F1E" w:rsidRPr="004509D6" w:rsidRDefault="000E3F1E" w:rsidP="00F171C3">
      <w:pPr>
        <w:pStyle w:val="BodyText"/>
        <w:numPr>
          <w:ilvl w:val="0"/>
          <w:numId w:val="32"/>
        </w:numPr>
        <w:jc w:val="both"/>
        <w:rPr>
          <w:color w:val="0070C0"/>
          <w:lang w:val="en-GB"/>
        </w:rPr>
      </w:pPr>
      <w:r w:rsidRPr="00401CE7">
        <w:rPr>
          <w:b/>
          <w:bCs/>
          <w:color w:val="0070C0"/>
          <w:lang w:val="en-GB"/>
        </w:rPr>
        <w:t>A key priority is improved standardisation of E&amp;S data and definitions</w:t>
      </w:r>
      <w:r w:rsidRPr="004509D6">
        <w:rPr>
          <w:color w:val="0070C0"/>
          <w:lang w:val="en-GB"/>
        </w:rPr>
        <w:t>. Currently, inconsistent taxonomies, lack of verification standards, and differing levels of granularity undermine comparability across institutions.</w:t>
      </w:r>
    </w:p>
    <w:p w14:paraId="225BF464" w14:textId="51BF3CEC" w:rsidR="000E3F1E" w:rsidRPr="00AF569C" w:rsidRDefault="000E3F1E" w:rsidP="00AF569C">
      <w:pPr>
        <w:pStyle w:val="BodyText"/>
        <w:numPr>
          <w:ilvl w:val="0"/>
          <w:numId w:val="30"/>
        </w:numPr>
        <w:jc w:val="both"/>
        <w:rPr>
          <w:color w:val="0070C0"/>
          <w:lang w:val="en-GB"/>
        </w:rPr>
      </w:pPr>
      <w:r w:rsidRPr="000E3F1E">
        <w:rPr>
          <w:color w:val="0070C0"/>
          <w:lang w:val="en-GB"/>
        </w:rPr>
        <w:t>Alignment is needed on:</w:t>
      </w:r>
    </w:p>
    <w:p w14:paraId="3CBB6FAD" w14:textId="77777777" w:rsidR="000E3F1E" w:rsidRPr="000E3F1E" w:rsidRDefault="000E3F1E" w:rsidP="00AF569C">
      <w:pPr>
        <w:pStyle w:val="BodyText"/>
        <w:numPr>
          <w:ilvl w:val="1"/>
          <w:numId w:val="30"/>
        </w:numPr>
        <w:jc w:val="both"/>
        <w:rPr>
          <w:color w:val="0070C0"/>
          <w:lang w:val="en-GB"/>
        </w:rPr>
      </w:pPr>
      <w:r w:rsidRPr="000E3F1E">
        <w:rPr>
          <w:color w:val="0070C0"/>
          <w:lang w:val="en-GB"/>
        </w:rPr>
        <w:t>common E&amp;S risk taxonomies,</w:t>
      </w:r>
    </w:p>
    <w:p w14:paraId="7DB82765" w14:textId="77777777" w:rsidR="000E3F1E" w:rsidRPr="000E3F1E" w:rsidRDefault="000E3F1E" w:rsidP="00AF569C">
      <w:pPr>
        <w:pStyle w:val="BodyText"/>
        <w:numPr>
          <w:ilvl w:val="1"/>
          <w:numId w:val="30"/>
        </w:numPr>
        <w:jc w:val="both"/>
        <w:rPr>
          <w:color w:val="0070C0"/>
          <w:lang w:val="en-GB"/>
        </w:rPr>
      </w:pPr>
      <w:r w:rsidRPr="000E3F1E">
        <w:rPr>
          <w:color w:val="0070C0"/>
          <w:lang w:val="en-GB"/>
        </w:rPr>
        <w:t>standardised definitions of physical and transition risks,</w:t>
      </w:r>
    </w:p>
    <w:p w14:paraId="64FD5A20" w14:textId="6387DAEA" w:rsidR="000E3F1E" w:rsidRPr="00AF569C" w:rsidRDefault="000E3F1E" w:rsidP="00AF569C">
      <w:pPr>
        <w:pStyle w:val="BodyText"/>
        <w:numPr>
          <w:ilvl w:val="1"/>
          <w:numId w:val="30"/>
        </w:numPr>
        <w:jc w:val="both"/>
        <w:rPr>
          <w:color w:val="0070C0"/>
          <w:lang w:val="en-GB"/>
        </w:rPr>
      </w:pPr>
      <w:r w:rsidRPr="000E3F1E">
        <w:rPr>
          <w:color w:val="0070C0"/>
          <w:lang w:val="en-GB"/>
        </w:rPr>
        <w:t>harmonised severity scales and data methodologies.</w:t>
      </w:r>
    </w:p>
    <w:p w14:paraId="67B3646F" w14:textId="77777777" w:rsidR="004444BC" w:rsidRDefault="000E3F1E" w:rsidP="004444BC">
      <w:pPr>
        <w:pStyle w:val="BodyText"/>
        <w:numPr>
          <w:ilvl w:val="0"/>
          <w:numId w:val="30"/>
        </w:numPr>
        <w:jc w:val="both"/>
        <w:rPr>
          <w:color w:val="0070C0"/>
          <w:lang w:val="en-GB"/>
        </w:rPr>
      </w:pPr>
      <w:r w:rsidRPr="000E3F1E">
        <w:rPr>
          <w:color w:val="0070C0"/>
          <w:lang w:val="en-GB"/>
        </w:rPr>
        <w:t>Without this, identical risks (e.g. drought exposure) may be measured differently across banks, leading to inconsistent modelling outcomes.</w:t>
      </w:r>
    </w:p>
    <w:p w14:paraId="600A762E" w14:textId="5191F6BC" w:rsidR="00401CE7" w:rsidRPr="004444BC" w:rsidRDefault="00401CE7" w:rsidP="004444BC">
      <w:pPr>
        <w:pStyle w:val="BodyText"/>
        <w:numPr>
          <w:ilvl w:val="0"/>
          <w:numId w:val="30"/>
        </w:numPr>
        <w:jc w:val="both"/>
        <w:rPr>
          <w:color w:val="0070C0"/>
          <w:lang w:val="en-GB"/>
        </w:rPr>
      </w:pPr>
      <w:r w:rsidRPr="004444BC">
        <w:rPr>
          <w:color w:val="0070C0"/>
          <w:lang w:val="en-GB"/>
        </w:rPr>
        <w:t xml:space="preserve">A common taxonomy, coupled with standardised severity levels and risk drivers, is essential. This view is also broadly consistent with the proposals set out in the EBF report </w:t>
      </w:r>
      <w:r w:rsidRPr="004444BC">
        <w:rPr>
          <w:i/>
          <w:iCs/>
          <w:color w:val="0070C0"/>
          <w:lang w:val="en-GB"/>
        </w:rPr>
        <w:t>Climate &amp; Environmental Credit Risk Data and Modelling</w:t>
      </w:r>
      <w:r w:rsidRPr="004444BC">
        <w:rPr>
          <w:color w:val="0070C0"/>
          <w:lang w:val="en-GB"/>
        </w:rPr>
        <w:t xml:space="preserve"> (October 2025).</w:t>
      </w:r>
    </w:p>
    <w:p w14:paraId="0F3775CE" w14:textId="77777777" w:rsidR="000E3F1E" w:rsidRPr="000E3F1E" w:rsidRDefault="000E3F1E" w:rsidP="004444BC">
      <w:pPr>
        <w:pStyle w:val="BodyText"/>
        <w:jc w:val="both"/>
        <w:rPr>
          <w:color w:val="0070C0"/>
          <w:lang w:val="en-GB"/>
        </w:rPr>
      </w:pPr>
    </w:p>
    <w:p w14:paraId="1CD2E04E" w14:textId="77777777" w:rsidR="00F171C3" w:rsidRDefault="000E3F1E" w:rsidP="00F171C3">
      <w:pPr>
        <w:pStyle w:val="BodyText"/>
        <w:jc w:val="both"/>
        <w:rPr>
          <w:color w:val="0070C0"/>
          <w:lang w:val="en-GB"/>
        </w:rPr>
      </w:pPr>
      <w:r w:rsidRPr="00AF569C">
        <w:rPr>
          <w:b/>
          <w:bCs/>
          <w:color w:val="0070C0"/>
          <w:lang w:val="en-GB"/>
        </w:rPr>
        <w:t>Prioritisation of ESG Components</w:t>
      </w:r>
      <w:r w:rsidR="00AF569C">
        <w:rPr>
          <w:color w:val="0070C0"/>
          <w:lang w:val="en-GB"/>
        </w:rPr>
        <w:t xml:space="preserve">: </w:t>
      </w:r>
    </w:p>
    <w:p w14:paraId="1CF3D413" w14:textId="77777777" w:rsidR="004444BC" w:rsidRDefault="004444BC" w:rsidP="004444BC">
      <w:pPr>
        <w:pStyle w:val="BodyText"/>
        <w:numPr>
          <w:ilvl w:val="0"/>
          <w:numId w:val="33"/>
        </w:numPr>
        <w:jc w:val="both"/>
        <w:rPr>
          <w:color w:val="0070C0"/>
          <w:lang w:val="en-GB"/>
        </w:rPr>
      </w:pPr>
      <w:r w:rsidRPr="00A451EA">
        <w:rPr>
          <w:color w:val="0070C0"/>
          <w:lang w:val="en-GB"/>
        </w:rPr>
        <w:t xml:space="preserve">Finally, since the ultimate objective is to ensure that the full suite of “ESG” risks is eventually captured (as per EBA/REP/2023/34)—whether under Pillar 1 or Pillar 2—additional </w:t>
      </w:r>
      <w:r w:rsidRPr="00A451EA">
        <w:rPr>
          <w:b/>
          <w:bCs/>
          <w:color w:val="0070C0"/>
          <w:lang w:val="en-GB"/>
        </w:rPr>
        <w:t>supervisory guidance is needed on which components of ESG should be prioritised first</w:t>
      </w:r>
      <w:r w:rsidRPr="00A451EA">
        <w:rPr>
          <w:color w:val="0070C0"/>
          <w:lang w:val="en-GB"/>
        </w:rPr>
        <w:t xml:space="preserve">. </w:t>
      </w:r>
    </w:p>
    <w:p w14:paraId="4D85B168" w14:textId="5275C211" w:rsidR="004444BC" w:rsidRPr="004444BC" w:rsidRDefault="004444BC" w:rsidP="004444BC">
      <w:pPr>
        <w:pStyle w:val="BodyText"/>
        <w:numPr>
          <w:ilvl w:val="0"/>
          <w:numId w:val="33"/>
        </w:numPr>
        <w:jc w:val="both"/>
        <w:rPr>
          <w:color w:val="0070C0"/>
          <w:lang w:val="en-GB"/>
        </w:rPr>
      </w:pPr>
      <w:r w:rsidRPr="00A451EA">
        <w:rPr>
          <w:color w:val="0070C0"/>
          <w:lang w:val="en-GB"/>
        </w:rPr>
        <w:t>A prioritisation approach similar to that outlined in the ESA Joint Guidance (</w:t>
      </w:r>
      <w:hyperlink r:id="rId12" w:history="1">
        <w:r w:rsidRPr="00A451EA">
          <w:rPr>
            <w:rStyle w:val="Hyperlink"/>
            <w:lang w:val="en-GB"/>
          </w:rPr>
          <w:t>JC 2025 78</w:t>
        </w:r>
      </w:hyperlink>
      <w:r w:rsidRPr="00A451EA">
        <w:rPr>
          <w:color w:val="0070C0"/>
          <w:lang w:val="en-GB"/>
        </w:rPr>
        <w:t>) would help. Given the breadth and heterogeneity of ESG factors, focusing first on the most material and most quantifiable components (for example, specific environmental transition or physical</w:t>
      </w:r>
      <w:r w:rsidRPr="00A451EA">
        <w:rPr>
          <w:rFonts w:ascii="Cambria Math" w:hAnsi="Cambria Math" w:cs="Cambria Math"/>
          <w:color w:val="0070C0"/>
          <w:lang w:val="en-GB"/>
        </w:rPr>
        <w:t>‑</w:t>
      </w:r>
      <w:r w:rsidRPr="00A451EA">
        <w:rPr>
          <w:color w:val="0070C0"/>
          <w:lang w:val="en-GB"/>
        </w:rPr>
        <w:t>risk drivers) would foster greater consistency across institutions, provide clearer supervisory expectations, and reduce the risk of fragmented modelling practices.</w:t>
      </w:r>
    </w:p>
    <w:p w14:paraId="782C7144" w14:textId="1D38942B" w:rsidR="000E3F1E" w:rsidRPr="00AF569C" w:rsidRDefault="000E3F1E" w:rsidP="00AF569C">
      <w:pPr>
        <w:pStyle w:val="BodyText"/>
        <w:numPr>
          <w:ilvl w:val="0"/>
          <w:numId w:val="30"/>
        </w:numPr>
        <w:jc w:val="both"/>
        <w:rPr>
          <w:color w:val="0070C0"/>
          <w:lang w:val="en-GB"/>
        </w:rPr>
      </w:pPr>
      <w:r w:rsidRPr="000E3F1E">
        <w:rPr>
          <w:color w:val="0070C0"/>
          <w:lang w:val="en-GB"/>
        </w:rPr>
        <w:t>This would:</w:t>
      </w:r>
    </w:p>
    <w:p w14:paraId="5C02379C" w14:textId="77777777" w:rsidR="000E3F1E" w:rsidRPr="000E3F1E" w:rsidRDefault="000E3F1E" w:rsidP="00AF569C">
      <w:pPr>
        <w:pStyle w:val="BodyText"/>
        <w:numPr>
          <w:ilvl w:val="1"/>
          <w:numId w:val="30"/>
        </w:numPr>
        <w:jc w:val="both"/>
        <w:rPr>
          <w:color w:val="0070C0"/>
          <w:lang w:val="en-GB"/>
        </w:rPr>
      </w:pPr>
      <w:r w:rsidRPr="000E3F1E">
        <w:rPr>
          <w:color w:val="0070C0"/>
          <w:lang w:val="en-GB"/>
        </w:rPr>
        <w:t>improve consistency across institutions,</w:t>
      </w:r>
    </w:p>
    <w:p w14:paraId="5C1C49E4" w14:textId="77777777" w:rsidR="000E3F1E" w:rsidRPr="000E3F1E" w:rsidRDefault="000E3F1E" w:rsidP="00AF569C">
      <w:pPr>
        <w:pStyle w:val="BodyText"/>
        <w:numPr>
          <w:ilvl w:val="1"/>
          <w:numId w:val="30"/>
        </w:numPr>
        <w:jc w:val="both"/>
        <w:rPr>
          <w:color w:val="0070C0"/>
          <w:lang w:val="en-GB"/>
        </w:rPr>
      </w:pPr>
      <w:r w:rsidRPr="000E3F1E">
        <w:rPr>
          <w:color w:val="0070C0"/>
          <w:lang w:val="en-GB"/>
        </w:rPr>
        <w:lastRenderedPageBreak/>
        <w:t>reduce fragmentation, and</w:t>
      </w:r>
    </w:p>
    <w:p w14:paraId="6C96D64F" w14:textId="27C7EC07" w:rsidR="000E3F1E" w:rsidRPr="004444BC" w:rsidRDefault="000E3F1E" w:rsidP="004444BC">
      <w:pPr>
        <w:pStyle w:val="BodyText"/>
        <w:numPr>
          <w:ilvl w:val="1"/>
          <w:numId w:val="30"/>
        </w:numPr>
        <w:jc w:val="both"/>
        <w:rPr>
          <w:color w:val="0070C0"/>
          <w:lang w:val="en-GB"/>
        </w:rPr>
      </w:pPr>
      <w:r w:rsidRPr="000E3F1E">
        <w:rPr>
          <w:color w:val="0070C0"/>
          <w:lang w:val="en-GB"/>
        </w:rPr>
        <w:t>provide clearer implementation expectations.</w:t>
      </w:r>
    </w:p>
    <w:p w14:paraId="276CA43A" w14:textId="0B49E016" w:rsidR="000E3F1E" w:rsidRDefault="000E3F1E" w:rsidP="00AF569C">
      <w:pPr>
        <w:pStyle w:val="BodyText"/>
        <w:jc w:val="both"/>
        <w:rPr>
          <w:color w:val="0070C0"/>
          <w:lang w:val="en-GB"/>
        </w:rPr>
      </w:pPr>
    </w:p>
    <w:p w14:paraId="4ABF9554" w14:textId="0B0DAFCD" w:rsidR="00E01AB2" w:rsidRPr="00F73BFB" w:rsidRDefault="00E01AB2" w:rsidP="00976643">
      <w:pPr>
        <w:pStyle w:val="BodyText"/>
        <w:jc w:val="both"/>
        <w:rPr>
          <w:color w:val="0070C0"/>
          <w:lang w:val="en-GB"/>
        </w:rPr>
      </w:pPr>
      <w:r w:rsidRPr="00F73BFB">
        <w:rPr>
          <w:color w:val="0070C0"/>
          <w:lang w:val="en-GB"/>
        </w:rPr>
        <w:t>]</w:t>
      </w:r>
    </w:p>
    <w:p w14:paraId="41DCB2AE" w14:textId="77777777" w:rsidR="00E01AB2" w:rsidRPr="00F73BFB" w:rsidRDefault="00E01AB2">
      <w:pPr>
        <w:pStyle w:val="BodyText"/>
        <w:spacing w:before="119" w:line="276" w:lineRule="auto"/>
        <w:ind w:left="143" w:right="140"/>
        <w:jc w:val="both"/>
        <w:rPr>
          <w:lang w:val="en-GB"/>
        </w:rPr>
      </w:pPr>
    </w:p>
    <w:p w14:paraId="0EC8800A" w14:textId="77777777" w:rsidR="00017515" w:rsidRPr="00F73BFB" w:rsidRDefault="00A567F8" w:rsidP="00790CCA">
      <w:pPr>
        <w:pStyle w:val="Heading2"/>
      </w:pPr>
      <w:r w:rsidRPr="00F73BFB">
        <w:rPr>
          <w:b/>
        </w:rPr>
        <w:t xml:space="preserve">Q7. </w:t>
      </w:r>
      <w:r w:rsidRPr="00F73BFB">
        <w:t xml:space="preserve">Which requirements should apply in relation to the measurement of the performance of </w:t>
      </w:r>
      <w:r w:rsidRPr="00F73BFB">
        <w:rPr>
          <w:spacing w:val="-2"/>
        </w:rPr>
        <w:t xml:space="preserve">continuous models (e.g. back-testing)? How could testing requirements be facilitated and enhanced </w:t>
      </w:r>
      <w:r w:rsidRPr="00F73BFB">
        <w:t>for continuous models that are compliant with CRR, Part three, Title II, Chapter 3, Section 6 (Requirements for the IRB approach)?</w:t>
      </w:r>
    </w:p>
    <w:p w14:paraId="35DD8056" w14:textId="77777777" w:rsidR="0043372C" w:rsidRDefault="00E01AB2" w:rsidP="00ED7836">
      <w:pPr>
        <w:pStyle w:val="BodyText"/>
        <w:ind w:left="143"/>
        <w:jc w:val="both"/>
        <w:rPr>
          <w:color w:val="0070C0"/>
          <w:lang w:val="en-GB"/>
        </w:rPr>
      </w:pPr>
      <w:r w:rsidRPr="00F73BFB">
        <w:rPr>
          <w:color w:val="0070C0"/>
          <w:lang w:val="en-GB"/>
        </w:rPr>
        <w:t>[</w:t>
      </w:r>
      <w:r w:rsidRPr="00F73BFB">
        <w:rPr>
          <w:b/>
          <w:color w:val="0070C0"/>
          <w:lang w:val="en-GB"/>
        </w:rPr>
        <w:t>Response</w:t>
      </w:r>
      <w:r w:rsidRPr="00F73BFB">
        <w:rPr>
          <w:color w:val="0070C0"/>
          <w:lang w:val="en-GB"/>
        </w:rPr>
        <w:t>:</w:t>
      </w:r>
      <w:r w:rsidR="00E04662" w:rsidRPr="00F73BFB">
        <w:rPr>
          <w:color w:val="0070C0"/>
          <w:lang w:val="en-GB"/>
        </w:rPr>
        <w:t xml:space="preserve"> </w:t>
      </w:r>
    </w:p>
    <w:p w14:paraId="4E1798D2" w14:textId="77777777" w:rsidR="00315320" w:rsidRPr="00315320" w:rsidRDefault="00315320" w:rsidP="00315320">
      <w:pPr>
        <w:pStyle w:val="BodyText"/>
        <w:ind w:left="143"/>
        <w:jc w:val="both"/>
        <w:rPr>
          <w:color w:val="0070C0"/>
          <w:lang w:val="en-GB"/>
        </w:rPr>
      </w:pPr>
    </w:p>
    <w:p w14:paraId="30E5335F" w14:textId="53A49BF1" w:rsidR="00315320" w:rsidRPr="00315320" w:rsidRDefault="00315320" w:rsidP="00315320">
      <w:pPr>
        <w:pStyle w:val="BodyText"/>
        <w:ind w:left="143"/>
        <w:jc w:val="both"/>
        <w:rPr>
          <w:b/>
          <w:bCs/>
          <w:color w:val="0070C0"/>
          <w:lang w:val="en-GB"/>
        </w:rPr>
      </w:pPr>
      <w:r w:rsidRPr="00315320">
        <w:rPr>
          <w:b/>
          <w:bCs/>
          <w:color w:val="0070C0"/>
          <w:lang w:val="en-GB"/>
        </w:rPr>
        <w:t>Overall Position: Leverage Existing Guidance and Avoid Additional Complexity</w:t>
      </w:r>
    </w:p>
    <w:p w14:paraId="420D2D87" w14:textId="33033329" w:rsidR="00315320" w:rsidRDefault="00315320" w:rsidP="00315320">
      <w:pPr>
        <w:pStyle w:val="BodyText"/>
        <w:numPr>
          <w:ilvl w:val="0"/>
          <w:numId w:val="30"/>
        </w:numPr>
        <w:jc w:val="both"/>
        <w:rPr>
          <w:color w:val="0070C0"/>
          <w:lang w:val="en-GB"/>
        </w:rPr>
      </w:pPr>
      <w:r w:rsidRPr="00315320">
        <w:rPr>
          <w:color w:val="0070C0"/>
          <w:lang w:val="en-GB"/>
        </w:rPr>
        <w:t xml:space="preserve">We believe that the current supervisory framework already provides sufficient guidance for the measurement and performance assessment of continuous models (i.e. direct estimates). Any </w:t>
      </w:r>
      <w:r w:rsidRPr="00315320">
        <w:rPr>
          <w:b/>
          <w:bCs/>
          <w:color w:val="0070C0"/>
          <w:lang w:val="en-GB"/>
        </w:rPr>
        <w:t>further requirements should focus on alignment and clarification rather than introducing new or more granular rules</w:t>
      </w:r>
      <w:r w:rsidRPr="00315320">
        <w:rPr>
          <w:color w:val="0070C0"/>
          <w:lang w:val="en-GB"/>
        </w:rPr>
        <w:t>, which could increase complexity and reduce coherence.</w:t>
      </w:r>
    </w:p>
    <w:p w14:paraId="2E19FBC1" w14:textId="7F54969E" w:rsidR="002A6C52" w:rsidRPr="00D0396A" w:rsidRDefault="00D0396A" w:rsidP="00D0396A">
      <w:pPr>
        <w:pStyle w:val="BodyText"/>
        <w:numPr>
          <w:ilvl w:val="0"/>
          <w:numId w:val="30"/>
        </w:numPr>
        <w:jc w:val="both"/>
        <w:rPr>
          <w:color w:val="0070C0"/>
          <w:lang w:val="en-GB"/>
        </w:rPr>
      </w:pPr>
      <w:r>
        <w:rPr>
          <w:color w:val="0070C0"/>
          <w:lang w:val="en-GB"/>
        </w:rPr>
        <w:t>Specifically:</w:t>
      </w:r>
    </w:p>
    <w:p w14:paraId="35DBD9FB" w14:textId="2B533C7B" w:rsidR="002A6C52" w:rsidRPr="00315320" w:rsidRDefault="00994701" w:rsidP="00D0396A">
      <w:pPr>
        <w:pStyle w:val="BodyText"/>
        <w:numPr>
          <w:ilvl w:val="1"/>
          <w:numId w:val="30"/>
        </w:numPr>
        <w:jc w:val="both"/>
        <w:rPr>
          <w:color w:val="0070C0"/>
          <w:lang w:val="en-GB"/>
        </w:rPr>
      </w:pPr>
      <w:r>
        <w:rPr>
          <w:color w:val="0070C0"/>
          <w:lang w:val="en-GB"/>
        </w:rPr>
        <w:t>T</w:t>
      </w:r>
      <w:r w:rsidR="002A6C52" w:rsidRPr="00315320">
        <w:rPr>
          <w:color w:val="0070C0"/>
          <w:lang w:val="en-GB"/>
        </w:rPr>
        <w:t xml:space="preserve">he </w:t>
      </w:r>
      <w:r w:rsidR="002A6C52" w:rsidRPr="002A6C52">
        <w:rPr>
          <w:b/>
          <w:bCs/>
          <w:color w:val="0070C0"/>
          <w:lang w:val="en-GB"/>
        </w:rPr>
        <w:t>current ECB guidance</w:t>
      </w:r>
      <w:r w:rsidR="00D0396A">
        <w:rPr>
          <w:b/>
          <w:bCs/>
          <w:color w:val="0070C0"/>
          <w:lang w:val="en-GB"/>
        </w:rPr>
        <w:t>*</w:t>
      </w:r>
      <w:r w:rsidR="002A6C52" w:rsidRPr="002A6C52">
        <w:rPr>
          <w:b/>
          <w:bCs/>
          <w:color w:val="0070C0"/>
          <w:lang w:val="en-GB"/>
        </w:rPr>
        <w:t xml:space="preserve"> provides a sufficient and robust framework</w:t>
      </w:r>
      <w:r w:rsidR="002A6C52" w:rsidRPr="00315320">
        <w:rPr>
          <w:color w:val="0070C0"/>
          <w:lang w:val="en-GB"/>
        </w:rPr>
        <w:t xml:space="preserve"> for the performance assessment of continuous models</w:t>
      </w:r>
      <w:r w:rsidR="00D0396A">
        <w:rPr>
          <w:color w:val="0070C0"/>
          <w:lang w:val="en-GB"/>
        </w:rPr>
        <w:t xml:space="preserve"> (*ECB guide to internal models and ECB </w:t>
      </w:r>
      <w:r>
        <w:rPr>
          <w:color w:val="0070C0"/>
          <w:lang w:val="en-GB"/>
        </w:rPr>
        <w:t>validation reporting</w:t>
      </w:r>
      <w:r w:rsidR="00D0396A">
        <w:rPr>
          <w:color w:val="0070C0"/>
          <w:lang w:val="en-GB"/>
        </w:rPr>
        <w:t>)</w:t>
      </w:r>
      <w:r w:rsidR="002A6C52" w:rsidRPr="00315320">
        <w:rPr>
          <w:color w:val="0070C0"/>
          <w:lang w:val="en-GB"/>
        </w:rPr>
        <w:t>,</w:t>
      </w:r>
    </w:p>
    <w:p w14:paraId="4E4634DF" w14:textId="50EC02DE" w:rsidR="002A6C52" w:rsidRPr="00315320" w:rsidRDefault="00994701" w:rsidP="00D0396A">
      <w:pPr>
        <w:pStyle w:val="BodyText"/>
        <w:numPr>
          <w:ilvl w:val="1"/>
          <w:numId w:val="30"/>
        </w:numPr>
        <w:jc w:val="both"/>
        <w:rPr>
          <w:color w:val="0070C0"/>
          <w:lang w:val="en-GB"/>
        </w:rPr>
      </w:pPr>
      <w:r>
        <w:rPr>
          <w:b/>
          <w:bCs/>
          <w:color w:val="0070C0"/>
          <w:lang w:val="en-GB"/>
        </w:rPr>
        <w:t>N</w:t>
      </w:r>
      <w:r w:rsidR="002A6C52" w:rsidRPr="002A6C52">
        <w:rPr>
          <w:b/>
          <w:bCs/>
          <w:color w:val="0070C0"/>
          <w:lang w:val="en-GB"/>
        </w:rPr>
        <w:t>o substantial additional requirements are necessary</w:t>
      </w:r>
      <w:r w:rsidR="002A6C52" w:rsidRPr="00315320">
        <w:rPr>
          <w:color w:val="0070C0"/>
          <w:lang w:val="en-GB"/>
        </w:rPr>
        <w:t>, beyond improved alignment across regulatory bodies, and</w:t>
      </w:r>
    </w:p>
    <w:p w14:paraId="2C6371BE" w14:textId="526E1184" w:rsidR="002A6C52" w:rsidRPr="00994701" w:rsidRDefault="00994701" w:rsidP="002A6C52">
      <w:pPr>
        <w:pStyle w:val="BodyText"/>
        <w:numPr>
          <w:ilvl w:val="1"/>
          <w:numId w:val="30"/>
        </w:numPr>
        <w:jc w:val="both"/>
        <w:rPr>
          <w:color w:val="0070C0"/>
          <w:lang w:val="en-GB"/>
        </w:rPr>
      </w:pPr>
      <w:r>
        <w:rPr>
          <w:color w:val="0070C0"/>
          <w:lang w:val="en-GB"/>
        </w:rPr>
        <w:t>A</w:t>
      </w:r>
      <w:r w:rsidR="002A6C52" w:rsidRPr="00315320">
        <w:rPr>
          <w:color w:val="0070C0"/>
          <w:lang w:val="en-GB"/>
        </w:rPr>
        <w:t xml:space="preserve">ny enhancements should focus on </w:t>
      </w:r>
      <w:r w:rsidR="002A6C52" w:rsidRPr="002A6C52">
        <w:rPr>
          <w:b/>
          <w:bCs/>
          <w:color w:val="0070C0"/>
          <w:lang w:val="en-GB"/>
        </w:rPr>
        <w:t>practical facilitation</w:t>
      </w:r>
      <w:r w:rsidR="002A6C52" w:rsidRPr="00315320">
        <w:rPr>
          <w:color w:val="0070C0"/>
          <w:lang w:val="en-GB"/>
        </w:rPr>
        <w:t>, such as potential standardisation of discretisation approaches for back-testing.</w:t>
      </w:r>
    </w:p>
    <w:p w14:paraId="1C925039" w14:textId="77777777" w:rsidR="00315320" w:rsidRPr="00315320" w:rsidRDefault="00315320" w:rsidP="00994701">
      <w:pPr>
        <w:pStyle w:val="BodyText"/>
        <w:jc w:val="both"/>
        <w:rPr>
          <w:color w:val="0070C0"/>
          <w:lang w:val="en-GB"/>
        </w:rPr>
      </w:pPr>
    </w:p>
    <w:p w14:paraId="1A6B0A5F" w14:textId="77777777" w:rsidR="00315320" w:rsidRDefault="00315320" w:rsidP="00315320">
      <w:pPr>
        <w:pStyle w:val="BodyText"/>
        <w:ind w:left="143"/>
        <w:jc w:val="both"/>
        <w:rPr>
          <w:b/>
          <w:bCs/>
          <w:color w:val="0070C0"/>
          <w:lang w:val="en-GB"/>
        </w:rPr>
      </w:pPr>
      <w:r w:rsidRPr="00315320">
        <w:rPr>
          <w:b/>
          <w:bCs/>
          <w:color w:val="0070C0"/>
          <w:lang w:val="en-GB"/>
        </w:rPr>
        <w:t>Need for Regulatory Alignment Rather Than Expansion</w:t>
      </w:r>
    </w:p>
    <w:p w14:paraId="1A7071E2" w14:textId="29D278A9" w:rsidR="00994701" w:rsidRPr="00994701" w:rsidRDefault="00994701" w:rsidP="00994701">
      <w:pPr>
        <w:pStyle w:val="BodyText"/>
        <w:numPr>
          <w:ilvl w:val="0"/>
          <w:numId w:val="34"/>
        </w:numPr>
        <w:jc w:val="both"/>
        <w:rPr>
          <w:color w:val="0070C0"/>
          <w:lang w:val="en-GB"/>
        </w:rPr>
      </w:pPr>
      <w:r w:rsidRPr="00315320">
        <w:rPr>
          <w:color w:val="0070C0"/>
          <w:lang w:val="en-GB"/>
        </w:rPr>
        <w:t xml:space="preserve">Supervisory expectations for continuous models are already clearly articulated in the EGIM, particularly in paragraphs 250, 285, and 321. </w:t>
      </w:r>
    </w:p>
    <w:p w14:paraId="63847DD6" w14:textId="72FE2222" w:rsidR="00315320" w:rsidRPr="00315320" w:rsidRDefault="00315320" w:rsidP="00315320">
      <w:pPr>
        <w:pStyle w:val="BodyText"/>
        <w:numPr>
          <w:ilvl w:val="0"/>
          <w:numId w:val="34"/>
        </w:numPr>
        <w:jc w:val="both"/>
        <w:rPr>
          <w:b/>
          <w:bCs/>
          <w:color w:val="0070C0"/>
          <w:lang w:val="en-GB"/>
        </w:rPr>
      </w:pPr>
      <w:r w:rsidRPr="00315320">
        <w:rPr>
          <w:color w:val="0070C0"/>
          <w:lang w:val="en-GB"/>
        </w:rPr>
        <w:t xml:space="preserve">Rather than expanding the framework, the key priority should be </w:t>
      </w:r>
      <w:r w:rsidRPr="00315320">
        <w:rPr>
          <w:b/>
          <w:bCs/>
          <w:color w:val="0070C0"/>
          <w:lang w:val="en-GB"/>
        </w:rPr>
        <w:t>alignment between EBA and ECB guidance</w:t>
      </w:r>
      <w:r w:rsidRPr="00315320">
        <w:rPr>
          <w:color w:val="0070C0"/>
          <w:lang w:val="en-GB"/>
        </w:rPr>
        <w:t>. Ensuring consistency across regulatory sources would:</w:t>
      </w:r>
    </w:p>
    <w:p w14:paraId="6CDC5A93" w14:textId="3BE56141" w:rsidR="00315320" w:rsidRPr="00315320" w:rsidRDefault="00315320" w:rsidP="00315320">
      <w:pPr>
        <w:pStyle w:val="BodyText"/>
        <w:numPr>
          <w:ilvl w:val="1"/>
          <w:numId w:val="34"/>
        </w:numPr>
        <w:jc w:val="both"/>
        <w:rPr>
          <w:color w:val="0070C0"/>
          <w:lang w:val="en-GB"/>
        </w:rPr>
      </w:pPr>
      <w:r w:rsidRPr="00315320">
        <w:rPr>
          <w:color w:val="0070C0"/>
          <w:lang w:val="en-GB"/>
        </w:rPr>
        <w:t>improve clarity and usability,</w:t>
      </w:r>
    </w:p>
    <w:p w14:paraId="5C8B9F74" w14:textId="69D0C8C3" w:rsidR="00315320" w:rsidRPr="00315320" w:rsidRDefault="00315320" w:rsidP="00315320">
      <w:pPr>
        <w:pStyle w:val="BodyText"/>
        <w:numPr>
          <w:ilvl w:val="1"/>
          <w:numId w:val="34"/>
        </w:numPr>
        <w:jc w:val="both"/>
        <w:rPr>
          <w:color w:val="0070C0"/>
          <w:lang w:val="en-GB"/>
        </w:rPr>
      </w:pPr>
      <w:r w:rsidRPr="00315320">
        <w:rPr>
          <w:color w:val="0070C0"/>
          <w:lang w:val="en-GB"/>
        </w:rPr>
        <w:t>reduce the need to reconcile multiple documents, and</w:t>
      </w:r>
    </w:p>
    <w:p w14:paraId="533D1A79" w14:textId="21AF2AFD" w:rsidR="00315320" w:rsidRPr="00315320" w:rsidRDefault="00315320" w:rsidP="00315320">
      <w:pPr>
        <w:pStyle w:val="BodyText"/>
        <w:numPr>
          <w:ilvl w:val="1"/>
          <w:numId w:val="34"/>
        </w:numPr>
        <w:jc w:val="both"/>
        <w:rPr>
          <w:color w:val="0070C0"/>
          <w:lang w:val="en-GB"/>
        </w:rPr>
      </w:pPr>
      <w:r w:rsidRPr="00315320">
        <w:rPr>
          <w:color w:val="0070C0"/>
          <w:lang w:val="en-GB"/>
        </w:rPr>
        <w:t>support consistent supervisory practices across jurisdictions.</w:t>
      </w:r>
    </w:p>
    <w:p w14:paraId="6A2D70CA" w14:textId="04ED016D" w:rsidR="00315320" w:rsidRPr="00315320" w:rsidRDefault="00315320" w:rsidP="00315320">
      <w:pPr>
        <w:pStyle w:val="BodyText"/>
        <w:numPr>
          <w:ilvl w:val="0"/>
          <w:numId w:val="34"/>
        </w:numPr>
        <w:jc w:val="both"/>
        <w:rPr>
          <w:color w:val="0070C0"/>
          <w:lang w:val="en-GB"/>
        </w:rPr>
      </w:pPr>
      <w:r>
        <w:rPr>
          <w:color w:val="0070C0"/>
          <w:lang w:val="en-GB"/>
        </w:rPr>
        <w:t>Without</w:t>
      </w:r>
      <w:r w:rsidRPr="00315320">
        <w:rPr>
          <w:color w:val="0070C0"/>
          <w:lang w:val="en-GB"/>
        </w:rPr>
        <w:t xml:space="preserve"> such alignment, additional guidance risks further scattering requirements and increasing operational burden without clear benefits.</w:t>
      </w:r>
    </w:p>
    <w:p w14:paraId="79E848C4" w14:textId="77777777" w:rsidR="00315320" w:rsidRPr="00315320" w:rsidRDefault="00315320" w:rsidP="00315320">
      <w:pPr>
        <w:pStyle w:val="BodyText"/>
        <w:jc w:val="both"/>
        <w:rPr>
          <w:color w:val="0070C0"/>
          <w:lang w:val="en-GB"/>
        </w:rPr>
      </w:pPr>
    </w:p>
    <w:p w14:paraId="30F54903" w14:textId="295743D3" w:rsidR="00315320" w:rsidRPr="00315320" w:rsidRDefault="00315320" w:rsidP="00315320">
      <w:pPr>
        <w:pStyle w:val="BodyText"/>
        <w:ind w:left="143"/>
        <w:jc w:val="both"/>
        <w:rPr>
          <w:b/>
          <w:bCs/>
          <w:color w:val="0070C0"/>
          <w:lang w:val="en-GB"/>
        </w:rPr>
      </w:pPr>
      <w:r w:rsidRPr="00315320">
        <w:rPr>
          <w:b/>
          <w:bCs/>
          <w:color w:val="0070C0"/>
          <w:lang w:val="en-GB"/>
        </w:rPr>
        <w:t>Applicability of Standard Performance Testing Approaches</w:t>
      </w:r>
    </w:p>
    <w:p w14:paraId="4900A5A0" w14:textId="57AB649C" w:rsidR="00315320" w:rsidRDefault="00315320" w:rsidP="00315320">
      <w:pPr>
        <w:pStyle w:val="BodyText"/>
        <w:numPr>
          <w:ilvl w:val="0"/>
          <w:numId w:val="35"/>
        </w:numPr>
        <w:jc w:val="both"/>
        <w:rPr>
          <w:color w:val="0070C0"/>
          <w:lang w:val="en-GB"/>
        </w:rPr>
      </w:pPr>
      <w:r w:rsidRPr="00315320">
        <w:rPr>
          <w:color w:val="0070C0"/>
          <w:lang w:val="en-GB"/>
        </w:rPr>
        <w:t>Continuous models can broadly follow the same performance testing framework as discrete models. However, certain tests (e.g. homogeneity or heterogeneity assessments) require discretisation of continuous outputs.</w:t>
      </w:r>
    </w:p>
    <w:p w14:paraId="00171C8C" w14:textId="0A2B1286" w:rsidR="00315320" w:rsidRPr="00315320" w:rsidRDefault="00315320" w:rsidP="00315320">
      <w:pPr>
        <w:pStyle w:val="BodyText"/>
        <w:numPr>
          <w:ilvl w:val="0"/>
          <w:numId w:val="35"/>
        </w:numPr>
        <w:jc w:val="both"/>
        <w:rPr>
          <w:color w:val="0070C0"/>
          <w:lang w:val="en-GB"/>
        </w:rPr>
      </w:pPr>
      <w:r w:rsidRPr="00315320">
        <w:rPr>
          <w:color w:val="0070C0"/>
          <w:lang w:val="en-GB"/>
        </w:rPr>
        <w:t>The EGIM already acknowledges this and provides guidance by allowing performance assessment at sub-range (bucket) level, ensuring that continuous models can be tested in a manner consistent with regulatory expectations.</w:t>
      </w:r>
    </w:p>
    <w:p w14:paraId="1B28BDFB" w14:textId="77777777" w:rsidR="00315320" w:rsidRPr="00315320" w:rsidRDefault="00315320" w:rsidP="00994701">
      <w:pPr>
        <w:pStyle w:val="BodyText"/>
        <w:jc w:val="both"/>
        <w:rPr>
          <w:color w:val="0070C0"/>
          <w:lang w:val="en-GB"/>
        </w:rPr>
      </w:pPr>
    </w:p>
    <w:p w14:paraId="61DD6B82" w14:textId="5909B334" w:rsidR="00315320" w:rsidRPr="00315320" w:rsidRDefault="00315320" w:rsidP="00315320">
      <w:pPr>
        <w:pStyle w:val="BodyText"/>
        <w:ind w:left="143"/>
        <w:jc w:val="both"/>
        <w:rPr>
          <w:b/>
          <w:bCs/>
          <w:color w:val="0070C0"/>
          <w:lang w:val="en-GB"/>
        </w:rPr>
      </w:pPr>
      <w:r w:rsidRPr="00315320">
        <w:rPr>
          <w:b/>
          <w:bCs/>
          <w:color w:val="0070C0"/>
          <w:lang w:val="en-GB"/>
        </w:rPr>
        <w:t>Discretisation Approaches: Flexibility vs Standardisation</w:t>
      </w:r>
    </w:p>
    <w:p w14:paraId="6815ECE5" w14:textId="33AEDF33" w:rsidR="00315320" w:rsidRPr="00315320" w:rsidRDefault="00315320" w:rsidP="00315320">
      <w:pPr>
        <w:pStyle w:val="BodyText"/>
        <w:numPr>
          <w:ilvl w:val="0"/>
          <w:numId w:val="36"/>
        </w:numPr>
        <w:jc w:val="both"/>
        <w:rPr>
          <w:color w:val="0070C0"/>
          <w:lang w:val="en-GB"/>
        </w:rPr>
      </w:pPr>
      <w:r w:rsidRPr="00315320">
        <w:rPr>
          <w:color w:val="0070C0"/>
          <w:lang w:val="en-GB"/>
        </w:rPr>
        <w:t xml:space="preserve">Currently, institutions have flexibility in defining sub-ranges for discretisation. While this allows proportionality and model-specific adaptation, it may also lead to variation across </w:t>
      </w:r>
      <w:r w:rsidRPr="00315320">
        <w:rPr>
          <w:color w:val="0070C0"/>
          <w:lang w:val="en-GB"/>
        </w:rPr>
        <w:lastRenderedPageBreak/>
        <w:t>institutions.</w:t>
      </w:r>
    </w:p>
    <w:p w14:paraId="3896FBA9" w14:textId="41064857" w:rsidR="00315320" w:rsidRPr="00315320" w:rsidRDefault="00315320" w:rsidP="00315320">
      <w:pPr>
        <w:pStyle w:val="BodyText"/>
        <w:numPr>
          <w:ilvl w:val="0"/>
          <w:numId w:val="36"/>
        </w:numPr>
        <w:jc w:val="both"/>
        <w:rPr>
          <w:color w:val="0070C0"/>
          <w:lang w:val="en-GB"/>
        </w:rPr>
      </w:pPr>
      <w:r w:rsidRPr="00315320">
        <w:rPr>
          <w:color w:val="0070C0"/>
          <w:lang w:val="en-GB"/>
        </w:rPr>
        <w:t>If further enhancement is considered, one potential improvement could be:</w:t>
      </w:r>
      <w:r>
        <w:rPr>
          <w:color w:val="0070C0"/>
          <w:lang w:val="en-GB"/>
        </w:rPr>
        <w:t xml:space="preserve"> </w:t>
      </w:r>
      <w:r w:rsidRPr="00315320">
        <w:rPr>
          <w:color w:val="0070C0"/>
          <w:lang w:val="en-GB"/>
        </w:rPr>
        <w:t>the introduction of standardised discretisation approaches (e.g. fixed bucket structures) for back-testing purposes.</w:t>
      </w:r>
    </w:p>
    <w:p w14:paraId="4F11893C" w14:textId="0866CDB7" w:rsidR="00315320" w:rsidRPr="00315320" w:rsidRDefault="00315320" w:rsidP="00315320">
      <w:pPr>
        <w:pStyle w:val="BodyText"/>
        <w:numPr>
          <w:ilvl w:val="0"/>
          <w:numId w:val="36"/>
        </w:numPr>
        <w:jc w:val="both"/>
        <w:rPr>
          <w:color w:val="0070C0"/>
          <w:lang w:val="en-GB"/>
        </w:rPr>
      </w:pPr>
      <w:r w:rsidRPr="00315320">
        <w:rPr>
          <w:color w:val="0070C0"/>
          <w:lang w:val="en-GB"/>
        </w:rPr>
        <w:t>Such standardisation could:</w:t>
      </w:r>
    </w:p>
    <w:p w14:paraId="6ECA9690" w14:textId="76874CBF" w:rsidR="00315320" w:rsidRPr="00315320" w:rsidRDefault="00315320" w:rsidP="00315320">
      <w:pPr>
        <w:pStyle w:val="BodyText"/>
        <w:numPr>
          <w:ilvl w:val="1"/>
          <w:numId w:val="36"/>
        </w:numPr>
        <w:jc w:val="both"/>
        <w:rPr>
          <w:color w:val="0070C0"/>
          <w:lang w:val="en-GB"/>
        </w:rPr>
      </w:pPr>
      <w:r w:rsidRPr="00315320">
        <w:rPr>
          <w:color w:val="0070C0"/>
          <w:lang w:val="en-GB"/>
        </w:rPr>
        <w:t>improve comparability across institutions,</w:t>
      </w:r>
    </w:p>
    <w:p w14:paraId="6CFF155C" w14:textId="3F9834EC" w:rsidR="00315320" w:rsidRPr="00315320" w:rsidRDefault="00315320" w:rsidP="00315320">
      <w:pPr>
        <w:pStyle w:val="BodyText"/>
        <w:numPr>
          <w:ilvl w:val="1"/>
          <w:numId w:val="36"/>
        </w:numPr>
        <w:jc w:val="both"/>
        <w:rPr>
          <w:color w:val="0070C0"/>
          <w:lang w:val="en-GB"/>
        </w:rPr>
      </w:pPr>
      <w:r w:rsidRPr="00315320">
        <w:rPr>
          <w:color w:val="0070C0"/>
          <w:lang w:val="en-GB"/>
        </w:rPr>
        <w:t>reduce supervisory uncertainty, and</w:t>
      </w:r>
    </w:p>
    <w:p w14:paraId="7DB8224D" w14:textId="3A4D1680" w:rsidR="00315320" w:rsidRPr="00315320" w:rsidRDefault="00315320" w:rsidP="00315320">
      <w:pPr>
        <w:pStyle w:val="BodyText"/>
        <w:numPr>
          <w:ilvl w:val="1"/>
          <w:numId w:val="36"/>
        </w:numPr>
        <w:jc w:val="both"/>
        <w:rPr>
          <w:color w:val="0070C0"/>
          <w:lang w:val="en-GB"/>
        </w:rPr>
      </w:pPr>
      <w:r w:rsidRPr="00315320">
        <w:rPr>
          <w:color w:val="0070C0"/>
          <w:lang w:val="en-GB"/>
        </w:rPr>
        <w:t>streamline validation processes.</w:t>
      </w:r>
    </w:p>
    <w:p w14:paraId="0490BAC6" w14:textId="3D297125" w:rsidR="004561E5" w:rsidRPr="00994701" w:rsidRDefault="00315320" w:rsidP="00994701">
      <w:pPr>
        <w:pStyle w:val="BodyText"/>
        <w:numPr>
          <w:ilvl w:val="0"/>
          <w:numId w:val="38"/>
        </w:numPr>
        <w:jc w:val="both"/>
        <w:rPr>
          <w:color w:val="0070C0"/>
          <w:lang w:val="en-GB"/>
        </w:rPr>
      </w:pPr>
      <w:r w:rsidRPr="00315320">
        <w:rPr>
          <w:color w:val="0070C0"/>
          <w:lang w:val="en-GB"/>
        </w:rPr>
        <w:t>Importantly, precedent already exists</w:t>
      </w:r>
      <w:r>
        <w:rPr>
          <w:color w:val="0070C0"/>
          <w:lang w:val="en-GB"/>
        </w:rPr>
        <w:t xml:space="preserve"> – </w:t>
      </w:r>
      <w:r w:rsidRPr="00315320">
        <w:rPr>
          <w:color w:val="0070C0"/>
          <w:lang w:val="en-GB"/>
        </w:rPr>
        <w:t xml:space="preserve">for example, in </w:t>
      </w:r>
      <w:r>
        <w:rPr>
          <w:color w:val="0070C0"/>
          <w:lang w:val="en-GB"/>
        </w:rPr>
        <w:t xml:space="preserve">the </w:t>
      </w:r>
      <w:r w:rsidRPr="00315320">
        <w:rPr>
          <w:color w:val="0070C0"/>
          <w:lang w:val="en-GB"/>
        </w:rPr>
        <w:t>ECB validation reporting for LGD and CCF models, where standardised buckets are used for performance assessment.</w:t>
      </w:r>
    </w:p>
    <w:p w14:paraId="62EA6F16" w14:textId="4D385138" w:rsidR="00E01AB2" w:rsidRPr="00F73BFB" w:rsidRDefault="00E01AB2" w:rsidP="0043372C">
      <w:pPr>
        <w:pStyle w:val="BodyText"/>
        <w:ind w:firstLine="143"/>
        <w:jc w:val="both"/>
        <w:rPr>
          <w:color w:val="0070C0"/>
          <w:lang w:val="en-GB"/>
        </w:rPr>
      </w:pPr>
      <w:r w:rsidRPr="00F73BFB">
        <w:rPr>
          <w:color w:val="0070C0"/>
          <w:lang w:val="en-GB"/>
        </w:rPr>
        <w:t>]</w:t>
      </w:r>
    </w:p>
    <w:p w14:paraId="49C92231" w14:textId="77777777" w:rsidR="00E01AB2" w:rsidRPr="00F73BFB" w:rsidRDefault="00E01AB2">
      <w:pPr>
        <w:pStyle w:val="BodyText"/>
        <w:spacing w:before="120" w:line="276" w:lineRule="auto"/>
        <w:ind w:left="143" w:right="137"/>
        <w:jc w:val="both"/>
        <w:rPr>
          <w:lang w:val="en-GB"/>
        </w:rPr>
      </w:pPr>
    </w:p>
    <w:p w14:paraId="3CE4C492" w14:textId="77777777" w:rsidR="00017515" w:rsidRPr="00F73BFB" w:rsidRDefault="00A567F8" w:rsidP="00790CCA">
      <w:pPr>
        <w:pStyle w:val="Heading2"/>
        <w:rPr>
          <w:spacing w:val="-2"/>
        </w:rPr>
      </w:pPr>
      <w:r w:rsidRPr="00F73BFB">
        <w:rPr>
          <w:b/>
        </w:rPr>
        <w:t xml:space="preserve">Q8. </w:t>
      </w:r>
      <w:r w:rsidRPr="00F73BFB">
        <w:t xml:space="preserve">Which requirements should apply in the application phase of continuous models (e.g. </w:t>
      </w:r>
      <w:r w:rsidRPr="00F73BFB">
        <w:rPr>
          <w:spacing w:val="-2"/>
        </w:rPr>
        <w:t>overrides)?</w:t>
      </w:r>
    </w:p>
    <w:p w14:paraId="66BCE030" w14:textId="77777777" w:rsidR="00D14E02" w:rsidRDefault="00E01AB2" w:rsidP="00ED7836">
      <w:pPr>
        <w:pStyle w:val="BodyText"/>
        <w:ind w:left="143"/>
        <w:jc w:val="both"/>
        <w:rPr>
          <w:color w:val="0070C0"/>
          <w:lang w:val="en-GB"/>
        </w:rPr>
      </w:pPr>
      <w:r w:rsidRPr="00F73BFB">
        <w:rPr>
          <w:color w:val="0070C0"/>
          <w:lang w:val="en-GB"/>
        </w:rPr>
        <w:t>[</w:t>
      </w:r>
      <w:r w:rsidRPr="00F73BFB">
        <w:rPr>
          <w:b/>
          <w:color w:val="0070C0"/>
          <w:lang w:val="en-GB"/>
        </w:rPr>
        <w:t>Response</w:t>
      </w:r>
      <w:r w:rsidRPr="00F73BFB">
        <w:rPr>
          <w:color w:val="0070C0"/>
          <w:lang w:val="en-GB"/>
        </w:rPr>
        <w:t>:</w:t>
      </w:r>
      <w:r w:rsidR="0043046D" w:rsidRPr="00F73BFB">
        <w:rPr>
          <w:color w:val="0070C0"/>
          <w:lang w:val="en-GB"/>
        </w:rPr>
        <w:t xml:space="preserve"> </w:t>
      </w:r>
    </w:p>
    <w:p w14:paraId="50C28BB1" w14:textId="77777777" w:rsidR="00B16686" w:rsidRPr="00B16686" w:rsidRDefault="00B16686" w:rsidP="00B16686">
      <w:pPr>
        <w:pStyle w:val="BodyText"/>
        <w:numPr>
          <w:ilvl w:val="0"/>
          <w:numId w:val="38"/>
        </w:numPr>
        <w:jc w:val="both"/>
        <w:rPr>
          <w:color w:val="0070C0"/>
          <w:lang w:val="en-GB"/>
        </w:rPr>
      </w:pPr>
      <w:r w:rsidRPr="00B16686">
        <w:rPr>
          <w:color w:val="0070C0"/>
          <w:lang w:val="en-GB"/>
        </w:rPr>
        <w:t xml:space="preserve">We consider that </w:t>
      </w:r>
      <w:r w:rsidRPr="00B16686">
        <w:rPr>
          <w:b/>
          <w:bCs/>
          <w:color w:val="0070C0"/>
          <w:lang w:val="en-GB"/>
        </w:rPr>
        <w:t>no additional requirements specific to continuous models are necessary for the application phase, including the use of overrides</w:t>
      </w:r>
      <w:r w:rsidRPr="00B16686">
        <w:rPr>
          <w:color w:val="0070C0"/>
          <w:lang w:val="en-GB"/>
        </w:rPr>
        <w:t>.</w:t>
      </w:r>
    </w:p>
    <w:p w14:paraId="5275E090" w14:textId="77777777" w:rsidR="00B16686" w:rsidRPr="00B16686" w:rsidRDefault="00B16686" w:rsidP="00B16686">
      <w:pPr>
        <w:pStyle w:val="BodyText"/>
        <w:numPr>
          <w:ilvl w:val="0"/>
          <w:numId w:val="38"/>
        </w:numPr>
        <w:jc w:val="both"/>
        <w:rPr>
          <w:color w:val="0070C0"/>
          <w:lang w:val="en-GB"/>
        </w:rPr>
      </w:pPr>
      <w:r w:rsidRPr="00B16686">
        <w:rPr>
          <w:color w:val="0070C0"/>
          <w:lang w:val="en-GB"/>
        </w:rPr>
        <w:t>Overrides inherently rely on expert judgement, regardless of whether they are applied in discrete models (e.g. rating notching) or continuous models (e.g. applying a proportional adjustment to the estimated risk parameter). As such, introducing additional model-specific requirements for continuous models would not improve consistency, create a level playing field, or reduce unwarranted RWA variability.</w:t>
      </w:r>
    </w:p>
    <w:p w14:paraId="0F34D74C" w14:textId="69D91D1C" w:rsidR="00B16686" w:rsidRPr="00B16686" w:rsidRDefault="00B16686" w:rsidP="00B16686">
      <w:pPr>
        <w:pStyle w:val="BodyText"/>
        <w:numPr>
          <w:ilvl w:val="0"/>
          <w:numId w:val="38"/>
        </w:numPr>
        <w:jc w:val="both"/>
        <w:rPr>
          <w:color w:val="0070C0"/>
          <w:lang w:val="en-GB"/>
        </w:rPr>
      </w:pPr>
      <w:r w:rsidRPr="00B16686">
        <w:rPr>
          <w:color w:val="0070C0"/>
          <w:lang w:val="en-GB"/>
        </w:rPr>
        <w:t>The existing supervisory framework for overrides</w:t>
      </w:r>
      <w:r w:rsidR="00C91CB2">
        <w:rPr>
          <w:color w:val="0070C0"/>
          <w:lang w:val="en-GB"/>
        </w:rPr>
        <w:t xml:space="preserve"> – </w:t>
      </w:r>
      <w:r w:rsidRPr="00B16686">
        <w:rPr>
          <w:color w:val="0070C0"/>
          <w:lang w:val="en-GB"/>
        </w:rPr>
        <w:t>covering governance, justification, and monitoring</w:t>
      </w:r>
      <w:r w:rsidR="00C91CB2">
        <w:rPr>
          <w:color w:val="0070C0"/>
          <w:lang w:val="en-GB"/>
        </w:rPr>
        <w:t xml:space="preserve"> – I</w:t>
      </w:r>
      <w:r w:rsidRPr="00B16686">
        <w:rPr>
          <w:color w:val="0070C0"/>
          <w:lang w:val="en-GB"/>
        </w:rPr>
        <w:t>s sufficient and should continue to apply equally to both discrete and continuous modelling approaches.</w:t>
      </w:r>
    </w:p>
    <w:p w14:paraId="6224AB27" w14:textId="7CE34226" w:rsidR="00B16686" w:rsidRPr="00B16686" w:rsidRDefault="00B16686" w:rsidP="00B16686">
      <w:pPr>
        <w:pStyle w:val="BodyText"/>
        <w:numPr>
          <w:ilvl w:val="0"/>
          <w:numId w:val="38"/>
        </w:numPr>
        <w:jc w:val="both"/>
        <w:rPr>
          <w:color w:val="0070C0"/>
          <w:lang w:val="en-GB"/>
        </w:rPr>
      </w:pPr>
      <w:r w:rsidRPr="00B16686">
        <w:rPr>
          <w:color w:val="0070C0"/>
          <w:lang w:val="en-GB"/>
        </w:rPr>
        <w:t>While notching is not directly applicable to continuous models, alternative approaches are already feasible, such as:</w:t>
      </w:r>
    </w:p>
    <w:p w14:paraId="33C6F32D" w14:textId="77777777" w:rsidR="00B16686" w:rsidRPr="00B16686" w:rsidRDefault="00B16686" w:rsidP="00B16686">
      <w:pPr>
        <w:pStyle w:val="BodyText"/>
        <w:numPr>
          <w:ilvl w:val="1"/>
          <w:numId w:val="38"/>
        </w:numPr>
        <w:jc w:val="both"/>
        <w:rPr>
          <w:color w:val="0070C0"/>
          <w:lang w:val="en-GB"/>
        </w:rPr>
      </w:pPr>
      <w:r w:rsidRPr="00B16686">
        <w:rPr>
          <w:color w:val="0070C0"/>
          <w:lang w:val="en-GB"/>
        </w:rPr>
        <w:t>applying relative (percentage-based) adjustments to model outputs, or</w:t>
      </w:r>
    </w:p>
    <w:p w14:paraId="2D27BF97" w14:textId="2DADD189" w:rsidR="00B16686" w:rsidRPr="00B16686" w:rsidRDefault="00B16686" w:rsidP="00B16686">
      <w:pPr>
        <w:pStyle w:val="BodyText"/>
        <w:numPr>
          <w:ilvl w:val="1"/>
          <w:numId w:val="38"/>
        </w:numPr>
        <w:jc w:val="both"/>
        <w:rPr>
          <w:color w:val="0070C0"/>
          <w:lang w:val="en-GB"/>
        </w:rPr>
      </w:pPr>
      <w:r w:rsidRPr="00B16686">
        <w:rPr>
          <w:color w:val="0070C0"/>
          <w:lang w:val="en-GB"/>
        </w:rPr>
        <w:t>using discretisation of continuous estimates (e.g. bucket-based approaches) to support override decisions.</w:t>
      </w:r>
    </w:p>
    <w:p w14:paraId="68EDBD2C" w14:textId="77777777" w:rsidR="00B16686" w:rsidRPr="00B16686" w:rsidRDefault="00B16686" w:rsidP="00B16686">
      <w:pPr>
        <w:pStyle w:val="BodyText"/>
        <w:numPr>
          <w:ilvl w:val="0"/>
          <w:numId w:val="38"/>
        </w:numPr>
        <w:jc w:val="both"/>
        <w:rPr>
          <w:color w:val="0070C0"/>
          <w:lang w:val="en-GB"/>
        </w:rPr>
      </w:pPr>
      <w:r w:rsidRPr="00B16686">
        <w:rPr>
          <w:color w:val="0070C0"/>
          <w:lang w:val="en-GB"/>
        </w:rPr>
        <w:t>If further facilitation is considered, aligning any discretisation used for overrides with that applied in performance testing could enhance consistency and operational efficiency. However, such measures should remain optional and supportive rather than prescriptive.</w:t>
      </w:r>
    </w:p>
    <w:p w14:paraId="0DF6FB5A" w14:textId="037F3F78" w:rsidR="00B16686" w:rsidRDefault="00B16686" w:rsidP="00B16686">
      <w:pPr>
        <w:pStyle w:val="BodyText"/>
        <w:numPr>
          <w:ilvl w:val="0"/>
          <w:numId w:val="38"/>
        </w:numPr>
        <w:jc w:val="both"/>
        <w:rPr>
          <w:color w:val="0070C0"/>
          <w:lang w:val="en-GB"/>
        </w:rPr>
      </w:pPr>
      <w:r w:rsidRPr="00B16686">
        <w:rPr>
          <w:color w:val="0070C0"/>
          <w:lang w:val="en-GB"/>
        </w:rPr>
        <w:t>Overall, the focus should remain on consistent governance of expert judgement rather than introducing additional requirements specific to continuous models.</w:t>
      </w:r>
    </w:p>
    <w:p w14:paraId="68DCF912" w14:textId="6B4FB154" w:rsidR="00B16686" w:rsidRDefault="00C91CB2" w:rsidP="00ED7836">
      <w:pPr>
        <w:pStyle w:val="BodyText"/>
        <w:ind w:left="143"/>
        <w:jc w:val="both"/>
        <w:rPr>
          <w:color w:val="0070C0"/>
          <w:lang w:val="en-GB"/>
        </w:rPr>
      </w:pPr>
      <w:r>
        <w:rPr>
          <w:color w:val="0070C0"/>
          <w:lang w:val="en-GB"/>
        </w:rPr>
        <w:t>]</w:t>
      </w:r>
    </w:p>
    <w:p w14:paraId="6915A0CD" w14:textId="77777777" w:rsidR="00E01AB2" w:rsidRPr="00F73BFB" w:rsidRDefault="00E01AB2">
      <w:pPr>
        <w:pStyle w:val="BodyText"/>
        <w:spacing w:before="121" w:line="276" w:lineRule="auto"/>
        <w:ind w:left="143" w:right="140"/>
        <w:jc w:val="both"/>
        <w:rPr>
          <w:lang w:val="en-GB"/>
        </w:rPr>
      </w:pPr>
    </w:p>
    <w:p w14:paraId="2F55E3B7" w14:textId="77777777" w:rsidR="00017515" w:rsidRPr="00F73BFB" w:rsidRDefault="00A567F8" w:rsidP="00790CCA">
      <w:pPr>
        <w:pStyle w:val="Heading2"/>
        <w:rPr>
          <w:spacing w:val="-2"/>
        </w:rPr>
      </w:pPr>
      <w:r w:rsidRPr="00F73BFB">
        <w:rPr>
          <w:b/>
        </w:rPr>
        <w:t>Q9.</w:t>
      </w:r>
      <w:r w:rsidRPr="00F73BFB">
        <w:rPr>
          <w:b/>
          <w:spacing w:val="-5"/>
        </w:rPr>
        <w:t xml:space="preserve"> </w:t>
      </w:r>
      <w:r w:rsidRPr="00F73BFB">
        <w:t>Which</w:t>
      </w:r>
      <w:r w:rsidRPr="00F73BFB">
        <w:rPr>
          <w:spacing w:val="-4"/>
        </w:rPr>
        <w:t xml:space="preserve"> </w:t>
      </w:r>
      <w:r w:rsidRPr="00F73BFB">
        <w:t>challenges</w:t>
      </w:r>
      <w:r w:rsidRPr="00F73BFB">
        <w:rPr>
          <w:spacing w:val="-3"/>
        </w:rPr>
        <w:t xml:space="preserve"> </w:t>
      </w:r>
      <w:r w:rsidRPr="00F73BFB">
        <w:t>have</w:t>
      </w:r>
      <w:r w:rsidRPr="00F73BFB">
        <w:rPr>
          <w:spacing w:val="-6"/>
        </w:rPr>
        <w:t xml:space="preserve"> </w:t>
      </w:r>
      <w:r w:rsidRPr="00F73BFB">
        <w:t>you</w:t>
      </w:r>
      <w:r w:rsidRPr="00F73BFB">
        <w:rPr>
          <w:spacing w:val="-8"/>
        </w:rPr>
        <w:t xml:space="preserve"> </w:t>
      </w:r>
      <w:r w:rsidRPr="00F73BFB">
        <w:t>encountered</w:t>
      </w:r>
      <w:r w:rsidRPr="00F73BFB">
        <w:rPr>
          <w:spacing w:val="-6"/>
        </w:rPr>
        <w:t xml:space="preserve"> </w:t>
      </w:r>
      <w:r w:rsidRPr="00F73BFB">
        <w:t>in</w:t>
      </w:r>
      <w:r w:rsidRPr="00F73BFB">
        <w:rPr>
          <w:spacing w:val="-4"/>
        </w:rPr>
        <w:t xml:space="preserve"> </w:t>
      </w:r>
      <w:r w:rsidRPr="00F73BFB">
        <w:t>implementing</w:t>
      </w:r>
      <w:r w:rsidRPr="00F73BFB">
        <w:rPr>
          <w:spacing w:val="-5"/>
        </w:rPr>
        <w:t xml:space="preserve"> </w:t>
      </w:r>
      <w:r w:rsidRPr="00F73BFB">
        <w:t>the</w:t>
      </w:r>
      <w:r w:rsidRPr="00F73BFB">
        <w:rPr>
          <w:spacing w:val="-4"/>
        </w:rPr>
        <w:t xml:space="preserve"> </w:t>
      </w:r>
      <w:r w:rsidRPr="00F73BFB">
        <w:t>new</w:t>
      </w:r>
      <w:r w:rsidRPr="00F73BFB">
        <w:rPr>
          <w:spacing w:val="-3"/>
        </w:rPr>
        <w:t xml:space="preserve"> </w:t>
      </w:r>
      <w:r w:rsidRPr="00F73BFB">
        <w:t>CRR</w:t>
      </w:r>
      <w:r w:rsidRPr="00F73BFB">
        <w:rPr>
          <w:spacing w:val="-4"/>
        </w:rPr>
        <w:t xml:space="preserve"> </w:t>
      </w:r>
      <w:r w:rsidRPr="00F73BFB">
        <w:t>definition</w:t>
      </w:r>
      <w:r w:rsidRPr="00F73BFB">
        <w:rPr>
          <w:spacing w:val="-7"/>
        </w:rPr>
        <w:t xml:space="preserve"> </w:t>
      </w:r>
      <w:r w:rsidRPr="00F73BFB">
        <w:t>of</w:t>
      </w:r>
      <w:r w:rsidRPr="00F73BFB">
        <w:rPr>
          <w:spacing w:val="-3"/>
        </w:rPr>
        <w:t xml:space="preserve"> </w:t>
      </w:r>
      <w:r w:rsidRPr="00F73BFB">
        <w:rPr>
          <w:spacing w:val="-2"/>
        </w:rPr>
        <w:t>facility?</w:t>
      </w:r>
    </w:p>
    <w:p w14:paraId="25F57743" w14:textId="3940C56A" w:rsidR="00C91CB2" w:rsidRDefault="00E01AB2" w:rsidP="00C91CB2">
      <w:pPr>
        <w:pStyle w:val="BodyText"/>
        <w:ind w:left="143"/>
        <w:jc w:val="both"/>
        <w:rPr>
          <w:color w:val="0070C0"/>
          <w:lang w:val="en-GB"/>
        </w:rPr>
      </w:pPr>
      <w:r w:rsidRPr="00F73BFB">
        <w:rPr>
          <w:color w:val="0070C0"/>
          <w:lang w:val="en-GB"/>
        </w:rPr>
        <w:t>[</w:t>
      </w:r>
      <w:r w:rsidRPr="00F73BFB">
        <w:rPr>
          <w:b/>
          <w:bCs/>
          <w:color w:val="0070C0"/>
          <w:lang w:val="en-GB"/>
        </w:rPr>
        <w:t>Response</w:t>
      </w:r>
      <w:r w:rsidRPr="00F73BFB">
        <w:rPr>
          <w:color w:val="0070C0"/>
          <w:lang w:val="en-GB"/>
        </w:rPr>
        <w:t xml:space="preserve">: </w:t>
      </w:r>
    </w:p>
    <w:p w14:paraId="7EE45D68" w14:textId="59BB3F25" w:rsidR="00C91CB2" w:rsidRPr="00C91CB2" w:rsidRDefault="00C91CB2" w:rsidP="00C91CB2">
      <w:pPr>
        <w:pStyle w:val="BodyText"/>
        <w:numPr>
          <w:ilvl w:val="0"/>
          <w:numId w:val="40"/>
        </w:numPr>
        <w:jc w:val="both"/>
        <w:rPr>
          <w:color w:val="0070C0"/>
          <w:lang w:val="en-GB"/>
        </w:rPr>
      </w:pPr>
      <w:r w:rsidRPr="00C91CB2">
        <w:rPr>
          <w:color w:val="0070C0"/>
          <w:lang w:val="en-GB"/>
        </w:rPr>
        <w:t>Overall, we have not encountered material challenges arising directly from the new CRR3 definition of a facility, as our existing internal definitions were already aligned</w:t>
      </w:r>
      <w:r>
        <w:rPr>
          <w:color w:val="0070C0"/>
          <w:lang w:val="en-GB"/>
        </w:rPr>
        <w:t>.</w:t>
      </w:r>
    </w:p>
    <w:p w14:paraId="514C6869" w14:textId="2A06957A" w:rsidR="00C91CB2" w:rsidRPr="00C91CB2" w:rsidRDefault="00C91CB2" w:rsidP="00C91CB2">
      <w:pPr>
        <w:pStyle w:val="BodyText"/>
        <w:numPr>
          <w:ilvl w:val="0"/>
          <w:numId w:val="40"/>
        </w:numPr>
        <w:jc w:val="both"/>
        <w:rPr>
          <w:color w:val="0070C0"/>
          <w:lang w:val="en-GB"/>
        </w:rPr>
      </w:pPr>
      <w:r w:rsidRPr="00C91CB2">
        <w:rPr>
          <w:color w:val="0070C0"/>
          <w:lang w:val="en-GB"/>
        </w:rPr>
        <w:t>However, some practical implementation challenges arise in ensuring consistent application across models, systems, and processes. These include:</w:t>
      </w:r>
    </w:p>
    <w:p w14:paraId="7B4E70A3" w14:textId="77777777" w:rsidR="00C91CB2" w:rsidRPr="00C91CB2" w:rsidRDefault="00C91CB2" w:rsidP="006953DE">
      <w:pPr>
        <w:pStyle w:val="BodyText"/>
        <w:numPr>
          <w:ilvl w:val="1"/>
          <w:numId w:val="40"/>
        </w:numPr>
        <w:jc w:val="both"/>
        <w:rPr>
          <w:color w:val="0070C0"/>
          <w:lang w:val="en-GB"/>
        </w:rPr>
      </w:pPr>
      <w:r w:rsidRPr="00C91CB2">
        <w:rPr>
          <w:color w:val="0070C0"/>
          <w:lang w:val="en-GB"/>
        </w:rPr>
        <w:t>determining the appropriate level of facility aggregation for different risk parameters,</w:t>
      </w:r>
    </w:p>
    <w:p w14:paraId="0B441E05" w14:textId="77777777" w:rsidR="00C91CB2" w:rsidRPr="00C91CB2" w:rsidRDefault="00C91CB2" w:rsidP="006953DE">
      <w:pPr>
        <w:pStyle w:val="BodyText"/>
        <w:numPr>
          <w:ilvl w:val="1"/>
          <w:numId w:val="40"/>
        </w:numPr>
        <w:jc w:val="both"/>
        <w:rPr>
          <w:color w:val="0070C0"/>
          <w:lang w:val="en-GB"/>
        </w:rPr>
      </w:pPr>
      <w:r w:rsidRPr="00C91CB2">
        <w:rPr>
          <w:color w:val="0070C0"/>
          <w:lang w:val="en-GB"/>
        </w:rPr>
        <w:t>handling facilities that combine revolving and non-revolving components,</w:t>
      </w:r>
    </w:p>
    <w:p w14:paraId="4F406295" w14:textId="77777777" w:rsidR="00C91CB2" w:rsidRPr="00C91CB2" w:rsidRDefault="00C91CB2" w:rsidP="006953DE">
      <w:pPr>
        <w:pStyle w:val="BodyText"/>
        <w:numPr>
          <w:ilvl w:val="1"/>
          <w:numId w:val="40"/>
        </w:numPr>
        <w:jc w:val="both"/>
        <w:rPr>
          <w:color w:val="0070C0"/>
          <w:lang w:val="en-GB"/>
        </w:rPr>
      </w:pPr>
      <w:r w:rsidRPr="00C91CB2">
        <w:rPr>
          <w:color w:val="0070C0"/>
          <w:lang w:val="en-GB"/>
        </w:rPr>
        <w:t>managing facilities with both amortising and non-amortising structures,</w:t>
      </w:r>
    </w:p>
    <w:p w14:paraId="2A97A574" w14:textId="77777777" w:rsidR="00C91CB2" w:rsidRDefault="00C91CB2" w:rsidP="006953DE">
      <w:pPr>
        <w:pStyle w:val="BodyText"/>
        <w:numPr>
          <w:ilvl w:val="1"/>
          <w:numId w:val="40"/>
        </w:numPr>
        <w:jc w:val="both"/>
        <w:rPr>
          <w:color w:val="0070C0"/>
          <w:lang w:val="en-GB"/>
        </w:rPr>
      </w:pPr>
      <w:r w:rsidRPr="00C91CB2">
        <w:rPr>
          <w:color w:val="0070C0"/>
          <w:lang w:val="en-GB"/>
        </w:rPr>
        <w:t xml:space="preserve">addressing exposure migration between facilities over time (e.g. product switching), </w:t>
      </w:r>
    </w:p>
    <w:p w14:paraId="7412D3E1" w14:textId="77495A63" w:rsidR="00C91CB2" w:rsidRPr="00C91CB2" w:rsidRDefault="00C91CB2" w:rsidP="006953DE">
      <w:pPr>
        <w:pStyle w:val="BodyText"/>
        <w:numPr>
          <w:ilvl w:val="1"/>
          <w:numId w:val="40"/>
        </w:numPr>
        <w:jc w:val="both"/>
        <w:rPr>
          <w:color w:val="0070C0"/>
          <w:lang w:val="en-GB"/>
        </w:rPr>
      </w:pPr>
      <w:r w:rsidRPr="00C91CB2">
        <w:rPr>
          <w:color w:val="0070C0"/>
          <w:lang w:val="en-GB"/>
        </w:rPr>
        <w:lastRenderedPageBreak/>
        <w:t xml:space="preserve">linking facilities that </w:t>
      </w:r>
      <w:r>
        <w:rPr>
          <w:color w:val="0070C0"/>
          <w:lang w:val="en-GB"/>
        </w:rPr>
        <w:t xml:space="preserve">are created during default restructuring </w:t>
      </w:r>
      <w:r w:rsidRPr="00C91CB2">
        <w:rPr>
          <w:color w:val="0070C0"/>
          <w:lang w:val="en-GB"/>
        </w:rPr>
        <w:t xml:space="preserve">to prior </w:t>
      </w:r>
      <w:r>
        <w:rPr>
          <w:color w:val="0070C0"/>
          <w:lang w:val="en-GB"/>
        </w:rPr>
        <w:t xml:space="preserve">performing </w:t>
      </w:r>
      <w:r w:rsidRPr="00C91CB2">
        <w:rPr>
          <w:color w:val="0070C0"/>
          <w:lang w:val="en-GB"/>
        </w:rPr>
        <w:t>exposures</w:t>
      </w:r>
      <w:r>
        <w:rPr>
          <w:color w:val="0070C0"/>
          <w:lang w:val="en-GB"/>
        </w:rPr>
        <w:t>,</w:t>
      </w:r>
      <w:r w:rsidRPr="00C91CB2">
        <w:rPr>
          <w:color w:val="0070C0"/>
          <w:lang w:val="en-GB"/>
        </w:rPr>
        <w:t xml:space="preserve"> and</w:t>
      </w:r>
    </w:p>
    <w:p w14:paraId="5DF96B48" w14:textId="63E0CCAE" w:rsidR="00C91CB2" w:rsidRPr="00C91CB2" w:rsidRDefault="00C91CB2" w:rsidP="006953DE">
      <w:pPr>
        <w:pStyle w:val="BodyText"/>
        <w:numPr>
          <w:ilvl w:val="1"/>
          <w:numId w:val="40"/>
        </w:numPr>
        <w:jc w:val="both"/>
        <w:rPr>
          <w:color w:val="0070C0"/>
          <w:lang w:val="en-GB"/>
        </w:rPr>
      </w:pPr>
      <w:r w:rsidRPr="00C91CB2">
        <w:rPr>
          <w:color w:val="0070C0"/>
          <w:lang w:val="en-GB"/>
        </w:rPr>
        <w:t>reflecting structural changes in facilities throughout their lifecycle.</w:t>
      </w:r>
    </w:p>
    <w:p w14:paraId="23CFC78E" w14:textId="394A85BA" w:rsidR="00C91CB2" w:rsidRDefault="00C91CB2" w:rsidP="00C91CB2">
      <w:pPr>
        <w:pStyle w:val="BodyText"/>
        <w:numPr>
          <w:ilvl w:val="0"/>
          <w:numId w:val="40"/>
        </w:numPr>
        <w:jc w:val="both"/>
        <w:rPr>
          <w:color w:val="0070C0"/>
          <w:lang w:val="en-GB"/>
        </w:rPr>
      </w:pPr>
      <w:r w:rsidRPr="00C91CB2">
        <w:rPr>
          <w:color w:val="0070C0"/>
          <w:lang w:val="en-GB"/>
        </w:rPr>
        <w:t>Overall, the new definition is not seen as problematic in principle, but its consistent operationalisation across portfolios, time, and data histories requires careful handling.</w:t>
      </w:r>
    </w:p>
    <w:p w14:paraId="00A8EF1D" w14:textId="28C54123" w:rsidR="00C91CB2" w:rsidRPr="00F73BFB" w:rsidRDefault="00C91CB2" w:rsidP="61B07537">
      <w:pPr>
        <w:pStyle w:val="BodyText"/>
        <w:ind w:left="143"/>
        <w:jc w:val="both"/>
        <w:rPr>
          <w:color w:val="0070C0"/>
          <w:lang w:val="en-GB"/>
        </w:rPr>
      </w:pPr>
      <w:r>
        <w:rPr>
          <w:color w:val="0070C0"/>
          <w:lang w:val="en-GB"/>
        </w:rPr>
        <w:t>]</w:t>
      </w:r>
    </w:p>
    <w:p w14:paraId="793C88AA" w14:textId="77777777" w:rsidR="00E01AB2" w:rsidRPr="00F73BFB" w:rsidRDefault="00E01AB2" w:rsidP="00C91CB2">
      <w:pPr>
        <w:pStyle w:val="BodyText"/>
        <w:spacing w:before="121"/>
        <w:jc w:val="both"/>
        <w:rPr>
          <w:lang w:val="en-GB"/>
        </w:rPr>
      </w:pPr>
    </w:p>
    <w:p w14:paraId="0D0DB2AF" w14:textId="77777777" w:rsidR="00017515" w:rsidRPr="00F73BFB" w:rsidRDefault="00A567F8" w:rsidP="00790CCA">
      <w:pPr>
        <w:pStyle w:val="Heading2"/>
        <w:rPr>
          <w:spacing w:val="-2"/>
        </w:rPr>
      </w:pPr>
      <w:r w:rsidRPr="00F73BFB">
        <w:rPr>
          <w:b/>
        </w:rPr>
        <w:t>Q10.</w:t>
      </w:r>
      <w:r w:rsidRPr="00F73BFB">
        <w:rPr>
          <w:b/>
          <w:spacing w:val="-2"/>
        </w:rPr>
        <w:t xml:space="preserve"> </w:t>
      </w:r>
      <w:r w:rsidRPr="00F73BFB">
        <w:t>Should</w:t>
      </w:r>
      <w:r w:rsidRPr="00F73BFB">
        <w:rPr>
          <w:spacing w:val="-4"/>
        </w:rPr>
        <w:t xml:space="preserve"> </w:t>
      </w:r>
      <w:r w:rsidRPr="00F73BFB">
        <w:t>a</w:t>
      </w:r>
      <w:r w:rsidRPr="00F73BFB">
        <w:rPr>
          <w:spacing w:val="-5"/>
        </w:rPr>
        <w:t xml:space="preserve"> </w:t>
      </w:r>
      <w:r w:rsidRPr="00F73BFB">
        <w:t>consistent</w:t>
      </w:r>
      <w:r w:rsidRPr="00F73BFB">
        <w:rPr>
          <w:spacing w:val="-4"/>
        </w:rPr>
        <w:t xml:space="preserve"> </w:t>
      </w:r>
      <w:r w:rsidRPr="00F73BFB">
        <w:t>and</w:t>
      </w:r>
      <w:r w:rsidRPr="00F73BFB">
        <w:rPr>
          <w:spacing w:val="-4"/>
        </w:rPr>
        <w:t xml:space="preserve"> </w:t>
      </w:r>
      <w:r w:rsidRPr="00F73BFB">
        <w:t>single</w:t>
      </w:r>
      <w:r w:rsidRPr="00F73BFB">
        <w:rPr>
          <w:spacing w:val="-2"/>
        </w:rPr>
        <w:t xml:space="preserve"> </w:t>
      </w:r>
      <w:r w:rsidRPr="00F73BFB">
        <w:t>facility</w:t>
      </w:r>
      <w:r w:rsidRPr="00F73BFB">
        <w:rPr>
          <w:spacing w:val="-4"/>
        </w:rPr>
        <w:t xml:space="preserve"> </w:t>
      </w:r>
      <w:r w:rsidRPr="00F73BFB">
        <w:t>definition</w:t>
      </w:r>
      <w:r w:rsidRPr="00F73BFB">
        <w:rPr>
          <w:spacing w:val="-5"/>
        </w:rPr>
        <w:t xml:space="preserve"> </w:t>
      </w:r>
      <w:r w:rsidRPr="00F73BFB">
        <w:t>be</w:t>
      </w:r>
      <w:r w:rsidRPr="00F73BFB">
        <w:rPr>
          <w:spacing w:val="-3"/>
        </w:rPr>
        <w:t xml:space="preserve"> </w:t>
      </w:r>
      <w:r w:rsidRPr="00F73BFB">
        <w:t>applied</w:t>
      </w:r>
      <w:r w:rsidRPr="00F73BFB">
        <w:rPr>
          <w:spacing w:val="-2"/>
        </w:rPr>
        <w:t xml:space="preserve"> </w:t>
      </w:r>
      <w:r w:rsidRPr="00F73BFB">
        <w:t>across</w:t>
      </w:r>
      <w:r w:rsidRPr="00F73BFB">
        <w:rPr>
          <w:spacing w:val="-3"/>
        </w:rPr>
        <w:t xml:space="preserve"> </w:t>
      </w:r>
      <w:r w:rsidRPr="00F73BFB">
        <w:t>all</w:t>
      </w:r>
      <w:r w:rsidRPr="00F73BFB">
        <w:rPr>
          <w:spacing w:val="-5"/>
        </w:rPr>
        <w:t xml:space="preserve"> </w:t>
      </w:r>
      <w:r w:rsidRPr="00F73BFB">
        <w:t>risk</w:t>
      </w:r>
      <w:r w:rsidRPr="00F73BFB">
        <w:rPr>
          <w:spacing w:val="-2"/>
        </w:rPr>
        <w:t xml:space="preserve"> parameters?</w:t>
      </w:r>
    </w:p>
    <w:p w14:paraId="268550C7" w14:textId="77777777" w:rsidR="003D6E74" w:rsidRDefault="00E01AB2" w:rsidP="003D6E74">
      <w:pPr>
        <w:pStyle w:val="BodyText"/>
        <w:ind w:left="143"/>
        <w:jc w:val="both"/>
        <w:rPr>
          <w:color w:val="0070C0"/>
          <w:lang w:val="en-GB"/>
        </w:rPr>
      </w:pPr>
      <w:r w:rsidRPr="00F73BFB">
        <w:rPr>
          <w:color w:val="0070C0"/>
          <w:lang w:val="en-GB"/>
        </w:rPr>
        <w:t>[</w:t>
      </w:r>
      <w:r w:rsidRPr="00F73BFB">
        <w:rPr>
          <w:b/>
          <w:bCs/>
          <w:color w:val="0070C0"/>
          <w:lang w:val="en-GB"/>
        </w:rPr>
        <w:t>Response</w:t>
      </w:r>
      <w:r w:rsidRPr="00F73BFB">
        <w:rPr>
          <w:color w:val="0070C0"/>
          <w:lang w:val="en-GB"/>
        </w:rPr>
        <w:t xml:space="preserve">: </w:t>
      </w:r>
    </w:p>
    <w:p w14:paraId="60DCD7D0" w14:textId="48404D02" w:rsidR="009573E5" w:rsidRPr="009573E5" w:rsidRDefault="009573E5" w:rsidP="009573E5">
      <w:pPr>
        <w:pStyle w:val="BodyText"/>
        <w:numPr>
          <w:ilvl w:val="0"/>
          <w:numId w:val="45"/>
        </w:numPr>
        <w:jc w:val="both"/>
        <w:rPr>
          <w:color w:val="0070C0"/>
          <w:lang w:val="en-GB"/>
        </w:rPr>
      </w:pPr>
      <w:r w:rsidRPr="009573E5">
        <w:rPr>
          <w:color w:val="0070C0"/>
          <w:lang w:val="en-GB"/>
        </w:rPr>
        <w:t xml:space="preserve">In our view, </w:t>
      </w:r>
      <w:r w:rsidRPr="009573E5">
        <w:rPr>
          <w:b/>
          <w:bCs/>
          <w:color w:val="0070C0"/>
          <w:lang w:val="en-GB"/>
        </w:rPr>
        <w:t>applying a single facility definition across all risk parameters is not advisable</w:t>
      </w:r>
      <w:r w:rsidRPr="009573E5">
        <w:rPr>
          <w:color w:val="0070C0"/>
          <w:lang w:val="en-GB"/>
        </w:rPr>
        <w:t>. This is primarily because different aggregation levels are appropriate for different parameters, and because facility structures can be inherently complex.</w:t>
      </w:r>
    </w:p>
    <w:p w14:paraId="0661E54A" w14:textId="147A3AF7" w:rsidR="009573E5" w:rsidRPr="009573E5" w:rsidRDefault="009573E5" w:rsidP="009573E5">
      <w:pPr>
        <w:pStyle w:val="BodyText"/>
        <w:numPr>
          <w:ilvl w:val="0"/>
          <w:numId w:val="45"/>
        </w:numPr>
        <w:jc w:val="both"/>
        <w:rPr>
          <w:color w:val="0070C0"/>
          <w:lang w:val="en-GB"/>
        </w:rPr>
      </w:pPr>
      <w:r w:rsidRPr="009573E5">
        <w:rPr>
          <w:color w:val="0070C0"/>
          <w:lang w:val="en-GB"/>
        </w:rPr>
        <w:t>In particular:</w:t>
      </w:r>
    </w:p>
    <w:p w14:paraId="74A5F73C" w14:textId="77777777" w:rsidR="009573E5" w:rsidRPr="009573E5" w:rsidRDefault="009573E5" w:rsidP="009573E5">
      <w:pPr>
        <w:pStyle w:val="BodyText"/>
        <w:numPr>
          <w:ilvl w:val="1"/>
          <w:numId w:val="45"/>
        </w:numPr>
        <w:jc w:val="both"/>
        <w:rPr>
          <w:color w:val="0070C0"/>
          <w:lang w:val="en-GB"/>
        </w:rPr>
      </w:pPr>
      <w:r w:rsidRPr="009573E5">
        <w:rPr>
          <w:color w:val="0070C0"/>
          <w:lang w:val="en-GB"/>
        </w:rPr>
        <w:t>Collateral management, which is central to LGD estimation, often takes place at a higher aggregation level than limit management, which is more relevant for CCF estimation. As a result, different aggregation levels may be required for LGD versus CCF.</w:t>
      </w:r>
    </w:p>
    <w:p w14:paraId="1E0AB136" w14:textId="77777777" w:rsidR="009573E5" w:rsidRPr="009573E5" w:rsidRDefault="009573E5" w:rsidP="009573E5">
      <w:pPr>
        <w:pStyle w:val="BodyText"/>
        <w:numPr>
          <w:ilvl w:val="1"/>
          <w:numId w:val="45"/>
        </w:numPr>
        <w:jc w:val="both"/>
        <w:rPr>
          <w:color w:val="0070C0"/>
          <w:lang w:val="en-GB"/>
        </w:rPr>
      </w:pPr>
      <w:r w:rsidRPr="009573E5">
        <w:rPr>
          <w:color w:val="0070C0"/>
          <w:lang w:val="en-GB"/>
        </w:rPr>
        <w:t>Facilities may include a combination of revolving and non-revolving components, which often need to be disaggregated for accurate CCF estimation.</w:t>
      </w:r>
    </w:p>
    <w:p w14:paraId="69792986" w14:textId="60FBD206" w:rsidR="009573E5" w:rsidRPr="009573E5" w:rsidRDefault="009573E5" w:rsidP="009573E5">
      <w:pPr>
        <w:pStyle w:val="BodyText"/>
        <w:numPr>
          <w:ilvl w:val="1"/>
          <w:numId w:val="45"/>
        </w:numPr>
        <w:jc w:val="both"/>
        <w:rPr>
          <w:color w:val="0070C0"/>
          <w:lang w:val="en-GB"/>
        </w:rPr>
      </w:pPr>
      <w:r w:rsidRPr="009573E5">
        <w:rPr>
          <w:color w:val="0070C0"/>
          <w:lang w:val="en-GB"/>
        </w:rPr>
        <w:t>In practice, there are also custom and heterogeneous facility structures that cannot be adequately captured within a single, uniform definition.</w:t>
      </w:r>
    </w:p>
    <w:p w14:paraId="1C9EDA8F" w14:textId="3F5F6E0D" w:rsidR="009573E5" w:rsidRPr="009573E5" w:rsidRDefault="009573E5" w:rsidP="009573E5">
      <w:pPr>
        <w:pStyle w:val="BodyText"/>
        <w:numPr>
          <w:ilvl w:val="0"/>
          <w:numId w:val="45"/>
        </w:numPr>
        <w:jc w:val="both"/>
        <w:rPr>
          <w:color w:val="0070C0"/>
          <w:lang w:val="en-GB"/>
        </w:rPr>
      </w:pPr>
      <w:r w:rsidRPr="009573E5">
        <w:rPr>
          <w:color w:val="0070C0"/>
          <w:lang w:val="en-GB"/>
        </w:rPr>
        <w:t>Enforcing a uniform facility definition across all risk parameters could therefore lead to sub-optimal risk differentiation and less accurate estimation, as it would not reflect how risks are actually managed and measured (see also our response to Question 9).</w:t>
      </w:r>
    </w:p>
    <w:p w14:paraId="6BA3CFAC" w14:textId="009DCABB" w:rsidR="009573E5" w:rsidRPr="009573E5" w:rsidRDefault="009573E5" w:rsidP="009573E5">
      <w:pPr>
        <w:pStyle w:val="BodyText"/>
        <w:numPr>
          <w:ilvl w:val="0"/>
          <w:numId w:val="45"/>
        </w:numPr>
        <w:jc w:val="both"/>
        <w:rPr>
          <w:color w:val="0070C0"/>
          <w:lang w:val="en-GB"/>
        </w:rPr>
      </w:pPr>
      <w:r w:rsidRPr="009573E5">
        <w:rPr>
          <w:color w:val="0070C0"/>
          <w:lang w:val="en-GB"/>
        </w:rPr>
        <w:t>Furthermore, any misalignment between the facility definition used in modelling and the aggregation required for reporting purposes (e.g. accounting or regulatory reporting) should not be considered problematic. Model outputs can always be aggregated to higher levels or allocated to lower levels depending on the reporting objective.</w:t>
      </w:r>
    </w:p>
    <w:p w14:paraId="26E56088" w14:textId="0836E580" w:rsidR="00216684" w:rsidRPr="009573E5" w:rsidRDefault="009573E5" w:rsidP="009573E5">
      <w:pPr>
        <w:pStyle w:val="BodyText"/>
        <w:numPr>
          <w:ilvl w:val="0"/>
          <w:numId w:val="45"/>
        </w:numPr>
        <w:jc w:val="both"/>
        <w:rPr>
          <w:b/>
          <w:bCs/>
          <w:color w:val="0070C0"/>
          <w:lang w:val="en-GB"/>
        </w:rPr>
      </w:pPr>
      <w:r w:rsidRPr="009573E5">
        <w:rPr>
          <w:b/>
          <w:bCs/>
          <w:color w:val="0070C0"/>
          <w:lang w:val="en-GB"/>
        </w:rPr>
        <w:t>Overall, flexibility in facility definition – tailored to the specific requirements of each risk parameter – is essential and should be maintained.</w:t>
      </w:r>
    </w:p>
    <w:p w14:paraId="57B2F47C" w14:textId="3B10ED70" w:rsidR="00E01AB2" w:rsidRPr="00F73BFB" w:rsidRDefault="00E01AB2" w:rsidP="003D6E74">
      <w:pPr>
        <w:pStyle w:val="BodyText"/>
        <w:jc w:val="both"/>
        <w:rPr>
          <w:color w:val="0070C0"/>
          <w:lang w:val="en-GB"/>
        </w:rPr>
      </w:pPr>
      <w:r w:rsidRPr="00F73BFB">
        <w:rPr>
          <w:color w:val="0070C0"/>
          <w:lang w:val="en-GB"/>
        </w:rPr>
        <w:t>]</w:t>
      </w:r>
    </w:p>
    <w:p w14:paraId="244A768E" w14:textId="77777777" w:rsidR="00E01AB2" w:rsidRPr="00F73BFB" w:rsidRDefault="00E01AB2">
      <w:pPr>
        <w:pStyle w:val="BodyText"/>
        <w:spacing w:before="159"/>
        <w:ind w:left="143"/>
        <w:jc w:val="both"/>
        <w:rPr>
          <w:lang w:val="en-GB"/>
        </w:rPr>
      </w:pPr>
    </w:p>
    <w:p w14:paraId="618C96D3" w14:textId="77777777" w:rsidR="00017515" w:rsidRPr="00F73BFB" w:rsidRDefault="00A567F8" w:rsidP="00790CCA">
      <w:pPr>
        <w:pStyle w:val="Heading2"/>
      </w:pPr>
      <w:r w:rsidRPr="00F73BFB">
        <w:rPr>
          <w:b/>
        </w:rPr>
        <w:t>Q11.</w:t>
      </w:r>
      <w:r w:rsidRPr="00F73BFB">
        <w:rPr>
          <w:b/>
          <w:spacing w:val="-4"/>
        </w:rPr>
        <w:t xml:space="preserve"> </w:t>
      </w:r>
      <w:r w:rsidRPr="00F73BFB">
        <w:t>Are</w:t>
      </w:r>
      <w:r w:rsidRPr="00F73BFB">
        <w:rPr>
          <w:spacing w:val="-5"/>
        </w:rPr>
        <w:t xml:space="preserve"> </w:t>
      </w:r>
      <w:r w:rsidRPr="00F73BFB">
        <w:t>adjustments</w:t>
      </w:r>
      <w:r w:rsidRPr="00F73BFB">
        <w:rPr>
          <w:spacing w:val="-5"/>
        </w:rPr>
        <w:t xml:space="preserve"> </w:t>
      </w:r>
      <w:r w:rsidRPr="00F73BFB">
        <w:t>proposed</w:t>
      </w:r>
      <w:r w:rsidRPr="00F73BFB">
        <w:rPr>
          <w:spacing w:val="-6"/>
        </w:rPr>
        <w:t xml:space="preserve"> </w:t>
      </w:r>
      <w:r w:rsidRPr="00F73BFB">
        <w:t>in</w:t>
      </w:r>
      <w:r w:rsidRPr="00F73BFB">
        <w:rPr>
          <w:spacing w:val="-7"/>
        </w:rPr>
        <w:t xml:space="preserve"> </w:t>
      </w:r>
      <w:r w:rsidRPr="00F73BFB">
        <w:t>the</w:t>
      </w:r>
      <w:r w:rsidRPr="00F73BFB">
        <w:rPr>
          <w:spacing w:val="-5"/>
        </w:rPr>
        <w:t xml:space="preserve"> </w:t>
      </w:r>
      <w:r w:rsidRPr="00F73BFB">
        <w:t>representativeness</w:t>
      </w:r>
      <w:r w:rsidRPr="00F73BFB">
        <w:rPr>
          <w:spacing w:val="-5"/>
        </w:rPr>
        <w:t xml:space="preserve"> </w:t>
      </w:r>
      <w:r w:rsidRPr="00F73BFB">
        <w:t>requirement</w:t>
      </w:r>
      <w:r w:rsidRPr="00F73BFB">
        <w:rPr>
          <w:spacing w:val="-8"/>
        </w:rPr>
        <w:t xml:space="preserve"> </w:t>
      </w:r>
      <w:r w:rsidRPr="00F73BFB">
        <w:t>for</w:t>
      </w:r>
      <w:r w:rsidRPr="00F73BFB">
        <w:rPr>
          <w:spacing w:val="-8"/>
        </w:rPr>
        <w:t xml:space="preserve"> </w:t>
      </w:r>
      <w:r w:rsidRPr="00F73BFB">
        <w:t>the</w:t>
      </w:r>
      <w:r w:rsidRPr="00F73BFB">
        <w:rPr>
          <w:spacing w:val="-5"/>
        </w:rPr>
        <w:t xml:space="preserve"> </w:t>
      </w:r>
      <w:r w:rsidRPr="00F73BFB">
        <w:t>CCF</w:t>
      </w:r>
      <w:r w:rsidRPr="00F73BFB">
        <w:rPr>
          <w:spacing w:val="-6"/>
        </w:rPr>
        <w:t xml:space="preserve"> </w:t>
      </w:r>
      <w:r w:rsidRPr="00F73BFB">
        <w:t>parameter</w:t>
      </w:r>
      <w:r w:rsidRPr="00F73BFB">
        <w:rPr>
          <w:spacing w:val="-5"/>
        </w:rPr>
        <w:t xml:space="preserve"> </w:t>
      </w:r>
      <w:r w:rsidRPr="00F73BFB">
        <w:t>also suited</w:t>
      </w:r>
      <w:r w:rsidRPr="00F73BFB">
        <w:rPr>
          <w:spacing w:val="-7"/>
        </w:rPr>
        <w:t xml:space="preserve"> </w:t>
      </w:r>
      <w:r w:rsidRPr="00F73BFB">
        <w:t>for</w:t>
      </w:r>
      <w:r w:rsidRPr="00F73BFB">
        <w:rPr>
          <w:spacing w:val="-9"/>
        </w:rPr>
        <w:t xml:space="preserve"> </w:t>
      </w:r>
      <w:r w:rsidRPr="00F73BFB">
        <w:t>PD</w:t>
      </w:r>
      <w:r w:rsidRPr="00F73BFB">
        <w:rPr>
          <w:spacing w:val="-6"/>
        </w:rPr>
        <w:t xml:space="preserve"> </w:t>
      </w:r>
      <w:r w:rsidRPr="00F73BFB">
        <w:t>and</w:t>
      </w:r>
      <w:r w:rsidRPr="00F73BFB">
        <w:rPr>
          <w:spacing w:val="-7"/>
        </w:rPr>
        <w:t xml:space="preserve"> </w:t>
      </w:r>
      <w:r w:rsidRPr="00F73BFB">
        <w:t>LGD</w:t>
      </w:r>
      <w:r w:rsidRPr="00F73BFB">
        <w:rPr>
          <w:spacing w:val="-6"/>
        </w:rPr>
        <w:t xml:space="preserve"> </w:t>
      </w:r>
      <w:r w:rsidRPr="00F73BFB">
        <w:t>risk</w:t>
      </w:r>
      <w:r w:rsidRPr="00F73BFB">
        <w:rPr>
          <w:spacing w:val="-9"/>
        </w:rPr>
        <w:t xml:space="preserve"> </w:t>
      </w:r>
      <w:r w:rsidRPr="00F73BFB">
        <w:t>parameters?</w:t>
      </w:r>
      <w:r w:rsidRPr="00F73BFB">
        <w:rPr>
          <w:spacing w:val="-6"/>
        </w:rPr>
        <w:t xml:space="preserve"> </w:t>
      </w:r>
      <w:r w:rsidRPr="00F73BFB">
        <w:t>Which</w:t>
      </w:r>
      <w:r w:rsidRPr="00F73BFB">
        <w:rPr>
          <w:spacing w:val="-7"/>
        </w:rPr>
        <w:t xml:space="preserve"> </w:t>
      </w:r>
      <w:r w:rsidRPr="00F73BFB">
        <w:t>amendments</w:t>
      </w:r>
      <w:r w:rsidRPr="00F73BFB">
        <w:rPr>
          <w:spacing w:val="-9"/>
        </w:rPr>
        <w:t xml:space="preserve"> </w:t>
      </w:r>
      <w:r w:rsidRPr="00F73BFB">
        <w:t>would</w:t>
      </w:r>
      <w:r w:rsidRPr="00F73BFB">
        <w:rPr>
          <w:spacing w:val="-8"/>
        </w:rPr>
        <w:t xml:space="preserve"> </w:t>
      </w:r>
      <w:r w:rsidRPr="00F73BFB">
        <w:t>be</w:t>
      </w:r>
      <w:r w:rsidRPr="00F73BFB">
        <w:rPr>
          <w:spacing w:val="-6"/>
        </w:rPr>
        <w:t xml:space="preserve"> </w:t>
      </w:r>
      <w:r w:rsidRPr="00F73BFB">
        <w:t>needed</w:t>
      </w:r>
      <w:r w:rsidRPr="00F73BFB">
        <w:rPr>
          <w:spacing w:val="-7"/>
        </w:rPr>
        <w:t xml:space="preserve"> </w:t>
      </w:r>
      <w:r w:rsidRPr="00F73BFB">
        <w:t>to</w:t>
      </w:r>
      <w:r w:rsidRPr="00F73BFB">
        <w:rPr>
          <w:spacing w:val="-5"/>
        </w:rPr>
        <w:t xml:space="preserve"> </w:t>
      </w:r>
      <w:r w:rsidRPr="00F73BFB">
        <w:t>accommodate</w:t>
      </w:r>
      <w:r w:rsidRPr="00F73BFB">
        <w:rPr>
          <w:spacing w:val="-8"/>
        </w:rPr>
        <w:t xml:space="preserve"> </w:t>
      </w:r>
      <w:r w:rsidRPr="00F73BFB">
        <w:t>PD and LGD specificities?</w:t>
      </w:r>
    </w:p>
    <w:p w14:paraId="275F0A61" w14:textId="72FB5877" w:rsidR="00082B27" w:rsidRDefault="00E01AB2" w:rsidP="0007742A">
      <w:pPr>
        <w:pStyle w:val="BodyText"/>
        <w:ind w:left="143"/>
        <w:jc w:val="both"/>
        <w:rPr>
          <w:color w:val="0070C0"/>
          <w:lang w:val="en-GB"/>
        </w:rPr>
      </w:pPr>
      <w:r w:rsidRPr="00F73BFB">
        <w:rPr>
          <w:color w:val="0070C0"/>
          <w:lang w:val="en-GB"/>
        </w:rPr>
        <w:t>[</w:t>
      </w:r>
      <w:r w:rsidRPr="00F73BFB">
        <w:rPr>
          <w:b/>
          <w:bCs/>
          <w:color w:val="0070C0"/>
          <w:lang w:val="en-GB"/>
        </w:rPr>
        <w:t>Response</w:t>
      </w:r>
      <w:r w:rsidRPr="00F73BFB">
        <w:rPr>
          <w:color w:val="0070C0"/>
          <w:lang w:val="en-GB"/>
        </w:rPr>
        <w:t xml:space="preserve">: </w:t>
      </w:r>
    </w:p>
    <w:p w14:paraId="00D49F60" w14:textId="71064E02" w:rsidR="0007742A" w:rsidRPr="0007742A" w:rsidRDefault="0007742A" w:rsidP="0007742A">
      <w:pPr>
        <w:pStyle w:val="BodyText"/>
        <w:numPr>
          <w:ilvl w:val="0"/>
          <w:numId w:val="46"/>
        </w:numPr>
        <w:jc w:val="both"/>
        <w:rPr>
          <w:color w:val="0070C0"/>
          <w:lang w:val="en-GB"/>
        </w:rPr>
      </w:pPr>
      <w:r w:rsidRPr="0007742A">
        <w:rPr>
          <w:color w:val="0070C0"/>
          <w:lang w:val="en-GB"/>
        </w:rPr>
        <w:t>In our view, the simplifications proposed in the CCF consultation (EBA/CP/2025/10) for assessing representativeness are largely applicable to PD and LGD without fundamental changes. The core elements of representativeness assessment</w:t>
      </w:r>
      <w:r>
        <w:rPr>
          <w:color w:val="0070C0"/>
          <w:lang w:val="en-GB"/>
        </w:rPr>
        <w:t xml:space="preserve"> </w:t>
      </w:r>
      <w:r w:rsidRPr="0007742A">
        <w:rPr>
          <w:color w:val="0070C0"/>
          <w:lang w:val="en-GB"/>
        </w:rPr>
        <w:t>such as scope of application, definition of default, risk characteristics, credit management practices, and market conditions</w:t>
      </w:r>
      <w:r>
        <w:rPr>
          <w:color w:val="0070C0"/>
          <w:lang w:val="en-GB"/>
        </w:rPr>
        <w:t xml:space="preserve"> – </w:t>
      </w:r>
      <w:r w:rsidRPr="0007742A">
        <w:rPr>
          <w:color w:val="0070C0"/>
          <w:lang w:val="en-GB"/>
        </w:rPr>
        <w:t>are common across all IRB parameters.</w:t>
      </w:r>
    </w:p>
    <w:p w14:paraId="4C359F82" w14:textId="278A0103" w:rsidR="0007742A" w:rsidRPr="0007742A" w:rsidRDefault="0007742A" w:rsidP="0007742A">
      <w:pPr>
        <w:pStyle w:val="BodyText"/>
        <w:numPr>
          <w:ilvl w:val="0"/>
          <w:numId w:val="46"/>
        </w:numPr>
        <w:jc w:val="both"/>
        <w:rPr>
          <w:color w:val="0070C0"/>
          <w:lang w:val="en-GB"/>
        </w:rPr>
      </w:pPr>
      <w:r w:rsidRPr="0007742A">
        <w:rPr>
          <w:color w:val="0070C0"/>
          <w:lang w:val="en-GB"/>
        </w:rPr>
        <w:t>These principles can therefore be consistently applied across PD, LGD, and CCF, supporting greater harmonisation. The main exception relates to likely-range-of-variability analysis, which is specific to PD and would need to be considered separately.</w:t>
      </w:r>
    </w:p>
    <w:p w14:paraId="7C59E33A" w14:textId="77777777" w:rsidR="0007742A" w:rsidRDefault="0007742A" w:rsidP="0007742A">
      <w:pPr>
        <w:pStyle w:val="BodyText"/>
        <w:numPr>
          <w:ilvl w:val="0"/>
          <w:numId w:val="46"/>
        </w:numPr>
        <w:jc w:val="both"/>
        <w:rPr>
          <w:color w:val="0070C0"/>
          <w:lang w:val="en-GB"/>
        </w:rPr>
      </w:pPr>
      <w:r w:rsidRPr="0007742A">
        <w:rPr>
          <w:color w:val="0070C0"/>
          <w:lang w:val="en-GB"/>
        </w:rPr>
        <w:t xml:space="preserve">While the simplification efforts are welcome, practical challenges remain, particularly for LGD. For example, unresolved representativeness issues may complicate comparisons between training, testing, and application samples, requiring careful handling to ensure </w:t>
      </w:r>
      <w:r w:rsidRPr="0007742A">
        <w:rPr>
          <w:color w:val="0070C0"/>
          <w:lang w:val="en-GB"/>
        </w:rPr>
        <w:lastRenderedPageBreak/>
        <w:t>consistency and robustness.</w:t>
      </w:r>
    </w:p>
    <w:p w14:paraId="24408107" w14:textId="36B911B1" w:rsidR="00082B27" w:rsidRPr="0007742A" w:rsidRDefault="0007742A" w:rsidP="0007742A">
      <w:pPr>
        <w:pStyle w:val="BodyText"/>
        <w:numPr>
          <w:ilvl w:val="0"/>
          <w:numId w:val="46"/>
        </w:numPr>
        <w:jc w:val="both"/>
        <w:rPr>
          <w:color w:val="0070C0"/>
          <w:lang w:val="en-GB"/>
        </w:rPr>
      </w:pPr>
      <w:r w:rsidRPr="0007742A">
        <w:rPr>
          <w:color w:val="0070C0"/>
          <w:lang w:val="en-GB"/>
        </w:rPr>
        <w:t xml:space="preserve">Overall, </w:t>
      </w:r>
      <w:r w:rsidRPr="0007742A">
        <w:rPr>
          <w:b/>
          <w:bCs/>
          <w:color w:val="0070C0"/>
          <w:lang w:val="en-GB"/>
        </w:rPr>
        <w:t>we support extending representativeness simplifications across all parameters, provided that parameter-specific features are appropriately accounted for</w:t>
      </w:r>
      <w:r w:rsidRPr="0007742A">
        <w:rPr>
          <w:color w:val="0070C0"/>
          <w:lang w:val="en-GB"/>
        </w:rPr>
        <w:t>.</w:t>
      </w:r>
    </w:p>
    <w:p w14:paraId="271D2E6C" w14:textId="0EF8253A" w:rsidR="00E01AB2" w:rsidRDefault="0007742A">
      <w:pPr>
        <w:pStyle w:val="BodyText"/>
        <w:spacing w:before="161" w:line="276" w:lineRule="auto"/>
        <w:ind w:left="143" w:right="136"/>
        <w:jc w:val="both"/>
        <w:rPr>
          <w:color w:val="0070C0"/>
          <w:lang w:val="en-GB"/>
        </w:rPr>
      </w:pPr>
      <w:r>
        <w:rPr>
          <w:color w:val="0070C0"/>
          <w:lang w:val="en-GB"/>
        </w:rPr>
        <w:t>]</w:t>
      </w:r>
    </w:p>
    <w:p w14:paraId="3157A5D4" w14:textId="77777777" w:rsidR="0007742A" w:rsidRPr="00F73BFB" w:rsidRDefault="0007742A">
      <w:pPr>
        <w:pStyle w:val="BodyText"/>
        <w:spacing w:before="161" w:line="276" w:lineRule="auto"/>
        <w:ind w:left="143" w:right="136"/>
        <w:jc w:val="both"/>
        <w:rPr>
          <w:lang w:val="en-GB"/>
        </w:rPr>
      </w:pPr>
    </w:p>
    <w:p w14:paraId="6982FFC8" w14:textId="77777777" w:rsidR="00017515" w:rsidRPr="00F73BFB" w:rsidRDefault="00A567F8" w:rsidP="00790CCA">
      <w:pPr>
        <w:pStyle w:val="Heading2"/>
      </w:pPr>
      <w:r w:rsidRPr="00F73BFB">
        <w:rPr>
          <w:b/>
        </w:rPr>
        <w:t>Q12:</w:t>
      </w:r>
      <w:r w:rsidRPr="00F73BFB">
        <w:rPr>
          <w:b/>
          <w:spacing w:val="-13"/>
        </w:rPr>
        <w:t xml:space="preserve"> </w:t>
      </w:r>
      <w:r w:rsidRPr="00F73BFB">
        <w:t>Do</w:t>
      </w:r>
      <w:r w:rsidRPr="00F73BFB">
        <w:rPr>
          <w:spacing w:val="-12"/>
        </w:rPr>
        <w:t xml:space="preserve"> </w:t>
      </w:r>
      <w:r w:rsidRPr="00F73BFB">
        <w:t>you</w:t>
      </w:r>
      <w:r w:rsidRPr="00F73BFB">
        <w:rPr>
          <w:spacing w:val="-13"/>
        </w:rPr>
        <w:t xml:space="preserve"> </w:t>
      </w:r>
      <w:r w:rsidRPr="00F73BFB">
        <w:t>consider</w:t>
      </w:r>
      <w:r w:rsidRPr="00F73BFB">
        <w:rPr>
          <w:spacing w:val="-12"/>
        </w:rPr>
        <w:t xml:space="preserve"> </w:t>
      </w:r>
      <w:r w:rsidRPr="00F73BFB">
        <w:t>further</w:t>
      </w:r>
      <w:r w:rsidRPr="00F73BFB">
        <w:rPr>
          <w:spacing w:val="-10"/>
        </w:rPr>
        <w:t xml:space="preserve"> </w:t>
      </w:r>
      <w:r w:rsidRPr="00F73BFB">
        <w:t>simplification</w:t>
      </w:r>
      <w:r w:rsidRPr="00F73BFB">
        <w:rPr>
          <w:spacing w:val="-13"/>
        </w:rPr>
        <w:t xml:space="preserve"> </w:t>
      </w:r>
      <w:r w:rsidRPr="00F73BFB">
        <w:t>of</w:t>
      </w:r>
      <w:r w:rsidRPr="00F73BFB">
        <w:rPr>
          <w:spacing w:val="-12"/>
        </w:rPr>
        <w:t xml:space="preserve"> </w:t>
      </w:r>
      <w:r w:rsidRPr="00F73BFB">
        <w:t>the</w:t>
      </w:r>
      <w:r w:rsidRPr="00F73BFB">
        <w:rPr>
          <w:spacing w:val="-11"/>
        </w:rPr>
        <w:t xml:space="preserve"> </w:t>
      </w:r>
      <w:r w:rsidRPr="00F73BFB">
        <w:t>representativeness</w:t>
      </w:r>
      <w:r w:rsidRPr="00F73BFB">
        <w:rPr>
          <w:spacing w:val="-11"/>
        </w:rPr>
        <w:t xml:space="preserve"> </w:t>
      </w:r>
      <w:r w:rsidRPr="00F73BFB">
        <w:t>requirement,</w:t>
      </w:r>
      <w:r w:rsidRPr="00F73BFB">
        <w:rPr>
          <w:spacing w:val="-11"/>
        </w:rPr>
        <w:t xml:space="preserve"> </w:t>
      </w:r>
      <w:r w:rsidRPr="00F73BFB">
        <w:t>as</w:t>
      </w:r>
      <w:r w:rsidRPr="00F73BFB">
        <w:rPr>
          <w:spacing w:val="-12"/>
        </w:rPr>
        <w:t xml:space="preserve"> </w:t>
      </w:r>
      <w:r w:rsidRPr="00F73BFB">
        <w:t>proposed</w:t>
      </w:r>
      <w:r w:rsidRPr="00F73BFB">
        <w:rPr>
          <w:spacing w:val="-11"/>
        </w:rPr>
        <w:t xml:space="preserve"> </w:t>
      </w:r>
      <w:r w:rsidRPr="00F73BFB">
        <w:t>for the CCF parameter, as necessary for PD and LGD and if so, what kind of simplification?</w:t>
      </w:r>
    </w:p>
    <w:p w14:paraId="544A5266" w14:textId="77777777" w:rsidR="004950A3" w:rsidRDefault="00E01AB2" w:rsidP="004950A3">
      <w:pPr>
        <w:pStyle w:val="BodyText"/>
        <w:ind w:left="143"/>
        <w:jc w:val="both"/>
        <w:rPr>
          <w:color w:val="0070C0"/>
        </w:rPr>
      </w:pPr>
      <w:r w:rsidRPr="693FE9CD">
        <w:rPr>
          <w:color w:val="0070C0"/>
        </w:rPr>
        <w:t>[</w:t>
      </w:r>
      <w:r w:rsidRPr="693FE9CD">
        <w:rPr>
          <w:b/>
          <w:bCs/>
          <w:color w:val="0070C0"/>
        </w:rPr>
        <w:t>Response</w:t>
      </w:r>
      <w:r w:rsidRPr="693FE9CD">
        <w:rPr>
          <w:color w:val="0070C0"/>
        </w:rPr>
        <w:t xml:space="preserve">: </w:t>
      </w:r>
    </w:p>
    <w:p w14:paraId="325D3A63" w14:textId="56959C6C" w:rsidR="00FD3249" w:rsidRDefault="00FD3249" w:rsidP="004950A3">
      <w:pPr>
        <w:pStyle w:val="BodyText"/>
        <w:ind w:left="143"/>
        <w:jc w:val="both"/>
        <w:rPr>
          <w:color w:val="0070C0"/>
        </w:rPr>
      </w:pPr>
      <w:r>
        <w:rPr>
          <w:color w:val="0070C0"/>
        </w:rPr>
        <w:t>See</w:t>
      </w:r>
      <w:r w:rsidR="00311637">
        <w:rPr>
          <w:color w:val="0070C0"/>
        </w:rPr>
        <w:t xml:space="preserve"> our</w:t>
      </w:r>
      <w:r>
        <w:rPr>
          <w:color w:val="0070C0"/>
        </w:rPr>
        <w:t xml:space="preserve"> input for question 11.</w:t>
      </w:r>
    </w:p>
    <w:p w14:paraId="09A1F358" w14:textId="3C4E0742" w:rsidR="00E01AB2" w:rsidRPr="00F73BFB" w:rsidRDefault="00E01AB2" w:rsidP="693FE9CD">
      <w:pPr>
        <w:pStyle w:val="BodyText"/>
        <w:ind w:left="143"/>
        <w:jc w:val="both"/>
        <w:rPr>
          <w:color w:val="0070C0"/>
        </w:rPr>
      </w:pPr>
      <w:r w:rsidRPr="693FE9CD">
        <w:rPr>
          <w:color w:val="0070C0"/>
        </w:rPr>
        <w:t>]</w:t>
      </w:r>
    </w:p>
    <w:p w14:paraId="006A5094" w14:textId="77777777" w:rsidR="00E01AB2" w:rsidRPr="00F73BFB" w:rsidRDefault="00E01AB2">
      <w:pPr>
        <w:pStyle w:val="BodyText"/>
        <w:spacing w:before="121" w:line="276" w:lineRule="auto"/>
        <w:ind w:left="143" w:right="134"/>
        <w:jc w:val="both"/>
        <w:rPr>
          <w:lang w:val="en-GB"/>
        </w:rPr>
      </w:pPr>
    </w:p>
    <w:p w14:paraId="619B8168" w14:textId="094541ED" w:rsidR="00017515" w:rsidRPr="00F73BFB" w:rsidRDefault="00A567F8" w:rsidP="00790CCA">
      <w:pPr>
        <w:pStyle w:val="Heading2"/>
      </w:pPr>
      <w:bookmarkStart w:id="0" w:name="_Hlk222391120"/>
      <w:r w:rsidRPr="00F73BFB">
        <w:rPr>
          <w:b/>
        </w:rPr>
        <w:t>Q13.</w:t>
      </w:r>
      <w:r w:rsidRPr="00F73BFB">
        <w:rPr>
          <w:b/>
          <w:spacing w:val="-4"/>
        </w:rPr>
        <w:t xml:space="preserve"> </w:t>
      </w:r>
      <w:r w:rsidRPr="00F73BFB">
        <w:t>Should</w:t>
      </w:r>
      <w:r w:rsidRPr="00F73BFB">
        <w:rPr>
          <w:spacing w:val="-7"/>
        </w:rPr>
        <w:t xml:space="preserve"> </w:t>
      </w:r>
      <w:r w:rsidRPr="00F73BFB">
        <w:t>these</w:t>
      </w:r>
      <w:r w:rsidRPr="00F73BFB">
        <w:rPr>
          <w:spacing w:val="-7"/>
        </w:rPr>
        <w:t xml:space="preserve"> </w:t>
      </w:r>
      <w:r w:rsidRPr="00F73BFB">
        <w:t>simplifications</w:t>
      </w:r>
      <w:r w:rsidRPr="00F73BFB">
        <w:rPr>
          <w:spacing w:val="-8"/>
        </w:rPr>
        <w:t xml:space="preserve"> </w:t>
      </w:r>
      <w:r w:rsidRPr="00F73BFB">
        <w:t>be</w:t>
      </w:r>
      <w:r w:rsidRPr="00F73BFB">
        <w:rPr>
          <w:spacing w:val="-7"/>
        </w:rPr>
        <w:t xml:space="preserve"> </w:t>
      </w:r>
      <w:r w:rsidRPr="00F73BFB">
        <w:t>pursued?</w:t>
      </w:r>
      <w:r w:rsidRPr="00F73BFB">
        <w:rPr>
          <w:spacing w:val="-6"/>
        </w:rPr>
        <w:t xml:space="preserve"> </w:t>
      </w:r>
      <w:r w:rsidRPr="00F73BFB">
        <w:t>Do</w:t>
      </w:r>
      <w:r w:rsidRPr="00F73BFB">
        <w:rPr>
          <w:spacing w:val="-6"/>
        </w:rPr>
        <w:t xml:space="preserve"> </w:t>
      </w:r>
      <w:r w:rsidRPr="00F73BFB">
        <w:t>you</w:t>
      </w:r>
      <w:r w:rsidRPr="00F73BFB">
        <w:rPr>
          <w:spacing w:val="-8"/>
        </w:rPr>
        <w:t xml:space="preserve"> </w:t>
      </w:r>
      <w:r w:rsidRPr="00F73BFB">
        <w:t>have</w:t>
      </w:r>
      <w:r w:rsidRPr="00F73BFB">
        <w:rPr>
          <w:spacing w:val="-7"/>
        </w:rPr>
        <w:t xml:space="preserve"> </w:t>
      </w:r>
      <w:r w:rsidRPr="00F73BFB">
        <w:t>any</w:t>
      </w:r>
      <w:r w:rsidRPr="00F73BFB">
        <w:rPr>
          <w:spacing w:val="-7"/>
        </w:rPr>
        <w:t xml:space="preserve"> </w:t>
      </w:r>
      <w:r w:rsidRPr="00F73BFB">
        <w:t>preferred</w:t>
      </w:r>
      <w:r w:rsidRPr="00F73BFB">
        <w:rPr>
          <w:spacing w:val="-8"/>
        </w:rPr>
        <w:t xml:space="preserve"> </w:t>
      </w:r>
      <w:r w:rsidRPr="00F73BFB">
        <w:t>approaches</w:t>
      </w:r>
      <w:r w:rsidRPr="00F73BFB">
        <w:rPr>
          <w:spacing w:val="-8"/>
        </w:rPr>
        <w:t xml:space="preserve"> </w:t>
      </w:r>
      <w:r w:rsidRPr="00F73BFB">
        <w:t>with</w:t>
      </w:r>
      <w:r w:rsidRPr="00F73BFB">
        <w:rPr>
          <w:spacing w:val="-8"/>
        </w:rPr>
        <w:t xml:space="preserve"> </w:t>
      </w:r>
      <w:r w:rsidRPr="00F73BFB">
        <w:t>respect to these simplifications?</w:t>
      </w:r>
    </w:p>
    <w:bookmarkEnd w:id="0"/>
    <w:p w14:paraId="5240B90B" w14:textId="5A64B74D" w:rsidR="00370D34" w:rsidRPr="00F73BFB" w:rsidRDefault="00E01AB2" w:rsidP="00370D34">
      <w:pPr>
        <w:pStyle w:val="BodyText"/>
        <w:ind w:left="143"/>
        <w:jc w:val="both"/>
        <w:rPr>
          <w:color w:val="0070C0"/>
          <w:lang w:val="en-GB"/>
        </w:rPr>
      </w:pPr>
      <w:r w:rsidRPr="00F73BFB">
        <w:rPr>
          <w:color w:val="0070C0"/>
          <w:lang w:val="en-GB"/>
        </w:rPr>
        <w:t>[</w:t>
      </w:r>
      <w:r w:rsidRPr="00F73BFB">
        <w:rPr>
          <w:b/>
          <w:bCs/>
          <w:color w:val="0070C0"/>
          <w:lang w:val="en-GB"/>
        </w:rPr>
        <w:t>Response:</w:t>
      </w:r>
      <w:r w:rsidRPr="00F73BFB">
        <w:rPr>
          <w:color w:val="0070C0"/>
          <w:lang w:val="en-GB"/>
        </w:rPr>
        <w:t xml:space="preserve"> </w:t>
      </w:r>
    </w:p>
    <w:p w14:paraId="2B2A62FC" w14:textId="31C1E794" w:rsidR="00370D34" w:rsidRPr="00F73BFB" w:rsidRDefault="00370D34" w:rsidP="61B07537">
      <w:pPr>
        <w:pStyle w:val="BodyText"/>
        <w:ind w:left="143"/>
        <w:jc w:val="both"/>
        <w:rPr>
          <w:color w:val="0070C0"/>
          <w:lang w:val="en-GB"/>
        </w:rPr>
      </w:pPr>
    </w:p>
    <w:p w14:paraId="1DDF1D99" w14:textId="0F055730" w:rsidR="00ED7836" w:rsidRPr="00F73BFB" w:rsidRDefault="00ED7836" w:rsidP="007C3C4A">
      <w:pPr>
        <w:pStyle w:val="BodyText"/>
        <w:ind w:left="720"/>
        <w:jc w:val="both"/>
        <w:rPr>
          <w:b/>
          <w:bCs/>
          <w:color w:val="0070C0"/>
          <w:lang w:val="en-GB"/>
        </w:rPr>
      </w:pPr>
      <w:r w:rsidRPr="00F73BFB">
        <w:rPr>
          <w:b/>
          <w:bCs/>
          <w:color w:val="0070C0"/>
          <w:lang w:val="en-GB"/>
        </w:rPr>
        <w:t>Principles:</w:t>
      </w:r>
    </w:p>
    <w:p w14:paraId="45A4B2EF" w14:textId="2CDC636D" w:rsidR="00B472BD" w:rsidRPr="00F73BFB" w:rsidRDefault="00B472BD" w:rsidP="00144FAB">
      <w:pPr>
        <w:pStyle w:val="BodyText"/>
        <w:numPr>
          <w:ilvl w:val="0"/>
          <w:numId w:val="14"/>
        </w:numPr>
        <w:jc w:val="both"/>
        <w:rPr>
          <w:color w:val="0070C0"/>
          <w:lang w:val="en-GB"/>
        </w:rPr>
      </w:pPr>
      <w:r w:rsidRPr="00F73BFB">
        <w:rPr>
          <w:color w:val="0070C0"/>
          <w:lang w:val="en-GB"/>
        </w:rPr>
        <w:t>We support the introduction of these optional simplifications and fallback approaches.</w:t>
      </w:r>
    </w:p>
    <w:p w14:paraId="5C629BAE" w14:textId="5A715CC1" w:rsidR="00B472BD" w:rsidRPr="00F73BFB" w:rsidRDefault="00B472BD" w:rsidP="00144FAB">
      <w:pPr>
        <w:pStyle w:val="BodyText"/>
        <w:numPr>
          <w:ilvl w:val="0"/>
          <w:numId w:val="14"/>
        </w:numPr>
        <w:jc w:val="both"/>
        <w:rPr>
          <w:color w:val="0070C0"/>
          <w:lang w:val="en-GB"/>
        </w:rPr>
      </w:pPr>
      <w:r w:rsidRPr="00F73BFB">
        <w:rPr>
          <w:color w:val="0070C0"/>
          <w:lang w:val="en-GB"/>
        </w:rPr>
        <w:t>In our view, offering these simplifications on an optional basis is an elegant way to update supervisory expectations without immediately affecting existing approved internal models. Institutions can adopt the simplified approaches over time, for example when revising models, thereby ensuring smooth and non</w:t>
      </w:r>
      <w:r w:rsidRPr="00F73BFB">
        <w:rPr>
          <w:rFonts w:ascii="Cambria Math" w:hAnsi="Cambria Math" w:cs="Cambria Math"/>
          <w:color w:val="0070C0"/>
          <w:lang w:val="en-GB"/>
        </w:rPr>
        <w:t>‑</w:t>
      </w:r>
      <w:r w:rsidRPr="00F73BFB">
        <w:rPr>
          <w:color w:val="0070C0"/>
          <w:lang w:val="en-GB"/>
        </w:rPr>
        <w:t>disruptive implementation.</w:t>
      </w:r>
    </w:p>
    <w:p w14:paraId="480E8726" w14:textId="1E53806B" w:rsidR="00FD7848" w:rsidRPr="00F73BFB" w:rsidRDefault="00FD7848" w:rsidP="00144FAB">
      <w:pPr>
        <w:pStyle w:val="BodyText"/>
        <w:numPr>
          <w:ilvl w:val="0"/>
          <w:numId w:val="14"/>
        </w:numPr>
        <w:jc w:val="both"/>
        <w:rPr>
          <w:color w:val="0070C0"/>
          <w:lang w:val="en-GB"/>
        </w:rPr>
      </w:pPr>
      <w:r w:rsidRPr="00F73BFB">
        <w:rPr>
          <w:color w:val="0070C0"/>
          <w:lang w:val="en-GB"/>
        </w:rPr>
        <w:t xml:space="preserve">In our view, the optionality granted to institutions should be </w:t>
      </w:r>
      <w:r w:rsidRPr="00F73BFB">
        <w:rPr>
          <w:i/>
          <w:iCs/>
          <w:color w:val="0070C0"/>
          <w:lang w:val="en-GB"/>
        </w:rPr>
        <w:t>unconditional</w:t>
      </w:r>
      <w:r w:rsidRPr="00F73BFB">
        <w:rPr>
          <w:color w:val="0070C0"/>
          <w:lang w:val="en-GB"/>
        </w:rPr>
        <w:t xml:space="preserve">. Institutions should not be required to perform an extended analysis to justify that a fallback approach is appropriate, because such a prerequisite would undermine the intended simplification goal. This position is based on the understanding that the fallback approaches will be conservatively calibrated and therefore not susceptible to arbitrage. The only pre-condition should be the availability of sufficient data in cases where the fallback method relies on data inputs. </w:t>
      </w:r>
    </w:p>
    <w:p w14:paraId="1FB320F5" w14:textId="52A24566" w:rsidR="00FD7848" w:rsidRPr="00F73BFB" w:rsidRDefault="00FD7848" w:rsidP="00144FAB">
      <w:pPr>
        <w:pStyle w:val="BodyText"/>
        <w:numPr>
          <w:ilvl w:val="0"/>
          <w:numId w:val="14"/>
        </w:numPr>
        <w:jc w:val="both"/>
        <w:rPr>
          <w:color w:val="0070C0"/>
          <w:lang w:val="en-GB"/>
        </w:rPr>
      </w:pPr>
      <w:r w:rsidRPr="00F73BFB">
        <w:rPr>
          <w:color w:val="0070C0"/>
          <w:lang w:val="en-GB"/>
        </w:rPr>
        <w:t xml:space="preserve">We also support allowing institutions to apply a fallback </w:t>
      </w:r>
      <w:r w:rsidR="00ED7836" w:rsidRPr="00F73BFB">
        <w:rPr>
          <w:color w:val="0070C0"/>
          <w:lang w:val="en-GB"/>
        </w:rPr>
        <w:t>method</w:t>
      </w:r>
      <w:r w:rsidRPr="00F73BFB">
        <w:rPr>
          <w:color w:val="0070C0"/>
          <w:lang w:val="en-GB"/>
        </w:rPr>
        <w:t xml:space="preserve"> to a specific modelling aspect independently of whether fallback approaches are used for other modelling components.</w:t>
      </w:r>
    </w:p>
    <w:p w14:paraId="623E75FA" w14:textId="77777777" w:rsidR="00220072" w:rsidRDefault="00B472BD" w:rsidP="00144FAB">
      <w:pPr>
        <w:pStyle w:val="BodyText"/>
        <w:numPr>
          <w:ilvl w:val="0"/>
          <w:numId w:val="14"/>
        </w:numPr>
        <w:jc w:val="both"/>
        <w:rPr>
          <w:color w:val="0070C0"/>
          <w:lang w:val="en-GB"/>
        </w:rPr>
      </w:pPr>
      <w:r w:rsidRPr="00F73BFB">
        <w:rPr>
          <w:color w:val="0070C0"/>
          <w:lang w:val="en-GB"/>
        </w:rPr>
        <w:t>We propose the following variations to the fallbacks</w:t>
      </w:r>
      <w:r w:rsidR="00ED7836" w:rsidRPr="00F73BFB">
        <w:rPr>
          <w:color w:val="0070C0"/>
          <w:lang w:val="en-GB"/>
        </w:rPr>
        <w:t xml:space="preserve"> proposed in the DP</w:t>
      </w:r>
      <w:r w:rsidRPr="00F73BFB">
        <w:rPr>
          <w:color w:val="0070C0"/>
          <w:lang w:val="en-GB"/>
        </w:rPr>
        <w:t>:</w:t>
      </w:r>
    </w:p>
    <w:p w14:paraId="798A47B5" w14:textId="070CA35B" w:rsidR="003368FA" w:rsidRPr="003368FA" w:rsidRDefault="003368FA" w:rsidP="003368FA">
      <w:pPr>
        <w:pStyle w:val="BodyText"/>
        <w:ind w:left="863"/>
        <w:jc w:val="both"/>
        <w:rPr>
          <w:b/>
          <w:bCs/>
          <w:color w:val="0070C0"/>
          <w:lang w:val="en-GB"/>
        </w:rPr>
      </w:pPr>
      <w:r w:rsidRPr="003368FA">
        <w:rPr>
          <w:b/>
          <w:bCs/>
          <w:color w:val="0070C0"/>
          <w:lang w:val="en-GB"/>
        </w:rPr>
        <w:t>LGD for defaulted exposures</w:t>
      </w:r>
      <w:r w:rsidR="008C6119">
        <w:rPr>
          <w:b/>
          <w:bCs/>
          <w:color w:val="0070C0"/>
          <w:lang w:val="en-GB"/>
        </w:rPr>
        <w:t xml:space="preserve"> (C13):</w:t>
      </w:r>
    </w:p>
    <w:p w14:paraId="1771CB6C" w14:textId="59A6CA9A" w:rsidR="003368FA" w:rsidRDefault="003368FA" w:rsidP="00144FAB">
      <w:pPr>
        <w:pStyle w:val="BodyText"/>
        <w:numPr>
          <w:ilvl w:val="0"/>
          <w:numId w:val="17"/>
        </w:numPr>
        <w:jc w:val="both"/>
        <w:rPr>
          <w:color w:val="0070C0"/>
          <w:lang w:val="en-GB"/>
        </w:rPr>
      </w:pPr>
      <w:r w:rsidRPr="003368FA">
        <w:rPr>
          <w:color w:val="0070C0"/>
          <w:lang w:val="en-GB"/>
        </w:rPr>
        <w:t xml:space="preserve">We </w:t>
      </w:r>
      <w:r>
        <w:rPr>
          <w:color w:val="0070C0"/>
          <w:lang w:val="en-GB"/>
        </w:rPr>
        <w:t xml:space="preserve">support </w:t>
      </w:r>
      <w:r w:rsidRPr="003368FA">
        <w:rPr>
          <w:color w:val="0070C0"/>
          <w:lang w:val="en-GB"/>
        </w:rPr>
        <w:t>simplifications</w:t>
      </w:r>
      <w:r>
        <w:rPr>
          <w:color w:val="0070C0"/>
          <w:lang w:val="en-GB"/>
        </w:rPr>
        <w:t xml:space="preserve"> for the </w:t>
      </w:r>
      <w:r w:rsidRPr="003368FA">
        <w:rPr>
          <w:color w:val="0070C0"/>
          <w:lang w:val="en-GB"/>
        </w:rPr>
        <w:t>LGD for defaulted exposures</w:t>
      </w:r>
      <w:r>
        <w:rPr>
          <w:color w:val="0070C0"/>
          <w:lang w:val="en-GB"/>
        </w:rPr>
        <w:t>.</w:t>
      </w:r>
      <w:r w:rsidR="00024035">
        <w:rPr>
          <w:color w:val="0070C0"/>
          <w:lang w:val="en-GB"/>
        </w:rPr>
        <w:t xml:space="preserve"> We also support the use of back testing of these fallback values as stated in par. 51 of the DP. </w:t>
      </w:r>
    </w:p>
    <w:p w14:paraId="0E7DC6FC" w14:textId="7A273BC8" w:rsidR="00B472BD" w:rsidRPr="00220072" w:rsidRDefault="00C81461" w:rsidP="007C3C4A">
      <w:pPr>
        <w:pStyle w:val="BodyText"/>
        <w:ind w:left="863"/>
        <w:jc w:val="both"/>
        <w:rPr>
          <w:color w:val="0070C0"/>
          <w:lang w:val="en-GB"/>
        </w:rPr>
      </w:pPr>
      <w:r w:rsidRPr="00220072">
        <w:rPr>
          <w:b/>
          <w:bCs/>
          <w:color w:val="0070C0"/>
          <w:lang w:val="en-GB"/>
        </w:rPr>
        <w:t>Downturn quantification</w:t>
      </w:r>
      <w:r w:rsidR="00405D1E">
        <w:rPr>
          <w:b/>
          <w:bCs/>
          <w:color w:val="0070C0"/>
          <w:lang w:val="en-GB"/>
        </w:rPr>
        <w:t xml:space="preserve"> (C12)</w:t>
      </w:r>
      <w:r w:rsidRPr="00220072">
        <w:rPr>
          <w:b/>
          <w:bCs/>
          <w:color w:val="0070C0"/>
          <w:lang w:val="en-GB"/>
        </w:rPr>
        <w:t xml:space="preserve">: </w:t>
      </w:r>
    </w:p>
    <w:p w14:paraId="15BACB8B" w14:textId="31D853AD" w:rsidR="00065362" w:rsidRDefault="00065362" w:rsidP="00144FAB">
      <w:pPr>
        <w:pStyle w:val="BodyText"/>
        <w:numPr>
          <w:ilvl w:val="0"/>
          <w:numId w:val="14"/>
        </w:numPr>
        <w:jc w:val="both"/>
        <w:rPr>
          <w:color w:val="0070C0"/>
          <w:lang w:val="en-GB"/>
        </w:rPr>
      </w:pPr>
      <w:r w:rsidRPr="00065362">
        <w:rPr>
          <w:color w:val="0070C0"/>
          <w:lang w:val="en-GB"/>
        </w:rPr>
        <w:t>In our view, the existing guidance</w:t>
      </w:r>
      <w:r w:rsidR="00273DE8">
        <w:rPr>
          <w:color w:val="0070C0"/>
          <w:lang w:val="en-GB"/>
        </w:rPr>
        <w:t xml:space="preserve"> on downturn identification and quantification</w:t>
      </w:r>
      <w:r w:rsidRPr="00065362">
        <w:rPr>
          <w:color w:val="0070C0"/>
          <w:lang w:val="en-GB"/>
        </w:rPr>
        <w:t xml:space="preserve">—such as </w:t>
      </w:r>
      <w:r w:rsidR="00511866">
        <w:rPr>
          <w:color w:val="0070C0"/>
          <w:lang w:val="en-GB"/>
        </w:rPr>
        <w:t>EBA/RTS/2018/04</w:t>
      </w:r>
      <w:r w:rsidR="00273DE8">
        <w:rPr>
          <w:color w:val="0070C0"/>
          <w:lang w:val="en-GB"/>
        </w:rPr>
        <w:t xml:space="preserve">, CDR(EU)2021/930, </w:t>
      </w:r>
      <w:r w:rsidRPr="00065362">
        <w:rPr>
          <w:color w:val="0070C0"/>
          <w:lang w:val="en-GB"/>
        </w:rPr>
        <w:t>EBA/GL/2019/03—is extensive, but at the same time extremely difficult to apply and comply with in a fully unambiguous manner</w:t>
      </w:r>
      <w:r>
        <w:rPr>
          <w:color w:val="0070C0"/>
          <w:lang w:val="en-GB"/>
        </w:rPr>
        <w:t>.</w:t>
      </w:r>
    </w:p>
    <w:p w14:paraId="4D6EBEFF" w14:textId="70B74DA4" w:rsidR="00B472BD" w:rsidRPr="00F73BFB" w:rsidRDefault="00065362" w:rsidP="00144FAB">
      <w:pPr>
        <w:pStyle w:val="BodyText"/>
        <w:numPr>
          <w:ilvl w:val="0"/>
          <w:numId w:val="14"/>
        </w:numPr>
        <w:jc w:val="both"/>
        <w:rPr>
          <w:color w:val="0070C0"/>
          <w:lang w:val="en-GB"/>
        </w:rPr>
      </w:pPr>
      <w:r>
        <w:rPr>
          <w:color w:val="0070C0"/>
          <w:lang w:val="en-GB"/>
        </w:rPr>
        <w:t>We agree that</w:t>
      </w:r>
      <w:r w:rsidR="00ED7836" w:rsidRPr="00F73BFB">
        <w:rPr>
          <w:color w:val="0070C0"/>
          <w:lang w:val="en-GB"/>
        </w:rPr>
        <w:t xml:space="preserve"> u</w:t>
      </w:r>
      <w:r w:rsidR="00B472BD" w:rsidRPr="00F73BFB">
        <w:rPr>
          <w:color w:val="0070C0"/>
          <w:lang w:val="en-GB"/>
        </w:rPr>
        <w:t>sing the reference</w:t>
      </w:r>
      <w:r w:rsidR="00B472BD" w:rsidRPr="00F73BFB">
        <w:rPr>
          <w:rFonts w:ascii="Cambria Math" w:hAnsi="Cambria Math" w:cs="Cambria Math"/>
          <w:color w:val="0070C0"/>
          <w:lang w:val="en-GB"/>
        </w:rPr>
        <w:t>‑</w:t>
      </w:r>
      <w:r w:rsidR="00B472BD" w:rsidRPr="00F73BFB">
        <w:rPr>
          <w:color w:val="0070C0"/>
          <w:lang w:val="en-GB"/>
        </w:rPr>
        <w:t>value method for LGD and CCF parameters provides a solid basis for a fallback approach. As defined in the LGD downturn guidelines</w:t>
      </w:r>
      <w:r w:rsidR="00172AFE">
        <w:rPr>
          <w:color w:val="0070C0"/>
          <w:lang w:val="en-GB"/>
        </w:rPr>
        <w:t xml:space="preserve"> </w:t>
      </w:r>
      <w:r w:rsidR="00172AFE" w:rsidRPr="00172AFE">
        <w:rPr>
          <w:color w:val="0070C0"/>
          <w:lang w:val="en-GB"/>
        </w:rPr>
        <w:t>EBA/GL/2019/03</w:t>
      </w:r>
      <w:r w:rsidR="00B472BD" w:rsidRPr="00F73BFB">
        <w:rPr>
          <w:color w:val="0070C0"/>
          <w:lang w:val="en-GB"/>
        </w:rPr>
        <w:t xml:space="preserve"> (and the forthcoming CCF estimation guidelines</w:t>
      </w:r>
      <w:r w:rsidR="00172AFE">
        <w:rPr>
          <w:color w:val="0070C0"/>
          <w:lang w:val="en-GB"/>
        </w:rPr>
        <w:t xml:space="preserve"> following EBA/CP/2025/10</w:t>
      </w:r>
      <w:r w:rsidR="00B472BD" w:rsidRPr="00F73BFB">
        <w:rPr>
          <w:color w:val="0070C0"/>
          <w:lang w:val="en-GB"/>
        </w:rPr>
        <w:t>), the reference value is calculated as the average of the two years with the highest observed LGD or CCF values.</w:t>
      </w:r>
    </w:p>
    <w:p w14:paraId="63AEE5CE" w14:textId="7D162765" w:rsidR="00E80A64" w:rsidRPr="00F73BFB" w:rsidRDefault="00E80A64" w:rsidP="00144FAB">
      <w:pPr>
        <w:pStyle w:val="BodyText"/>
        <w:numPr>
          <w:ilvl w:val="0"/>
          <w:numId w:val="14"/>
        </w:numPr>
        <w:jc w:val="both"/>
        <w:rPr>
          <w:color w:val="0070C0"/>
          <w:lang w:val="en-GB"/>
        </w:rPr>
      </w:pPr>
      <w:r w:rsidRPr="00F73BFB">
        <w:rPr>
          <w:color w:val="0070C0"/>
          <w:lang w:val="en-GB"/>
        </w:rPr>
        <w:t xml:space="preserve">Practically it means that the reference-value method, which is currently a non-binding </w:t>
      </w:r>
      <w:r w:rsidRPr="00F73BFB">
        <w:rPr>
          <w:color w:val="0070C0"/>
          <w:lang w:val="en-GB"/>
        </w:rPr>
        <w:lastRenderedPageBreak/>
        <w:t>challenger for the downturn quantification (as per EBA</w:t>
      </w:r>
      <w:r w:rsidR="00172AFE">
        <w:rPr>
          <w:color w:val="0070C0"/>
          <w:lang w:val="en-GB"/>
        </w:rPr>
        <w:t xml:space="preserve"> downturn</w:t>
      </w:r>
      <w:r w:rsidRPr="00F73BFB">
        <w:rPr>
          <w:color w:val="0070C0"/>
          <w:lang w:val="en-GB"/>
        </w:rPr>
        <w:t xml:space="preserve"> GL and EGIM</w:t>
      </w:r>
      <w:r w:rsidR="00511866">
        <w:rPr>
          <w:color w:val="0070C0"/>
          <w:lang w:val="en-GB"/>
        </w:rPr>
        <w:t xml:space="preserve"> 2025</w:t>
      </w:r>
      <w:r w:rsidRPr="00F73BFB">
        <w:rPr>
          <w:color w:val="0070C0"/>
          <w:lang w:val="en-GB"/>
        </w:rPr>
        <w:t>), is elevated to be the primary calculation method, should the institution select this fallback method for downturn quantification.</w:t>
      </w:r>
    </w:p>
    <w:p w14:paraId="2CA20D43" w14:textId="77777777" w:rsidR="00B472BD" w:rsidRPr="00F73BFB" w:rsidRDefault="00B472BD" w:rsidP="00144FAB">
      <w:pPr>
        <w:pStyle w:val="BodyText"/>
        <w:numPr>
          <w:ilvl w:val="0"/>
          <w:numId w:val="14"/>
        </w:numPr>
        <w:jc w:val="both"/>
        <w:rPr>
          <w:color w:val="0070C0"/>
          <w:lang w:val="en-GB"/>
        </w:rPr>
      </w:pPr>
      <w:r w:rsidRPr="00F73BFB">
        <w:rPr>
          <w:color w:val="0070C0"/>
          <w:lang w:val="en-GB"/>
        </w:rPr>
        <w:t>The advantages of this method include eliminating the need to identify downturn periods and significantly reducing modelling complexity.</w:t>
      </w:r>
    </w:p>
    <w:p w14:paraId="6AA830FA" w14:textId="5D60EFE8" w:rsidR="003A3571" w:rsidRPr="003A3571" w:rsidRDefault="00B472BD" w:rsidP="003A3571">
      <w:pPr>
        <w:pStyle w:val="BodyText"/>
        <w:numPr>
          <w:ilvl w:val="0"/>
          <w:numId w:val="14"/>
        </w:numPr>
        <w:jc w:val="both"/>
        <w:rPr>
          <w:color w:val="0070C0"/>
          <w:lang w:val="en-GB"/>
        </w:rPr>
      </w:pPr>
      <w:r w:rsidRPr="00F73BFB">
        <w:rPr>
          <w:color w:val="0070C0"/>
          <w:lang w:val="en-GB"/>
        </w:rPr>
        <w:t>However, the method may unintentionally introduce bias by always selecting the most adverse outcomes</w:t>
      </w:r>
      <w:r w:rsidR="003A3571">
        <w:rPr>
          <w:color w:val="0070C0"/>
          <w:lang w:val="en-GB"/>
        </w:rPr>
        <w:t xml:space="preserve"> – </w:t>
      </w:r>
      <w:r w:rsidRPr="00F73BFB">
        <w:rPr>
          <w:color w:val="0070C0"/>
          <w:lang w:val="en-GB"/>
        </w:rPr>
        <w:t>regardless of whether these reflect genuine economic downturn conditions</w:t>
      </w:r>
      <w:r w:rsidR="00A01C63">
        <w:rPr>
          <w:color w:val="0070C0"/>
          <w:lang w:val="en-GB"/>
        </w:rPr>
        <w:t xml:space="preserve"> (which is the intention with downturn quantification)</w:t>
      </w:r>
      <w:r w:rsidRPr="00F73BFB">
        <w:rPr>
          <w:color w:val="0070C0"/>
          <w:lang w:val="en-GB"/>
        </w:rPr>
        <w:t xml:space="preserve"> or </w:t>
      </w:r>
      <w:r w:rsidR="003A3571">
        <w:rPr>
          <w:color w:val="0070C0"/>
          <w:lang w:val="en-GB"/>
        </w:rPr>
        <w:t>are</w:t>
      </w:r>
      <w:r w:rsidRPr="00F73BFB">
        <w:rPr>
          <w:color w:val="0070C0"/>
          <w:lang w:val="en-GB"/>
        </w:rPr>
        <w:t xml:space="preserve"> driven by institution</w:t>
      </w:r>
      <w:r w:rsidRPr="00F73BFB">
        <w:rPr>
          <w:rFonts w:ascii="Cambria Math" w:hAnsi="Cambria Math" w:cs="Cambria Math"/>
          <w:color w:val="0070C0"/>
          <w:lang w:val="en-GB"/>
        </w:rPr>
        <w:t>‑</w:t>
      </w:r>
      <w:r w:rsidRPr="00F73BFB">
        <w:rPr>
          <w:color w:val="0070C0"/>
          <w:lang w:val="en-GB"/>
        </w:rPr>
        <w:t>specific idiosyncratic events</w:t>
      </w:r>
      <w:r w:rsidR="00A01C63">
        <w:rPr>
          <w:color w:val="0070C0"/>
          <w:lang w:val="en-GB"/>
        </w:rPr>
        <w:t xml:space="preserve"> (which is not the intention)</w:t>
      </w:r>
      <w:r w:rsidRPr="00F73BFB">
        <w:rPr>
          <w:color w:val="0070C0"/>
          <w:lang w:val="en-GB"/>
        </w:rPr>
        <w:t xml:space="preserve">. </w:t>
      </w:r>
      <w:r w:rsidR="003A3571">
        <w:rPr>
          <w:color w:val="0070C0"/>
          <w:lang w:val="en-GB"/>
        </w:rPr>
        <w:t>Furthermore</w:t>
      </w:r>
      <w:r w:rsidR="003A3571" w:rsidRPr="003A3571">
        <w:rPr>
          <w:color w:val="0070C0"/>
          <w:lang w:val="en-GB"/>
        </w:rPr>
        <w:t>, data quality issues, or non-representative defaults (e.g. fraud or missing cash flow cases)</w:t>
      </w:r>
      <w:r w:rsidR="003A3571">
        <w:rPr>
          <w:color w:val="0070C0"/>
          <w:lang w:val="en-GB"/>
        </w:rPr>
        <w:t xml:space="preserve"> and</w:t>
      </w:r>
      <w:r w:rsidR="003A3571" w:rsidRPr="003A3571">
        <w:rPr>
          <w:color w:val="0070C0"/>
          <w:lang w:val="en-GB"/>
        </w:rPr>
        <w:t xml:space="preserve"> small sample sizes </w:t>
      </w:r>
      <w:r w:rsidR="003A3571">
        <w:rPr>
          <w:color w:val="0070C0"/>
          <w:lang w:val="en-GB"/>
        </w:rPr>
        <w:t xml:space="preserve">may </w:t>
      </w:r>
      <w:r w:rsidR="003A3571" w:rsidRPr="003A3571">
        <w:rPr>
          <w:color w:val="0070C0"/>
          <w:lang w:val="en-GB"/>
        </w:rPr>
        <w:t>further distort</w:t>
      </w:r>
      <w:r w:rsidR="003A3571">
        <w:rPr>
          <w:color w:val="0070C0"/>
          <w:lang w:val="en-GB"/>
        </w:rPr>
        <w:t xml:space="preserve"> </w:t>
      </w:r>
      <w:r w:rsidR="003A3571" w:rsidRPr="003A3571">
        <w:rPr>
          <w:color w:val="0070C0"/>
          <w:lang w:val="en-GB"/>
        </w:rPr>
        <w:t>outcomes</w:t>
      </w:r>
      <w:r w:rsidR="003A3571">
        <w:rPr>
          <w:color w:val="0070C0"/>
          <w:lang w:val="en-GB"/>
        </w:rPr>
        <w:t>.</w:t>
      </w:r>
    </w:p>
    <w:p w14:paraId="065BB946" w14:textId="58EFCFF9" w:rsidR="00370D34" w:rsidRPr="00F73BFB" w:rsidRDefault="00B472BD" w:rsidP="00144FAB">
      <w:pPr>
        <w:pStyle w:val="BodyText"/>
        <w:numPr>
          <w:ilvl w:val="0"/>
          <w:numId w:val="14"/>
        </w:numPr>
        <w:jc w:val="both"/>
        <w:rPr>
          <w:color w:val="0070C0"/>
          <w:lang w:val="en-GB"/>
        </w:rPr>
      </w:pPr>
      <w:r w:rsidRPr="00F73BFB">
        <w:rPr>
          <w:color w:val="0070C0"/>
          <w:lang w:val="en-GB"/>
        </w:rPr>
        <w:t>To mitigate this risk, we propose adjusting the reference</w:t>
      </w:r>
      <w:r w:rsidRPr="00F73BFB">
        <w:rPr>
          <w:rFonts w:ascii="Cambria Math" w:hAnsi="Cambria Math" w:cs="Cambria Math"/>
          <w:color w:val="0070C0"/>
          <w:lang w:val="en-GB"/>
        </w:rPr>
        <w:t>‑</w:t>
      </w:r>
      <w:r w:rsidRPr="00F73BFB">
        <w:rPr>
          <w:color w:val="0070C0"/>
          <w:lang w:val="en-GB"/>
        </w:rPr>
        <w:t xml:space="preserve">value calculation to use </w:t>
      </w:r>
      <w:r w:rsidR="003A3571">
        <w:rPr>
          <w:color w:val="0070C0"/>
          <w:lang w:val="en-GB"/>
        </w:rPr>
        <w:t xml:space="preserve">more than two years for the average calculation, e.g. </w:t>
      </w:r>
      <w:r w:rsidRPr="00F73BFB">
        <w:rPr>
          <w:color w:val="0070C0"/>
          <w:lang w:val="en-GB"/>
        </w:rPr>
        <w:t xml:space="preserve">the </w:t>
      </w:r>
      <w:r w:rsidRPr="00F73BFB">
        <w:rPr>
          <w:b/>
          <w:bCs/>
          <w:color w:val="0070C0"/>
          <w:lang w:val="en-GB"/>
        </w:rPr>
        <w:t>three worst years</w:t>
      </w:r>
      <w:r w:rsidRPr="00F73BFB">
        <w:rPr>
          <w:color w:val="0070C0"/>
          <w:lang w:val="en-GB"/>
        </w:rPr>
        <w:t>. This would reduce sensitivity to outlier years while maintaining an appropriately prudent calibration.</w:t>
      </w:r>
      <w:r w:rsidR="003A3571">
        <w:rPr>
          <w:color w:val="0070C0"/>
          <w:lang w:val="en-GB"/>
        </w:rPr>
        <w:t xml:space="preserve"> A further mitigation is </w:t>
      </w:r>
      <w:r w:rsidR="003A3571" w:rsidRPr="003A3571">
        <w:rPr>
          <w:color w:val="0070C0"/>
          <w:lang w:val="en-GB"/>
        </w:rPr>
        <w:t>allowing well-justified deviations where institutions can demonstrate that the reference value does not reflect a plausible downturn scenario.</w:t>
      </w:r>
    </w:p>
    <w:p w14:paraId="2EF9D0A2" w14:textId="3F0B71C2" w:rsidR="00CE760F" w:rsidRDefault="00CE760F" w:rsidP="00144FAB">
      <w:pPr>
        <w:pStyle w:val="BodyText"/>
        <w:numPr>
          <w:ilvl w:val="0"/>
          <w:numId w:val="14"/>
        </w:numPr>
        <w:jc w:val="both"/>
        <w:rPr>
          <w:color w:val="0070C0"/>
          <w:lang w:val="en-GB"/>
        </w:rPr>
      </w:pPr>
      <w:r w:rsidRPr="00F73BFB">
        <w:rPr>
          <w:color w:val="0070C0"/>
          <w:lang w:val="en-GB"/>
        </w:rPr>
        <w:t>Additional considerations include the need for a minimum of seven years of observations for the fallback method to be applied credibly, on the basis that seven years broadly represent the average duration of an economic cycle. Furthermore, for the purpose of annual calculations, calendar years</w:t>
      </w:r>
      <w:r w:rsidR="003A3571">
        <w:rPr>
          <w:color w:val="0070C0"/>
          <w:lang w:val="en-GB"/>
        </w:rPr>
        <w:t xml:space="preserve"> – </w:t>
      </w:r>
      <w:r w:rsidRPr="00F73BFB">
        <w:rPr>
          <w:color w:val="0070C0"/>
          <w:lang w:val="en-GB"/>
        </w:rPr>
        <w:t>rather than rolling 12</w:t>
      </w:r>
      <w:r w:rsidRPr="00F73BFB">
        <w:rPr>
          <w:rFonts w:ascii="Cambria Math" w:hAnsi="Cambria Math" w:cs="Cambria Math"/>
          <w:color w:val="0070C0"/>
          <w:lang w:val="en-GB"/>
        </w:rPr>
        <w:t>‑</w:t>
      </w:r>
      <w:r w:rsidRPr="00F73BFB">
        <w:rPr>
          <w:color w:val="0070C0"/>
          <w:lang w:val="en-GB"/>
        </w:rPr>
        <w:t>month periods</w:t>
      </w:r>
      <w:r w:rsidR="003A3571">
        <w:rPr>
          <w:color w:val="0070C0"/>
          <w:lang w:val="en-GB"/>
        </w:rPr>
        <w:t xml:space="preserve"> – </w:t>
      </w:r>
      <w:r w:rsidRPr="00F73BFB">
        <w:rPr>
          <w:color w:val="0070C0"/>
          <w:lang w:val="en-GB"/>
        </w:rPr>
        <w:t>should be used to support the simplification objective.</w:t>
      </w:r>
    </w:p>
    <w:p w14:paraId="6C4C516B" w14:textId="58A338F2" w:rsidR="00466A11" w:rsidRPr="00466A11" w:rsidRDefault="00466A11" w:rsidP="00466A11">
      <w:pPr>
        <w:pStyle w:val="BodyText"/>
        <w:ind w:left="863"/>
        <w:jc w:val="both"/>
        <w:rPr>
          <w:b/>
          <w:bCs/>
          <w:color w:val="0070C0"/>
          <w:lang w:val="en-GB"/>
        </w:rPr>
      </w:pPr>
      <w:r w:rsidRPr="00466A11">
        <w:rPr>
          <w:b/>
          <w:bCs/>
          <w:color w:val="0070C0"/>
          <w:lang w:val="en-GB"/>
        </w:rPr>
        <w:t>Fixed CCFs (C14)</w:t>
      </w:r>
    </w:p>
    <w:p w14:paraId="16FBCCE4" w14:textId="2CCF61B5" w:rsidR="00466A11" w:rsidRPr="00F73BFB" w:rsidRDefault="00466A11" w:rsidP="00144FAB">
      <w:pPr>
        <w:pStyle w:val="BodyText"/>
        <w:numPr>
          <w:ilvl w:val="0"/>
          <w:numId w:val="14"/>
        </w:numPr>
        <w:jc w:val="both"/>
        <w:rPr>
          <w:color w:val="0070C0"/>
          <w:lang w:val="en-GB"/>
        </w:rPr>
      </w:pPr>
      <w:r>
        <w:rPr>
          <w:color w:val="0070C0"/>
          <w:lang w:val="en-GB"/>
        </w:rPr>
        <w:t xml:space="preserve">We support optional fallback values for CCFs provided that the AIRB LGD is still supported, i.e. the use of the fixed CCF does not require reversion to the FIRB or SA for </w:t>
      </w:r>
      <w:r w:rsidR="0052365A">
        <w:rPr>
          <w:color w:val="0070C0"/>
          <w:lang w:val="en-GB"/>
        </w:rPr>
        <w:t xml:space="preserve">the </w:t>
      </w:r>
      <w:r>
        <w:rPr>
          <w:color w:val="0070C0"/>
          <w:lang w:val="en-GB"/>
        </w:rPr>
        <w:t>LGD.</w:t>
      </w:r>
    </w:p>
    <w:p w14:paraId="7F8C788B" w14:textId="6CA95030" w:rsidR="00262F34" w:rsidRPr="00F73BFB" w:rsidRDefault="004C5DAC" w:rsidP="007C3C4A">
      <w:pPr>
        <w:pStyle w:val="BodyText"/>
        <w:ind w:left="863"/>
        <w:jc w:val="both"/>
        <w:rPr>
          <w:color w:val="0070C0"/>
          <w:lang w:val="en-GB"/>
        </w:rPr>
      </w:pPr>
      <w:r w:rsidRPr="00F73BFB">
        <w:rPr>
          <w:b/>
          <w:bCs/>
          <w:color w:val="0070C0"/>
          <w:lang w:val="en-GB"/>
        </w:rPr>
        <w:t>CCF 12-month reference period</w:t>
      </w:r>
      <w:r w:rsidR="00405D1E">
        <w:rPr>
          <w:b/>
          <w:bCs/>
          <w:color w:val="0070C0"/>
          <w:lang w:val="en-GB"/>
        </w:rPr>
        <w:t xml:space="preserve"> (C15)</w:t>
      </w:r>
      <w:r w:rsidRPr="00F73BFB">
        <w:rPr>
          <w:color w:val="0070C0"/>
          <w:lang w:val="en-GB"/>
        </w:rPr>
        <w:t xml:space="preserve">: </w:t>
      </w:r>
    </w:p>
    <w:p w14:paraId="5A33FE66" w14:textId="77777777" w:rsidR="002657FA" w:rsidRDefault="00BC306F" w:rsidP="00144FAB">
      <w:pPr>
        <w:pStyle w:val="BodyText"/>
        <w:numPr>
          <w:ilvl w:val="0"/>
          <w:numId w:val="14"/>
        </w:numPr>
        <w:jc w:val="both"/>
        <w:rPr>
          <w:color w:val="0070C0"/>
          <w:lang w:val="en-GB"/>
        </w:rPr>
      </w:pPr>
      <w:r w:rsidRPr="00F73BFB">
        <w:rPr>
          <w:color w:val="0070C0"/>
          <w:lang w:val="en-GB"/>
        </w:rPr>
        <w:t>The fixed 12</w:t>
      </w:r>
      <w:r w:rsidRPr="00F73BFB">
        <w:rPr>
          <w:rFonts w:ascii="Cambria Math" w:hAnsi="Cambria Math" w:cs="Cambria Math"/>
          <w:color w:val="0070C0"/>
          <w:lang w:val="en-GB"/>
        </w:rPr>
        <w:t>‑</w:t>
      </w:r>
      <w:r w:rsidRPr="00F73BFB">
        <w:rPr>
          <w:color w:val="0070C0"/>
          <w:lang w:val="en-GB"/>
        </w:rPr>
        <w:t xml:space="preserve">month reference period for the CCF risk parameter introduced in CRR3 (Level 1) represents a constraint that is not fully aligned with the flexibility permitted for selecting reference periods for other risk parameters. </w:t>
      </w:r>
      <w:r w:rsidRPr="003A3571">
        <w:rPr>
          <w:b/>
          <w:bCs/>
          <w:color w:val="0070C0"/>
          <w:lang w:val="en-GB"/>
        </w:rPr>
        <w:t>We therefore support the proposed additional flexibility in this regard.</w:t>
      </w:r>
      <w:r w:rsidR="0099148A" w:rsidRPr="003A3571">
        <w:rPr>
          <w:b/>
          <w:bCs/>
          <w:color w:val="0070C0"/>
          <w:lang w:val="en-GB"/>
        </w:rPr>
        <w:t xml:space="preserve"> </w:t>
      </w:r>
    </w:p>
    <w:p w14:paraId="5CB051BC" w14:textId="666EFA69" w:rsidR="004A5402" w:rsidRPr="002657FA" w:rsidRDefault="004A5402" w:rsidP="00144FAB">
      <w:pPr>
        <w:pStyle w:val="BodyText"/>
        <w:numPr>
          <w:ilvl w:val="0"/>
          <w:numId w:val="14"/>
        </w:numPr>
        <w:jc w:val="both"/>
        <w:rPr>
          <w:color w:val="0070C0"/>
          <w:lang w:val="en-GB"/>
        </w:rPr>
      </w:pPr>
      <w:r w:rsidRPr="002657FA">
        <w:rPr>
          <w:color w:val="0070C0"/>
        </w:rPr>
        <w:t xml:space="preserve">The exact nature of the “additional flexibility” </w:t>
      </w:r>
      <w:r w:rsidR="00261EB3">
        <w:rPr>
          <w:color w:val="0070C0"/>
        </w:rPr>
        <w:t xml:space="preserve">in Section 3.2.6 of the DP </w:t>
      </w:r>
      <w:r w:rsidRPr="002657FA">
        <w:rPr>
          <w:color w:val="0070C0"/>
        </w:rPr>
        <w:t>is not clear</w:t>
      </w:r>
      <w:r w:rsidR="00F6745C">
        <w:rPr>
          <w:color w:val="0070C0"/>
        </w:rPr>
        <w:t xml:space="preserve">, and seems to be contradicting the most recent specification in </w:t>
      </w:r>
      <w:r w:rsidR="00F6745C" w:rsidRPr="00F73BFB">
        <w:rPr>
          <w:color w:val="0070C0"/>
          <w:lang w:val="en-GB"/>
        </w:rPr>
        <w:t>EBA/CP/2025/10</w:t>
      </w:r>
      <w:r w:rsidRPr="002657FA">
        <w:rPr>
          <w:color w:val="0070C0"/>
        </w:rPr>
        <w:t>.</w:t>
      </w:r>
      <w:r w:rsidR="000064FE">
        <w:rPr>
          <w:color w:val="0070C0"/>
        </w:rPr>
        <w:t xml:space="preserve"> We therefore request that EBA confirm or correct the following interpretation:</w:t>
      </w:r>
      <w:r w:rsidRPr="002657FA">
        <w:rPr>
          <w:color w:val="0070C0"/>
        </w:rPr>
        <w:t xml:space="preserve"> Our understanding is that </w:t>
      </w:r>
      <w:r w:rsidR="000064FE">
        <w:rPr>
          <w:color w:val="0070C0"/>
        </w:rPr>
        <w:t>the “flexibility”</w:t>
      </w:r>
      <w:r w:rsidRPr="002657FA">
        <w:rPr>
          <w:color w:val="0070C0"/>
        </w:rPr>
        <w:t xml:space="preserve"> </w:t>
      </w:r>
      <w:r w:rsidR="000064FE">
        <w:rPr>
          <w:color w:val="0070C0"/>
        </w:rPr>
        <w:t xml:space="preserve">is based on EBAs interpretation that the 12-month reference period stipulated in CRR3 Article 182(1)(g) refers to the risk quantification. Therefore, the flexibility </w:t>
      </w:r>
      <w:r w:rsidR="00F35268" w:rsidRPr="002657FA">
        <w:rPr>
          <w:color w:val="0070C0"/>
        </w:rPr>
        <w:t>allows</w:t>
      </w:r>
      <w:r w:rsidRPr="002657FA">
        <w:rPr>
          <w:color w:val="0070C0"/>
        </w:rPr>
        <w:t xml:space="preserve"> the risk-differentiation model </w:t>
      </w:r>
      <w:r w:rsidR="00F35268">
        <w:rPr>
          <w:color w:val="0070C0"/>
        </w:rPr>
        <w:t xml:space="preserve">to </w:t>
      </w:r>
      <w:r w:rsidRPr="002657FA">
        <w:rPr>
          <w:color w:val="0070C0"/>
        </w:rPr>
        <w:t>us</w:t>
      </w:r>
      <w:r w:rsidR="00F35268">
        <w:rPr>
          <w:color w:val="0070C0"/>
        </w:rPr>
        <w:t>e</w:t>
      </w:r>
      <w:r w:rsidRPr="002657FA">
        <w:rPr>
          <w:color w:val="0070C0"/>
        </w:rPr>
        <w:t xml:space="preserve"> a cohort approach where the reference period may deviate from a fixed 12 months</w:t>
      </w:r>
      <w:r w:rsidR="000064FE">
        <w:rPr>
          <w:color w:val="0070C0"/>
        </w:rPr>
        <w:t>.</w:t>
      </w:r>
      <w:r w:rsidRPr="002657FA">
        <w:rPr>
          <w:color w:val="0070C0"/>
        </w:rPr>
        <w:t xml:space="preserve"> </w:t>
      </w:r>
      <w:r w:rsidR="000064FE">
        <w:rPr>
          <w:color w:val="0070C0"/>
        </w:rPr>
        <w:t xml:space="preserve">This is desirable </w:t>
      </w:r>
      <w:r w:rsidRPr="002657FA">
        <w:rPr>
          <w:color w:val="0070C0"/>
        </w:rPr>
        <w:t xml:space="preserve">to align with a cohort methodology used for other risk parameters, e.g. the IRB-LGD. However, the risk quantification </w:t>
      </w:r>
      <w:r w:rsidR="00F35268">
        <w:rPr>
          <w:color w:val="0070C0"/>
        </w:rPr>
        <w:t xml:space="preserve">level </w:t>
      </w:r>
      <w:r w:rsidRPr="002657FA">
        <w:rPr>
          <w:color w:val="0070C0"/>
        </w:rPr>
        <w:t xml:space="preserve">must be compared against the outcome derived using a 12-month fixed reference period. The outcome of this comparison may result in further changes to the IRB-CCF risk quantification level to </w:t>
      </w:r>
      <w:r w:rsidR="00F35268">
        <w:rPr>
          <w:color w:val="0070C0"/>
        </w:rPr>
        <w:t>demonstrate</w:t>
      </w:r>
      <w:r w:rsidRPr="002657FA">
        <w:rPr>
          <w:color w:val="0070C0"/>
        </w:rPr>
        <w:t xml:space="preserve"> Level</w:t>
      </w:r>
      <w:r w:rsidR="00616252" w:rsidRPr="002657FA">
        <w:rPr>
          <w:color w:val="0070C0"/>
        </w:rPr>
        <w:t xml:space="preserve"> </w:t>
      </w:r>
      <w:r w:rsidRPr="002657FA">
        <w:rPr>
          <w:color w:val="0070C0"/>
        </w:rPr>
        <w:t>1 compliance.</w:t>
      </w:r>
      <w:r w:rsidR="00DE3E76">
        <w:rPr>
          <w:color w:val="0070C0"/>
        </w:rPr>
        <w:t xml:space="preserve"> In addition, the scope of observations to consider for both the risk differentiation and risk quantification should be determined using the 12-month fixed reference period </w:t>
      </w:r>
      <w:r w:rsidR="000064FE">
        <w:rPr>
          <w:color w:val="0070C0"/>
        </w:rPr>
        <w:t>to</w:t>
      </w:r>
      <w:r w:rsidR="00DE3E76">
        <w:rPr>
          <w:color w:val="0070C0"/>
        </w:rPr>
        <w:t xml:space="preserve"> alig</w:t>
      </w:r>
      <w:r w:rsidR="000064FE">
        <w:rPr>
          <w:color w:val="0070C0"/>
        </w:rPr>
        <w:t>n with the 12-month requirement stipulated in Level 1 (CRR3</w:t>
      </w:r>
      <w:r w:rsidR="00DE3E76">
        <w:rPr>
          <w:color w:val="0070C0"/>
        </w:rPr>
        <w:t xml:space="preserve"> </w:t>
      </w:r>
      <w:r w:rsidR="000064FE">
        <w:rPr>
          <w:color w:val="0070C0"/>
        </w:rPr>
        <w:t>Article 182(1)(g))</w:t>
      </w:r>
      <w:r w:rsidR="00E21DFF">
        <w:rPr>
          <w:color w:val="0070C0"/>
        </w:rPr>
        <w:t xml:space="preserve"> and the requirement to use </w:t>
      </w:r>
      <w:r w:rsidR="00E21DFF" w:rsidRPr="00E21DFF">
        <w:rPr>
          <w:i/>
          <w:iCs/>
          <w:color w:val="0070C0"/>
        </w:rPr>
        <w:t>all</w:t>
      </w:r>
      <w:r w:rsidR="00E21DFF">
        <w:rPr>
          <w:color w:val="0070C0"/>
        </w:rPr>
        <w:t xml:space="preserve"> observations in risk quantification</w:t>
      </w:r>
      <w:r w:rsidR="00DE3E76">
        <w:rPr>
          <w:color w:val="0070C0"/>
        </w:rPr>
        <w:t>.</w:t>
      </w:r>
    </w:p>
    <w:p w14:paraId="4B8A2A84" w14:textId="62BDA623" w:rsidR="00262F34" w:rsidRPr="00F73BFB" w:rsidRDefault="00BC306F" w:rsidP="00144FAB">
      <w:pPr>
        <w:pStyle w:val="BodyText"/>
        <w:numPr>
          <w:ilvl w:val="0"/>
          <w:numId w:val="14"/>
        </w:numPr>
        <w:jc w:val="both"/>
        <w:rPr>
          <w:color w:val="0070C0"/>
          <w:lang w:val="en-GB"/>
        </w:rPr>
      </w:pPr>
      <w:r w:rsidRPr="00F73BFB">
        <w:rPr>
          <w:color w:val="0070C0"/>
          <w:lang w:val="en-GB"/>
        </w:rPr>
        <w:t>For future revisions of the Level 1 text, we respectfully suggest that Level 1 should avoid prescribing detailed modelling specifications—such as reference</w:t>
      </w:r>
      <w:r w:rsidRPr="00F73BFB">
        <w:rPr>
          <w:rFonts w:ascii="Cambria Math" w:hAnsi="Cambria Math" w:cs="Cambria Math"/>
          <w:color w:val="0070C0"/>
          <w:lang w:val="en-GB"/>
        </w:rPr>
        <w:t>‑</w:t>
      </w:r>
      <w:r w:rsidRPr="00F73BFB">
        <w:rPr>
          <w:color w:val="0070C0"/>
          <w:lang w:val="en-GB"/>
        </w:rPr>
        <w:t>period selection methods. These technical elements are more appropriately addressed in Level 2 or Level 3 texts, where they can be updated more efficiently and aligned consistently with other modelling requirements.</w:t>
      </w:r>
    </w:p>
    <w:p w14:paraId="5E3297CC" w14:textId="17A71504" w:rsidR="00043C71" w:rsidRPr="00F73BFB" w:rsidRDefault="00043C71" w:rsidP="007C3C4A">
      <w:pPr>
        <w:pStyle w:val="BodyText"/>
        <w:ind w:left="863"/>
        <w:jc w:val="both"/>
        <w:rPr>
          <w:b/>
          <w:bCs/>
          <w:color w:val="0070C0"/>
          <w:lang w:val="en-GB"/>
        </w:rPr>
      </w:pPr>
      <w:bookmarkStart w:id="1" w:name="_Hlk222391111"/>
      <w:r w:rsidRPr="00F73BFB">
        <w:rPr>
          <w:b/>
          <w:bCs/>
          <w:color w:val="0070C0"/>
          <w:lang w:val="en-GB"/>
        </w:rPr>
        <w:t>LGD direct and indirect costs</w:t>
      </w:r>
      <w:r w:rsidR="00405D1E">
        <w:rPr>
          <w:b/>
          <w:bCs/>
          <w:color w:val="0070C0"/>
          <w:lang w:val="en-GB"/>
        </w:rPr>
        <w:t xml:space="preserve"> (C12)</w:t>
      </w:r>
      <w:r w:rsidRPr="00F73BFB">
        <w:rPr>
          <w:b/>
          <w:bCs/>
          <w:color w:val="0070C0"/>
          <w:lang w:val="en-GB"/>
        </w:rPr>
        <w:t>:</w:t>
      </w:r>
    </w:p>
    <w:p w14:paraId="50A39902" w14:textId="3708A326" w:rsidR="00043C71" w:rsidRDefault="00E02BA4" w:rsidP="00144FAB">
      <w:pPr>
        <w:pStyle w:val="BodyText"/>
        <w:numPr>
          <w:ilvl w:val="0"/>
          <w:numId w:val="14"/>
        </w:numPr>
        <w:jc w:val="both"/>
        <w:rPr>
          <w:color w:val="0070C0"/>
          <w:lang w:val="en-GB"/>
        </w:rPr>
      </w:pPr>
      <w:r>
        <w:rPr>
          <w:color w:val="0070C0"/>
          <w:lang w:val="en-GB"/>
        </w:rPr>
        <w:t>W</w:t>
      </w:r>
      <w:r w:rsidR="000D2961" w:rsidRPr="00F73BFB">
        <w:rPr>
          <w:color w:val="0070C0"/>
          <w:lang w:val="en-GB"/>
        </w:rPr>
        <w:t>e do support the proposal of</w:t>
      </w:r>
      <w:r w:rsidR="00310FB0">
        <w:rPr>
          <w:color w:val="0070C0"/>
          <w:lang w:val="en-GB"/>
        </w:rPr>
        <w:t xml:space="preserve"> </w:t>
      </w:r>
      <w:r w:rsidR="000D2961" w:rsidRPr="00F73BFB">
        <w:rPr>
          <w:color w:val="0070C0"/>
          <w:lang w:val="en-GB"/>
        </w:rPr>
        <w:t xml:space="preserve">fixed </w:t>
      </w:r>
      <w:r w:rsidR="00310FB0">
        <w:rPr>
          <w:color w:val="0070C0"/>
          <w:lang w:val="en-GB"/>
        </w:rPr>
        <w:t xml:space="preserve">percentages </w:t>
      </w:r>
      <w:r w:rsidR="000D2961" w:rsidRPr="00F73BFB">
        <w:rPr>
          <w:color w:val="0070C0"/>
          <w:lang w:val="en-GB"/>
        </w:rPr>
        <w:t xml:space="preserve">for </w:t>
      </w:r>
      <w:r>
        <w:rPr>
          <w:color w:val="0070C0"/>
          <w:lang w:val="en-GB"/>
        </w:rPr>
        <w:t>these</w:t>
      </w:r>
      <w:r w:rsidR="000D2961" w:rsidRPr="00F73BFB">
        <w:rPr>
          <w:color w:val="0070C0"/>
          <w:lang w:val="en-GB"/>
        </w:rPr>
        <w:t xml:space="preserve"> costs.</w:t>
      </w:r>
      <w:r>
        <w:rPr>
          <w:color w:val="0070C0"/>
          <w:lang w:val="en-GB"/>
        </w:rPr>
        <w:t xml:space="preserve"> </w:t>
      </w:r>
    </w:p>
    <w:p w14:paraId="63074141" w14:textId="2434F670" w:rsidR="00F6745C" w:rsidRDefault="00F6745C" w:rsidP="00144FAB">
      <w:pPr>
        <w:pStyle w:val="BodyText"/>
        <w:numPr>
          <w:ilvl w:val="0"/>
          <w:numId w:val="14"/>
        </w:numPr>
        <w:jc w:val="both"/>
        <w:rPr>
          <w:color w:val="0070C0"/>
          <w:lang w:val="en-GB"/>
        </w:rPr>
      </w:pPr>
      <w:r w:rsidRPr="00F6745C">
        <w:rPr>
          <w:color w:val="0070C0"/>
          <w:lang w:val="en-GB"/>
        </w:rPr>
        <w:lastRenderedPageBreak/>
        <w:t>Defining indirect costs on a relative rather than absolute basis is appropriate, as absolute minimum values would unfairly penalise small exposures (e.g., EUR 1,000) compared with large ones (e.g., EUR 10,000,000). Given that indirect costs are typically immaterial, a simple and pragmatic approach is justified.</w:t>
      </w:r>
    </w:p>
    <w:p w14:paraId="654F7DDA" w14:textId="33B09754" w:rsidR="00F6745C" w:rsidRPr="00F73BFB" w:rsidRDefault="00F6745C" w:rsidP="00144FAB">
      <w:pPr>
        <w:pStyle w:val="BodyText"/>
        <w:numPr>
          <w:ilvl w:val="0"/>
          <w:numId w:val="14"/>
        </w:numPr>
        <w:jc w:val="both"/>
        <w:rPr>
          <w:color w:val="0070C0"/>
          <w:lang w:val="en-GB"/>
        </w:rPr>
      </w:pPr>
      <w:r>
        <w:rPr>
          <w:color w:val="0070C0"/>
          <w:lang w:val="en-GB"/>
        </w:rPr>
        <w:t>Also see our related responses to questions 14 &amp; 16.</w:t>
      </w:r>
    </w:p>
    <w:bookmarkEnd w:id="1"/>
    <w:p w14:paraId="3064557C" w14:textId="7931D1DA" w:rsidR="00220072" w:rsidRPr="00220072" w:rsidRDefault="00220072" w:rsidP="007C3C4A">
      <w:pPr>
        <w:pStyle w:val="BodyText"/>
        <w:ind w:left="863"/>
        <w:jc w:val="both"/>
        <w:rPr>
          <w:color w:val="0070C0"/>
          <w:lang w:val="en-GB"/>
        </w:rPr>
      </w:pPr>
      <w:r w:rsidRPr="00220072">
        <w:rPr>
          <w:b/>
          <w:bCs/>
          <w:color w:val="0070C0"/>
          <w:lang w:val="en-GB"/>
        </w:rPr>
        <w:t xml:space="preserve">Standardised </w:t>
      </w:r>
      <w:proofErr w:type="spellStart"/>
      <w:r w:rsidRPr="00220072">
        <w:rPr>
          <w:b/>
          <w:bCs/>
          <w:color w:val="0070C0"/>
          <w:lang w:val="en-GB"/>
        </w:rPr>
        <w:t>MoC</w:t>
      </w:r>
      <w:proofErr w:type="spellEnd"/>
      <w:r w:rsidRPr="00220072">
        <w:rPr>
          <w:b/>
          <w:bCs/>
          <w:color w:val="0070C0"/>
          <w:lang w:val="en-GB"/>
        </w:rPr>
        <w:t xml:space="preserve"> C</w:t>
      </w:r>
      <w:r w:rsidR="00374B2A">
        <w:rPr>
          <w:b/>
          <w:bCs/>
          <w:color w:val="0070C0"/>
          <w:lang w:val="en-GB"/>
        </w:rPr>
        <w:t xml:space="preserve"> (C10)</w:t>
      </w:r>
      <w:r w:rsidRPr="00220072">
        <w:rPr>
          <w:color w:val="0070C0"/>
          <w:lang w:val="en-GB"/>
        </w:rPr>
        <w:t>:</w:t>
      </w:r>
    </w:p>
    <w:p w14:paraId="0811C9BB" w14:textId="12BD3D2C" w:rsidR="00374B2A" w:rsidRDefault="00374B2A" w:rsidP="00144FAB">
      <w:pPr>
        <w:pStyle w:val="BodyText"/>
        <w:numPr>
          <w:ilvl w:val="0"/>
          <w:numId w:val="14"/>
        </w:numPr>
        <w:jc w:val="both"/>
        <w:rPr>
          <w:color w:val="0070C0"/>
          <w:lang w:val="en-GB"/>
        </w:rPr>
      </w:pPr>
      <w:r w:rsidRPr="00374B2A">
        <w:rPr>
          <w:color w:val="0070C0"/>
          <w:lang w:val="en-GB"/>
        </w:rPr>
        <w:t xml:space="preserve">In general, we support the standardisation of </w:t>
      </w:r>
      <w:proofErr w:type="spellStart"/>
      <w:r w:rsidRPr="00374B2A">
        <w:rPr>
          <w:color w:val="0070C0"/>
          <w:lang w:val="en-GB"/>
        </w:rPr>
        <w:t>MoC</w:t>
      </w:r>
      <w:proofErr w:type="spellEnd"/>
      <w:r w:rsidRPr="00374B2A">
        <w:rPr>
          <w:color w:val="0070C0"/>
          <w:lang w:val="en-GB"/>
        </w:rPr>
        <w:t> C as outlined in paragraph 44(b) of the D</w:t>
      </w:r>
      <w:r>
        <w:rPr>
          <w:color w:val="0070C0"/>
          <w:lang w:val="en-GB"/>
        </w:rPr>
        <w:t>P</w:t>
      </w:r>
      <w:r w:rsidRPr="00374B2A">
        <w:rPr>
          <w:color w:val="0070C0"/>
          <w:lang w:val="en-GB"/>
        </w:rPr>
        <w:t>, provided that institutions may deviate from this method under specific circumstances (as discussed below).</w:t>
      </w:r>
    </w:p>
    <w:p w14:paraId="4680CA4F" w14:textId="241BB19D" w:rsidR="00F6745C" w:rsidRPr="00374B2A" w:rsidRDefault="00F6745C" w:rsidP="00144FAB">
      <w:pPr>
        <w:pStyle w:val="BodyText"/>
        <w:numPr>
          <w:ilvl w:val="0"/>
          <w:numId w:val="14"/>
        </w:numPr>
        <w:jc w:val="both"/>
        <w:rPr>
          <w:color w:val="0070C0"/>
          <w:lang w:val="en-GB"/>
        </w:rPr>
      </w:pPr>
      <w:r>
        <w:rPr>
          <w:color w:val="0070C0"/>
          <w:lang w:val="en-GB"/>
        </w:rPr>
        <w:t xml:space="preserve">With respect to </w:t>
      </w:r>
      <w:proofErr w:type="spellStart"/>
      <w:r>
        <w:rPr>
          <w:color w:val="0070C0"/>
          <w:lang w:val="en-GB"/>
        </w:rPr>
        <w:t>MoC</w:t>
      </w:r>
      <w:proofErr w:type="spellEnd"/>
      <w:r>
        <w:rPr>
          <w:color w:val="0070C0"/>
          <w:lang w:val="en-GB"/>
        </w:rPr>
        <w:t xml:space="preserve"> A and </w:t>
      </w:r>
      <w:proofErr w:type="spellStart"/>
      <w:r>
        <w:rPr>
          <w:color w:val="0070C0"/>
          <w:lang w:val="en-GB"/>
        </w:rPr>
        <w:t>MoC</w:t>
      </w:r>
      <w:proofErr w:type="spellEnd"/>
      <w:r>
        <w:rPr>
          <w:color w:val="0070C0"/>
          <w:lang w:val="en-GB"/>
        </w:rPr>
        <w:t xml:space="preserve"> B, we are less supportive of standardisation due to the typically idiosyncratic nature of the deficiencies that are meant to be mitigated with these </w:t>
      </w:r>
      <w:proofErr w:type="spellStart"/>
      <w:r>
        <w:rPr>
          <w:color w:val="0070C0"/>
          <w:lang w:val="en-GB"/>
        </w:rPr>
        <w:t>MoC</w:t>
      </w:r>
      <w:proofErr w:type="spellEnd"/>
      <w:r>
        <w:rPr>
          <w:color w:val="0070C0"/>
          <w:lang w:val="en-GB"/>
        </w:rPr>
        <w:t xml:space="preserve"> categories, which may differ per model.</w:t>
      </w:r>
    </w:p>
    <w:p w14:paraId="2D74B233" w14:textId="77777777" w:rsidR="00374B2A" w:rsidRPr="00374B2A" w:rsidRDefault="00374B2A" w:rsidP="00144FAB">
      <w:pPr>
        <w:pStyle w:val="BodyText"/>
        <w:numPr>
          <w:ilvl w:val="0"/>
          <w:numId w:val="14"/>
        </w:numPr>
        <w:jc w:val="both"/>
        <w:rPr>
          <w:color w:val="0070C0"/>
          <w:lang w:val="en-GB"/>
        </w:rPr>
      </w:pPr>
      <w:r w:rsidRPr="00374B2A">
        <w:rPr>
          <w:color w:val="0070C0"/>
          <w:lang w:val="en-GB"/>
        </w:rPr>
        <w:t xml:space="preserve">We propose a </w:t>
      </w:r>
      <w:r w:rsidRPr="00374B2A">
        <w:rPr>
          <w:b/>
          <w:bCs/>
          <w:color w:val="0070C0"/>
          <w:lang w:val="en-GB"/>
        </w:rPr>
        <w:t>standard error–based approach</w:t>
      </w:r>
      <w:r w:rsidRPr="00374B2A">
        <w:rPr>
          <w:color w:val="0070C0"/>
          <w:lang w:val="en-GB"/>
        </w:rPr>
        <w:t xml:space="preserve"> in which the statistical uncertainty of PD, LGD, and CCF observations forms the basis for conservatism. For PD, defaults are treated as binomial events, and the standard error is derived from the variance of the observed default rate. For LGD and CCF, the standard error is calculated from the empirical variability of the observations – whether these are continuous values or assigned to predefined buckets. In the bucketed case, the calculation is based on the variance of observations within and across buckets to capture dispersion appropriately.</w:t>
      </w:r>
    </w:p>
    <w:p w14:paraId="70E508E5" w14:textId="77777777" w:rsidR="00374B2A" w:rsidRPr="00374B2A" w:rsidRDefault="00374B2A" w:rsidP="00144FAB">
      <w:pPr>
        <w:pStyle w:val="BodyText"/>
        <w:numPr>
          <w:ilvl w:val="0"/>
          <w:numId w:val="14"/>
        </w:numPr>
        <w:jc w:val="both"/>
        <w:rPr>
          <w:color w:val="0070C0"/>
          <w:lang w:val="en-GB"/>
        </w:rPr>
      </w:pPr>
      <w:r w:rsidRPr="00374B2A">
        <w:rPr>
          <w:color w:val="0070C0"/>
          <w:lang w:val="en-GB"/>
        </w:rPr>
        <w:t xml:space="preserve">This straightforward and transparent measure of sampling uncertainty aligns with the EBA’s intention to harmonise </w:t>
      </w:r>
      <w:proofErr w:type="spellStart"/>
      <w:r w:rsidRPr="00374B2A">
        <w:rPr>
          <w:color w:val="0070C0"/>
          <w:lang w:val="en-GB"/>
        </w:rPr>
        <w:t>MoC</w:t>
      </w:r>
      <w:proofErr w:type="spellEnd"/>
      <w:r w:rsidRPr="00374B2A">
        <w:rPr>
          <w:color w:val="0070C0"/>
          <w:lang w:val="en-GB"/>
        </w:rPr>
        <w:t xml:space="preserve"> C practices across institutions. It limits modelling heterogeneity while maintaining proportionality, as higher </w:t>
      </w:r>
      <w:proofErr w:type="spellStart"/>
      <w:r w:rsidRPr="00374B2A">
        <w:rPr>
          <w:color w:val="0070C0"/>
          <w:lang w:val="en-GB"/>
        </w:rPr>
        <w:t>MoCs</w:t>
      </w:r>
      <w:proofErr w:type="spellEnd"/>
      <w:r w:rsidRPr="00374B2A">
        <w:rPr>
          <w:color w:val="0070C0"/>
          <w:lang w:val="en-GB"/>
        </w:rPr>
        <w:t xml:space="preserve"> naturally arise in data</w:t>
      </w:r>
      <w:r w:rsidRPr="00374B2A">
        <w:rPr>
          <w:rFonts w:ascii="Cambria Math" w:hAnsi="Cambria Math" w:cs="Cambria Math"/>
          <w:color w:val="0070C0"/>
          <w:lang w:val="en-GB"/>
        </w:rPr>
        <w:t>‑</w:t>
      </w:r>
      <w:r w:rsidRPr="00374B2A">
        <w:rPr>
          <w:color w:val="0070C0"/>
          <w:lang w:val="en-GB"/>
        </w:rPr>
        <w:t>sparse or more volatile segments.</w:t>
      </w:r>
    </w:p>
    <w:p w14:paraId="5A729BFE" w14:textId="72520255" w:rsidR="007B1EE4" w:rsidRPr="00945DC5" w:rsidRDefault="00374B2A" w:rsidP="007B1EE4">
      <w:pPr>
        <w:pStyle w:val="BodyText"/>
        <w:numPr>
          <w:ilvl w:val="0"/>
          <w:numId w:val="14"/>
        </w:numPr>
        <w:jc w:val="both"/>
        <w:rPr>
          <w:color w:val="0070C0"/>
          <w:lang w:val="en-GB"/>
        </w:rPr>
      </w:pPr>
      <w:r w:rsidRPr="00374B2A">
        <w:rPr>
          <w:color w:val="0070C0"/>
          <w:lang w:val="en-GB"/>
        </w:rPr>
        <w:t xml:space="preserve">At the same time, institutions should be allowed to </w:t>
      </w:r>
      <w:r w:rsidRPr="00374B2A">
        <w:rPr>
          <w:b/>
          <w:bCs/>
          <w:color w:val="0070C0"/>
          <w:lang w:val="en-GB"/>
        </w:rPr>
        <w:t>deviate</w:t>
      </w:r>
      <w:r w:rsidRPr="00374B2A">
        <w:rPr>
          <w:color w:val="0070C0"/>
          <w:lang w:val="en-GB"/>
        </w:rPr>
        <w:t xml:space="preserve"> from the standard error method under specific circumstances. Examples of specific circumstances include extremely limited observations, structural changes in the portfolio, or data quality issues that impair the representativeness of the sample.</w:t>
      </w:r>
    </w:p>
    <w:p w14:paraId="26FB63A4" w14:textId="312BB1C0" w:rsidR="00E01AB2" w:rsidRPr="00F73BFB" w:rsidRDefault="00E01AB2" w:rsidP="009070D7">
      <w:pPr>
        <w:pStyle w:val="BodyText"/>
        <w:ind w:left="143"/>
        <w:jc w:val="both"/>
        <w:rPr>
          <w:color w:val="0070C0"/>
          <w:lang w:val="en-GB"/>
        </w:rPr>
      </w:pPr>
      <w:r w:rsidRPr="00F73BFB">
        <w:rPr>
          <w:color w:val="0070C0"/>
          <w:lang w:val="en-GB"/>
        </w:rPr>
        <w:t>]</w:t>
      </w:r>
    </w:p>
    <w:p w14:paraId="380B5CFF" w14:textId="77777777" w:rsidR="00E01AB2" w:rsidRPr="00F73BFB" w:rsidRDefault="00E01AB2">
      <w:pPr>
        <w:pStyle w:val="BodyText"/>
        <w:spacing w:before="119" w:line="276" w:lineRule="auto"/>
        <w:ind w:left="143" w:right="137"/>
        <w:jc w:val="both"/>
        <w:rPr>
          <w:lang w:val="en-GB"/>
        </w:rPr>
      </w:pPr>
    </w:p>
    <w:p w14:paraId="25C0663F" w14:textId="77777777" w:rsidR="00017515" w:rsidRPr="00F73BFB" w:rsidRDefault="00A567F8" w:rsidP="00790CCA">
      <w:pPr>
        <w:pStyle w:val="Heading2"/>
        <w:rPr>
          <w:spacing w:val="-2"/>
        </w:rPr>
      </w:pPr>
      <w:r w:rsidRPr="00F73BFB">
        <w:rPr>
          <w:b/>
        </w:rPr>
        <w:t xml:space="preserve">Q14. </w:t>
      </w:r>
      <w:r w:rsidRPr="00F73BFB">
        <w:t xml:space="preserve">Do you have comments and suggestions with reference to the calibration of the </w:t>
      </w:r>
      <w:proofErr w:type="spellStart"/>
      <w:r w:rsidRPr="00F73BFB">
        <w:t>fall-back</w:t>
      </w:r>
      <w:proofErr w:type="spellEnd"/>
      <w:r w:rsidRPr="00F73BFB">
        <w:t xml:space="preserve"> </w:t>
      </w:r>
      <w:r w:rsidRPr="00F73BFB">
        <w:rPr>
          <w:spacing w:val="-2"/>
        </w:rPr>
        <w:t>approaches?</w:t>
      </w:r>
    </w:p>
    <w:p w14:paraId="1DD9122B" w14:textId="45B60A38" w:rsidR="00E80A04" w:rsidRPr="00F73BFB" w:rsidRDefault="00E01AB2" w:rsidP="00945DC5">
      <w:pPr>
        <w:pStyle w:val="BodyText"/>
        <w:ind w:left="143"/>
        <w:jc w:val="both"/>
        <w:rPr>
          <w:color w:val="0070C0"/>
          <w:lang w:val="en-GB"/>
        </w:rPr>
      </w:pPr>
      <w:r w:rsidRPr="00F73BFB">
        <w:rPr>
          <w:color w:val="0070C0"/>
          <w:lang w:val="en-GB"/>
        </w:rPr>
        <w:t>[</w:t>
      </w:r>
      <w:r w:rsidRPr="00F73BFB">
        <w:rPr>
          <w:b/>
          <w:bCs/>
          <w:color w:val="0070C0"/>
          <w:lang w:val="en-GB"/>
        </w:rPr>
        <w:t>Response</w:t>
      </w:r>
      <w:r w:rsidRPr="00F73BFB">
        <w:rPr>
          <w:color w:val="0070C0"/>
          <w:lang w:val="en-GB"/>
        </w:rPr>
        <w:t xml:space="preserve">: </w:t>
      </w:r>
    </w:p>
    <w:p w14:paraId="47B6CA9D" w14:textId="6F6ADBE6" w:rsidR="00FD7848" w:rsidRDefault="00177CCB" w:rsidP="00144FAB">
      <w:pPr>
        <w:pStyle w:val="BodyText"/>
        <w:numPr>
          <w:ilvl w:val="0"/>
          <w:numId w:val="6"/>
        </w:numPr>
        <w:jc w:val="both"/>
        <w:rPr>
          <w:color w:val="0070C0"/>
          <w:lang w:val="en-GB"/>
        </w:rPr>
      </w:pPr>
      <w:r w:rsidRPr="00177CCB">
        <w:rPr>
          <w:b/>
          <w:bCs/>
          <w:color w:val="0070C0"/>
          <w:lang w:val="en-GB"/>
        </w:rPr>
        <w:t>Avoid excessive conservatism</w:t>
      </w:r>
      <w:r>
        <w:rPr>
          <w:color w:val="0070C0"/>
          <w:lang w:val="en-GB"/>
        </w:rPr>
        <w:t xml:space="preserve">: </w:t>
      </w:r>
      <w:r w:rsidR="00FD7848" w:rsidRPr="00F73BFB">
        <w:rPr>
          <w:color w:val="0070C0"/>
          <w:lang w:val="en-GB"/>
        </w:rPr>
        <w:t xml:space="preserve">It is </w:t>
      </w:r>
      <w:r w:rsidR="00F4690C" w:rsidRPr="00F73BFB">
        <w:rPr>
          <w:color w:val="0070C0"/>
          <w:lang w:val="en-GB"/>
        </w:rPr>
        <w:t xml:space="preserve">expected </w:t>
      </w:r>
      <w:r w:rsidR="00FD7848" w:rsidRPr="00F73BFB">
        <w:rPr>
          <w:color w:val="0070C0"/>
          <w:lang w:val="en-GB"/>
        </w:rPr>
        <w:t>that the calibration of the fallback methods may include some conservatism so that the fallback options are not susceptible to arbitrage. However, it is important to avoid introducing excessive conservatism</w:t>
      </w:r>
      <w:r w:rsidR="00F4690C" w:rsidRPr="00F73BFB">
        <w:rPr>
          <w:color w:val="0070C0"/>
          <w:lang w:val="en-GB"/>
        </w:rPr>
        <w:t>. This may</w:t>
      </w:r>
      <w:r w:rsidR="00FD7848" w:rsidRPr="00F73BFB">
        <w:rPr>
          <w:color w:val="0070C0"/>
          <w:lang w:val="en-GB"/>
        </w:rPr>
        <w:t xml:space="preserve"> deter the use of these simplifications thereby undermining the objective of institutions adopting simpler methods</w:t>
      </w:r>
      <w:r w:rsidR="00F4690C" w:rsidRPr="00F73BFB">
        <w:rPr>
          <w:color w:val="0070C0"/>
          <w:lang w:val="en-GB"/>
        </w:rPr>
        <w:t>. Furthermore, excessive conservatism in</w:t>
      </w:r>
      <w:r w:rsidR="00FD7848" w:rsidRPr="00F73BFB">
        <w:rPr>
          <w:color w:val="0070C0"/>
          <w:lang w:val="en-GB"/>
        </w:rPr>
        <w:t xml:space="preserve"> these simpler methods </w:t>
      </w:r>
      <w:r w:rsidR="00F4690C" w:rsidRPr="00F73BFB">
        <w:rPr>
          <w:color w:val="0070C0"/>
          <w:lang w:val="en-GB"/>
        </w:rPr>
        <w:t xml:space="preserve">will compromise </w:t>
      </w:r>
      <w:r w:rsidR="00FD7848" w:rsidRPr="00F73BFB">
        <w:rPr>
          <w:color w:val="0070C0"/>
          <w:lang w:val="en-GB"/>
        </w:rPr>
        <w:t>the risk sensitivity</w:t>
      </w:r>
      <w:r w:rsidR="00F4690C" w:rsidRPr="00F73BFB">
        <w:rPr>
          <w:color w:val="0070C0"/>
          <w:lang w:val="en-GB"/>
        </w:rPr>
        <w:t>.</w:t>
      </w:r>
    </w:p>
    <w:p w14:paraId="4582EEC8" w14:textId="54DCB977" w:rsidR="009A6281" w:rsidRDefault="00177CCB" w:rsidP="00144FAB">
      <w:pPr>
        <w:pStyle w:val="BodyText"/>
        <w:numPr>
          <w:ilvl w:val="0"/>
          <w:numId w:val="6"/>
        </w:numPr>
        <w:jc w:val="both"/>
        <w:rPr>
          <w:color w:val="0070C0"/>
          <w:lang w:val="en-GB"/>
        </w:rPr>
      </w:pPr>
      <w:r w:rsidRPr="00177CCB">
        <w:rPr>
          <w:b/>
          <w:bCs/>
          <w:color w:val="0070C0"/>
          <w:lang w:val="en-GB"/>
        </w:rPr>
        <w:t>Direct and indirect costs</w:t>
      </w:r>
      <w:r w:rsidR="00910B46">
        <w:rPr>
          <w:b/>
          <w:bCs/>
          <w:color w:val="0070C0"/>
          <w:lang w:val="en-GB"/>
        </w:rPr>
        <w:t xml:space="preserve"> (C11)</w:t>
      </w:r>
      <w:r>
        <w:rPr>
          <w:color w:val="0070C0"/>
          <w:lang w:val="en-GB"/>
        </w:rPr>
        <w:t xml:space="preserve">: </w:t>
      </w:r>
      <w:r w:rsidR="009A6281" w:rsidRPr="009A6281">
        <w:rPr>
          <w:color w:val="0070C0"/>
          <w:lang w:val="en-GB"/>
        </w:rPr>
        <w:t>The calibration of fallback percentages should reflect that these costs typically vary by exposure class, jurisdiction, collateral type, and other portfolio characteristics. An industry</w:t>
      </w:r>
      <w:r w:rsidR="009A6281" w:rsidRPr="009A6281">
        <w:rPr>
          <w:rFonts w:ascii="Cambria Math" w:hAnsi="Cambria Math" w:cs="Cambria Math"/>
          <w:color w:val="0070C0"/>
          <w:lang w:val="en-GB"/>
        </w:rPr>
        <w:t>‑</w:t>
      </w:r>
      <w:r w:rsidR="009A6281" w:rsidRPr="009A6281">
        <w:rPr>
          <w:color w:val="0070C0"/>
          <w:lang w:val="en-GB"/>
        </w:rPr>
        <w:t>wide survey can serve as a useful benchmarking tool to derive fallback values that are</w:t>
      </w:r>
      <w:r w:rsidR="009A6281">
        <w:rPr>
          <w:color w:val="0070C0"/>
          <w:lang w:val="en-GB"/>
        </w:rPr>
        <w:t xml:space="preserve"> </w:t>
      </w:r>
      <w:r w:rsidR="009A6281" w:rsidRPr="009A6281">
        <w:rPr>
          <w:color w:val="0070C0"/>
          <w:lang w:val="en-GB"/>
        </w:rPr>
        <w:t>representative across institutions.</w:t>
      </w:r>
    </w:p>
    <w:p w14:paraId="512001FC" w14:textId="1667202C" w:rsidR="005D564C" w:rsidRDefault="00B2168F" w:rsidP="00945DC5">
      <w:pPr>
        <w:pStyle w:val="BodyText"/>
        <w:numPr>
          <w:ilvl w:val="0"/>
          <w:numId w:val="6"/>
        </w:numPr>
        <w:jc w:val="both"/>
        <w:rPr>
          <w:color w:val="0070C0"/>
          <w:lang w:val="en-GB"/>
        </w:rPr>
      </w:pPr>
      <w:r w:rsidRPr="00B2168F">
        <w:rPr>
          <w:b/>
          <w:bCs/>
          <w:color w:val="0070C0"/>
          <w:lang w:val="en-GB"/>
        </w:rPr>
        <w:t>Downturn quantification</w:t>
      </w:r>
      <w:r w:rsidR="00910B46">
        <w:rPr>
          <w:b/>
          <w:bCs/>
          <w:color w:val="0070C0"/>
          <w:lang w:val="en-GB"/>
        </w:rPr>
        <w:t xml:space="preserve"> (C12)</w:t>
      </w:r>
      <w:r>
        <w:rPr>
          <w:color w:val="0070C0"/>
          <w:lang w:val="en-GB"/>
        </w:rPr>
        <w:t>: See our proposal under question 13</w:t>
      </w:r>
      <w:r w:rsidR="00945DC5">
        <w:rPr>
          <w:color w:val="0070C0"/>
          <w:lang w:val="en-GB"/>
        </w:rPr>
        <w:t>.</w:t>
      </w:r>
    </w:p>
    <w:p w14:paraId="31D90B08" w14:textId="643718F6" w:rsidR="00945DC5" w:rsidRPr="00945DC5" w:rsidRDefault="00945DC5" w:rsidP="00945DC5">
      <w:pPr>
        <w:pStyle w:val="BodyText"/>
        <w:numPr>
          <w:ilvl w:val="0"/>
          <w:numId w:val="6"/>
        </w:numPr>
        <w:jc w:val="both"/>
        <w:rPr>
          <w:color w:val="0070C0"/>
          <w:lang w:val="en-GB"/>
        </w:rPr>
      </w:pPr>
      <w:r>
        <w:rPr>
          <w:color w:val="0070C0"/>
          <w:lang w:val="en-GB"/>
        </w:rPr>
        <w:t>Where feasible, the calibration of fallback approaches should be based on the institutions own data to improve representativeness and reduce undue conservatism.</w:t>
      </w:r>
    </w:p>
    <w:p w14:paraId="266EE9D3" w14:textId="4AB9B34A" w:rsidR="00E01AB2" w:rsidRPr="00F73BFB" w:rsidRDefault="00E01AB2" w:rsidP="00492DCD">
      <w:pPr>
        <w:pStyle w:val="BodyText"/>
        <w:ind w:firstLine="143"/>
        <w:jc w:val="both"/>
        <w:rPr>
          <w:color w:val="0070C0"/>
          <w:lang w:val="en-GB"/>
        </w:rPr>
      </w:pPr>
      <w:r w:rsidRPr="00F73BFB">
        <w:rPr>
          <w:color w:val="0070C0"/>
          <w:lang w:val="en-GB"/>
        </w:rPr>
        <w:t>]</w:t>
      </w:r>
    </w:p>
    <w:p w14:paraId="1105CBFA" w14:textId="77777777" w:rsidR="00E01AB2" w:rsidRPr="00F73BFB" w:rsidRDefault="00E01AB2">
      <w:pPr>
        <w:pStyle w:val="BodyText"/>
        <w:spacing w:before="121" w:line="273" w:lineRule="auto"/>
        <w:ind w:left="143" w:right="134"/>
        <w:jc w:val="both"/>
        <w:rPr>
          <w:lang w:val="en-GB"/>
        </w:rPr>
      </w:pPr>
    </w:p>
    <w:p w14:paraId="611F5534" w14:textId="4131026F" w:rsidR="00017515" w:rsidRPr="00F73BFB" w:rsidRDefault="00A567F8" w:rsidP="00790CCA">
      <w:pPr>
        <w:pStyle w:val="Heading2"/>
      </w:pPr>
      <w:r w:rsidRPr="00F73BFB">
        <w:rPr>
          <w:b/>
        </w:rPr>
        <w:t xml:space="preserve">Q15. </w:t>
      </w:r>
      <w:r w:rsidRPr="00F73BFB">
        <w:t>Do you see other potential simplification areas where the modelling burden is not commensurate to the gain in risk sensitivity?</w:t>
      </w:r>
    </w:p>
    <w:p w14:paraId="27BC3DB6" w14:textId="77777777" w:rsidR="003A2760" w:rsidRPr="00F73BFB" w:rsidRDefault="00E01AB2" w:rsidP="003E6545">
      <w:pPr>
        <w:pStyle w:val="BodyText"/>
        <w:ind w:left="143"/>
        <w:jc w:val="both"/>
        <w:rPr>
          <w:color w:val="0070C0"/>
          <w:lang w:val="en-GB"/>
        </w:rPr>
      </w:pPr>
      <w:r w:rsidRPr="00F73BFB">
        <w:rPr>
          <w:color w:val="0070C0"/>
          <w:lang w:val="en-GB"/>
        </w:rPr>
        <w:lastRenderedPageBreak/>
        <w:t>[</w:t>
      </w:r>
      <w:r w:rsidRPr="00F73BFB">
        <w:rPr>
          <w:b/>
          <w:bCs/>
          <w:color w:val="0070C0"/>
          <w:lang w:val="en-GB"/>
        </w:rPr>
        <w:t>Response</w:t>
      </w:r>
      <w:r w:rsidRPr="00F73BFB">
        <w:rPr>
          <w:color w:val="0070C0"/>
          <w:lang w:val="en-GB"/>
        </w:rPr>
        <w:t xml:space="preserve">: </w:t>
      </w:r>
    </w:p>
    <w:p w14:paraId="54C89D46" w14:textId="2E9BF736" w:rsidR="001D3CD8" w:rsidRPr="00F73BFB" w:rsidRDefault="001D3CD8" w:rsidP="001D3CD8">
      <w:pPr>
        <w:pStyle w:val="BodyText"/>
        <w:ind w:firstLine="143"/>
        <w:jc w:val="both"/>
        <w:rPr>
          <w:color w:val="0070C0"/>
          <w:lang w:val="en-GB"/>
        </w:rPr>
      </w:pPr>
      <w:r w:rsidRPr="00F73BFB">
        <w:rPr>
          <w:color w:val="0070C0"/>
          <w:lang w:val="en-GB"/>
        </w:rPr>
        <w:t>We propose the following potential simplification areas:</w:t>
      </w:r>
    </w:p>
    <w:p w14:paraId="48618171" w14:textId="40FEE50F" w:rsidR="00511866" w:rsidRDefault="00601FC2" w:rsidP="009C6E34">
      <w:pPr>
        <w:pStyle w:val="BodyText"/>
        <w:ind w:firstLine="143"/>
        <w:jc w:val="both"/>
        <w:rPr>
          <w:color w:val="0070C0"/>
          <w:lang w:val="en-GB"/>
        </w:rPr>
      </w:pPr>
      <w:r w:rsidRPr="00F73BFB">
        <w:rPr>
          <w:b/>
          <w:bCs/>
          <w:color w:val="0070C0"/>
          <w:lang w:val="en-GB"/>
        </w:rPr>
        <w:t>M</w:t>
      </w:r>
      <w:r w:rsidR="003A2760" w:rsidRPr="00F73BFB">
        <w:rPr>
          <w:b/>
          <w:bCs/>
          <w:color w:val="0070C0"/>
          <w:lang w:val="en-GB"/>
        </w:rPr>
        <w:t xml:space="preserve">aximum </w:t>
      </w:r>
      <w:r w:rsidRPr="00F73BFB">
        <w:rPr>
          <w:b/>
          <w:bCs/>
          <w:color w:val="0070C0"/>
          <w:lang w:val="en-GB"/>
        </w:rPr>
        <w:t>R</w:t>
      </w:r>
      <w:r w:rsidR="003A2760" w:rsidRPr="00F73BFB">
        <w:rPr>
          <w:b/>
          <w:bCs/>
          <w:color w:val="0070C0"/>
          <w:lang w:val="en-GB"/>
        </w:rPr>
        <w:t xml:space="preserve">ecovery </w:t>
      </w:r>
      <w:r w:rsidRPr="00F73BFB">
        <w:rPr>
          <w:b/>
          <w:bCs/>
          <w:color w:val="0070C0"/>
          <w:lang w:val="en-GB"/>
        </w:rPr>
        <w:t>P</w:t>
      </w:r>
      <w:r w:rsidR="003A2760" w:rsidRPr="00F73BFB">
        <w:rPr>
          <w:b/>
          <w:bCs/>
          <w:color w:val="0070C0"/>
          <w:lang w:val="en-GB"/>
        </w:rPr>
        <w:t>eriod</w:t>
      </w:r>
      <w:r w:rsidR="001D3CD8" w:rsidRPr="00F73BFB">
        <w:rPr>
          <w:color w:val="0070C0"/>
          <w:lang w:val="en-GB"/>
        </w:rPr>
        <w:t xml:space="preserve">: </w:t>
      </w:r>
    </w:p>
    <w:p w14:paraId="72563829" w14:textId="77777777" w:rsidR="00511866" w:rsidRDefault="001A2273" w:rsidP="00144FAB">
      <w:pPr>
        <w:pStyle w:val="BodyText"/>
        <w:numPr>
          <w:ilvl w:val="0"/>
          <w:numId w:val="6"/>
        </w:numPr>
        <w:jc w:val="both"/>
        <w:rPr>
          <w:color w:val="0070C0"/>
          <w:lang w:val="en-GB"/>
        </w:rPr>
      </w:pPr>
      <w:r w:rsidRPr="00F73BFB">
        <w:rPr>
          <w:color w:val="0070C0"/>
          <w:lang w:val="en-GB"/>
        </w:rPr>
        <w:t>The estimation of the maximum recovery period typically requires disproportionate analytical effort while contributing only marginally to overall risk sensitivity. As a simplification, we propose a fallback approach whereby the maximum recovery period is set equal to the time</w:t>
      </w:r>
      <w:r w:rsidRPr="00F73BFB">
        <w:rPr>
          <w:rFonts w:ascii="Cambria Math" w:hAnsi="Cambria Math" w:cs="Cambria Math"/>
          <w:color w:val="0070C0"/>
          <w:lang w:val="en-GB"/>
        </w:rPr>
        <w:t>‑</w:t>
      </w:r>
      <w:r w:rsidRPr="00F73BFB">
        <w:rPr>
          <w:color w:val="0070C0"/>
          <w:lang w:val="en-GB"/>
        </w:rPr>
        <w:t>in</w:t>
      </w:r>
      <w:r w:rsidRPr="00F73BFB">
        <w:rPr>
          <w:rFonts w:ascii="Cambria Math" w:hAnsi="Cambria Math" w:cs="Cambria Math"/>
          <w:color w:val="0070C0"/>
          <w:lang w:val="en-GB"/>
        </w:rPr>
        <w:t>‑</w:t>
      </w:r>
      <w:r w:rsidRPr="00F73BFB">
        <w:rPr>
          <w:color w:val="0070C0"/>
          <w:lang w:val="en-GB"/>
        </w:rPr>
        <w:t>default corresponding to the 99th percentile of the cumulative average recovery curve (calculated across all default vintages).</w:t>
      </w:r>
      <w:r w:rsidR="00072EE0" w:rsidRPr="00F73BFB">
        <w:rPr>
          <w:color w:val="0070C0"/>
          <w:lang w:val="en-GB"/>
        </w:rPr>
        <w:t xml:space="preserve"> </w:t>
      </w:r>
    </w:p>
    <w:p w14:paraId="484FCE93" w14:textId="76F07126" w:rsidR="003D7E47" w:rsidRPr="00A30586" w:rsidRDefault="00072EE0" w:rsidP="00A30586">
      <w:pPr>
        <w:pStyle w:val="BodyText"/>
        <w:numPr>
          <w:ilvl w:val="0"/>
          <w:numId w:val="6"/>
        </w:numPr>
        <w:jc w:val="both"/>
        <w:rPr>
          <w:color w:val="0070C0"/>
          <w:lang w:val="en-GB"/>
        </w:rPr>
      </w:pPr>
      <w:r w:rsidRPr="00F73BFB">
        <w:rPr>
          <w:color w:val="0070C0"/>
          <w:lang w:val="en-GB"/>
        </w:rPr>
        <w:t>In our view, the result of this fallback method for the maximum recovery period (applicable to the LGD parameter) is also suitable to use</w:t>
      </w:r>
      <w:r w:rsidR="001F2FB5">
        <w:rPr>
          <w:color w:val="0070C0"/>
          <w:lang w:val="en-GB"/>
        </w:rPr>
        <w:t xml:space="preserve"> as the value</w:t>
      </w:r>
      <w:r w:rsidRPr="00F73BFB">
        <w:rPr>
          <w:color w:val="0070C0"/>
          <w:lang w:val="en-GB"/>
        </w:rPr>
        <w:t xml:space="preserve"> for the </w:t>
      </w:r>
      <w:r w:rsidRPr="00F73BFB">
        <w:rPr>
          <w:i/>
          <w:iCs/>
          <w:color w:val="0070C0"/>
          <w:lang w:val="en-GB"/>
        </w:rPr>
        <w:t>maximum drawing period</w:t>
      </w:r>
      <w:r w:rsidRPr="00F73BFB">
        <w:rPr>
          <w:color w:val="0070C0"/>
          <w:lang w:val="en-GB"/>
        </w:rPr>
        <w:t xml:space="preserve"> </w:t>
      </w:r>
      <w:r w:rsidR="00800CA6">
        <w:rPr>
          <w:color w:val="0070C0"/>
          <w:lang w:val="en-GB"/>
        </w:rPr>
        <w:t xml:space="preserve">(defined in EBA/CP/2025/10) </w:t>
      </w:r>
      <w:r w:rsidRPr="00F73BFB">
        <w:rPr>
          <w:color w:val="0070C0"/>
          <w:lang w:val="en-GB"/>
        </w:rPr>
        <w:t>appli</w:t>
      </w:r>
      <w:r w:rsidR="00F73BFB">
        <w:rPr>
          <w:color w:val="0070C0"/>
          <w:lang w:val="en-GB"/>
        </w:rPr>
        <w:t>c</w:t>
      </w:r>
      <w:r w:rsidRPr="00F73BFB">
        <w:rPr>
          <w:color w:val="0070C0"/>
          <w:lang w:val="en-GB"/>
        </w:rPr>
        <w:t xml:space="preserve">able to the CCF parameter. </w:t>
      </w:r>
    </w:p>
    <w:p w14:paraId="431C08C5" w14:textId="0CDD8964" w:rsidR="005D564C" w:rsidRPr="005D564C" w:rsidRDefault="005D564C" w:rsidP="005D564C">
      <w:pPr>
        <w:pStyle w:val="BodyText"/>
        <w:ind w:firstLine="143"/>
        <w:jc w:val="both"/>
        <w:rPr>
          <w:b/>
          <w:bCs/>
          <w:color w:val="0070C0"/>
          <w:lang w:val="en-GB"/>
        </w:rPr>
      </w:pPr>
      <w:proofErr w:type="spellStart"/>
      <w:r w:rsidRPr="005D564C">
        <w:rPr>
          <w:b/>
          <w:bCs/>
          <w:color w:val="0070C0"/>
          <w:lang w:val="en-GB"/>
        </w:rPr>
        <w:t>MoC</w:t>
      </w:r>
      <w:proofErr w:type="spellEnd"/>
      <w:r w:rsidRPr="005D564C">
        <w:rPr>
          <w:b/>
          <w:bCs/>
          <w:color w:val="0070C0"/>
          <w:lang w:val="en-GB"/>
        </w:rPr>
        <w:t xml:space="preserve"> consideration</w:t>
      </w:r>
      <w:r w:rsidR="00D22269">
        <w:rPr>
          <w:b/>
          <w:bCs/>
          <w:color w:val="0070C0"/>
          <w:lang w:val="en-GB"/>
        </w:rPr>
        <w:t xml:space="preserve"> for in-default segments</w:t>
      </w:r>
      <w:r w:rsidR="00A30586">
        <w:rPr>
          <w:b/>
          <w:bCs/>
          <w:color w:val="0070C0"/>
          <w:lang w:val="en-GB"/>
        </w:rPr>
        <w:t>:</w:t>
      </w:r>
    </w:p>
    <w:p w14:paraId="58B0F345" w14:textId="6B7C293E" w:rsidR="00B65894" w:rsidRDefault="00A30586" w:rsidP="00B65894">
      <w:pPr>
        <w:pStyle w:val="BodyText"/>
        <w:numPr>
          <w:ilvl w:val="0"/>
          <w:numId w:val="20"/>
        </w:numPr>
        <w:jc w:val="both"/>
        <w:rPr>
          <w:color w:val="0070C0"/>
          <w:lang w:val="en-GB"/>
        </w:rPr>
      </w:pPr>
      <w:r>
        <w:rPr>
          <w:color w:val="0070C0"/>
          <w:lang w:val="en-GB"/>
        </w:rPr>
        <w:t xml:space="preserve">With respect to LGD in-default reference-date segments, </w:t>
      </w:r>
      <w:r w:rsidR="005D564C" w:rsidRPr="005D564C">
        <w:rPr>
          <w:color w:val="0070C0"/>
          <w:lang w:val="en-GB"/>
        </w:rPr>
        <w:t xml:space="preserve">computing separate AA and </w:t>
      </w:r>
      <w:proofErr w:type="spellStart"/>
      <w:r w:rsidR="005D564C" w:rsidRPr="005D564C">
        <w:rPr>
          <w:color w:val="0070C0"/>
          <w:lang w:val="en-GB"/>
        </w:rPr>
        <w:t>MoC</w:t>
      </w:r>
      <w:proofErr w:type="spellEnd"/>
      <w:r w:rsidR="005D564C" w:rsidRPr="005D564C">
        <w:rPr>
          <w:color w:val="0070C0"/>
          <w:lang w:val="en-GB"/>
        </w:rPr>
        <w:t xml:space="preserve"> values per reference date is operationally burdensome, primarily because later reference date buckets typically contain very few observations. A simplified approach, such as applying a single </w:t>
      </w:r>
      <w:proofErr w:type="spellStart"/>
      <w:r w:rsidR="005D564C" w:rsidRPr="005D564C">
        <w:rPr>
          <w:color w:val="0070C0"/>
          <w:lang w:val="en-GB"/>
        </w:rPr>
        <w:t>MoC</w:t>
      </w:r>
      <w:proofErr w:type="spellEnd"/>
      <w:r w:rsidR="005D564C" w:rsidRPr="005D564C">
        <w:rPr>
          <w:color w:val="0070C0"/>
          <w:lang w:val="en-GB"/>
        </w:rPr>
        <w:t xml:space="preserve"> across all reference dates, would therefore be appropriate, especially given the limited materiality of in default portfolios compared with performing ones.</w:t>
      </w:r>
    </w:p>
    <w:p w14:paraId="247E979B" w14:textId="75460087" w:rsidR="005D564C" w:rsidRDefault="005D564C" w:rsidP="00A30586">
      <w:pPr>
        <w:pStyle w:val="BodyText"/>
        <w:numPr>
          <w:ilvl w:val="0"/>
          <w:numId w:val="20"/>
        </w:numPr>
        <w:jc w:val="both"/>
        <w:rPr>
          <w:color w:val="0070C0"/>
          <w:lang w:val="en-GB"/>
        </w:rPr>
      </w:pPr>
      <w:r w:rsidRPr="00B65894">
        <w:rPr>
          <w:color w:val="0070C0"/>
          <w:lang w:val="en-GB"/>
        </w:rPr>
        <w:t xml:space="preserve">Additionally, introducing a fixed EBA percentile for the </w:t>
      </w:r>
      <w:proofErr w:type="spellStart"/>
      <w:r w:rsidRPr="00B65894">
        <w:rPr>
          <w:color w:val="0070C0"/>
          <w:lang w:val="en-GB"/>
        </w:rPr>
        <w:t>MoC</w:t>
      </w:r>
      <w:proofErr w:type="spellEnd"/>
      <w:r w:rsidRPr="00B65894">
        <w:rPr>
          <w:color w:val="0070C0"/>
          <w:lang w:val="en-GB"/>
        </w:rPr>
        <w:t xml:space="preserve"> calculations could be beneficial to ensure a more structured and transparent approach to conservatism.</w:t>
      </w:r>
    </w:p>
    <w:p w14:paraId="1B42B282" w14:textId="0B213079" w:rsidR="00A30586" w:rsidRDefault="000D41F4" w:rsidP="000D41F4">
      <w:pPr>
        <w:pStyle w:val="BodyText"/>
        <w:jc w:val="both"/>
        <w:rPr>
          <w:b/>
          <w:bCs/>
          <w:color w:val="0070C0"/>
          <w:lang w:val="en-GB"/>
        </w:rPr>
      </w:pPr>
      <w:r w:rsidRPr="000D41F4">
        <w:rPr>
          <w:b/>
          <w:bCs/>
          <w:color w:val="0070C0"/>
          <w:lang w:val="en-GB"/>
        </w:rPr>
        <w:t>Dow</w:t>
      </w:r>
      <w:r w:rsidR="005D564C" w:rsidRPr="000D41F4">
        <w:rPr>
          <w:b/>
          <w:bCs/>
          <w:color w:val="0070C0"/>
          <w:lang w:val="en-GB"/>
        </w:rPr>
        <w:t>nturn</w:t>
      </w:r>
      <w:r w:rsidR="00A30586" w:rsidRPr="000D41F4">
        <w:rPr>
          <w:b/>
          <w:bCs/>
          <w:color w:val="0070C0"/>
          <w:lang w:val="en-GB"/>
        </w:rPr>
        <w:t xml:space="preserve"> quantification</w:t>
      </w:r>
      <w:r w:rsidR="00A30586">
        <w:rPr>
          <w:b/>
          <w:bCs/>
          <w:color w:val="0070C0"/>
          <w:lang w:val="en-GB"/>
        </w:rPr>
        <w:t>:</w:t>
      </w:r>
    </w:p>
    <w:p w14:paraId="0B8C9D01" w14:textId="6253D931" w:rsidR="004746CF" w:rsidRPr="000D41F4" w:rsidRDefault="005D564C" w:rsidP="004746CF">
      <w:pPr>
        <w:pStyle w:val="BodyText"/>
        <w:numPr>
          <w:ilvl w:val="0"/>
          <w:numId w:val="49"/>
        </w:numPr>
        <w:jc w:val="both"/>
        <w:rPr>
          <w:b/>
          <w:bCs/>
          <w:color w:val="0070C0"/>
          <w:lang w:val="en-GB"/>
        </w:rPr>
      </w:pPr>
      <w:r w:rsidRPr="005D564C">
        <w:rPr>
          <w:color w:val="0070C0"/>
          <w:lang w:val="en-GB"/>
        </w:rPr>
        <w:t xml:space="preserve">Alternative for Type I approach: </w:t>
      </w:r>
      <w:r w:rsidR="00AB7AE7">
        <w:rPr>
          <w:color w:val="0070C0"/>
          <w:lang w:val="en-GB"/>
        </w:rPr>
        <w:t>R</w:t>
      </w:r>
      <w:r w:rsidRPr="005D564C">
        <w:rPr>
          <w:color w:val="0070C0"/>
          <w:lang w:val="en-GB"/>
        </w:rPr>
        <w:t>ather than requiring the full four aspect analysis in par</w:t>
      </w:r>
      <w:r w:rsidR="00AB7AE7">
        <w:rPr>
          <w:color w:val="0070C0"/>
          <w:lang w:val="en-GB"/>
        </w:rPr>
        <w:t>.</w:t>
      </w:r>
      <w:r w:rsidRPr="005D564C">
        <w:rPr>
          <w:color w:val="0070C0"/>
          <w:lang w:val="en-GB"/>
        </w:rPr>
        <w:t xml:space="preserve"> 27</w:t>
      </w:r>
      <w:r w:rsidR="00ED7691">
        <w:rPr>
          <w:color w:val="0070C0"/>
          <w:lang w:val="en-GB"/>
        </w:rPr>
        <w:t xml:space="preserve">(a) of </w:t>
      </w:r>
      <w:r w:rsidR="00ED7691" w:rsidRPr="00ED7691">
        <w:rPr>
          <w:color w:val="0070C0"/>
          <w:lang w:val="en-GB"/>
        </w:rPr>
        <w:t>EBA/GL/2019/03</w:t>
      </w:r>
      <w:r w:rsidRPr="005D564C">
        <w:rPr>
          <w:color w:val="0070C0"/>
          <w:lang w:val="en-GB"/>
        </w:rPr>
        <w:t xml:space="preserve"> (elevated </w:t>
      </w:r>
      <w:r w:rsidR="00AB7AE7">
        <w:rPr>
          <w:color w:val="0070C0"/>
          <w:lang w:val="en-GB"/>
        </w:rPr>
        <w:t xml:space="preserve">realised </w:t>
      </w:r>
      <w:r w:rsidRPr="005D564C">
        <w:rPr>
          <w:color w:val="0070C0"/>
          <w:lang w:val="en-GB"/>
        </w:rPr>
        <w:t>LGDs, cure rates, time in default, recoveries) and combining these into a coherent downturn framework, a more pragmatic alternative could be to allow institutions to focus solely on elevated LGD levels. This may still capture the main downturn driver while significantly reducing complexity.</w:t>
      </w:r>
      <w:r w:rsidR="00ED7691">
        <w:rPr>
          <w:color w:val="0070C0"/>
          <w:lang w:val="en-GB"/>
        </w:rPr>
        <w:t xml:space="preserve"> This approach aligns with the </w:t>
      </w:r>
      <w:r w:rsidR="00ED7691" w:rsidRPr="00ED7691">
        <w:rPr>
          <w:color w:val="0070C0"/>
          <w:lang w:val="en-GB"/>
        </w:rPr>
        <w:t xml:space="preserve">additional interpretation provided in EGIM (par. 303, Credit Risk Section), which seems to give preference to the </w:t>
      </w:r>
      <w:r w:rsidR="00ED7691">
        <w:rPr>
          <w:color w:val="0070C0"/>
          <w:lang w:val="en-GB"/>
        </w:rPr>
        <w:t>realised LGDs under par. 27(a).</w:t>
      </w:r>
    </w:p>
    <w:p w14:paraId="50646772" w14:textId="60938F27" w:rsidR="000D41F4" w:rsidRDefault="000261BB" w:rsidP="000D41F4">
      <w:pPr>
        <w:pStyle w:val="BodyText"/>
        <w:jc w:val="both"/>
        <w:rPr>
          <w:b/>
          <w:bCs/>
          <w:color w:val="0070C0"/>
          <w:lang w:val="en-GB"/>
        </w:rPr>
      </w:pPr>
      <w:r>
        <w:rPr>
          <w:b/>
          <w:bCs/>
          <w:color w:val="0070C0"/>
          <w:lang w:val="en-GB"/>
        </w:rPr>
        <w:t xml:space="preserve">LGD </w:t>
      </w:r>
      <w:r w:rsidR="000D41F4" w:rsidRPr="000D41F4">
        <w:rPr>
          <w:b/>
          <w:bCs/>
          <w:color w:val="0070C0"/>
          <w:lang w:val="en-GB"/>
        </w:rPr>
        <w:t xml:space="preserve">Cash flow labelling: </w:t>
      </w:r>
    </w:p>
    <w:p w14:paraId="308126E6" w14:textId="28AB0426" w:rsidR="000261BB" w:rsidRDefault="000261BB" w:rsidP="000261BB">
      <w:pPr>
        <w:pStyle w:val="BodyText"/>
        <w:numPr>
          <w:ilvl w:val="0"/>
          <w:numId w:val="49"/>
        </w:numPr>
        <w:jc w:val="both"/>
        <w:rPr>
          <w:color w:val="0070C0"/>
          <w:lang w:val="en-GB"/>
        </w:rPr>
      </w:pPr>
      <w:r>
        <w:rPr>
          <w:color w:val="0070C0"/>
          <w:lang w:val="en-GB"/>
        </w:rPr>
        <w:t xml:space="preserve">NCAs require us to be able to label </w:t>
      </w:r>
      <w:r w:rsidRPr="000261BB">
        <w:rPr>
          <w:i/>
          <w:iCs/>
          <w:color w:val="0070C0"/>
          <w:lang w:val="en-GB"/>
        </w:rPr>
        <w:t xml:space="preserve">all </w:t>
      </w:r>
      <w:r w:rsidR="00617B51">
        <w:rPr>
          <w:i/>
          <w:iCs/>
          <w:color w:val="0070C0"/>
          <w:lang w:val="en-GB"/>
        </w:rPr>
        <w:t xml:space="preserve">individual </w:t>
      </w:r>
      <w:r>
        <w:rPr>
          <w:color w:val="0070C0"/>
          <w:lang w:val="en-GB"/>
        </w:rPr>
        <w:t xml:space="preserve">cashflow components used in the LGD calculation. This does pose a practical challenge for older defaults for which granular cash flow data may no longer be available due to e.g. system changes and/or </w:t>
      </w:r>
      <w:r w:rsidR="00BE2C54">
        <w:rPr>
          <w:color w:val="0070C0"/>
          <w:lang w:val="en-GB"/>
        </w:rPr>
        <w:t xml:space="preserve">default dates pre-dating </w:t>
      </w:r>
      <w:r>
        <w:rPr>
          <w:color w:val="0070C0"/>
          <w:lang w:val="en-GB"/>
        </w:rPr>
        <w:t>acquisition</w:t>
      </w:r>
      <w:r w:rsidR="00BE2C54">
        <w:rPr>
          <w:color w:val="0070C0"/>
          <w:lang w:val="en-GB"/>
        </w:rPr>
        <w:t xml:space="preserve"> dates</w:t>
      </w:r>
      <w:r>
        <w:rPr>
          <w:color w:val="0070C0"/>
          <w:lang w:val="en-GB"/>
        </w:rPr>
        <w:t xml:space="preserve">. Instead, the movement in monthly </w:t>
      </w:r>
      <w:r w:rsidR="008D2D27">
        <w:rPr>
          <w:color w:val="0070C0"/>
          <w:lang w:val="en-GB"/>
        </w:rPr>
        <w:t>exposures</w:t>
      </w:r>
      <w:r>
        <w:rPr>
          <w:color w:val="0070C0"/>
          <w:lang w:val="en-GB"/>
        </w:rPr>
        <w:t xml:space="preserve"> are used to infer monthly cashflows, supplemented with identification of select types of cash flows, e.g. collateral sales. However, NCAs do not regard this as sufficient </w:t>
      </w:r>
      <w:r w:rsidR="00617B51">
        <w:rPr>
          <w:color w:val="0070C0"/>
          <w:lang w:val="en-GB"/>
        </w:rPr>
        <w:t xml:space="preserve">which then </w:t>
      </w:r>
      <w:r>
        <w:rPr>
          <w:color w:val="0070C0"/>
          <w:lang w:val="en-GB"/>
        </w:rPr>
        <w:t>result</w:t>
      </w:r>
      <w:r w:rsidR="00617B51">
        <w:rPr>
          <w:color w:val="0070C0"/>
          <w:lang w:val="en-GB"/>
        </w:rPr>
        <w:t xml:space="preserve">s </w:t>
      </w:r>
      <w:r>
        <w:rPr>
          <w:color w:val="0070C0"/>
          <w:lang w:val="en-GB"/>
        </w:rPr>
        <w:t>in</w:t>
      </w:r>
      <w:r w:rsidR="00617B51">
        <w:rPr>
          <w:color w:val="0070C0"/>
          <w:lang w:val="en-GB"/>
        </w:rPr>
        <w:t xml:space="preserve"> additional</w:t>
      </w:r>
      <w:r>
        <w:rPr>
          <w:color w:val="0070C0"/>
          <w:lang w:val="en-GB"/>
        </w:rPr>
        <w:t xml:space="preserve"> findings and obligations.</w:t>
      </w:r>
    </w:p>
    <w:p w14:paraId="33CEA289" w14:textId="42DEE012" w:rsidR="00617B51" w:rsidRDefault="00617B51" w:rsidP="004746CF">
      <w:pPr>
        <w:pStyle w:val="BodyText"/>
        <w:numPr>
          <w:ilvl w:val="0"/>
          <w:numId w:val="49"/>
        </w:numPr>
        <w:jc w:val="both"/>
        <w:rPr>
          <w:color w:val="0070C0"/>
          <w:lang w:val="en-GB"/>
        </w:rPr>
      </w:pPr>
      <w:r>
        <w:rPr>
          <w:color w:val="0070C0"/>
          <w:lang w:val="en-GB"/>
        </w:rPr>
        <w:t xml:space="preserve">Where granular cash flow data is not available, and cash flows are inferred from changes in exposures between consecutive dates, </w:t>
      </w:r>
      <w:r w:rsidRPr="008D2D27">
        <w:rPr>
          <w:b/>
          <w:bCs/>
          <w:color w:val="0070C0"/>
          <w:lang w:val="en-GB"/>
        </w:rPr>
        <w:t>w</w:t>
      </w:r>
      <w:r w:rsidR="000261BB" w:rsidRPr="008D2D27">
        <w:rPr>
          <w:b/>
          <w:bCs/>
          <w:color w:val="0070C0"/>
          <w:lang w:val="en-GB"/>
        </w:rPr>
        <w:t>e p</w:t>
      </w:r>
      <w:r w:rsidR="000D41F4" w:rsidRPr="008D2D27">
        <w:rPr>
          <w:b/>
          <w:bCs/>
          <w:color w:val="0070C0"/>
          <w:lang w:val="en-GB"/>
        </w:rPr>
        <w:t xml:space="preserve">ropose </w:t>
      </w:r>
      <w:r w:rsidRPr="008D2D27">
        <w:rPr>
          <w:b/>
          <w:bCs/>
          <w:color w:val="0070C0"/>
          <w:lang w:val="en-GB"/>
        </w:rPr>
        <w:t>that the requirement to</w:t>
      </w:r>
      <w:r w:rsidR="000261BB" w:rsidRPr="008D2D27">
        <w:rPr>
          <w:b/>
          <w:bCs/>
          <w:color w:val="0070C0"/>
          <w:lang w:val="en-GB"/>
        </w:rPr>
        <w:t xml:space="preserve"> label cash flows</w:t>
      </w:r>
      <w:r w:rsidRPr="008D2D27">
        <w:rPr>
          <w:b/>
          <w:bCs/>
          <w:color w:val="0070C0"/>
          <w:lang w:val="en-GB"/>
        </w:rPr>
        <w:t xml:space="preserve"> be clarified as applying to only specific types of cash flows</w:t>
      </w:r>
      <w:r>
        <w:rPr>
          <w:color w:val="0070C0"/>
          <w:lang w:val="en-GB"/>
        </w:rPr>
        <w:t>. The</w:t>
      </w:r>
      <w:r w:rsidR="005E7C7B">
        <w:rPr>
          <w:color w:val="0070C0"/>
          <w:lang w:val="en-GB"/>
        </w:rPr>
        <w:t xml:space="preserve"> list of applicable </w:t>
      </w:r>
      <w:r>
        <w:rPr>
          <w:color w:val="0070C0"/>
          <w:lang w:val="en-GB"/>
        </w:rPr>
        <w:t>cash flows</w:t>
      </w:r>
      <w:r w:rsidR="005E7C7B">
        <w:rPr>
          <w:color w:val="0070C0"/>
          <w:lang w:val="en-GB"/>
        </w:rPr>
        <w:t xml:space="preserve"> would only be those</w:t>
      </w:r>
      <w:r>
        <w:rPr>
          <w:color w:val="0070C0"/>
          <w:lang w:val="en-GB"/>
        </w:rPr>
        <w:t xml:space="preserve"> that can add discriminatory value, whereas the rest can be aggregated without reducing risk sensitivity of the LGD estimates</w:t>
      </w:r>
      <w:r w:rsidR="005E7C7B">
        <w:rPr>
          <w:color w:val="0070C0"/>
          <w:lang w:val="en-GB"/>
        </w:rPr>
        <w:t>.</w:t>
      </w:r>
      <w:r w:rsidR="000D41F4" w:rsidRPr="000D41F4">
        <w:rPr>
          <w:color w:val="0070C0"/>
          <w:lang w:val="en-GB"/>
        </w:rPr>
        <w:t xml:space="preserve"> This list should take the diverse aspects of </w:t>
      </w:r>
      <w:r w:rsidRPr="000D41F4">
        <w:rPr>
          <w:color w:val="0070C0"/>
          <w:lang w:val="en-GB"/>
        </w:rPr>
        <w:t>portfolios</w:t>
      </w:r>
      <w:r w:rsidR="000D41F4" w:rsidRPr="000D41F4">
        <w:rPr>
          <w:color w:val="0070C0"/>
          <w:lang w:val="en-GB"/>
        </w:rPr>
        <w:t xml:space="preserve"> into account.</w:t>
      </w:r>
      <w:r>
        <w:rPr>
          <w:color w:val="0070C0"/>
          <w:lang w:val="en-GB"/>
        </w:rPr>
        <w:t xml:space="preserve"> </w:t>
      </w:r>
    </w:p>
    <w:p w14:paraId="2B3B1DFE" w14:textId="59C65595" w:rsidR="000D41F4" w:rsidRPr="000D41F4" w:rsidRDefault="00617B51" w:rsidP="004746CF">
      <w:pPr>
        <w:pStyle w:val="BodyText"/>
        <w:numPr>
          <w:ilvl w:val="0"/>
          <w:numId w:val="49"/>
        </w:numPr>
        <w:jc w:val="both"/>
        <w:rPr>
          <w:color w:val="0070C0"/>
          <w:lang w:val="en-GB"/>
        </w:rPr>
      </w:pPr>
      <w:r>
        <w:rPr>
          <w:color w:val="0070C0"/>
          <w:lang w:val="en-GB"/>
        </w:rPr>
        <w:t xml:space="preserve">This would </w:t>
      </w:r>
      <w:r w:rsidR="005E7C7B">
        <w:rPr>
          <w:color w:val="0070C0"/>
          <w:lang w:val="en-GB"/>
        </w:rPr>
        <w:t xml:space="preserve">significantly </w:t>
      </w:r>
      <w:r>
        <w:rPr>
          <w:color w:val="0070C0"/>
          <w:lang w:val="en-GB"/>
        </w:rPr>
        <w:t xml:space="preserve">simplify the construction of cash flow data for LGD </w:t>
      </w:r>
      <w:proofErr w:type="gramStart"/>
      <w:r>
        <w:rPr>
          <w:color w:val="0070C0"/>
          <w:lang w:val="en-GB"/>
        </w:rPr>
        <w:t>modelling</w:t>
      </w:r>
      <w:r w:rsidR="005E7C7B">
        <w:rPr>
          <w:color w:val="0070C0"/>
          <w:lang w:val="en-GB"/>
        </w:rPr>
        <w:t xml:space="preserve">, </w:t>
      </w:r>
      <w:r w:rsidR="00BE2C54">
        <w:rPr>
          <w:color w:val="0070C0"/>
          <w:lang w:val="en-GB"/>
        </w:rPr>
        <w:t>and</w:t>
      </w:r>
      <w:proofErr w:type="gramEnd"/>
      <w:r w:rsidR="00BE2C54">
        <w:rPr>
          <w:color w:val="0070C0"/>
          <w:lang w:val="en-GB"/>
        </w:rPr>
        <w:t xml:space="preserve"> </w:t>
      </w:r>
      <w:r w:rsidR="005E7C7B">
        <w:rPr>
          <w:color w:val="0070C0"/>
          <w:lang w:val="en-GB"/>
        </w:rPr>
        <w:t>align supervisory expectations</w:t>
      </w:r>
      <w:r>
        <w:rPr>
          <w:color w:val="0070C0"/>
          <w:lang w:val="en-GB"/>
        </w:rPr>
        <w:t xml:space="preserve"> without reducing risk sensitivity.</w:t>
      </w:r>
    </w:p>
    <w:p w14:paraId="74C7BAC7" w14:textId="70A1F303" w:rsidR="00E01AB2" w:rsidRDefault="00E01AB2" w:rsidP="009B20D3">
      <w:pPr>
        <w:pStyle w:val="BodyText"/>
        <w:ind w:firstLine="143"/>
        <w:jc w:val="both"/>
        <w:rPr>
          <w:color w:val="0070C0"/>
          <w:lang w:val="en-GB"/>
        </w:rPr>
      </w:pPr>
      <w:r w:rsidRPr="00F73BFB">
        <w:rPr>
          <w:color w:val="0070C0"/>
          <w:lang w:val="en-GB"/>
        </w:rPr>
        <w:t>]</w:t>
      </w:r>
    </w:p>
    <w:p w14:paraId="22343D80" w14:textId="77777777" w:rsidR="00B97529" w:rsidRPr="009B20D3" w:rsidRDefault="00B97529" w:rsidP="009B20D3">
      <w:pPr>
        <w:pStyle w:val="BodyText"/>
        <w:ind w:firstLine="143"/>
        <w:jc w:val="both"/>
        <w:rPr>
          <w:color w:val="0070C0"/>
          <w:lang w:val="en-GB"/>
        </w:rPr>
      </w:pPr>
    </w:p>
    <w:p w14:paraId="0A148F53" w14:textId="77777777" w:rsidR="00017515" w:rsidRPr="00F73BFB" w:rsidRDefault="00A567F8" w:rsidP="00790CCA">
      <w:pPr>
        <w:pStyle w:val="Heading2"/>
      </w:pPr>
      <w:bookmarkStart w:id="2" w:name="_Hlk222391060"/>
      <w:r w:rsidRPr="00F73BFB">
        <w:rPr>
          <w:b/>
        </w:rPr>
        <w:t>Q16.</w:t>
      </w:r>
      <w:r w:rsidRPr="00F73BFB">
        <w:rPr>
          <w:b/>
          <w:spacing w:val="-1"/>
        </w:rPr>
        <w:t xml:space="preserve"> </w:t>
      </w:r>
      <w:r w:rsidRPr="00F73BFB">
        <w:t>What</w:t>
      </w:r>
      <w:r w:rsidRPr="00F73BFB">
        <w:rPr>
          <w:spacing w:val="-2"/>
        </w:rPr>
        <w:t xml:space="preserve"> </w:t>
      </w:r>
      <w:r w:rsidRPr="00F73BFB">
        <w:t>do</w:t>
      </w:r>
      <w:r w:rsidRPr="00F73BFB">
        <w:rPr>
          <w:spacing w:val="-4"/>
        </w:rPr>
        <w:t xml:space="preserve"> </w:t>
      </w:r>
      <w:r w:rsidRPr="00F73BFB">
        <w:t>you</w:t>
      </w:r>
      <w:r w:rsidRPr="00F73BFB">
        <w:rPr>
          <w:spacing w:val="-3"/>
        </w:rPr>
        <w:t xml:space="preserve"> </w:t>
      </w:r>
      <w:r w:rsidRPr="00F73BFB">
        <w:t>perceive</w:t>
      </w:r>
      <w:r w:rsidRPr="00F73BFB">
        <w:rPr>
          <w:spacing w:val="-4"/>
        </w:rPr>
        <w:t xml:space="preserve"> </w:t>
      </w:r>
      <w:r w:rsidRPr="00F73BFB">
        <w:t>as</w:t>
      </w:r>
      <w:r w:rsidRPr="00F73BFB">
        <w:rPr>
          <w:spacing w:val="-2"/>
        </w:rPr>
        <w:t xml:space="preserve"> </w:t>
      </w:r>
      <w:r w:rsidRPr="00F73BFB">
        <w:t>challenges</w:t>
      </w:r>
      <w:r w:rsidRPr="00F73BFB">
        <w:rPr>
          <w:spacing w:val="-4"/>
        </w:rPr>
        <w:t xml:space="preserve"> </w:t>
      </w:r>
      <w:r w:rsidRPr="00F73BFB">
        <w:t>in</w:t>
      </w:r>
      <w:r w:rsidRPr="00F73BFB">
        <w:rPr>
          <w:spacing w:val="-2"/>
        </w:rPr>
        <w:t xml:space="preserve"> </w:t>
      </w:r>
      <w:r w:rsidRPr="00F73BFB">
        <w:t>your</w:t>
      </w:r>
      <w:r w:rsidRPr="00F73BFB">
        <w:rPr>
          <w:spacing w:val="-2"/>
        </w:rPr>
        <w:t xml:space="preserve"> </w:t>
      </w:r>
      <w:r w:rsidRPr="00F73BFB">
        <w:t>capacity</w:t>
      </w:r>
      <w:r w:rsidRPr="00F73BFB">
        <w:rPr>
          <w:spacing w:val="-3"/>
        </w:rPr>
        <w:t xml:space="preserve"> </w:t>
      </w:r>
      <w:r w:rsidRPr="00F73BFB">
        <w:t>to</w:t>
      </w:r>
      <w:r w:rsidRPr="00F73BFB">
        <w:rPr>
          <w:spacing w:val="-3"/>
        </w:rPr>
        <w:t xml:space="preserve"> </w:t>
      </w:r>
      <w:r w:rsidRPr="00F73BFB">
        <w:t>collect</w:t>
      </w:r>
      <w:r w:rsidRPr="00F73BFB">
        <w:rPr>
          <w:spacing w:val="-3"/>
        </w:rPr>
        <w:t xml:space="preserve"> </w:t>
      </w:r>
      <w:r w:rsidRPr="00F73BFB">
        <w:t>appropriate</w:t>
      </w:r>
      <w:r w:rsidRPr="00F73BFB">
        <w:rPr>
          <w:spacing w:val="-4"/>
        </w:rPr>
        <w:t xml:space="preserve"> </w:t>
      </w:r>
      <w:r w:rsidRPr="00F73BFB">
        <w:t>data,</w:t>
      </w:r>
      <w:r w:rsidRPr="00F73BFB">
        <w:rPr>
          <w:spacing w:val="-2"/>
        </w:rPr>
        <w:t xml:space="preserve"> </w:t>
      </w:r>
      <w:r w:rsidRPr="00F73BFB">
        <w:t>in</w:t>
      </w:r>
      <w:r w:rsidRPr="00F73BFB">
        <w:rPr>
          <w:spacing w:val="-2"/>
        </w:rPr>
        <w:t xml:space="preserve"> </w:t>
      </w:r>
      <w:r w:rsidRPr="00F73BFB">
        <w:t>particular in relation to indirect costs?</w:t>
      </w:r>
    </w:p>
    <w:p w14:paraId="0B921388" w14:textId="77777777" w:rsidR="003D5AB9" w:rsidRDefault="00E01AB2" w:rsidP="61B07537">
      <w:pPr>
        <w:pStyle w:val="BodyText"/>
        <w:ind w:left="143"/>
        <w:jc w:val="both"/>
        <w:rPr>
          <w:color w:val="0070C0"/>
          <w:lang w:val="en-GB"/>
        </w:rPr>
      </w:pPr>
      <w:r w:rsidRPr="00F73BFB">
        <w:rPr>
          <w:color w:val="0070C0"/>
          <w:lang w:val="en-GB"/>
        </w:rPr>
        <w:t>[</w:t>
      </w:r>
      <w:r w:rsidRPr="00F73BFB">
        <w:rPr>
          <w:b/>
          <w:bCs/>
          <w:color w:val="0070C0"/>
          <w:lang w:val="en-GB"/>
        </w:rPr>
        <w:t>Response</w:t>
      </w:r>
      <w:r w:rsidRPr="00F73BFB">
        <w:rPr>
          <w:color w:val="0070C0"/>
          <w:lang w:val="en-GB"/>
        </w:rPr>
        <w:t xml:space="preserve">: </w:t>
      </w:r>
    </w:p>
    <w:p w14:paraId="1B1CE028" w14:textId="3297B338" w:rsidR="00630585" w:rsidRPr="00630585" w:rsidRDefault="00630585" w:rsidP="00630585">
      <w:pPr>
        <w:pStyle w:val="BodyText"/>
        <w:numPr>
          <w:ilvl w:val="0"/>
          <w:numId w:val="47"/>
        </w:numPr>
        <w:jc w:val="both"/>
        <w:rPr>
          <w:color w:val="0070C0"/>
          <w:lang w:val="en-GB"/>
        </w:rPr>
      </w:pPr>
      <w:r w:rsidRPr="00630585">
        <w:rPr>
          <w:color w:val="0070C0"/>
          <w:lang w:val="en-GB"/>
        </w:rPr>
        <w:t>A key challenge in collecting recovery-related cost data</w:t>
      </w:r>
      <w:r>
        <w:rPr>
          <w:color w:val="0070C0"/>
          <w:lang w:val="en-GB"/>
        </w:rPr>
        <w:t xml:space="preserve"> – </w:t>
      </w:r>
      <w:r w:rsidRPr="00630585">
        <w:rPr>
          <w:color w:val="0070C0"/>
          <w:lang w:val="en-GB"/>
        </w:rPr>
        <w:t>particularly indirect costs</w:t>
      </w:r>
      <w:r>
        <w:rPr>
          <w:color w:val="0070C0"/>
          <w:lang w:val="en-GB"/>
        </w:rPr>
        <w:t xml:space="preserve"> – i</w:t>
      </w:r>
      <w:r w:rsidRPr="00630585">
        <w:rPr>
          <w:color w:val="0070C0"/>
          <w:lang w:val="en-GB"/>
        </w:rPr>
        <w:t xml:space="preserve">s that these costs often originate from </w:t>
      </w:r>
      <w:r w:rsidRPr="00630585">
        <w:rPr>
          <w:b/>
          <w:bCs/>
          <w:color w:val="0070C0"/>
          <w:lang w:val="en-GB"/>
        </w:rPr>
        <w:t>highly aggregated, shared service functions</w:t>
      </w:r>
      <w:r w:rsidRPr="00630585">
        <w:rPr>
          <w:color w:val="0070C0"/>
          <w:lang w:val="en-GB"/>
        </w:rPr>
        <w:t xml:space="preserve"> within the institution. These services typically support a wide range of activities beyond recovery processes, making it difficult to isolate recovery-specific cost components.</w:t>
      </w:r>
    </w:p>
    <w:p w14:paraId="3408B86A" w14:textId="39CDD2E0" w:rsidR="00630585" w:rsidRPr="00630585" w:rsidRDefault="00630585" w:rsidP="00630585">
      <w:pPr>
        <w:pStyle w:val="BodyText"/>
        <w:numPr>
          <w:ilvl w:val="0"/>
          <w:numId w:val="47"/>
        </w:numPr>
        <w:jc w:val="both"/>
        <w:rPr>
          <w:color w:val="0070C0"/>
          <w:lang w:val="en-GB"/>
        </w:rPr>
      </w:pPr>
      <w:r w:rsidRPr="00630585">
        <w:rPr>
          <w:color w:val="0070C0"/>
          <w:lang w:val="en-GB"/>
        </w:rPr>
        <w:lastRenderedPageBreak/>
        <w:t xml:space="preserve">In addition, some costs that are technically </w:t>
      </w:r>
      <w:r w:rsidRPr="00630585">
        <w:rPr>
          <w:b/>
          <w:bCs/>
          <w:color w:val="0070C0"/>
          <w:lang w:val="en-GB"/>
        </w:rPr>
        <w:t>direct in nature</w:t>
      </w:r>
      <w:r w:rsidRPr="00630585">
        <w:rPr>
          <w:color w:val="0070C0"/>
          <w:lang w:val="en-GB"/>
        </w:rPr>
        <w:t xml:space="preserve"> may still be processed through shared service structures. Due to operational practices (e.g. batch processing), these costs are </w:t>
      </w:r>
      <w:r w:rsidRPr="00630585">
        <w:rPr>
          <w:b/>
          <w:bCs/>
          <w:color w:val="0070C0"/>
          <w:lang w:val="en-GB"/>
        </w:rPr>
        <w:t>not always allocated to individual recovery cases</w:t>
      </w:r>
      <w:r w:rsidRPr="00630585">
        <w:rPr>
          <w:color w:val="0070C0"/>
          <w:lang w:val="en-GB"/>
        </w:rPr>
        <w:t>, leading to further gaps in granularity.</w:t>
      </w:r>
    </w:p>
    <w:p w14:paraId="7AA7CE6D" w14:textId="4C479DF2" w:rsidR="00630585" w:rsidRPr="00630585" w:rsidRDefault="00630585" w:rsidP="00630585">
      <w:pPr>
        <w:pStyle w:val="BodyText"/>
        <w:numPr>
          <w:ilvl w:val="0"/>
          <w:numId w:val="47"/>
        </w:numPr>
        <w:jc w:val="both"/>
        <w:rPr>
          <w:color w:val="0070C0"/>
          <w:lang w:val="en-GB"/>
        </w:rPr>
      </w:pPr>
      <w:r w:rsidRPr="00630585">
        <w:rPr>
          <w:color w:val="0070C0"/>
          <w:lang w:val="en-GB"/>
        </w:rPr>
        <w:t xml:space="preserve">Another challenge relates to </w:t>
      </w:r>
      <w:r w:rsidRPr="00630585">
        <w:rPr>
          <w:b/>
          <w:bCs/>
          <w:color w:val="0070C0"/>
          <w:lang w:val="en-GB"/>
        </w:rPr>
        <w:t>data representativeness over time</w:t>
      </w:r>
      <w:r w:rsidRPr="00630585">
        <w:rPr>
          <w:color w:val="0070C0"/>
          <w:lang w:val="en-GB"/>
        </w:rPr>
        <w:t>. Current cost structures within shared services may not accurately reflect the cost levels applicable to older recovery cases, which are often required for model estimation. This creates additional uncertainty when aligning historical recovery data with current cost information.</w:t>
      </w:r>
    </w:p>
    <w:p w14:paraId="6FA7E23A" w14:textId="57830576" w:rsidR="00630585" w:rsidRPr="00630585" w:rsidRDefault="00630585" w:rsidP="00630585">
      <w:pPr>
        <w:pStyle w:val="BodyText"/>
        <w:numPr>
          <w:ilvl w:val="0"/>
          <w:numId w:val="47"/>
        </w:numPr>
        <w:jc w:val="both"/>
        <w:rPr>
          <w:color w:val="0070C0"/>
          <w:lang w:val="en-GB"/>
        </w:rPr>
      </w:pPr>
      <w:r w:rsidRPr="00630585">
        <w:rPr>
          <w:color w:val="0070C0"/>
          <w:lang w:val="en-GB"/>
        </w:rPr>
        <w:t xml:space="preserve">As a result, attributing recovery-specific </w:t>
      </w:r>
      <w:r w:rsidRPr="00630585">
        <w:rPr>
          <w:b/>
          <w:bCs/>
          <w:color w:val="0070C0"/>
          <w:lang w:val="en-GB"/>
        </w:rPr>
        <w:t xml:space="preserve">indirect costs and </w:t>
      </w:r>
      <w:r w:rsidRPr="00630585">
        <w:rPr>
          <w:b/>
          <w:bCs/>
          <w:i/>
          <w:iCs/>
          <w:color w:val="0070C0"/>
          <w:lang w:val="en-GB"/>
        </w:rPr>
        <w:t>unallocated direct</w:t>
      </w:r>
      <w:r w:rsidRPr="00630585">
        <w:rPr>
          <w:b/>
          <w:bCs/>
          <w:color w:val="0070C0"/>
          <w:lang w:val="en-GB"/>
        </w:rPr>
        <w:t xml:space="preserve"> costs to individual portfolios necessarily relies on assumptions</w:t>
      </w:r>
      <w:r w:rsidRPr="00630585">
        <w:rPr>
          <w:color w:val="0070C0"/>
          <w:lang w:val="en-GB"/>
        </w:rPr>
        <w:t>, introducing a degree of modelling uncertainty.</w:t>
      </w:r>
    </w:p>
    <w:p w14:paraId="40F30199" w14:textId="4B6FE12C" w:rsidR="00630585" w:rsidRPr="00630585" w:rsidRDefault="00630585" w:rsidP="00630585">
      <w:pPr>
        <w:pStyle w:val="BodyText"/>
        <w:numPr>
          <w:ilvl w:val="0"/>
          <w:numId w:val="47"/>
        </w:numPr>
        <w:jc w:val="both"/>
        <w:rPr>
          <w:color w:val="0070C0"/>
          <w:lang w:val="en-GB"/>
        </w:rPr>
      </w:pPr>
      <w:r w:rsidRPr="00630585">
        <w:rPr>
          <w:color w:val="0070C0"/>
          <w:lang w:val="en-GB"/>
        </w:rPr>
        <w:t xml:space="preserve">Given these practical limitations, the use of </w:t>
      </w:r>
      <w:r w:rsidRPr="00630585">
        <w:rPr>
          <w:b/>
          <w:bCs/>
          <w:color w:val="0070C0"/>
          <w:lang w:val="en-GB"/>
        </w:rPr>
        <w:t>fallback approaches</w:t>
      </w:r>
      <w:r w:rsidRPr="00630585">
        <w:rPr>
          <w:color w:val="0070C0"/>
          <w:lang w:val="en-GB"/>
        </w:rPr>
        <w:t xml:space="preserve"> is preferable, as they can help to reduce variability across institutions and provide a more consistent and pragmatic solution.</w:t>
      </w:r>
    </w:p>
    <w:p w14:paraId="1C74A52C" w14:textId="22A88258" w:rsidR="00630585" w:rsidRPr="00630585" w:rsidRDefault="00630585" w:rsidP="00630585">
      <w:pPr>
        <w:pStyle w:val="BodyText"/>
        <w:numPr>
          <w:ilvl w:val="0"/>
          <w:numId w:val="47"/>
        </w:numPr>
        <w:jc w:val="both"/>
        <w:rPr>
          <w:color w:val="0070C0"/>
          <w:lang w:val="en-GB"/>
        </w:rPr>
      </w:pPr>
      <w:r w:rsidRPr="00630585">
        <w:rPr>
          <w:color w:val="0070C0"/>
          <w:lang w:val="en-GB"/>
        </w:rPr>
        <w:t xml:space="preserve">Finally, flexibility in the application of fallback methods is important. Institutions should be able to </w:t>
      </w:r>
      <w:r w:rsidRPr="00630585">
        <w:rPr>
          <w:b/>
          <w:bCs/>
          <w:color w:val="0070C0"/>
          <w:lang w:val="en-GB"/>
        </w:rPr>
        <w:t>opt for fallback approaches for indirect costs, direct costs, or both</w:t>
      </w:r>
      <w:r w:rsidRPr="00630585">
        <w:rPr>
          <w:color w:val="0070C0"/>
          <w:lang w:val="en-GB"/>
        </w:rPr>
        <w:t>, depending on the specific data availability and characteristics of the portfolio under consideration.</w:t>
      </w:r>
    </w:p>
    <w:p w14:paraId="00B776C8" w14:textId="44793401" w:rsidR="00630585" w:rsidRPr="00630585" w:rsidRDefault="00630585" w:rsidP="00630585">
      <w:pPr>
        <w:pStyle w:val="BodyText"/>
        <w:numPr>
          <w:ilvl w:val="0"/>
          <w:numId w:val="47"/>
        </w:numPr>
        <w:jc w:val="both"/>
        <w:rPr>
          <w:color w:val="0070C0"/>
          <w:lang w:val="en-GB"/>
        </w:rPr>
      </w:pPr>
      <w:r w:rsidRPr="00630585">
        <w:rPr>
          <w:b/>
          <w:bCs/>
          <w:color w:val="0070C0"/>
          <w:lang w:val="en-GB"/>
        </w:rPr>
        <w:t>Overall, challenges are primarily operational and data-related, and a flexible fallback framework is key to ensuring robustness and comparability</w:t>
      </w:r>
      <w:r w:rsidRPr="00630585">
        <w:rPr>
          <w:color w:val="0070C0"/>
          <w:lang w:val="en-GB"/>
        </w:rPr>
        <w:t>.</w:t>
      </w:r>
    </w:p>
    <w:bookmarkEnd w:id="2"/>
    <w:p w14:paraId="1414F737" w14:textId="2018627A" w:rsidR="00DB4852" w:rsidRDefault="00ED15FA" w:rsidP="61B07537">
      <w:pPr>
        <w:pStyle w:val="BodyText"/>
        <w:ind w:left="143"/>
        <w:jc w:val="both"/>
        <w:rPr>
          <w:color w:val="0070C0"/>
          <w:lang w:val="en-GB"/>
        </w:rPr>
      </w:pPr>
      <w:r>
        <w:rPr>
          <w:color w:val="0070C0"/>
          <w:lang w:val="en-GB"/>
        </w:rPr>
        <w:t>]</w:t>
      </w:r>
    </w:p>
    <w:p w14:paraId="61CF93D3" w14:textId="77777777" w:rsidR="00ED15FA" w:rsidRDefault="00ED15FA" w:rsidP="61B07537">
      <w:pPr>
        <w:pStyle w:val="BodyText"/>
        <w:ind w:left="143"/>
        <w:jc w:val="both"/>
        <w:rPr>
          <w:color w:val="0070C0"/>
          <w:lang w:val="en-GB"/>
        </w:rPr>
      </w:pPr>
    </w:p>
    <w:p w14:paraId="697D97FD" w14:textId="77777777" w:rsidR="00630585" w:rsidRPr="00F73BFB" w:rsidRDefault="00630585" w:rsidP="61B07537">
      <w:pPr>
        <w:pStyle w:val="BodyText"/>
        <w:ind w:left="143"/>
        <w:jc w:val="both"/>
        <w:rPr>
          <w:color w:val="0070C0"/>
          <w:lang w:val="en-GB"/>
        </w:rPr>
      </w:pPr>
    </w:p>
    <w:p w14:paraId="51CB180D" w14:textId="77777777" w:rsidR="00017515" w:rsidRPr="00F73BFB" w:rsidRDefault="00A567F8" w:rsidP="00790CCA">
      <w:pPr>
        <w:pStyle w:val="Heading2"/>
        <w:rPr>
          <w:spacing w:val="-2"/>
        </w:rPr>
      </w:pPr>
      <w:r w:rsidRPr="00F73BFB">
        <w:rPr>
          <w:b/>
        </w:rPr>
        <w:t>Q17.</w:t>
      </w:r>
      <w:r w:rsidRPr="00F73BFB">
        <w:rPr>
          <w:b/>
          <w:spacing w:val="-3"/>
        </w:rPr>
        <w:t xml:space="preserve"> </w:t>
      </w:r>
      <w:r w:rsidRPr="00F73BFB">
        <w:t>Do</w:t>
      </w:r>
      <w:r w:rsidRPr="00F73BFB">
        <w:rPr>
          <w:spacing w:val="-4"/>
        </w:rPr>
        <w:t xml:space="preserve"> </w:t>
      </w:r>
      <w:r w:rsidRPr="00F73BFB">
        <w:t>you</w:t>
      </w:r>
      <w:r w:rsidRPr="00F73BFB">
        <w:rPr>
          <w:spacing w:val="-3"/>
        </w:rPr>
        <w:t xml:space="preserve"> </w:t>
      </w:r>
      <w:r w:rsidRPr="00F73BFB">
        <w:t>agree</w:t>
      </w:r>
      <w:r w:rsidRPr="00F73BFB">
        <w:rPr>
          <w:spacing w:val="-2"/>
        </w:rPr>
        <w:t xml:space="preserve"> </w:t>
      </w:r>
      <w:r w:rsidRPr="00F73BFB">
        <w:t>with</w:t>
      </w:r>
      <w:r w:rsidRPr="00F73BFB">
        <w:rPr>
          <w:spacing w:val="-2"/>
        </w:rPr>
        <w:t xml:space="preserve"> </w:t>
      </w:r>
      <w:r w:rsidRPr="00F73BFB">
        <w:t>the</w:t>
      </w:r>
      <w:r w:rsidRPr="00F73BFB">
        <w:rPr>
          <w:spacing w:val="-2"/>
        </w:rPr>
        <w:t xml:space="preserve"> </w:t>
      </w:r>
      <w:r w:rsidRPr="00F73BFB">
        <w:t>approach</w:t>
      </w:r>
      <w:r w:rsidRPr="00F73BFB">
        <w:rPr>
          <w:spacing w:val="-3"/>
        </w:rPr>
        <w:t xml:space="preserve"> </w:t>
      </w:r>
      <w:r w:rsidRPr="00F73BFB">
        <w:t>proposed</w:t>
      </w:r>
      <w:r w:rsidRPr="00F73BFB">
        <w:rPr>
          <w:spacing w:val="-2"/>
        </w:rPr>
        <w:t xml:space="preserve"> </w:t>
      </w:r>
      <w:r w:rsidRPr="00F73BFB">
        <w:t>by</w:t>
      </w:r>
      <w:r w:rsidRPr="00F73BFB">
        <w:rPr>
          <w:spacing w:val="-2"/>
        </w:rPr>
        <w:t xml:space="preserve"> </w:t>
      </w:r>
      <w:r w:rsidRPr="00F73BFB">
        <w:t>EBA?</w:t>
      </w:r>
      <w:r w:rsidRPr="00F73BFB">
        <w:rPr>
          <w:spacing w:val="-2"/>
        </w:rPr>
        <w:t xml:space="preserve"> </w:t>
      </w:r>
      <w:r w:rsidRPr="00F73BFB">
        <w:t>Do</w:t>
      </w:r>
      <w:r w:rsidRPr="00F73BFB">
        <w:rPr>
          <w:spacing w:val="-3"/>
        </w:rPr>
        <w:t xml:space="preserve"> </w:t>
      </w:r>
      <w:r w:rsidRPr="00F73BFB">
        <w:t>you</w:t>
      </w:r>
      <w:r w:rsidRPr="00F73BFB">
        <w:rPr>
          <w:spacing w:val="-6"/>
        </w:rPr>
        <w:t xml:space="preserve"> </w:t>
      </w:r>
      <w:r w:rsidRPr="00F73BFB">
        <w:t>see</w:t>
      </w:r>
      <w:r w:rsidRPr="00F73BFB">
        <w:rPr>
          <w:spacing w:val="-4"/>
        </w:rPr>
        <w:t xml:space="preserve"> </w:t>
      </w:r>
      <w:r w:rsidRPr="00F73BFB">
        <w:t>further</w:t>
      </w:r>
      <w:r w:rsidRPr="00F73BFB">
        <w:rPr>
          <w:spacing w:val="-2"/>
        </w:rPr>
        <w:t xml:space="preserve"> </w:t>
      </w:r>
      <w:r w:rsidRPr="00F73BFB">
        <w:t>measures</w:t>
      </w:r>
      <w:r w:rsidRPr="00F73BFB">
        <w:rPr>
          <w:spacing w:val="-1"/>
        </w:rPr>
        <w:t xml:space="preserve"> </w:t>
      </w:r>
      <w:r w:rsidRPr="00F73BFB">
        <w:t xml:space="preserve">as </w:t>
      </w:r>
      <w:r w:rsidRPr="00F73BFB">
        <w:rPr>
          <w:spacing w:val="-2"/>
        </w:rPr>
        <w:t>necessary?</w:t>
      </w:r>
    </w:p>
    <w:p w14:paraId="55DA5DDD" w14:textId="522B460E" w:rsidR="00F9365A" w:rsidRPr="00F73BFB" w:rsidRDefault="00E01AB2" w:rsidP="000A1E9A">
      <w:pPr>
        <w:pStyle w:val="BodyText"/>
        <w:ind w:left="143"/>
        <w:jc w:val="both"/>
        <w:rPr>
          <w:color w:val="0070C0"/>
          <w:lang w:val="en-GB"/>
        </w:rPr>
      </w:pPr>
      <w:r w:rsidRPr="00F73BFB">
        <w:rPr>
          <w:color w:val="0070C0"/>
          <w:lang w:val="en-GB"/>
        </w:rPr>
        <w:t>[</w:t>
      </w:r>
      <w:r w:rsidRPr="00F73BFB">
        <w:rPr>
          <w:b/>
          <w:bCs/>
          <w:color w:val="0070C0"/>
          <w:lang w:val="en-GB"/>
        </w:rPr>
        <w:t>Response</w:t>
      </w:r>
      <w:r w:rsidRPr="00F73BFB">
        <w:rPr>
          <w:color w:val="0070C0"/>
          <w:lang w:val="en-GB"/>
        </w:rPr>
        <w:t xml:space="preserve">: </w:t>
      </w:r>
    </w:p>
    <w:p w14:paraId="72305755" w14:textId="63E6E053" w:rsidR="00367DCA" w:rsidRPr="00F73BFB" w:rsidRDefault="00367DCA" w:rsidP="00B97529">
      <w:pPr>
        <w:pStyle w:val="BodyText"/>
        <w:ind w:left="143"/>
        <w:jc w:val="both"/>
        <w:rPr>
          <w:b/>
          <w:bCs/>
          <w:color w:val="0070C0"/>
          <w:lang w:val="en-GB"/>
        </w:rPr>
      </w:pPr>
      <w:r w:rsidRPr="00F73BFB">
        <w:rPr>
          <w:b/>
          <w:bCs/>
          <w:color w:val="0070C0"/>
          <w:lang w:val="en-GB"/>
        </w:rPr>
        <w:t>EBA and ECB alignment on modelling guidelines:</w:t>
      </w:r>
    </w:p>
    <w:p w14:paraId="4F101BCA" w14:textId="415E7241" w:rsidR="00F9365A" w:rsidRPr="00F73BFB" w:rsidRDefault="00F9365A" w:rsidP="000F5212">
      <w:pPr>
        <w:pStyle w:val="BodyText"/>
        <w:numPr>
          <w:ilvl w:val="0"/>
          <w:numId w:val="27"/>
        </w:numPr>
        <w:jc w:val="both"/>
        <w:rPr>
          <w:color w:val="0070C0"/>
          <w:lang w:val="en-GB"/>
        </w:rPr>
      </w:pPr>
      <w:r w:rsidRPr="00F73BFB">
        <w:rPr>
          <w:color w:val="0070C0"/>
          <w:lang w:val="en-GB"/>
        </w:rPr>
        <w:t>In our recent feedback to the EBA on the CCF estimation consultation</w:t>
      </w:r>
      <w:r w:rsidR="00A74D51" w:rsidRPr="00F73BFB">
        <w:rPr>
          <w:color w:val="0070C0"/>
          <w:lang w:val="en-GB"/>
        </w:rPr>
        <w:t xml:space="preserve"> (EBA/CP/2025/10)</w:t>
      </w:r>
      <w:r w:rsidRPr="00F73BFB">
        <w:rPr>
          <w:color w:val="0070C0"/>
          <w:lang w:val="en-GB"/>
        </w:rPr>
        <w:t xml:space="preserve">, </w:t>
      </w:r>
      <w:r w:rsidR="000A1E9A">
        <w:rPr>
          <w:color w:val="0070C0"/>
          <w:lang w:val="en-GB"/>
        </w:rPr>
        <w:t>we</w:t>
      </w:r>
      <w:r w:rsidRPr="00F73BFB">
        <w:rPr>
          <w:color w:val="0070C0"/>
          <w:lang w:val="en-GB"/>
        </w:rPr>
        <w:t xml:space="preserve"> identified several areas where the </w:t>
      </w:r>
      <w:r w:rsidR="00202EFB" w:rsidRPr="00F73BFB">
        <w:rPr>
          <w:color w:val="0070C0"/>
          <w:lang w:val="en-GB"/>
        </w:rPr>
        <w:t xml:space="preserve">2025 </w:t>
      </w:r>
      <w:r w:rsidRPr="00F73BFB">
        <w:rPr>
          <w:color w:val="0070C0"/>
          <w:lang w:val="en-GB"/>
        </w:rPr>
        <w:t>ECB Guide to Internal Models</w:t>
      </w:r>
      <w:r w:rsidR="00202EFB" w:rsidRPr="00F73BFB">
        <w:rPr>
          <w:color w:val="0070C0"/>
          <w:lang w:val="en-GB"/>
        </w:rPr>
        <w:t xml:space="preserve"> are not fully aligned with the EBA guidelines</w:t>
      </w:r>
      <w:r w:rsidR="002921A7" w:rsidRPr="00F73BFB">
        <w:rPr>
          <w:color w:val="0070C0"/>
          <w:lang w:val="en-GB"/>
        </w:rPr>
        <w:t>, including the proposals in EBA/CP/2025/10</w:t>
      </w:r>
      <w:r w:rsidRPr="00F73BFB">
        <w:rPr>
          <w:color w:val="0070C0"/>
          <w:lang w:val="en-GB"/>
        </w:rPr>
        <w:t>.</w:t>
      </w:r>
    </w:p>
    <w:p w14:paraId="514EFFF0" w14:textId="77777777" w:rsidR="009A7E94" w:rsidRPr="00F73BFB" w:rsidRDefault="009A7E94" w:rsidP="000F5212">
      <w:pPr>
        <w:pStyle w:val="BodyText"/>
        <w:numPr>
          <w:ilvl w:val="0"/>
          <w:numId w:val="27"/>
        </w:numPr>
        <w:jc w:val="both"/>
        <w:rPr>
          <w:color w:val="0070C0"/>
          <w:lang w:val="en-GB"/>
        </w:rPr>
      </w:pPr>
      <w:r w:rsidRPr="00F73BFB">
        <w:rPr>
          <w:color w:val="0070C0"/>
          <w:lang w:val="en-GB"/>
        </w:rPr>
        <w:t>The consequences of the above are inconsistent interpretation, additional validation and supervisory feedback cycles, and delays in model approval and implementation. These consequences are expensive, and lead to frustration since institutions must repeatedly adjust models to satisfy diverging expectations, often without a clear view of the ultimately binding standard. This undermines planning certainty, consumes significant resources, and detracts from the objective of achieving a stable, predictable, and harmonised regulatory framework.</w:t>
      </w:r>
    </w:p>
    <w:p w14:paraId="5634BFA9" w14:textId="6A412246" w:rsidR="009A7E94" w:rsidRDefault="00F9365A" w:rsidP="000F5212">
      <w:pPr>
        <w:pStyle w:val="BodyText"/>
        <w:numPr>
          <w:ilvl w:val="0"/>
          <w:numId w:val="27"/>
        </w:numPr>
        <w:jc w:val="both"/>
        <w:rPr>
          <w:color w:val="0070C0"/>
          <w:lang w:val="en-GB"/>
        </w:rPr>
      </w:pPr>
      <w:r w:rsidRPr="00F73BFB">
        <w:rPr>
          <w:color w:val="0070C0"/>
          <w:lang w:val="en-GB"/>
        </w:rPr>
        <w:t xml:space="preserve">In our </w:t>
      </w:r>
      <w:r w:rsidR="009A7E94" w:rsidRPr="00F73BFB">
        <w:rPr>
          <w:color w:val="0070C0"/>
          <w:lang w:val="en-GB"/>
        </w:rPr>
        <w:t>v</w:t>
      </w:r>
      <w:r w:rsidRPr="00F73BFB">
        <w:rPr>
          <w:color w:val="0070C0"/>
          <w:lang w:val="en-GB"/>
        </w:rPr>
        <w:t xml:space="preserve">iew, </w:t>
      </w:r>
      <w:r w:rsidR="00865616" w:rsidRPr="00F73BFB">
        <w:rPr>
          <w:color w:val="0070C0"/>
          <w:lang w:val="en-GB"/>
        </w:rPr>
        <w:t xml:space="preserve">although not in the scope of this DP, </w:t>
      </w:r>
      <w:r w:rsidRPr="00F73BFB">
        <w:rPr>
          <w:color w:val="0070C0"/>
          <w:lang w:val="en-GB"/>
        </w:rPr>
        <w:t xml:space="preserve">achieving consistency between EBA and ECB products is a natural and </w:t>
      </w:r>
      <w:r w:rsidRPr="00F73BFB">
        <w:rPr>
          <w:b/>
          <w:bCs/>
          <w:color w:val="0070C0"/>
          <w:lang w:val="en-GB"/>
        </w:rPr>
        <w:t>necessary</w:t>
      </w:r>
      <w:r w:rsidRPr="00F73BFB">
        <w:rPr>
          <w:color w:val="0070C0"/>
          <w:lang w:val="en-GB"/>
        </w:rPr>
        <w:t xml:space="preserve"> extension of the objective to improve regulatory stability and clarity. Ensuring alignment across these supervisory texts would help prevent contradictions and support a more coherent and predictable regulatory framework.</w:t>
      </w:r>
    </w:p>
    <w:p w14:paraId="4A84B98F" w14:textId="77777777" w:rsidR="004D55E6" w:rsidRDefault="004D55E6" w:rsidP="000F5212">
      <w:pPr>
        <w:pStyle w:val="BodyText"/>
        <w:jc w:val="both"/>
        <w:rPr>
          <w:color w:val="0070C0"/>
          <w:lang w:val="en-GB"/>
        </w:rPr>
      </w:pPr>
    </w:p>
    <w:p w14:paraId="4600762E" w14:textId="364933BA" w:rsidR="004D55E6" w:rsidRPr="004D55E6" w:rsidRDefault="004D55E6" w:rsidP="00B97529">
      <w:pPr>
        <w:pStyle w:val="BodyText"/>
        <w:jc w:val="both"/>
        <w:rPr>
          <w:b/>
          <w:bCs/>
          <w:color w:val="0070C0"/>
          <w:lang w:val="en-GB"/>
        </w:rPr>
      </w:pPr>
      <w:r w:rsidRPr="004D55E6">
        <w:rPr>
          <w:b/>
          <w:bCs/>
          <w:color w:val="0070C0"/>
          <w:lang w:val="en-GB"/>
        </w:rPr>
        <w:t>Rule-based vs</w:t>
      </w:r>
      <w:r w:rsidR="003D7E47">
        <w:rPr>
          <w:b/>
          <w:bCs/>
          <w:color w:val="0070C0"/>
          <w:lang w:val="en-GB"/>
        </w:rPr>
        <w:t>.</w:t>
      </w:r>
      <w:r w:rsidRPr="004D55E6">
        <w:rPr>
          <w:b/>
          <w:bCs/>
          <w:color w:val="0070C0"/>
          <w:lang w:val="en-GB"/>
        </w:rPr>
        <w:t xml:space="preserve"> </w:t>
      </w:r>
      <w:r w:rsidR="003D7E47">
        <w:rPr>
          <w:b/>
          <w:bCs/>
          <w:color w:val="0070C0"/>
          <w:lang w:val="en-GB"/>
        </w:rPr>
        <w:t>p</w:t>
      </w:r>
      <w:r w:rsidRPr="004D55E6">
        <w:rPr>
          <w:b/>
          <w:bCs/>
          <w:color w:val="0070C0"/>
          <w:lang w:val="en-GB"/>
        </w:rPr>
        <w:t>rinciple-based regulation</w:t>
      </w:r>
    </w:p>
    <w:p w14:paraId="5C606628" w14:textId="6344C031" w:rsidR="00604C5A" w:rsidRPr="00604C5A" w:rsidRDefault="00604C5A" w:rsidP="000F5212">
      <w:pPr>
        <w:pStyle w:val="BodyText"/>
        <w:numPr>
          <w:ilvl w:val="0"/>
          <w:numId w:val="27"/>
        </w:numPr>
        <w:jc w:val="both"/>
        <w:rPr>
          <w:color w:val="0070C0"/>
          <w:lang w:val="en-GB"/>
        </w:rPr>
      </w:pPr>
      <w:r w:rsidRPr="00604C5A">
        <w:rPr>
          <w:color w:val="0070C0"/>
          <w:lang w:val="en-GB"/>
        </w:rPr>
        <w:t>We welcome the EBA’s efforts to simplify the prudential framework</w:t>
      </w:r>
      <w:r>
        <w:rPr>
          <w:color w:val="0070C0"/>
          <w:lang w:val="en-GB"/>
        </w:rPr>
        <w:t>.</w:t>
      </w:r>
      <w:r w:rsidRPr="00604C5A">
        <w:rPr>
          <w:color w:val="0070C0"/>
          <w:lang w:val="en-GB"/>
        </w:rPr>
        <w:t xml:space="preserve"> </w:t>
      </w:r>
      <w:r>
        <w:rPr>
          <w:color w:val="0070C0"/>
          <w:lang w:val="en-GB"/>
        </w:rPr>
        <w:t>H</w:t>
      </w:r>
      <w:r w:rsidRPr="00604C5A">
        <w:rPr>
          <w:color w:val="0070C0"/>
          <w:lang w:val="en-GB"/>
        </w:rPr>
        <w:t xml:space="preserve">owever, we are concerned that the approach outlined in the Discussion Paper </w:t>
      </w:r>
      <w:r>
        <w:rPr>
          <w:color w:val="0070C0"/>
          <w:lang w:val="en-GB"/>
        </w:rPr>
        <w:t xml:space="preserve">of adding more rules and options </w:t>
      </w:r>
      <w:r w:rsidRPr="00604C5A">
        <w:rPr>
          <w:color w:val="0070C0"/>
          <w:lang w:val="en-GB"/>
        </w:rPr>
        <w:t xml:space="preserve">may ultimately result in greater </w:t>
      </w:r>
      <w:r w:rsidRPr="000A1E9A">
        <w:rPr>
          <w:b/>
          <w:bCs/>
          <w:color w:val="0070C0"/>
          <w:lang w:val="en-GB"/>
        </w:rPr>
        <w:t>complexity</w:t>
      </w:r>
      <w:r w:rsidRPr="00604C5A">
        <w:rPr>
          <w:color w:val="0070C0"/>
          <w:lang w:val="en-GB"/>
        </w:rPr>
        <w:t>. Our understanding of the broad simplification proposals in the 2024 Draghi Report on EU Competitiveness</w:t>
      </w:r>
      <w:r>
        <w:rPr>
          <w:color w:val="0070C0"/>
          <w:lang w:val="en-GB"/>
        </w:rPr>
        <w:t>,</w:t>
      </w:r>
      <w:r w:rsidRPr="00604C5A">
        <w:rPr>
          <w:color w:val="0070C0"/>
          <w:lang w:val="en-GB"/>
        </w:rPr>
        <w:t xml:space="preserve"> which</w:t>
      </w:r>
      <w:r>
        <w:rPr>
          <w:color w:val="0070C0"/>
          <w:lang w:val="en-GB"/>
        </w:rPr>
        <w:t xml:space="preserve"> is part-reason for</w:t>
      </w:r>
      <w:r w:rsidRPr="00604C5A">
        <w:rPr>
          <w:color w:val="0070C0"/>
          <w:lang w:val="en-GB"/>
        </w:rPr>
        <w:t xml:space="preserve"> this DP</w:t>
      </w:r>
      <w:r>
        <w:rPr>
          <w:color w:val="0070C0"/>
          <w:lang w:val="en-GB"/>
        </w:rPr>
        <w:t xml:space="preserve">, </w:t>
      </w:r>
      <w:r w:rsidRPr="00604C5A">
        <w:rPr>
          <w:color w:val="0070C0"/>
          <w:lang w:val="en-GB"/>
        </w:rPr>
        <w:t>is a clear call to move away from highly prescriptive regulation toward a more principles</w:t>
      </w:r>
      <w:r w:rsidRPr="00604C5A">
        <w:rPr>
          <w:rFonts w:ascii="Cambria Math" w:hAnsi="Cambria Math" w:cs="Cambria Math"/>
          <w:color w:val="0070C0"/>
          <w:lang w:val="en-GB"/>
        </w:rPr>
        <w:t>‑</w:t>
      </w:r>
      <w:r w:rsidRPr="00604C5A">
        <w:rPr>
          <w:color w:val="0070C0"/>
          <w:lang w:val="en-GB"/>
        </w:rPr>
        <w:t>based framework. By introducing additional rules</w:t>
      </w:r>
      <w:r>
        <w:rPr>
          <w:color w:val="0070C0"/>
          <w:lang w:val="en-GB"/>
        </w:rPr>
        <w:t xml:space="preserve"> and options</w:t>
      </w:r>
      <w:r w:rsidRPr="00604C5A">
        <w:rPr>
          <w:color w:val="0070C0"/>
          <w:lang w:val="en-GB"/>
        </w:rPr>
        <w:t>, the approach proposed in the DP risks further entrenching a rules</w:t>
      </w:r>
      <w:r w:rsidRPr="00604C5A">
        <w:rPr>
          <w:rFonts w:ascii="Cambria Math" w:hAnsi="Cambria Math" w:cs="Cambria Math"/>
          <w:color w:val="0070C0"/>
          <w:lang w:val="en-GB"/>
        </w:rPr>
        <w:t>‑</w:t>
      </w:r>
      <w:r w:rsidRPr="00604C5A">
        <w:rPr>
          <w:color w:val="0070C0"/>
          <w:lang w:val="en-GB"/>
        </w:rPr>
        <w:t>based system, which appears misaligned with the intent of the Draghi Report.</w:t>
      </w:r>
    </w:p>
    <w:p w14:paraId="7C9B1460" w14:textId="19E1B573" w:rsidR="00604C5A" w:rsidRDefault="00604C5A" w:rsidP="000F5212">
      <w:pPr>
        <w:pStyle w:val="BodyText"/>
        <w:numPr>
          <w:ilvl w:val="0"/>
          <w:numId w:val="27"/>
        </w:numPr>
        <w:jc w:val="both"/>
        <w:rPr>
          <w:color w:val="0070C0"/>
          <w:lang w:val="en-GB"/>
        </w:rPr>
      </w:pPr>
      <w:r w:rsidRPr="00604C5A">
        <w:rPr>
          <w:color w:val="0070C0"/>
          <w:lang w:val="en-GB"/>
        </w:rPr>
        <w:t>We therefore propose that the prudential framework should progressively evolve toward a more principles</w:t>
      </w:r>
      <w:r w:rsidRPr="00604C5A">
        <w:rPr>
          <w:rFonts w:ascii="Cambria Math" w:hAnsi="Cambria Math" w:cs="Cambria Math"/>
          <w:color w:val="0070C0"/>
          <w:lang w:val="en-GB"/>
        </w:rPr>
        <w:t>‑</w:t>
      </w:r>
      <w:r w:rsidRPr="00604C5A">
        <w:rPr>
          <w:color w:val="0070C0"/>
          <w:lang w:val="en-GB"/>
        </w:rPr>
        <w:t>based approach as a sustainable path to simplification, supporting supervisory consistency while maintaining robust prudential standards</w:t>
      </w:r>
      <w:r>
        <w:rPr>
          <w:color w:val="0070C0"/>
          <w:lang w:val="en-GB"/>
        </w:rPr>
        <w:t>.</w:t>
      </w:r>
    </w:p>
    <w:p w14:paraId="04E025E0" w14:textId="77777777" w:rsidR="0035193C" w:rsidRDefault="0035193C" w:rsidP="000F5212">
      <w:pPr>
        <w:pStyle w:val="BodyText"/>
        <w:jc w:val="both"/>
        <w:rPr>
          <w:color w:val="0070C0"/>
          <w:lang w:val="en-GB"/>
        </w:rPr>
      </w:pPr>
    </w:p>
    <w:p w14:paraId="15901BBF" w14:textId="5EEC522E" w:rsidR="0035193C" w:rsidRPr="0035193C" w:rsidRDefault="0035193C" w:rsidP="00B97529">
      <w:pPr>
        <w:pStyle w:val="BodyText"/>
        <w:jc w:val="both"/>
        <w:rPr>
          <w:b/>
          <w:bCs/>
          <w:color w:val="0070C0"/>
          <w:lang w:val="en-GB"/>
        </w:rPr>
      </w:pPr>
      <w:r w:rsidRPr="0035193C">
        <w:rPr>
          <w:b/>
          <w:bCs/>
          <w:color w:val="0070C0"/>
          <w:lang w:val="en-GB"/>
        </w:rPr>
        <w:t>Logistic and linear regression models and the AI Act</w:t>
      </w:r>
    </w:p>
    <w:p w14:paraId="5B5F6ABE" w14:textId="67766DA0" w:rsidR="00127D0E" w:rsidRPr="00127D0E" w:rsidRDefault="00127D0E" w:rsidP="00127D0E">
      <w:pPr>
        <w:pStyle w:val="BodyText"/>
        <w:numPr>
          <w:ilvl w:val="0"/>
          <w:numId w:val="27"/>
        </w:numPr>
        <w:jc w:val="both"/>
        <w:rPr>
          <w:color w:val="0070C0"/>
          <w:lang w:val="en-GB"/>
        </w:rPr>
      </w:pPr>
      <w:r w:rsidRPr="00127D0E">
        <w:rPr>
          <w:color w:val="0070C0"/>
          <w:lang w:val="en-GB"/>
        </w:rPr>
        <w:t>Although not formally within the scope of the EBA products, the AI Act’s broad definition of an “AI system” has created legal uncertainty as to whether widely used logistic and linear regression (LR) models for IRB and credit scoring fall within scope, including through their Use</w:t>
      </w:r>
      <w:r w:rsidRPr="00127D0E">
        <w:rPr>
          <w:rFonts w:ascii="Cambria Math" w:hAnsi="Cambria Math" w:cs="Cambria Math"/>
          <w:color w:val="0070C0"/>
          <w:lang w:val="en-GB"/>
        </w:rPr>
        <w:t>‑</w:t>
      </w:r>
      <w:r w:rsidRPr="00127D0E">
        <w:rPr>
          <w:color w:val="0070C0"/>
          <w:lang w:val="en-GB"/>
        </w:rPr>
        <w:t>Test link to creditworthiness assessments of natural persons, which are classified as high</w:t>
      </w:r>
      <w:r w:rsidRPr="00127D0E">
        <w:rPr>
          <w:rFonts w:ascii="Cambria Math" w:hAnsi="Cambria Math" w:cs="Cambria Math"/>
          <w:color w:val="0070C0"/>
          <w:lang w:val="en-GB"/>
        </w:rPr>
        <w:t>‑</w:t>
      </w:r>
      <w:r w:rsidRPr="00127D0E">
        <w:rPr>
          <w:color w:val="0070C0"/>
          <w:lang w:val="en-GB"/>
        </w:rPr>
        <w:t>risk under the AI Act.</w:t>
      </w:r>
    </w:p>
    <w:p w14:paraId="768EEEDC" w14:textId="77777777" w:rsidR="00127D0E" w:rsidRPr="00127D0E" w:rsidRDefault="00127D0E" w:rsidP="00127D0E">
      <w:pPr>
        <w:pStyle w:val="BodyText"/>
        <w:numPr>
          <w:ilvl w:val="0"/>
          <w:numId w:val="27"/>
        </w:numPr>
        <w:jc w:val="both"/>
        <w:rPr>
          <w:color w:val="0070C0"/>
          <w:lang w:val="en-GB"/>
        </w:rPr>
      </w:pPr>
      <w:r w:rsidRPr="00127D0E">
        <w:rPr>
          <w:color w:val="0070C0"/>
          <w:lang w:val="en-GB"/>
        </w:rPr>
        <w:t>Depending on the interpretation applied, this has practical implications for internal models governed by the EBA products.</w:t>
      </w:r>
    </w:p>
    <w:p w14:paraId="6F791047" w14:textId="77777777" w:rsidR="00731EC6" w:rsidRDefault="00127D0E" w:rsidP="00731EC6">
      <w:pPr>
        <w:pStyle w:val="BodyText"/>
        <w:numPr>
          <w:ilvl w:val="0"/>
          <w:numId w:val="27"/>
        </w:numPr>
        <w:jc w:val="both"/>
        <w:rPr>
          <w:color w:val="0070C0"/>
          <w:lang w:val="en-GB"/>
        </w:rPr>
      </w:pPr>
      <w:r w:rsidRPr="00127D0E">
        <w:rPr>
          <w:color w:val="0070C0"/>
          <w:lang w:val="en-GB"/>
        </w:rPr>
        <w:t>As these LR models are static, non</w:t>
      </w:r>
      <w:r w:rsidRPr="00127D0E">
        <w:rPr>
          <w:rFonts w:ascii="Cambria Math" w:hAnsi="Cambria Math" w:cs="Cambria Math"/>
          <w:color w:val="0070C0"/>
          <w:lang w:val="en-GB"/>
        </w:rPr>
        <w:t>‑</w:t>
      </w:r>
      <w:r w:rsidRPr="00127D0E">
        <w:rPr>
          <w:color w:val="0070C0"/>
          <w:lang w:val="en-GB"/>
        </w:rPr>
        <w:t>adaptive, and fully transparent techniques implemented to meet IRB requirements, we consider that they should be explicitly excluded from the scope of the AI Act through a clear statement in the relevant EBA product, in order to enhance legal certainty, proportionality, and regulatory consistency.</w:t>
      </w:r>
    </w:p>
    <w:p w14:paraId="4A5A80A9" w14:textId="77777777" w:rsidR="00731EC6" w:rsidRDefault="00731EC6" w:rsidP="00731EC6">
      <w:pPr>
        <w:pStyle w:val="BodyText"/>
        <w:ind w:left="720"/>
        <w:jc w:val="both"/>
        <w:rPr>
          <w:color w:val="0070C0"/>
          <w:lang w:val="en-GB"/>
        </w:rPr>
      </w:pPr>
    </w:p>
    <w:p w14:paraId="6B2A21EC" w14:textId="0D069F60" w:rsidR="00731EC6" w:rsidRPr="00731EC6" w:rsidRDefault="00731EC6" w:rsidP="00731EC6">
      <w:pPr>
        <w:pStyle w:val="BodyText"/>
        <w:jc w:val="both"/>
        <w:rPr>
          <w:b/>
          <w:bCs/>
          <w:color w:val="0070C0"/>
          <w:lang w:val="en-GB"/>
        </w:rPr>
      </w:pPr>
      <w:r w:rsidRPr="00731EC6">
        <w:rPr>
          <w:b/>
          <w:bCs/>
          <w:color w:val="0070C0"/>
          <w:lang w:val="en-GB"/>
        </w:rPr>
        <w:t>Zero-Flooring of observed CCF</w:t>
      </w:r>
      <w:r>
        <w:rPr>
          <w:b/>
          <w:bCs/>
          <w:color w:val="0070C0"/>
          <w:lang w:val="en-GB"/>
        </w:rPr>
        <w:t>s</w:t>
      </w:r>
    </w:p>
    <w:p w14:paraId="0DBF3D6C" w14:textId="77777777" w:rsidR="00731EC6" w:rsidRDefault="00731EC6" w:rsidP="00731EC6">
      <w:pPr>
        <w:pStyle w:val="BodyText"/>
        <w:numPr>
          <w:ilvl w:val="0"/>
          <w:numId w:val="28"/>
        </w:numPr>
        <w:jc w:val="both"/>
        <w:rPr>
          <w:color w:val="0070C0"/>
          <w:lang w:val="en-GB"/>
        </w:rPr>
      </w:pPr>
      <w:r w:rsidRPr="00731EC6">
        <w:rPr>
          <w:color w:val="0070C0"/>
          <w:lang w:val="en-GB"/>
        </w:rPr>
        <w:t xml:space="preserve">The introduction in CRR3 Article 182(1) of a zero floor for observed CCFs is inconsistent with the Basel Accord’s original design principle, which applies an effective </w:t>
      </w:r>
      <w:r w:rsidRPr="00400E1B">
        <w:rPr>
          <w:i/>
          <w:iCs/>
          <w:color w:val="0070C0"/>
          <w:lang w:val="en-GB"/>
        </w:rPr>
        <w:t>output</w:t>
      </w:r>
      <w:r w:rsidRPr="00731EC6">
        <w:rPr>
          <w:color w:val="0070C0"/>
          <w:lang w:val="en-GB"/>
        </w:rPr>
        <w:t xml:space="preserve"> floor at the level of the current drawn amount (“</w:t>
      </w:r>
      <w:r w:rsidRPr="009905A1">
        <w:rPr>
          <w:i/>
          <w:iCs/>
          <w:color w:val="0070C0"/>
          <w:lang w:val="en-GB"/>
        </w:rPr>
        <w:t>EAD at no less than the current drawn amount</w:t>
      </w:r>
      <w:r w:rsidRPr="00731EC6">
        <w:rPr>
          <w:color w:val="0070C0"/>
          <w:lang w:val="en-GB"/>
        </w:rPr>
        <w:t xml:space="preserve">”). </w:t>
      </w:r>
    </w:p>
    <w:p w14:paraId="525EF5B9" w14:textId="5FAF5F18" w:rsidR="00400E1B" w:rsidRDefault="00400E1B" w:rsidP="00731EC6">
      <w:pPr>
        <w:pStyle w:val="BodyText"/>
        <w:numPr>
          <w:ilvl w:val="0"/>
          <w:numId w:val="28"/>
        </w:numPr>
        <w:jc w:val="both"/>
        <w:rPr>
          <w:color w:val="0070C0"/>
          <w:lang w:val="en-GB"/>
        </w:rPr>
      </w:pPr>
      <w:r>
        <w:rPr>
          <w:color w:val="0070C0"/>
          <w:lang w:val="en-GB"/>
        </w:rPr>
        <w:t xml:space="preserve">This change in CRR3 </w:t>
      </w:r>
      <w:r w:rsidR="00731EC6" w:rsidRPr="00731EC6">
        <w:rPr>
          <w:color w:val="0070C0"/>
          <w:lang w:val="en-GB"/>
        </w:rPr>
        <w:t>shift</w:t>
      </w:r>
      <w:r>
        <w:rPr>
          <w:color w:val="0070C0"/>
          <w:lang w:val="en-GB"/>
        </w:rPr>
        <w:t>s</w:t>
      </w:r>
      <w:r w:rsidR="00731EC6" w:rsidRPr="00731EC6">
        <w:rPr>
          <w:color w:val="0070C0"/>
          <w:lang w:val="en-GB"/>
        </w:rPr>
        <w:t xml:space="preserve"> th</w:t>
      </w:r>
      <w:r>
        <w:rPr>
          <w:color w:val="0070C0"/>
          <w:lang w:val="en-GB"/>
        </w:rPr>
        <w:t>e</w:t>
      </w:r>
      <w:r w:rsidR="00731EC6" w:rsidRPr="00731EC6">
        <w:rPr>
          <w:color w:val="0070C0"/>
          <w:lang w:val="en-GB"/>
        </w:rPr>
        <w:t xml:space="preserve"> </w:t>
      </w:r>
      <w:r w:rsidR="00731EC6" w:rsidRPr="00400E1B">
        <w:rPr>
          <w:i/>
          <w:iCs/>
          <w:color w:val="0070C0"/>
          <w:lang w:val="en-GB"/>
        </w:rPr>
        <w:t>output</w:t>
      </w:r>
      <w:r w:rsidR="00731EC6" w:rsidRPr="00400E1B">
        <w:rPr>
          <w:color w:val="0070C0"/>
          <w:lang w:val="en-GB"/>
        </w:rPr>
        <w:t xml:space="preserve"> floor</w:t>
      </w:r>
      <w:r>
        <w:rPr>
          <w:color w:val="0070C0"/>
          <w:lang w:val="en-GB"/>
        </w:rPr>
        <w:t xml:space="preserve"> (</w:t>
      </w:r>
      <w:r w:rsidRPr="00400E1B">
        <w:rPr>
          <w:i/>
          <w:iCs/>
          <w:color w:val="0070C0"/>
          <w:lang w:val="en-GB"/>
        </w:rPr>
        <w:t>after</w:t>
      </w:r>
      <w:r>
        <w:rPr>
          <w:color w:val="0070C0"/>
          <w:lang w:val="en-GB"/>
        </w:rPr>
        <w:t xml:space="preserve"> downturn adjustments and </w:t>
      </w:r>
      <w:proofErr w:type="spellStart"/>
      <w:r>
        <w:rPr>
          <w:color w:val="0070C0"/>
          <w:lang w:val="en-GB"/>
        </w:rPr>
        <w:t>MoC</w:t>
      </w:r>
      <w:proofErr w:type="spellEnd"/>
      <w:r>
        <w:rPr>
          <w:color w:val="0070C0"/>
          <w:lang w:val="en-GB"/>
        </w:rPr>
        <w:t>)</w:t>
      </w:r>
      <w:r w:rsidR="00731EC6" w:rsidRPr="00731EC6">
        <w:rPr>
          <w:color w:val="0070C0"/>
          <w:lang w:val="en-GB"/>
        </w:rPr>
        <w:t xml:space="preserve"> to an </w:t>
      </w:r>
      <w:r w:rsidR="00731EC6" w:rsidRPr="00400E1B">
        <w:rPr>
          <w:i/>
          <w:iCs/>
          <w:color w:val="0070C0"/>
          <w:lang w:val="en-GB"/>
        </w:rPr>
        <w:t xml:space="preserve">input </w:t>
      </w:r>
      <w:r w:rsidR="00731EC6" w:rsidRPr="00400E1B">
        <w:rPr>
          <w:color w:val="0070C0"/>
          <w:lang w:val="en-GB"/>
        </w:rPr>
        <w:t>floor</w:t>
      </w:r>
      <w:r>
        <w:rPr>
          <w:color w:val="0070C0"/>
          <w:lang w:val="en-GB"/>
        </w:rPr>
        <w:t xml:space="preserve"> (</w:t>
      </w:r>
      <w:r w:rsidRPr="00400E1B">
        <w:rPr>
          <w:i/>
          <w:iCs/>
          <w:color w:val="0070C0"/>
          <w:lang w:val="en-GB"/>
        </w:rPr>
        <w:t>before</w:t>
      </w:r>
      <w:r>
        <w:rPr>
          <w:color w:val="0070C0"/>
          <w:lang w:val="en-GB"/>
        </w:rPr>
        <w:t xml:space="preserve"> downturn adjustments and </w:t>
      </w:r>
      <w:proofErr w:type="spellStart"/>
      <w:r>
        <w:rPr>
          <w:color w:val="0070C0"/>
          <w:lang w:val="en-GB"/>
        </w:rPr>
        <w:t>MoC</w:t>
      </w:r>
      <w:proofErr w:type="spellEnd"/>
      <w:r>
        <w:rPr>
          <w:color w:val="0070C0"/>
          <w:lang w:val="en-GB"/>
        </w:rPr>
        <w:t>)</w:t>
      </w:r>
      <w:r w:rsidRPr="00400E1B">
        <w:rPr>
          <w:color w:val="0070C0"/>
          <w:lang w:val="en-GB"/>
        </w:rPr>
        <w:t>.</w:t>
      </w:r>
    </w:p>
    <w:p w14:paraId="38D95736" w14:textId="1CB9DFC9" w:rsidR="00731EC6" w:rsidRDefault="00400E1B" w:rsidP="00731EC6">
      <w:pPr>
        <w:pStyle w:val="BodyText"/>
        <w:numPr>
          <w:ilvl w:val="0"/>
          <w:numId w:val="28"/>
        </w:numPr>
        <w:jc w:val="both"/>
        <w:rPr>
          <w:color w:val="0070C0"/>
          <w:lang w:val="en-GB"/>
        </w:rPr>
      </w:pPr>
      <w:r>
        <w:rPr>
          <w:color w:val="0070C0"/>
          <w:lang w:val="en-GB"/>
        </w:rPr>
        <w:t xml:space="preserve">This </w:t>
      </w:r>
      <w:r w:rsidR="00731EC6" w:rsidRPr="00731EC6">
        <w:rPr>
          <w:color w:val="0070C0"/>
          <w:lang w:val="en-GB"/>
        </w:rPr>
        <w:t>introduces additional conservatism</w:t>
      </w:r>
      <w:r>
        <w:rPr>
          <w:color w:val="0070C0"/>
          <w:lang w:val="en-GB"/>
        </w:rPr>
        <w:t xml:space="preserve"> in the </w:t>
      </w:r>
      <w:r w:rsidRPr="00734B8E">
        <w:rPr>
          <w:i/>
          <w:iCs/>
          <w:color w:val="0070C0"/>
          <w:lang w:val="en-GB"/>
        </w:rPr>
        <w:t>estimated EAD</w:t>
      </w:r>
      <w:r>
        <w:rPr>
          <w:color w:val="0070C0"/>
          <w:lang w:val="en-GB"/>
        </w:rPr>
        <w:t xml:space="preserve"> compared to the</w:t>
      </w:r>
      <w:r w:rsidR="00734B8E">
        <w:rPr>
          <w:color w:val="0070C0"/>
          <w:lang w:val="en-GB"/>
        </w:rPr>
        <w:t xml:space="preserve"> estimated EAD under the</w:t>
      </w:r>
      <w:r>
        <w:rPr>
          <w:color w:val="0070C0"/>
          <w:lang w:val="en-GB"/>
        </w:rPr>
        <w:t xml:space="preserve"> original Basel design principle. This</w:t>
      </w:r>
      <w:r w:rsidR="00731EC6" w:rsidRPr="00731EC6">
        <w:rPr>
          <w:color w:val="0070C0"/>
          <w:lang w:val="en-GB"/>
        </w:rPr>
        <w:t xml:space="preserve"> reduces risk sensitivity, undermines product</w:t>
      </w:r>
      <w:r w:rsidR="00731EC6" w:rsidRPr="00731EC6">
        <w:rPr>
          <w:rFonts w:ascii="Cambria Math" w:hAnsi="Cambria Math" w:cs="Cambria Math"/>
          <w:color w:val="0070C0"/>
          <w:lang w:val="en-GB"/>
        </w:rPr>
        <w:t>‑</w:t>
      </w:r>
      <w:r w:rsidR="00731EC6" w:rsidRPr="00731EC6">
        <w:rPr>
          <w:color w:val="0070C0"/>
          <w:lang w:val="en-GB"/>
        </w:rPr>
        <w:t xml:space="preserve">specific differentiation, and results in estimates that are no longer suitable as true best estimates, thereby weakening the Use Test. </w:t>
      </w:r>
    </w:p>
    <w:p w14:paraId="02FC5155" w14:textId="514AC43B" w:rsidR="00C93B8B" w:rsidRPr="009905A1" w:rsidRDefault="00731EC6" w:rsidP="009905A1">
      <w:pPr>
        <w:pStyle w:val="BodyText"/>
        <w:numPr>
          <w:ilvl w:val="0"/>
          <w:numId w:val="28"/>
        </w:numPr>
        <w:jc w:val="both"/>
        <w:rPr>
          <w:color w:val="0070C0"/>
          <w:lang w:val="en-GB"/>
        </w:rPr>
      </w:pPr>
      <w:r w:rsidRPr="00731EC6">
        <w:rPr>
          <w:color w:val="0070C0"/>
          <w:lang w:val="en-GB"/>
        </w:rPr>
        <w:t xml:space="preserve">We therefore </w:t>
      </w:r>
      <w:r w:rsidR="001D5F0A">
        <w:rPr>
          <w:color w:val="0070C0"/>
          <w:lang w:val="en-GB"/>
        </w:rPr>
        <w:t xml:space="preserve">propose </w:t>
      </w:r>
      <w:r w:rsidRPr="00731EC6">
        <w:rPr>
          <w:color w:val="0070C0"/>
          <w:lang w:val="en-GB"/>
        </w:rPr>
        <w:t>clarifying at Level 2/3 how input floors should interact with the best</w:t>
      </w:r>
      <w:r w:rsidRPr="00731EC6">
        <w:rPr>
          <w:rFonts w:ascii="Cambria Math" w:hAnsi="Cambria Math" w:cs="Cambria Math"/>
          <w:color w:val="0070C0"/>
          <w:lang w:val="en-GB"/>
        </w:rPr>
        <w:t>‑</w:t>
      </w:r>
      <w:r w:rsidRPr="00731EC6">
        <w:rPr>
          <w:color w:val="0070C0"/>
          <w:lang w:val="en-GB"/>
        </w:rPr>
        <w:t>estimate principle to preserve risk</w:t>
      </w:r>
      <w:r w:rsidRPr="00731EC6">
        <w:rPr>
          <w:rFonts w:ascii="Cambria Math" w:hAnsi="Cambria Math" w:cs="Cambria Math"/>
          <w:color w:val="0070C0"/>
          <w:lang w:val="en-GB"/>
        </w:rPr>
        <w:t>‑</w:t>
      </w:r>
      <w:r w:rsidRPr="00731EC6">
        <w:rPr>
          <w:color w:val="0070C0"/>
          <w:lang w:val="en-GB"/>
        </w:rPr>
        <w:t>management usability</w:t>
      </w:r>
      <w:r w:rsidR="001D5F0A">
        <w:rPr>
          <w:color w:val="0070C0"/>
          <w:lang w:val="en-GB"/>
        </w:rPr>
        <w:t>, and ultimately to</w:t>
      </w:r>
      <w:r w:rsidR="001D5F0A" w:rsidRPr="00731EC6">
        <w:rPr>
          <w:color w:val="0070C0"/>
          <w:lang w:val="en-GB"/>
        </w:rPr>
        <w:t xml:space="preserve"> realign th</w:t>
      </w:r>
      <w:r w:rsidR="001D5F0A">
        <w:rPr>
          <w:color w:val="0070C0"/>
          <w:lang w:val="en-GB"/>
        </w:rPr>
        <w:t>is</w:t>
      </w:r>
      <w:r w:rsidR="001D5F0A" w:rsidRPr="00731EC6">
        <w:rPr>
          <w:color w:val="0070C0"/>
          <w:lang w:val="en-GB"/>
        </w:rPr>
        <w:t xml:space="preserve"> Level 1 requirement with the Basel framework</w:t>
      </w:r>
      <w:r w:rsidR="001D5F0A">
        <w:rPr>
          <w:color w:val="0070C0"/>
          <w:lang w:val="en-GB"/>
        </w:rPr>
        <w:t>.</w:t>
      </w:r>
    </w:p>
    <w:p w14:paraId="2F3ABD2D" w14:textId="0210ACAD" w:rsidR="00E01AB2" w:rsidRDefault="00E01AB2" w:rsidP="009905A1">
      <w:pPr>
        <w:pStyle w:val="BodyText"/>
        <w:ind w:left="143"/>
        <w:jc w:val="both"/>
        <w:rPr>
          <w:color w:val="0070C0"/>
          <w:lang w:val="en-GB"/>
        </w:rPr>
      </w:pPr>
      <w:r w:rsidRPr="00F73BFB">
        <w:rPr>
          <w:color w:val="0070C0"/>
          <w:lang w:val="en-GB"/>
        </w:rPr>
        <w:t>]</w:t>
      </w:r>
    </w:p>
    <w:p w14:paraId="760B6CCA" w14:textId="77777777" w:rsidR="009905A1" w:rsidRDefault="009905A1" w:rsidP="009905A1">
      <w:pPr>
        <w:pStyle w:val="BodyText"/>
        <w:ind w:left="143"/>
        <w:jc w:val="both"/>
        <w:rPr>
          <w:color w:val="0070C0"/>
          <w:lang w:val="en-GB"/>
        </w:rPr>
      </w:pPr>
    </w:p>
    <w:p w14:paraId="163D9B25" w14:textId="3C5C6759" w:rsidR="009905A1" w:rsidRPr="009905A1" w:rsidRDefault="009905A1" w:rsidP="009905A1">
      <w:pPr>
        <w:pStyle w:val="BodyText"/>
        <w:ind w:left="143"/>
        <w:jc w:val="both"/>
        <w:rPr>
          <w:color w:val="0070C0"/>
          <w:lang w:val="en-GB"/>
        </w:rPr>
      </w:pPr>
      <w:r>
        <w:rPr>
          <w:color w:val="0070C0"/>
          <w:lang w:val="en-GB"/>
        </w:rPr>
        <w:t>__</w:t>
      </w:r>
    </w:p>
    <w:sectPr w:rsidR="009905A1" w:rsidRPr="009905A1">
      <w:headerReference w:type="even" r:id="rId13"/>
      <w:headerReference w:type="default" r:id="rId14"/>
      <w:footerReference w:type="even" r:id="rId15"/>
      <w:footerReference w:type="default" r:id="rId16"/>
      <w:headerReference w:type="first" r:id="rId17"/>
      <w:footerReference w:type="first" r:id="rId18"/>
      <w:pgSz w:w="11900" w:h="16850"/>
      <w:pgMar w:top="1400" w:right="1275" w:bottom="920" w:left="1559" w:header="764" w:footer="7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21BF" w14:textId="77777777" w:rsidR="00251714" w:rsidRPr="00F73BFB" w:rsidRDefault="00251714">
      <w:r w:rsidRPr="00F73BFB">
        <w:separator/>
      </w:r>
    </w:p>
  </w:endnote>
  <w:endnote w:type="continuationSeparator" w:id="0">
    <w:p w14:paraId="5591227F" w14:textId="77777777" w:rsidR="00251714" w:rsidRPr="00F73BFB" w:rsidRDefault="00251714">
      <w:r w:rsidRPr="00F73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8AE7" w14:textId="77777777" w:rsidR="00834BCF" w:rsidRPr="00F73BFB" w:rsidRDefault="00834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74AE" w14:textId="77777777" w:rsidR="00017515" w:rsidRPr="00F73BFB" w:rsidRDefault="00A567F8">
    <w:pPr>
      <w:pStyle w:val="BodyText"/>
      <w:spacing w:line="14" w:lineRule="auto"/>
      <w:rPr>
        <w:sz w:val="20"/>
        <w:lang w:val="en-GB"/>
      </w:rPr>
    </w:pPr>
    <w:r w:rsidRPr="00F73BFB">
      <w:rPr>
        <w:noProof/>
        <w:sz w:val="20"/>
        <w:lang w:val="en-GB"/>
      </w:rPr>
      <mc:AlternateContent>
        <mc:Choice Requires="wps">
          <w:drawing>
            <wp:anchor distT="0" distB="0" distL="0" distR="0" simplePos="0" relativeHeight="251658241" behindDoc="1" locked="0" layoutInCell="1" allowOverlap="1" wp14:anchorId="24AA7EC3" wp14:editId="3BCDC5CC">
              <wp:simplePos x="0" y="0"/>
              <wp:positionH relativeFrom="page">
                <wp:posOffset>6476746</wp:posOffset>
              </wp:positionH>
              <wp:positionV relativeFrom="page">
                <wp:posOffset>10089895</wp:posOffset>
              </wp:positionV>
              <wp:extent cx="232410" cy="16573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4C6A112" w14:textId="77777777" w:rsidR="00017515" w:rsidRPr="00F73BFB" w:rsidRDefault="00A567F8">
                          <w:pPr>
                            <w:pStyle w:val="BodyText"/>
                            <w:spacing w:line="245" w:lineRule="exact"/>
                            <w:ind w:left="60"/>
                            <w:rPr>
                              <w:lang w:val="en-GB"/>
                            </w:rPr>
                          </w:pPr>
                          <w:r w:rsidRPr="00F73BFB">
                            <w:rPr>
                              <w:spacing w:val="-5"/>
                              <w:lang w:val="en-GB"/>
                            </w:rPr>
                            <w:fldChar w:fldCharType="begin"/>
                          </w:r>
                          <w:r w:rsidRPr="00F73BFB">
                            <w:rPr>
                              <w:spacing w:val="-5"/>
                              <w:lang w:val="en-GB"/>
                            </w:rPr>
                            <w:instrText xml:space="preserve"> PAGE </w:instrText>
                          </w:r>
                          <w:r w:rsidRPr="00F73BFB">
                            <w:rPr>
                              <w:spacing w:val="-5"/>
                              <w:lang w:val="en-GB"/>
                            </w:rPr>
                            <w:fldChar w:fldCharType="separate"/>
                          </w:r>
                          <w:r w:rsidRPr="00F73BFB">
                            <w:rPr>
                              <w:spacing w:val="-5"/>
                              <w:lang w:val="en-GB"/>
                            </w:rPr>
                            <w:t>29</w:t>
                          </w:r>
                          <w:r w:rsidRPr="00F73BFB">
                            <w:rPr>
                              <w:spacing w:val="-5"/>
                              <w:lang w:val="en-GB"/>
                            </w:rPr>
                            <w:fldChar w:fldCharType="end"/>
                          </w:r>
                        </w:p>
                      </w:txbxContent>
                    </wps:txbx>
                    <wps:bodyPr wrap="square" lIns="0" tIns="0" rIns="0" bIns="0" rtlCol="0">
                      <a:noAutofit/>
                    </wps:bodyPr>
                  </wps:wsp>
                </a:graphicData>
              </a:graphic>
            </wp:anchor>
          </w:drawing>
        </mc:Choice>
        <mc:Fallback>
          <w:pict>
            <v:shapetype w14:anchorId="24AA7EC3" id="_x0000_t202" coordsize="21600,21600" o:spt="202" path="m,l,21600r21600,l21600,xe">
              <v:stroke joinstyle="miter"/>
              <v:path gradientshapeok="t" o:connecttype="rect"/>
            </v:shapetype>
            <v:shape id="Textbox 183" o:spid="_x0000_s1026" type="#_x0000_t202" style="position:absolute;margin-left:510pt;margin-top:794.5pt;width:18.3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" filled="f" stroked="f">
              <v:textbox inset="0,0,0,0">
                <w:txbxContent>
                  <w:p w14:paraId="64C6A112" w14:textId="77777777" w:rsidR="00017515" w:rsidRPr="00F73BFB" w:rsidRDefault="00A567F8">
                    <w:pPr>
                      <w:pStyle w:val="BodyText"/>
                      <w:spacing w:line="245" w:lineRule="exact"/>
                      <w:ind w:left="60"/>
                      <w:rPr>
                        <w:lang w:val="en-GB"/>
                      </w:rPr>
                    </w:pPr>
                    <w:r w:rsidRPr="00F73BFB">
                      <w:rPr>
                        <w:spacing w:val="-5"/>
                        <w:lang w:val="en-GB"/>
                      </w:rPr>
                      <w:fldChar w:fldCharType="begin"/>
                    </w:r>
                    <w:r w:rsidRPr="00F73BFB">
                      <w:rPr>
                        <w:spacing w:val="-5"/>
                        <w:lang w:val="en-GB"/>
                      </w:rPr>
                      <w:instrText xml:space="preserve"> PAGE </w:instrText>
                    </w:r>
                    <w:r w:rsidRPr="00F73BFB">
                      <w:rPr>
                        <w:spacing w:val="-5"/>
                        <w:lang w:val="en-GB"/>
                      </w:rPr>
                      <w:fldChar w:fldCharType="separate"/>
                    </w:r>
                    <w:r w:rsidRPr="00F73BFB">
                      <w:rPr>
                        <w:spacing w:val="-5"/>
                        <w:lang w:val="en-GB"/>
                      </w:rPr>
                      <w:t>29</w:t>
                    </w:r>
                    <w:r w:rsidRPr="00F73BFB">
                      <w:rPr>
                        <w:spacing w:val="-5"/>
                        <w:lang w:val="en-GB"/>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7457" w14:textId="77777777" w:rsidR="00834BCF" w:rsidRPr="00F73BFB" w:rsidRDefault="00834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925D" w14:textId="77777777" w:rsidR="00251714" w:rsidRPr="00F73BFB" w:rsidRDefault="00251714">
      <w:r w:rsidRPr="00F73BFB">
        <w:separator/>
      </w:r>
    </w:p>
  </w:footnote>
  <w:footnote w:type="continuationSeparator" w:id="0">
    <w:p w14:paraId="7F466D82" w14:textId="77777777" w:rsidR="00251714" w:rsidRPr="00F73BFB" w:rsidRDefault="00251714">
      <w:r w:rsidRPr="00F73B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70E3" w14:textId="77777777" w:rsidR="00834BCF" w:rsidRPr="00F73BFB" w:rsidRDefault="00834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AEB1" w14:textId="126AFCCD" w:rsidR="00017515" w:rsidRPr="00F73BFB" w:rsidRDefault="00A567F8">
    <w:pPr>
      <w:pStyle w:val="BodyText"/>
      <w:spacing w:line="14" w:lineRule="auto"/>
      <w:rPr>
        <w:sz w:val="20"/>
        <w:lang w:val="en-GB"/>
      </w:rPr>
    </w:pPr>
    <w:r w:rsidRPr="00F73BFB">
      <w:rPr>
        <w:noProof/>
        <w:sz w:val="20"/>
        <w:lang w:val="en-GB"/>
      </w:rPr>
      <w:drawing>
        <wp:anchor distT="0" distB="0" distL="0" distR="0" simplePos="0" relativeHeight="251658240" behindDoc="1" locked="0" layoutInCell="1" allowOverlap="1" wp14:anchorId="4671FE7E" wp14:editId="1E3CFC5F">
          <wp:simplePos x="0" y="0"/>
          <wp:positionH relativeFrom="page">
            <wp:posOffset>5434965</wp:posOffset>
          </wp:positionH>
          <wp:positionV relativeFrom="page">
            <wp:posOffset>485139</wp:posOffset>
          </wp:positionV>
          <wp:extent cx="1207769" cy="412750"/>
          <wp:effectExtent l="0" t="0" r="0" b="0"/>
          <wp:wrapNone/>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1" cstate="print"/>
                  <a:stretch>
                    <a:fillRect/>
                  </a:stretch>
                </pic:blipFill>
                <pic:spPr>
                  <a:xfrm>
                    <a:off x="0" y="0"/>
                    <a:ext cx="1207769" cy="4127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2126" w14:textId="77777777" w:rsidR="00834BCF" w:rsidRPr="00F73BFB" w:rsidRDefault="0083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A28"/>
    <w:multiLevelType w:val="hybridMultilevel"/>
    <w:tmpl w:val="439AD9C8"/>
    <w:lvl w:ilvl="0" w:tplc="04130001">
      <w:start w:val="1"/>
      <w:numFmt w:val="bullet"/>
      <w:lvlText w:val=""/>
      <w:lvlJc w:val="left"/>
      <w:pPr>
        <w:ind w:left="1943" w:hanging="360"/>
      </w:pPr>
      <w:rPr>
        <w:rFonts w:ascii="Symbol" w:hAnsi="Symbol" w:hint="default"/>
      </w:rPr>
    </w:lvl>
    <w:lvl w:ilvl="1" w:tplc="04130003" w:tentative="1">
      <w:start w:val="1"/>
      <w:numFmt w:val="bullet"/>
      <w:lvlText w:val="o"/>
      <w:lvlJc w:val="left"/>
      <w:pPr>
        <w:ind w:left="2663" w:hanging="360"/>
      </w:pPr>
      <w:rPr>
        <w:rFonts w:ascii="Courier New" w:hAnsi="Courier New" w:cs="Courier New" w:hint="default"/>
      </w:rPr>
    </w:lvl>
    <w:lvl w:ilvl="2" w:tplc="04130005" w:tentative="1">
      <w:start w:val="1"/>
      <w:numFmt w:val="bullet"/>
      <w:lvlText w:val=""/>
      <w:lvlJc w:val="left"/>
      <w:pPr>
        <w:ind w:left="3383" w:hanging="360"/>
      </w:pPr>
      <w:rPr>
        <w:rFonts w:ascii="Wingdings" w:hAnsi="Wingdings" w:hint="default"/>
      </w:rPr>
    </w:lvl>
    <w:lvl w:ilvl="3" w:tplc="04130001" w:tentative="1">
      <w:start w:val="1"/>
      <w:numFmt w:val="bullet"/>
      <w:lvlText w:val=""/>
      <w:lvlJc w:val="left"/>
      <w:pPr>
        <w:ind w:left="4103" w:hanging="360"/>
      </w:pPr>
      <w:rPr>
        <w:rFonts w:ascii="Symbol" w:hAnsi="Symbol" w:hint="default"/>
      </w:rPr>
    </w:lvl>
    <w:lvl w:ilvl="4" w:tplc="04130003" w:tentative="1">
      <w:start w:val="1"/>
      <w:numFmt w:val="bullet"/>
      <w:lvlText w:val="o"/>
      <w:lvlJc w:val="left"/>
      <w:pPr>
        <w:ind w:left="4823" w:hanging="360"/>
      </w:pPr>
      <w:rPr>
        <w:rFonts w:ascii="Courier New" w:hAnsi="Courier New" w:cs="Courier New" w:hint="default"/>
      </w:rPr>
    </w:lvl>
    <w:lvl w:ilvl="5" w:tplc="04130005" w:tentative="1">
      <w:start w:val="1"/>
      <w:numFmt w:val="bullet"/>
      <w:lvlText w:val=""/>
      <w:lvlJc w:val="left"/>
      <w:pPr>
        <w:ind w:left="5543" w:hanging="360"/>
      </w:pPr>
      <w:rPr>
        <w:rFonts w:ascii="Wingdings" w:hAnsi="Wingdings" w:hint="default"/>
      </w:rPr>
    </w:lvl>
    <w:lvl w:ilvl="6" w:tplc="04130001" w:tentative="1">
      <w:start w:val="1"/>
      <w:numFmt w:val="bullet"/>
      <w:lvlText w:val=""/>
      <w:lvlJc w:val="left"/>
      <w:pPr>
        <w:ind w:left="6263" w:hanging="360"/>
      </w:pPr>
      <w:rPr>
        <w:rFonts w:ascii="Symbol" w:hAnsi="Symbol" w:hint="default"/>
      </w:rPr>
    </w:lvl>
    <w:lvl w:ilvl="7" w:tplc="04130003" w:tentative="1">
      <w:start w:val="1"/>
      <w:numFmt w:val="bullet"/>
      <w:lvlText w:val="o"/>
      <w:lvlJc w:val="left"/>
      <w:pPr>
        <w:ind w:left="6983" w:hanging="360"/>
      </w:pPr>
      <w:rPr>
        <w:rFonts w:ascii="Courier New" w:hAnsi="Courier New" w:cs="Courier New" w:hint="default"/>
      </w:rPr>
    </w:lvl>
    <w:lvl w:ilvl="8" w:tplc="04130005" w:tentative="1">
      <w:start w:val="1"/>
      <w:numFmt w:val="bullet"/>
      <w:lvlText w:val=""/>
      <w:lvlJc w:val="left"/>
      <w:pPr>
        <w:ind w:left="7703" w:hanging="360"/>
      </w:pPr>
      <w:rPr>
        <w:rFonts w:ascii="Wingdings" w:hAnsi="Wingdings" w:hint="default"/>
      </w:rPr>
    </w:lvl>
  </w:abstractNum>
  <w:abstractNum w:abstractNumId="1" w15:restartNumberingAfterBreak="0">
    <w:nsid w:val="04B25CB7"/>
    <w:multiLevelType w:val="hybridMultilevel"/>
    <w:tmpl w:val="0A920012"/>
    <w:lvl w:ilvl="0" w:tplc="04130001">
      <w:start w:val="1"/>
      <w:numFmt w:val="bullet"/>
      <w:lvlText w:val=""/>
      <w:lvlJc w:val="left"/>
      <w:pPr>
        <w:ind w:left="1223" w:hanging="360"/>
      </w:pPr>
      <w:rPr>
        <w:rFonts w:ascii="Symbol" w:hAnsi="Symbol" w:hint="default"/>
      </w:rPr>
    </w:lvl>
    <w:lvl w:ilvl="1" w:tplc="04130001">
      <w:start w:val="1"/>
      <w:numFmt w:val="bullet"/>
      <w:lvlText w:val=""/>
      <w:lvlJc w:val="left"/>
      <w:pPr>
        <w:ind w:left="1943" w:hanging="360"/>
      </w:pPr>
      <w:rPr>
        <w:rFonts w:ascii="Symbol" w:hAnsi="Symbol" w:hint="default"/>
      </w:rPr>
    </w:lvl>
    <w:lvl w:ilvl="2" w:tplc="04130001">
      <w:start w:val="1"/>
      <w:numFmt w:val="bullet"/>
      <w:lvlText w:val=""/>
      <w:lvlJc w:val="left"/>
      <w:pPr>
        <w:ind w:left="1943" w:hanging="360"/>
      </w:pPr>
      <w:rPr>
        <w:rFonts w:ascii="Symbol" w:hAnsi="Symbol" w:hint="default"/>
      </w:rPr>
    </w:lvl>
    <w:lvl w:ilvl="3" w:tplc="0413000F" w:tentative="1">
      <w:start w:val="1"/>
      <w:numFmt w:val="decimal"/>
      <w:lvlText w:val="%4."/>
      <w:lvlJc w:val="left"/>
      <w:pPr>
        <w:ind w:left="3383" w:hanging="360"/>
      </w:pPr>
    </w:lvl>
    <w:lvl w:ilvl="4" w:tplc="04130019" w:tentative="1">
      <w:start w:val="1"/>
      <w:numFmt w:val="lowerLetter"/>
      <w:lvlText w:val="%5."/>
      <w:lvlJc w:val="left"/>
      <w:pPr>
        <w:ind w:left="4103" w:hanging="360"/>
      </w:pPr>
    </w:lvl>
    <w:lvl w:ilvl="5" w:tplc="0413001B" w:tentative="1">
      <w:start w:val="1"/>
      <w:numFmt w:val="lowerRoman"/>
      <w:lvlText w:val="%6."/>
      <w:lvlJc w:val="right"/>
      <w:pPr>
        <w:ind w:left="4823" w:hanging="180"/>
      </w:pPr>
    </w:lvl>
    <w:lvl w:ilvl="6" w:tplc="0413000F" w:tentative="1">
      <w:start w:val="1"/>
      <w:numFmt w:val="decimal"/>
      <w:lvlText w:val="%7."/>
      <w:lvlJc w:val="left"/>
      <w:pPr>
        <w:ind w:left="5543" w:hanging="360"/>
      </w:pPr>
    </w:lvl>
    <w:lvl w:ilvl="7" w:tplc="04130019" w:tentative="1">
      <w:start w:val="1"/>
      <w:numFmt w:val="lowerLetter"/>
      <w:lvlText w:val="%8."/>
      <w:lvlJc w:val="left"/>
      <w:pPr>
        <w:ind w:left="6263" w:hanging="360"/>
      </w:pPr>
    </w:lvl>
    <w:lvl w:ilvl="8" w:tplc="0413001B" w:tentative="1">
      <w:start w:val="1"/>
      <w:numFmt w:val="lowerRoman"/>
      <w:lvlText w:val="%9."/>
      <w:lvlJc w:val="right"/>
      <w:pPr>
        <w:ind w:left="6983" w:hanging="180"/>
      </w:pPr>
    </w:lvl>
  </w:abstractNum>
  <w:abstractNum w:abstractNumId="2" w15:restartNumberingAfterBreak="0">
    <w:nsid w:val="10BD4C47"/>
    <w:multiLevelType w:val="hybridMultilevel"/>
    <w:tmpl w:val="E53A6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505928"/>
    <w:multiLevelType w:val="hybridMultilevel"/>
    <w:tmpl w:val="3F981562"/>
    <w:lvl w:ilvl="0" w:tplc="04130001">
      <w:start w:val="1"/>
      <w:numFmt w:val="bullet"/>
      <w:lvlText w:val=""/>
      <w:lvlJc w:val="left"/>
      <w:pPr>
        <w:ind w:left="1223" w:hanging="360"/>
      </w:pPr>
      <w:rPr>
        <w:rFonts w:ascii="Symbol" w:hAnsi="Symbol" w:hint="default"/>
      </w:rPr>
    </w:lvl>
    <w:lvl w:ilvl="1" w:tplc="04130003" w:tentative="1">
      <w:start w:val="1"/>
      <w:numFmt w:val="bullet"/>
      <w:lvlText w:val="o"/>
      <w:lvlJc w:val="left"/>
      <w:pPr>
        <w:ind w:left="1943" w:hanging="360"/>
      </w:pPr>
      <w:rPr>
        <w:rFonts w:ascii="Courier New" w:hAnsi="Courier New" w:cs="Courier New" w:hint="default"/>
      </w:rPr>
    </w:lvl>
    <w:lvl w:ilvl="2" w:tplc="04130005" w:tentative="1">
      <w:start w:val="1"/>
      <w:numFmt w:val="bullet"/>
      <w:lvlText w:val=""/>
      <w:lvlJc w:val="left"/>
      <w:pPr>
        <w:ind w:left="2663" w:hanging="360"/>
      </w:pPr>
      <w:rPr>
        <w:rFonts w:ascii="Wingdings" w:hAnsi="Wingdings" w:hint="default"/>
      </w:rPr>
    </w:lvl>
    <w:lvl w:ilvl="3" w:tplc="04130001" w:tentative="1">
      <w:start w:val="1"/>
      <w:numFmt w:val="bullet"/>
      <w:lvlText w:val=""/>
      <w:lvlJc w:val="left"/>
      <w:pPr>
        <w:ind w:left="3383" w:hanging="360"/>
      </w:pPr>
      <w:rPr>
        <w:rFonts w:ascii="Symbol" w:hAnsi="Symbol" w:hint="default"/>
      </w:rPr>
    </w:lvl>
    <w:lvl w:ilvl="4" w:tplc="04130003" w:tentative="1">
      <w:start w:val="1"/>
      <w:numFmt w:val="bullet"/>
      <w:lvlText w:val="o"/>
      <w:lvlJc w:val="left"/>
      <w:pPr>
        <w:ind w:left="4103" w:hanging="360"/>
      </w:pPr>
      <w:rPr>
        <w:rFonts w:ascii="Courier New" w:hAnsi="Courier New" w:cs="Courier New" w:hint="default"/>
      </w:rPr>
    </w:lvl>
    <w:lvl w:ilvl="5" w:tplc="04130005" w:tentative="1">
      <w:start w:val="1"/>
      <w:numFmt w:val="bullet"/>
      <w:lvlText w:val=""/>
      <w:lvlJc w:val="left"/>
      <w:pPr>
        <w:ind w:left="4823" w:hanging="360"/>
      </w:pPr>
      <w:rPr>
        <w:rFonts w:ascii="Wingdings" w:hAnsi="Wingdings" w:hint="default"/>
      </w:rPr>
    </w:lvl>
    <w:lvl w:ilvl="6" w:tplc="04130001" w:tentative="1">
      <w:start w:val="1"/>
      <w:numFmt w:val="bullet"/>
      <w:lvlText w:val=""/>
      <w:lvlJc w:val="left"/>
      <w:pPr>
        <w:ind w:left="5543" w:hanging="360"/>
      </w:pPr>
      <w:rPr>
        <w:rFonts w:ascii="Symbol" w:hAnsi="Symbol" w:hint="default"/>
      </w:rPr>
    </w:lvl>
    <w:lvl w:ilvl="7" w:tplc="04130003" w:tentative="1">
      <w:start w:val="1"/>
      <w:numFmt w:val="bullet"/>
      <w:lvlText w:val="o"/>
      <w:lvlJc w:val="left"/>
      <w:pPr>
        <w:ind w:left="6263" w:hanging="360"/>
      </w:pPr>
      <w:rPr>
        <w:rFonts w:ascii="Courier New" w:hAnsi="Courier New" w:cs="Courier New" w:hint="default"/>
      </w:rPr>
    </w:lvl>
    <w:lvl w:ilvl="8" w:tplc="04130005" w:tentative="1">
      <w:start w:val="1"/>
      <w:numFmt w:val="bullet"/>
      <w:lvlText w:val=""/>
      <w:lvlJc w:val="left"/>
      <w:pPr>
        <w:ind w:left="6983" w:hanging="360"/>
      </w:pPr>
      <w:rPr>
        <w:rFonts w:ascii="Wingdings" w:hAnsi="Wingdings" w:hint="default"/>
      </w:rPr>
    </w:lvl>
  </w:abstractNum>
  <w:abstractNum w:abstractNumId="4" w15:restartNumberingAfterBreak="0">
    <w:nsid w:val="14424CB1"/>
    <w:multiLevelType w:val="hybridMultilevel"/>
    <w:tmpl w:val="75B059CC"/>
    <w:lvl w:ilvl="0" w:tplc="0413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5A16850"/>
    <w:multiLevelType w:val="hybridMultilevel"/>
    <w:tmpl w:val="8FB80D08"/>
    <w:lvl w:ilvl="0" w:tplc="FFFFFFFF">
      <w:start w:val="1"/>
      <w:numFmt w:val="bullet"/>
      <w:lvlText w:val=""/>
      <w:lvlJc w:val="left"/>
      <w:pPr>
        <w:ind w:left="863" w:hanging="360"/>
      </w:pPr>
      <w:rPr>
        <w:rFonts w:ascii="Symbol" w:hAnsi="Symbol" w:hint="default"/>
      </w:rPr>
    </w:lvl>
    <w:lvl w:ilvl="1" w:tplc="0413000F">
      <w:start w:val="1"/>
      <w:numFmt w:val="decimal"/>
      <w:lvlText w:val="%2."/>
      <w:lvlJc w:val="left"/>
      <w:pPr>
        <w:ind w:left="1583" w:hanging="360"/>
      </w:pPr>
    </w:lvl>
    <w:lvl w:ilvl="2" w:tplc="FFFFFFFF" w:tentative="1">
      <w:start w:val="1"/>
      <w:numFmt w:val="bullet"/>
      <w:lvlText w:val=""/>
      <w:lvlJc w:val="left"/>
      <w:pPr>
        <w:ind w:left="2303" w:hanging="360"/>
      </w:pPr>
      <w:rPr>
        <w:rFonts w:ascii="Wingdings" w:hAnsi="Wingdings" w:hint="default"/>
      </w:rPr>
    </w:lvl>
    <w:lvl w:ilvl="3" w:tplc="FFFFFFFF" w:tentative="1">
      <w:start w:val="1"/>
      <w:numFmt w:val="bullet"/>
      <w:lvlText w:val=""/>
      <w:lvlJc w:val="left"/>
      <w:pPr>
        <w:ind w:left="3023" w:hanging="360"/>
      </w:pPr>
      <w:rPr>
        <w:rFonts w:ascii="Symbol" w:hAnsi="Symbol" w:hint="default"/>
      </w:rPr>
    </w:lvl>
    <w:lvl w:ilvl="4" w:tplc="FFFFFFFF" w:tentative="1">
      <w:start w:val="1"/>
      <w:numFmt w:val="bullet"/>
      <w:lvlText w:val="o"/>
      <w:lvlJc w:val="left"/>
      <w:pPr>
        <w:ind w:left="3743" w:hanging="360"/>
      </w:pPr>
      <w:rPr>
        <w:rFonts w:ascii="Courier New" w:hAnsi="Courier New" w:cs="Courier New" w:hint="default"/>
      </w:rPr>
    </w:lvl>
    <w:lvl w:ilvl="5" w:tplc="FFFFFFFF" w:tentative="1">
      <w:start w:val="1"/>
      <w:numFmt w:val="bullet"/>
      <w:lvlText w:val=""/>
      <w:lvlJc w:val="left"/>
      <w:pPr>
        <w:ind w:left="4463" w:hanging="360"/>
      </w:pPr>
      <w:rPr>
        <w:rFonts w:ascii="Wingdings" w:hAnsi="Wingdings" w:hint="default"/>
      </w:rPr>
    </w:lvl>
    <w:lvl w:ilvl="6" w:tplc="FFFFFFFF" w:tentative="1">
      <w:start w:val="1"/>
      <w:numFmt w:val="bullet"/>
      <w:lvlText w:val=""/>
      <w:lvlJc w:val="left"/>
      <w:pPr>
        <w:ind w:left="5183" w:hanging="360"/>
      </w:pPr>
      <w:rPr>
        <w:rFonts w:ascii="Symbol" w:hAnsi="Symbol" w:hint="default"/>
      </w:rPr>
    </w:lvl>
    <w:lvl w:ilvl="7" w:tplc="FFFFFFFF" w:tentative="1">
      <w:start w:val="1"/>
      <w:numFmt w:val="bullet"/>
      <w:lvlText w:val="o"/>
      <w:lvlJc w:val="left"/>
      <w:pPr>
        <w:ind w:left="5903" w:hanging="360"/>
      </w:pPr>
      <w:rPr>
        <w:rFonts w:ascii="Courier New" w:hAnsi="Courier New" w:cs="Courier New" w:hint="default"/>
      </w:rPr>
    </w:lvl>
    <w:lvl w:ilvl="8" w:tplc="FFFFFFFF" w:tentative="1">
      <w:start w:val="1"/>
      <w:numFmt w:val="bullet"/>
      <w:lvlText w:val=""/>
      <w:lvlJc w:val="left"/>
      <w:pPr>
        <w:ind w:left="6623" w:hanging="360"/>
      </w:pPr>
      <w:rPr>
        <w:rFonts w:ascii="Wingdings" w:hAnsi="Wingdings" w:hint="default"/>
      </w:rPr>
    </w:lvl>
  </w:abstractNum>
  <w:abstractNum w:abstractNumId="6" w15:restartNumberingAfterBreak="0">
    <w:nsid w:val="194C2861"/>
    <w:multiLevelType w:val="hybridMultilevel"/>
    <w:tmpl w:val="2D06CF3A"/>
    <w:lvl w:ilvl="0" w:tplc="04130001">
      <w:start w:val="1"/>
      <w:numFmt w:val="bullet"/>
      <w:lvlText w:val=""/>
      <w:lvlJc w:val="left"/>
      <w:pPr>
        <w:ind w:left="863" w:hanging="360"/>
      </w:pPr>
      <w:rPr>
        <w:rFonts w:ascii="Symbol" w:hAnsi="Symbol" w:hint="default"/>
      </w:rPr>
    </w:lvl>
    <w:lvl w:ilvl="1" w:tplc="04130003">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7" w15:restartNumberingAfterBreak="0">
    <w:nsid w:val="1A584A37"/>
    <w:multiLevelType w:val="hybridMultilevel"/>
    <w:tmpl w:val="C2C806B8"/>
    <w:lvl w:ilvl="0" w:tplc="04130001">
      <w:start w:val="1"/>
      <w:numFmt w:val="bullet"/>
      <w:lvlText w:val=""/>
      <w:lvlJc w:val="left"/>
      <w:pPr>
        <w:ind w:left="1223" w:hanging="360"/>
      </w:pPr>
      <w:rPr>
        <w:rFonts w:ascii="Symbol" w:hAnsi="Symbol" w:hint="default"/>
      </w:rPr>
    </w:lvl>
    <w:lvl w:ilvl="1" w:tplc="04130003" w:tentative="1">
      <w:start w:val="1"/>
      <w:numFmt w:val="bullet"/>
      <w:lvlText w:val="o"/>
      <w:lvlJc w:val="left"/>
      <w:pPr>
        <w:ind w:left="1943" w:hanging="360"/>
      </w:pPr>
      <w:rPr>
        <w:rFonts w:ascii="Courier New" w:hAnsi="Courier New" w:cs="Courier New" w:hint="default"/>
      </w:rPr>
    </w:lvl>
    <w:lvl w:ilvl="2" w:tplc="04130005" w:tentative="1">
      <w:start w:val="1"/>
      <w:numFmt w:val="bullet"/>
      <w:lvlText w:val=""/>
      <w:lvlJc w:val="left"/>
      <w:pPr>
        <w:ind w:left="2663" w:hanging="360"/>
      </w:pPr>
      <w:rPr>
        <w:rFonts w:ascii="Wingdings" w:hAnsi="Wingdings" w:hint="default"/>
      </w:rPr>
    </w:lvl>
    <w:lvl w:ilvl="3" w:tplc="04130001" w:tentative="1">
      <w:start w:val="1"/>
      <w:numFmt w:val="bullet"/>
      <w:lvlText w:val=""/>
      <w:lvlJc w:val="left"/>
      <w:pPr>
        <w:ind w:left="3383" w:hanging="360"/>
      </w:pPr>
      <w:rPr>
        <w:rFonts w:ascii="Symbol" w:hAnsi="Symbol" w:hint="default"/>
      </w:rPr>
    </w:lvl>
    <w:lvl w:ilvl="4" w:tplc="04130003" w:tentative="1">
      <w:start w:val="1"/>
      <w:numFmt w:val="bullet"/>
      <w:lvlText w:val="o"/>
      <w:lvlJc w:val="left"/>
      <w:pPr>
        <w:ind w:left="4103" w:hanging="360"/>
      </w:pPr>
      <w:rPr>
        <w:rFonts w:ascii="Courier New" w:hAnsi="Courier New" w:cs="Courier New" w:hint="default"/>
      </w:rPr>
    </w:lvl>
    <w:lvl w:ilvl="5" w:tplc="04130005" w:tentative="1">
      <w:start w:val="1"/>
      <w:numFmt w:val="bullet"/>
      <w:lvlText w:val=""/>
      <w:lvlJc w:val="left"/>
      <w:pPr>
        <w:ind w:left="4823" w:hanging="360"/>
      </w:pPr>
      <w:rPr>
        <w:rFonts w:ascii="Wingdings" w:hAnsi="Wingdings" w:hint="default"/>
      </w:rPr>
    </w:lvl>
    <w:lvl w:ilvl="6" w:tplc="04130001" w:tentative="1">
      <w:start w:val="1"/>
      <w:numFmt w:val="bullet"/>
      <w:lvlText w:val=""/>
      <w:lvlJc w:val="left"/>
      <w:pPr>
        <w:ind w:left="5543" w:hanging="360"/>
      </w:pPr>
      <w:rPr>
        <w:rFonts w:ascii="Symbol" w:hAnsi="Symbol" w:hint="default"/>
      </w:rPr>
    </w:lvl>
    <w:lvl w:ilvl="7" w:tplc="04130003" w:tentative="1">
      <w:start w:val="1"/>
      <w:numFmt w:val="bullet"/>
      <w:lvlText w:val="o"/>
      <w:lvlJc w:val="left"/>
      <w:pPr>
        <w:ind w:left="6263" w:hanging="360"/>
      </w:pPr>
      <w:rPr>
        <w:rFonts w:ascii="Courier New" w:hAnsi="Courier New" w:cs="Courier New" w:hint="default"/>
      </w:rPr>
    </w:lvl>
    <w:lvl w:ilvl="8" w:tplc="04130005" w:tentative="1">
      <w:start w:val="1"/>
      <w:numFmt w:val="bullet"/>
      <w:lvlText w:val=""/>
      <w:lvlJc w:val="left"/>
      <w:pPr>
        <w:ind w:left="6983" w:hanging="360"/>
      </w:pPr>
      <w:rPr>
        <w:rFonts w:ascii="Wingdings" w:hAnsi="Wingdings" w:hint="default"/>
      </w:rPr>
    </w:lvl>
  </w:abstractNum>
  <w:abstractNum w:abstractNumId="8" w15:restartNumberingAfterBreak="0">
    <w:nsid w:val="1AB41BC5"/>
    <w:multiLevelType w:val="hybridMultilevel"/>
    <w:tmpl w:val="34B800A0"/>
    <w:lvl w:ilvl="0" w:tplc="04130001">
      <w:start w:val="1"/>
      <w:numFmt w:val="bullet"/>
      <w:lvlText w:val=""/>
      <w:lvlJc w:val="left"/>
      <w:pPr>
        <w:ind w:left="863" w:hanging="360"/>
      </w:pPr>
      <w:rPr>
        <w:rFonts w:ascii="Symbol" w:hAnsi="Symbol" w:hint="default"/>
      </w:rPr>
    </w:lvl>
    <w:lvl w:ilvl="1" w:tplc="04130003">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9" w15:restartNumberingAfterBreak="0">
    <w:nsid w:val="238A1C3B"/>
    <w:multiLevelType w:val="hybridMultilevel"/>
    <w:tmpl w:val="60F655CC"/>
    <w:lvl w:ilvl="0" w:tplc="04130003">
      <w:start w:val="1"/>
      <w:numFmt w:val="bullet"/>
      <w:lvlText w:val="o"/>
      <w:lvlJc w:val="left"/>
      <w:pPr>
        <w:ind w:left="863" w:hanging="360"/>
      </w:pPr>
      <w:rPr>
        <w:rFonts w:ascii="Courier New" w:hAnsi="Courier New" w:cs="Courier New"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10" w15:restartNumberingAfterBreak="0">
    <w:nsid w:val="24051235"/>
    <w:multiLevelType w:val="hybridMultilevel"/>
    <w:tmpl w:val="4922FB12"/>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11" w15:restartNumberingAfterBreak="0">
    <w:nsid w:val="27116ACF"/>
    <w:multiLevelType w:val="hybridMultilevel"/>
    <w:tmpl w:val="B668525C"/>
    <w:lvl w:ilvl="0" w:tplc="04130003">
      <w:start w:val="1"/>
      <w:numFmt w:val="bullet"/>
      <w:lvlText w:val="o"/>
      <w:lvlJc w:val="left"/>
      <w:pPr>
        <w:ind w:left="863" w:hanging="360"/>
      </w:pPr>
      <w:rPr>
        <w:rFonts w:ascii="Courier New" w:hAnsi="Courier New" w:cs="Courier New"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12" w15:restartNumberingAfterBreak="0">
    <w:nsid w:val="30BA7EBE"/>
    <w:multiLevelType w:val="hybridMultilevel"/>
    <w:tmpl w:val="2BD278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775681"/>
    <w:multiLevelType w:val="hybridMultilevel"/>
    <w:tmpl w:val="B3E61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F8029F"/>
    <w:multiLevelType w:val="hybridMultilevel"/>
    <w:tmpl w:val="A308093E"/>
    <w:lvl w:ilvl="0" w:tplc="04130001">
      <w:start w:val="1"/>
      <w:numFmt w:val="bullet"/>
      <w:lvlText w:val=""/>
      <w:lvlJc w:val="left"/>
      <w:pPr>
        <w:ind w:left="863" w:hanging="360"/>
      </w:pPr>
      <w:rPr>
        <w:rFonts w:ascii="Symbol" w:hAnsi="Symbol" w:hint="default"/>
      </w:rPr>
    </w:lvl>
    <w:lvl w:ilvl="1" w:tplc="04130003">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15" w15:restartNumberingAfterBreak="0">
    <w:nsid w:val="336D0737"/>
    <w:multiLevelType w:val="hybridMultilevel"/>
    <w:tmpl w:val="E42066BA"/>
    <w:lvl w:ilvl="0" w:tplc="7FCADD38">
      <w:numFmt w:val="bullet"/>
      <w:lvlText w:val="•"/>
      <w:lvlJc w:val="left"/>
      <w:pPr>
        <w:ind w:left="863" w:hanging="720"/>
      </w:pPr>
      <w:rPr>
        <w:rFonts w:ascii="Calibri" w:eastAsia="Calibri" w:hAnsi="Calibri" w:cs="Calibri" w:hint="default"/>
        <w:b w:val="0"/>
        <w:bCs w:val="0"/>
        <w:i w:val="0"/>
        <w:iCs w:val="0"/>
        <w:spacing w:val="0"/>
        <w:w w:val="100"/>
        <w:sz w:val="22"/>
        <w:szCs w:val="22"/>
        <w:lang w:val="en-US" w:eastAsia="en-US" w:bidi="ar-SA"/>
      </w:rPr>
    </w:lvl>
    <w:lvl w:ilvl="1" w:tplc="42A2A54C">
      <w:numFmt w:val="bullet"/>
      <w:lvlText w:val="•"/>
      <w:lvlJc w:val="left"/>
      <w:pPr>
        <w:ind w:left="1680" w:hanging="720"/>
      </w:pPr>
      <w:rPr>
        <w:rFonts w:hint="default"/>
        <w:lang w:val="en-US" w:eastAsia="en-US" w:bidi="ar-SA"/>
      </w:rPr>
    </w:lvl>
    <w:lvl w:ilvl="2" w:tplc="DAC44A50">
      <w:numFmt w:val="bullet"/>
      <w:lvlText w:val="•"/>
      <w:lvlJc w:val="left"/>
      <w:pPr>
        <w:ind w:left="2501" w:hanging="720"/>
      </w:pPr>
      <w:rPr>
        <w:rFonts w:hint="default"/>
        <w:lang w:val="en-US" w:eastAsia="en-US" w:bidi="ar-SA"/>
      </w:rPr>
    </w:lvl>
    <w:lvl w:ilvl="3" w:tplc="3CCE1AEE">
      <w:numFmt w:val="bullet"/>
      <w:lvlText w:val="•"/>
      <w:lvlJc w:val="left"/>
      <w:pPr>
        <w:ind w:left="3321" w:hanging="720"/>
      </w:pPr>
      <w:rPr>
        <w:rFonts w:hint="default"/>
        <w:lang w:val="en-US" w:eastAsia="en-US" w:bidi="ar-SA"/>
      </w:rPr>
    </w:lvl>
    <w:lvl w:ilvl="4" w:tplc="6E067688">
      <w:numFmt w:val="bullet"/>
      <w:lvlText w:val="•"/>
      <w:lvlJc w:val="left"/>
      <w:pPr>
        <w:ind w:left="4142" w:hanging="720"/>
      </w:pPr>
      <w:rPr>
        <w:rFonts w:hint="default"/>
        <w:lang w:val="en-US" w:eastAsia="en-US" w:bidi="ar-SA"/>
      </w:rPr>
    </w:lvl>
    <w:lvl w:ilvl="5" w:tplc="C100A502">
      <w:numFmt w:val="bullet"/>
      <w:lvlText w:val="•"/>
      <w:lvlJc w:val="left"/>
      <w:pPr>
        <w:ind w:left="4962" w:hanging="720"/>
      </w:pPr>
      <w:rPr>
        <w:rFonts w:hint="default"/>
        <w:lang w:val="en-US" w:eastAsia="en-US" w:bidi="ar-SA"/>
      </w:rPr>
    </w:lvl>
    <w:lvl w:ilvl="6" w:tplc="ABA42D86">
      <w:numFmt w:val="bullet"/>
      <w:lvlText w:val="•"/>
      <w:lvlJc w:val="left"/>
      <w:pPr>
        <w:ind w:left="5783" w:hanging="720"/>
      </w:pPr>
      <w:rPr>
        <w:rFonts w:hint="default"/>
        <w:lang w:val="en-US" w:eastAsia="en-US" w:bidi="ar-SA"/>
      </w:rPr>
    </w:lvl>
    <w:lvl w:ilvl="7" w:tplc="CE40E19E">
      <w:numFmt w:val="bullet"/>
      <w:lvlText w:val="•"/>
      <w:lvlJc w:val="left"/>
      <w:pPr>
        <w:ind w:left="6603" w:hanging="720"/>
      </w:pPr>
      <w:rPr>
        <w:rFonts w:hint="default"/>
        <w:lang w:val="en-US" w:eastAsia="en-US" w:bidi="ar-SA"/>
      </w:rPr>
    </w:lvl>
    <w:lvl w:ilvl="8" w:tplc="0FDCB80A">
      <w:numFmt w:val="bullet"/>
      <w:lvlText w:val="•"/>
      <w:lvlJc w:val="left"/>
      <w:pPr>
        <w:ind w:left="7424" w:hanging="720"/>
      </w:pPr>
      <w:rPr>
        <w:rFonts w:hint="default"/>
        <w:lang w:val="en-US" w:eastAsia="en-US" w:bidi="ar-SA"/>
      </w:rPr>
    </w:lvl>
  </w:abstractNum>
  <w:abstractNum w:abstractNumId="16" w15:restartNumberingAfterBreak="0">
    <w:nsid w:val="349A3257"/>
    <w:multiLevelType w:val="hybridMultilevel"/>
    <w:tmpl w:val="DCB0DC3A"/>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17" w15:restartNumberingAfterBreak="0">
    <w:nsid w:val="353604A7"/>
    <w:multiLevelType w:val="hybridMultilevel"/>
    <w:tmpl w:val="B622AA8C"/>
    <w:lvl w:ilvl="0" w:tplc="04130001">
      <w:start w:val="1"/>
      <w:numFmt w:val="bullet"/>
      <w:lvlText w:val=""/>
      <w:lvlJc w:val="left"/>
      <w:pPr>
        <w:ind w:left="863" w:hanging="360"/>
      </w:pPr>
      <w:rPr>
        <w:rFonts w:ascii="Symbol" w:hAnsi="Symbol" w:hint="default"/>
      </w:rPr>
    </w:lvl>
    <w:lvl w:ilvl="1" w:tplc="04130003">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18" w15:restartNumberingAfterBreak="0">
    <w:nsid w:val="35780C49"/>
    <w:multiLevelType w:val="hybridMultilevel"/>
    <w:tmpl w:val="0A8CDD96"/>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19" w15:restartNumberingAfterBreak="0">
    <w:nsid w:val="35D14A7F"/>
    <w:multiLevelType w:val="hybridMultilevel"/>
    <w:tmpl w:val="B41639BA"/>
    <w:lvl w:ilvl="0" w:tplc="04130001">
      <w:start w:val="1"/>
      <w:numFmt w:val="bullet"/>
      <w:lvlText w:val=""/>
      <w:lvlJc w:val="left"/>
      <w:pPr>
        <w:ind w:left="863" w:hanging="360"/>
      </w:pPr>
      <w:rPr>
        <w:rFonts w:ascii="Symbol" w:hAnsi="Symbol" w:hint="default"/>
      </w:rPr>
    </w:lvl>
    <w:lvl w:ilvl="1" w:tplc="04130003">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20" w15:restartNumberingAfterBreak="0">
    <w:nsid w:val="38804A8D"/>
    <w:multiLevelType w:val="hybridMultilevel"/>
    <w:tmpl w:val="7DEC3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EA1035"/>
    <w:multiLevelType w:val="hybridMultilevel"/>
    <w:tmpl w:val="D3282884"/>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22" w15:restartNumberingAfterBreak="0">
    <w:nsid w:val="3C1B261E"/>
    <w:multiLevelType w:val="hybridMultilevel"/>
    <w:tmpl w:val="9BDA81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CB457B"/>
    <w:multiLevelType w:val="hybridMultilevel"/>
    <w:tmpl w:val="60449F08"/>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24" w15:restartNumberingAfterBreak="0">
    <w:nsid w:val="3EF45D60"/>
    <w:multiLevelType w:val="hybridMultilevel"/>
    <w:tmpl w:val="D06C8028"/>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25" w15:restartNumberingAfterBreak="0">
    <w:nsid w:val="3F4E5A27"/>
    <w:multiLevelType w:val="hybridMultilevel"/>
    <w:tmpl w:val="94D66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F961ADF"/>
    <w:multiLevelType w:val="hybridMultilevel"/>
    <w:tmpl w:val="0D84C2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4316C8"/>
    <w:multiLevelType w:val="hybridMultilevel"/>
    <w:tmpl w:val="789A5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14C351F"/>
    <w:multiLevelType w:val="hybridMultilevel"/>
    <w:tmpl w:val="4A90E092"/>
    <w:lvl w:ilvl="0" w:tplc="04130001">
      <w:start w:val="1"/>
      <w:numFmt w:val="bullet"/>
      <w:lvlText w:val=""/>
      <w:lvlJc w:val="left"/>
      <w:pPr>
        <w:ind w:left="863" w:hanging="360"/>
      </w:pPr>
      <w:rPr>
        <w:rFonts w:ascii="Symbol" w:hAnsi="Symbol" w:hint="default"/>
      </w:rPr>
    </w:lvl>
    <w:lvl w:ilvl="1" w:tplc="04130003">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29" w15:restartNumberingAfterBreak="0">
    <w:nsid w:val="448307BF"/>
    <w:multiLevelType w:val="hybridMultilevel"/>
    <w:tmpl w:val="B770B142"/>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30" w15:restartNumberingAfterBreak="0">
    <w:nsid w:val="462E22FD"/>
    <w:multiLevelType w:val="hybridMultilevel"/>
    <w:tmpl w:val="04C6A1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767064E"/>
    <w:multiLevelType w:val="hybridMultilevel"/>
    <w:tmpl w:val="16C6EC44"/>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32" w15:restartNumberingAfterBreak="0">
    <w:nsid w:val="47E26192"/>
    <w:multiLevelType w:val="hybridMultilevel"/>
    <w:tmpl w:val="6A42C4CE"/>
    <w:lvl w:ilvl="0" w:tplc="04130001">
      <w:start w:val="1"/>
      <w:numFmt w:val="bullet"/>
      <w:lvlText w:val=""/>
      <w:lvlJc w:val="left"/>
      <w:pPr>
        <w:ind w:left="863" w:hanging="360"/>
      </w:pPr>
      <w:rPr>
        <w:rFonts w:ascii="Symbol" w:hAnsi="Symbol" w:hint="default"/>
      </w:rPr>
    </w:lvl>
    <w:lvl w:ilvl="1" w:tplc="04130003">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33" w15:restartNumberingAfterBreak="0">
    <w:nsid w:val="4A2C31D5"/>
    <w:multiLevelType w:val="hybridMultilevel"/>
    <w:tmpl w:val="F0023D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A4C1BDE"/>
    <w:multiLevelType w:val="hybridMultilevel"/>
    <w:tmpl w:val="995AB930"/>
    <w:lvl w:ilvl="0" w:tplc="04130003">
      <w:start w:val="1"/>
      <w:numFmt w:val="bullet"/>
      <w:lvlText w:val="o"/>
      <w:lvlJc w:val="left"/>
      <w:pPr>
        <w:ind w:left="863" w:hanging="360"/>
      </w:pPr>
      <w:rPr>
        <w:rFonts w:ascii="Courier New" w:hAnsi="Courier New" w:cs="Courier New"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35" w15:restartNumberingAfterBreak="0">
    <w:nsid w:val="4ADF0079"/>
    <w:multiLevelType w:val="hybridMultilevel"/>
    <w:tmpl w:val="FE9E87D4"/>
    <w:lvl w:ilvl="0" w:tplc="04130001">
      <w:start w:val="1"/>
      <w:numFmt w:val="bullet"/>
      <w:lvlText w:val=""/>
      <w:lvlJc w:val="left"/>
      <w:pPr>
        <w:ind w:left="863" w:hanging="360"/>
      </w:pPr>
      <w:rPr>
        <w:rFonts w:ascii="Symbol" w:hAnsi="Symbol" w:hint="default"/>
      </w:rPr>
    </w:lvl>
    <w:lvl w:ilvl="1" w:tplc="04130003">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36" w15:restartNumberingAfterBreak="0">
    <w:nsid w:val="4CA11076"/>
    <w:multiLevelType w:val="hybridMultilevel"/>
    <w:tmpl w:val="2E803E64"/>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37" w15:restartNumberingAfterBreak="0">
    <w:nsid w:val="5893526A"/>
    <w:multiLevelType w:val="hybridMultilevel"/>
    <w:tmpl w:val="D1BA715C"/>
    <w:lvl w:ilvl="0" w:tplc="04130001">
      <w:start w:val="1"/>
      <w:numFmt w:val="bullet"/>
      <w:lvlText w:val=""/>
      <w:lvlJc w:val="left"/>
      <w:pPr>
        <w:ind w:left="863" w:hanging="360"/>
      </w:pPr>
      <w:rPr>
        <w:rFonts w:ascii="Symbol" w:hAnsi="Symbol" w:hint="default"/>
      </w:rPr>
    </w:lvl>
    <w:lvl w:ilvl="1" w:tplc="04130003">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38" w15:restartNumberingAfterBreak="0">
    <w:nsid w:val="5913090B"/>
    <w:multiLevelType w:val="hybridMultilevel"/>
    <w:tmpl w:val="332EE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ADA37F8"/>
    <w:multiLevelType w:val="hybridMultilevel"/>
    <w:tmpl w:val="B9E2C836"/>
    <w:lvl w:ilvl="0" w:tplc="04130001">
      <w:start w:val="1"/>
      <w:numFmt w:val="bullet"/>
      <w:lvlText w:val=""/>
      <w:lvlJc w:val="left"/>
      <w:pPr>
        <w:ind w:left="863" w:hanging="360"/>
      </w:pPr>
      <w:rPr>
        <w:rFonts w:ascii="Symbol" w:hAnsi="Symbol" w:hint="default"/>
      </w:rPr>
    </w:lvl>
    <w:lvl w:ilvl="1" w:tplc="04130003">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40" w15:restartNumberingAfterBreak="0">
    <w:nsid w:val="5EEE0C1D"/>
    <w:multiLevelType w:val="hybridMultilevel"/>
    <w:tmpl w:val="EE865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107F59"/>
    <w:multiLevelType w:val="hybridMultilevel"/>
    <w:tmpl w:val="9E98C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6BF0C11"/>
    <w:multiLevelType w:val="hybridMultilevel"/>
    <w:tmpl w:val="33A6E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ADE076C"/>
    <w:multiLevelType w:val="hybridMultilevel"/>
    <w:tmpl w:val="B2F625FA"/>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44" w15:restartNumberingAfterBreak="0">
    <w:nsid w:val="6CA836C4"/>
    <w:multiLevelType w:val="hybridMultilevel"/>
    <w:tmpl w:val="5E56A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383F0B"/>
    <w:multiLevelType w:val="hybridMultilevel"/>
    <w:tmpl w:val="B52AB3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A6E2CD2"/>
    <w:multiLevelType w:val="hybridMultilevel"/>
    <w:tmpl w:val="BEC082CE"/>
    <w:lvl w:ilvl="0" w:tplc="04130001">
      <w:start w:val="1"/>
      <w:numFmt w:val="bullet"/>
      <w:lvlText w:val=""/>
      <w:lvlJc w:val="left"/>
      <w:pPr>
        <w:ind w:left="863" w:hanging="360"/>
      </w:pPr>
      <w:rPr>
        <w:rFonts w:ascii="Symbol" w:hAnsi="Symbol" w:hint="default"/>
      </w:rPr>
    </w:lvl>
    <w:lvl w:ilvl="1" w:tplc="04130003">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47" w15:restartNumberingAfterBreak="0">
    <w:nsid w:val="7BE718D0"/>
    <w:multiLevelType w:val="hybridMultilevel"/>
    <w:tmpl w:val="10C244F2"/>
    <w:lvl w:ilvl="0" w:tplc="04130001">
      <w:start w:val="1"/>
      <w:numFmt w:val="bullet"/>
      <w:lvlText w:val=""/>
      <w:lvlJc w:val="left"/>
      <w:pPr>
        <w:ind w:left="1223" w:hanging="360"/>
      </w:pPr>
      <w:rPr>
        <w:rFonts w:ascii="Symbol" w:hAnsi="Symbol" w:hint="default"/>
      </w:rPr>
    </w:lvl>
    <w:lvl w:ilvl="1" w:tplc="04130003" w:tentative="1">
      <w:start w:val="1"/>
      <w:numFmt w:val="bullet"/>
      <w:lvlText w:val="o"/>
      <w:lvlJc w:val="left"/>
      <w:pPr>
        <w:ind w:left="1943" w:hanging="360"/>
      </w:pPr>
      <w:rPr>
        <w:rFonts w:ascii="Courier New" w:hAnsi="Courier New" w:cs="Courier New" w:hint="default"/>
      </w:rPr>
    </w:lvl>
    <w:lvl w:ilvl="2" w:tplc="04130005" w:tentative="1">
      <w:start w:val="1"/>
      <w:numFmt w:val="bullet"/>
      <w:lvlText w:val=""/>
      <w:lvlJc w:val="left"/>
      <w:pPr>
        <w:ind w:left="2663" w:hanging="360"/>
      </w:pPr>
      <w:rPr>
        <w:rFonts w:ascii="Wingdings" w:hAnsi="Wingdings" w:hint="default"/>
      </w:rPr>
    </w:lvl>
    <w:lvl w:ilvl="3" w:tplc="04130001" w:tentative="1">
      <w:start w:val="1"/>
      <w:numFmt w:val="bullet"/>
      <w:lvlText w:val=""/>
      <w:lvlJc w:val="left"/>
      <w:pPr>
        <w:ind w:left="3383" w:hanging="360"/>
      </w:pPr>
      <w:rPr>
        <w:rFonts w:ascii="Symbol" w:hAnsi="Symbol" w:hint="default"/>
      </w:rPr>
    </w:lvl>
    <w:lvl w:ilvl="4" w:tplc="04130003" w:tentative="1">
      <w:start w:val="1"/>
      <w:numFmt w:val="bullet"/>
      <w:lvlText w:val="o"/>
      <w:lvlJc w:val="left"/>
      <w:pPr>
        <w:ind w:left="4103" w:hanging="360"/>
      </w:pPr>
      <w:rPr>
        <w:rFonts w:ascii="Courier New" w:hAnsi="Courier New" w:cs="Courier New" w:hint="default"/>
      </w:rPr>
    </w:lvl>
    <w:lvl w:ilvl="5" w:tplc="04130005" w:tentative="1">
      <w:start w:val="1"/>
      <w:numFmt w:val="bullet"/>
      <w:lvlText w:val=""/>
      <w:lvlJc w:val="left"/>
      <w:pPr>
        <w:ind w:left="4823" w:hanging="360"/>
      </w:pPr>
      <w:rPr>
        <w:rFonts w:ascii="Wingdings" w:hAnsi="Wingdings" w:hint="default"/>
      </w:rPr>
    </w:lvl>
    <w:lvl w:ilvl="6" w:tplc="04130001" w:tentative="1">
      <w:start w:val="1"/>
      <w:numFmt w:val="bullet"/>
      <w:lvlText w:val=""/>
      <w:lvlJc w:val="left"/>
      <w:pPr>
        <w:ind w:left="5543" w:hanging="360"/>
      </w:pPr>
      <w:rPr>
        <w:rFonts w:ascii="Symbol" w:hAnsi="Symbol" w:hint="default"/>
      </w:rPr>
    </w:lvl>
    <w:lvl w:ilvl="7" w:tplc="04130003" w:tentative="1">
      <w:start w:val="1"/>
      <w:numFmt w:val="bullet"/>
      <w:lvlText w:val="o"/>
      <w:lvlJc w:val="left"/>
      <w:pPr>
        <w:ind w:left="6263" w:hanging="360"/>
      </w:pPr>
      <w:rPr>
        <w:rFonts w:ascii="Courier New" w:hAnsi="Courier New" w:cs="Courier New" w:hint="default"/>
      </w:rPr>
    </w:lvl>
    <w:lvl w:ilvl="8" w:tplc="04130005" w:tentative="1">
      <w:start w:val="1"/>
      <w:numFmt w:val="bullet"/>
      <w:lvlText w:val=""/>
      <w:lvlJc w:val="left"/>
      <w:pPr>
        <w:ind w:left="6983" w:hanging="360"/>
      </w:pPr>
      <w:rPr>
        <w:rFonts w:ascii="Wingdings" w:hAnsi="Wingdings" w:hint="default"/>
      </w:rPr>
    </w:lvl>
  </w:abstractNum>
  <w:abstractNum w:abstractNumId="48" w15:restartNumberingAfterBreak="0">
    <w:nsid w:val="7CF04423"/>
    <w:multiLevelType w:val="hybridMultilevel"/>
    <w:tmpl w:val="5CDAA678"/>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49" w15:restartNumberingAfterBreak="0">
    <w:nsid w:val="7EEC016D"/>
    <w:multiLevelType w:val="hybridMultilevel"/>
    <w:tmpl w:val="B4BAC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7802007">
    <w:abstractNumId w:val="15"/>
  </w:num>
  <w:num w:numId="2" w16cid:durableId="1470054595">
    <w:abstractNumId w:val="36"/>
  </w:num>
  <w:num w:numId="3" w16cid:durableId="1347172664">
    <w:abstractNumId w:val="32"/>
  </w:num>
  <w:num w:numId="4" w16cid:durableId="390545273">
    <w:abstractNumId w:val="5"/>
  </w:num>
  <w:num w:numId="5" w16cid:durableId="158624165">
    <w:abstractNumId w:val="19"/>
  </w:num>
  <w:num w:numId="6" w16cid:durableId="670521457">
    <w:abstractNumId w:val="12"/>
  </w:num>
  <w:num w:numId="7" w16cid:durableId="1542789873">
    <w:abstractNumId w:val="35"/>
  </w:num>
  <w:num w:numId="8" w16cid:durableId="1660767559">
    <w:abstractNumId w:val="39"/>
  </w:num>
  <w:num w:numId="9" w16cid:durableId="1666467776">
    <w:abstractNumId w:val="33"/>
  </w:num>
  <w:num w:numId="10" w16cid:durableId="1428498542">
    <w:abstractNumId w:val="22"/>
  </w:num>
  <w:num w:numId="11" w16cid:durableId="923534420">
    <w:abstractNumId w:val="31"/>
  </w:num>
  <w:num w:numId="12" w16cid:durableId="1632634466">
    <w:abstractNumId w:val="6"/>
  </w:num>
  <w:num w:numId="13" w16cid:durableId="424771365">
    <w:abstractNumId w:val="0"/>
  </w:num>
  <w:num w:numId="14" w16cid:durableId="160776951">
    <w:abstractNumId w:val="1"/>
  </w:num>
  <w:num w:numId="15" w16cid:durableId="1486630721">
    <w:abstractNumId w:val="7"/>
  </w:num>
  <w:num w:numId="16" w16cid:durableId="1245337020">
    <w:abstractNumId w:val="41"/>
  </w:num>
  <w:num w:numId="17" w16cid:durableId="54092119">
    <w:abstractNumId w:val="3"/>
  </w:num>
  <w:num w:numId="18" w16cid:durableId="1326667759">
    <w:abstractNumId w:val="10"/>
  </w:num>
  <w:num w:numId="19" w16cid:durableId="861093967">
    <w:abstractNumId w:val="38"/>
  </w:num>
  <w:num w:numId="20" w16cid:durableId="786003021">
    <w:abstractNumId w:val="49"/>
  </w:num>
  <w:num w:numId="21" w16cid:durableId="2024432744">
    <w:abstractNumId w:val="25"/>
  </w:num>
  <w:num w:numId="22" w16cid:durableId="733161013">
    <w:abstractNumId w:val="47"/>
  </w:num>
  <w:num w:numId="23" w16cid:durableId="1894269023">
    <w:abstractNumId w:val="18"/>
  </w:num>
  <w:num w:numId="24" w16cid:durableId="1532067148">
    <w:abstractNumId w:val="13"/>
  </w:num>
  <w:num w:numId="25" w16cid:durableId="1008869553">
    <w:abstractNumId w:val="40"/>
  </w:num>
  <w:num w:numId="26" w16cid:durableId="923027533">
    <w:abstractNumId w:val="44"/>
  </w:num>
  <w:num w:numId="27" w16cid:durableId="1210344109">
    <w:abstractNumId w:val="30"/>
  </w:num>
  <w:num w:numId="28" w16cid:durableId="1169448057">
    <w:abstractNumId w:val="42"/>
  </w:num>
  <w:num w:numId="29" w16cid:durableId="807750408">
    <w:abstractNumId w:val="16"/>
  </w:num>
  <w:num w:numId="30" w16cid:durableId="355927099">
    <w:abstractNumId w:val="45"/>
  </w:num>
  <w:num w:numId="31" w16cid:durableId="1747610288">
    <w:abstractNumId w:val="4"/>
  </w:num>
  <w:num w:numId="32" w16cid:durableId="1413548296">
    <w:abstractNumId w:val="20"/>
  </w:num>
  <w:num w:numId="33" w16cid:durableId="1026979635">
    <w:abstractNumId w:val="27"/>
  </w:num>
  <w:num w:numId="34" w16cid:durableId="72894295">
    <w:abstractNumId w:val="8"/>
  </w:num>
  <w:num w:numId="35" w16cid:durableId="495221692">
    <w:abstractNumId w:val="23"/>
  </w:num>
  <w:num w:numId="36" w16cid:durableId="550770745">
    <w:abstractNumId w:val="46"/>
  </w:num>
  <w:num w:numId="37" w16cid:durableId="813255066">
    <w:abstractNumId w:val="43"/>
  </w:num>
  <w:num w:numId="38" w16cid:durableId="1882672013">
    <w:abstractNumId w:val="14"/>
  </w:num>
  <w:num w:numId="39" w16cid:durableId="696275179">
    <w:abstractNumId w:val="48"/>
  </w:num>
  <w:num w:numId="40" w16cid:durableId="1609702299">
    <w:abstractNumId w:val="17"/>
  </w:num>
  <w:num w:numId="41" w16cid:durableId="1279531944">
    <w:abstractNumId w:val="28"/>
  </w:num>
  <w:num w:numId="42" w16cid:durableId="1522014083">
    <w:abstractNumId w:val="9"/>
  </w:num>
  <w:num w:numId="43" w16cid:durableId="1352145768">
    <w:abstractNumId w:val="11"/>
  </w:num>
  <w:num w:numId="44" w16cid:durableId="1994140152">
    <w:abstractNumId w:val="34"/>
  </w:num>
  <w:num w:numId="45" w16cid:durableId="698361673">
    <w:abstractNumId w:val="37"/>
  </w:num>
  <w:num w:numId="46" w16cid:durableId="20085572">
    <w:abstractNumId w:val="21"/>
  </w:num>
  <w:num w:numId="47" w16cid:durableId="732000027">
    <w:abstractNumId w:val="24"/>
  </w:num>
  <w:num w:numId="48" w16cid:durableId="156577506">
    <w:abstractNumId w:val="29"/>
  </w:num>
  <w:num w:numId="49" w16cid:durableId="613908428">
    <w:abstractNumId w:val="2"/>
  </w:num>
  <w:num w:numId="50" w16cid:durableId="60843791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7515"/>
    <w:rsid w:val="0000509C"/>
    <w:rsid w:val="00005D94"/>
    <w:rsid w:val="000064FE"/>
    <w:rsid w:val="00006DBB"/>
    <w:rsid w:val="00010ABD"/>
    <w:rsid w:val="000131F6"/>
    <w:rsid w:val="000148AF"/>
    <w:rsid w:val="00017515"/>
    <w:rsid w:val="00021AFA"/>
    <w:rsid w:val="00024035"/>
    <w:rsid w:val="000253B4"/>
    <w:rsid w:val="000261BB"/>
    <w:rsid w:val="000312D2"/>
    <w:rsid w:val="000329FB"/>
    <w:rsid w:val="000342A9"/>
    <w:rsid w:val="000434CD"/>
    <w:rsid w:val="00043C71"/>
    <w:rsid w:val="00046938"/>
    <w:rsid w:val="00046B39"/>
    <w:rsid w:val="00060DE3"/>
    <w:rsid w:val="00065362"/>
    <w:rsid w:val="00066045"/>
    <w:rsid w:val="00066CE7"/>
    <w:rsid w:val="00072A23"/>
    <w:rsid w:val="00072ACC"/>
    <w:rsid w:val="00072EE0"/>
    <w:rsid w:val="00073375"/>
    <w:rsid w:val="000738A4"/>
    <w:rsid w:val="0007742A"/>
    <w:rsid w:val="00080A7B"/>
    <w:rsid w:val="00082B27"/>
    <w:rsid w:val="00083B93"/>
    <w:rsid w:val="000871AE"/>
    <w:rsid w:val="00091EF0"/>
    <w:rsid w:val="0009675B"/>
    <w:rsid w:val="000A1B6F"/>
    <w:rsid w:val="000A1E9A"/>
    <w:rsid w:val="000B0EBE"/>
    <w:rsid w:val="000B2FBD"/>
    <w:rsid w:val="000B6663"/>
    <w:rsid w:val="000C46D2"/>
    <w:rsid w:val="000C50DE"/>
    <w:rsid w:val="000C5A22"/>
    <w:rsid w:val="000C70F2"/>
    <w:rsid w:val="000C784F"/>
    <w:rsid w:val="000D2631"/>
    <w:rsid w:val="000D2961"/>
    <w:rsid w:val="000D41F4"/>
    <w:rsid w:val="000E2170"/>
    <w:rsid w:val="000E3F1E"/>
    <w:rsid w:val="000E6689"/>
    <w:rsid w:val="000F2ABF"/>
    <w:rsid w:val="000F4CAF"/>
    <w:rsid w:val="000F5212"/>
    <w:rsid w:val="000F55F5"/>
    <w:rsid w:val="00102168"/>
    <w:rsid w:val="001040A2"/>
    <w:rsid w:val="001052DB"/>
    <w:rsid w:val="00106ACB"/>
    <w:rsid w:val="00110AEB"/>
    <w:rsid w:val="00112A30"/>
    <w:rsid w:val="001137DB"/>
    <w:rsid w:val="001162D3"/>
    <w:rsid w:val="00116AA3"/>
    <w:rsid w:val="001170D0"/>
    <w:rsid w:val="00127D0E"/>
    <w:rsid w:val="00130420"/>
    <w:rsid w:val="001334EA"/>
    <w:rsid w:val="00136602"/>
    <w:rsid w:val="001444DF"/>
    <w:rsid w:val="00144FAB"/>
    <w:rsid w:val="00156DB7"/>
    <w:rsid w:val="00156FF8"/>
    <w:rsid w:val="0016249D"/>
    <w:rsid w:val="00166A02"/>
    <w:rsid w:val="001702FC"/>
    <w:rsid w:val="001722F4"/>
    <w:rsid w:val="00172AFE"/>
    <w:rsid w:val="00173F53"/>
    <w:rsid w:val="00176E4E"/>
    <w:rsid w:val="00177CCB"/>
    <w:rsid w:val="00181CCD"/>
    <w:rsid w:val="00181F63"/>
    <w:rsid w:val="001828E8"/>
    <w:rsid w:val="00182E3C"/>
    <w:rsid w:val="0018326F"/>
    <w:rsid w:val="0018353A"/>
    <w:rsid w:val="0018411C"/>
    <w:rsid w:val="00185F5F"/>
    <w:rsid w:val="0019114D"/>
    <w:rsid w:val="00194F70"/>
    <w:rsid w:val="001A2273"/>
    <w:rsid w:val="001A5EB8"/>
    <w:rsid w:val="001B5E4B"/>
    <w:rsid w:val="001D3CD8"/>
    <w:rsid w:val="001D5F0A"/>
    <w:rsid w:val="001D7444"/>
    <w:rsid w:val="001E1952"/>
    <w:rsid w:val="001E4939"/>
    <w:rsid w:val="001E7CD5"/>
    <w:rsid w:val="001F270E"/>
    <w:rsid w:val="001F2FB5"/>
    <w:rsid w:val="001F7938"/>
    <w:rsid w:val="00202EFB"/>
    <w:rsid w:val="00215123"/>
    <w:rsid w:val="00216684"/>
    <w:rsid w:val="00220072"/>
    <w:rsid w:val="00220438"/>
    <w:rsid w:val="00220E4D"/>
    <w:rsid w:val="00221903"/>
    <w:rsid w:val="002225DC"/>
    <w:rsid w:val="002313CC"/>
    <w:rsid w:val="002327A4"/>
    <w:rsid w:val="002330BB"/>
    <w:rsid w:val="00234F40"/>
    <w:rsid w:val="002471F2"/>
    <w:rsid w:val="00251714"/>
    <w:rsid w:val="00251867"/>
    <w:rsid w:val="00252DA6"/>
    <w:rsid w:val="00256857"/>
    <w:rsid w:val="00257A15"/>
    <w:rsid w:val="00261EB3"/>
    <w:rsid w:val="00262F34"/>
    <w:rsid w:val="00263756"/>
    <w:rsid w:val="002657FA"/>
    <w:rsid w:val="00273DE8"/>
    <w:rsid w:val="00273EEF"/>
    <w:rsid w:val="002751FE"/>
    <w:rsid w:val="00280138"/>
    <w:rsid w:val="00280772"/>
    <w:rsid w:val="0028292D"/>
    <w:rsid w:val="00283A2B"/>
    <w:rsid w:val="00285B4D"/>
    <w:rsid w:val="002921A7"/>
    <w:rsid w:val="00292B84"/>
    <w:rsid w:val="00296FF2"/>
    <w:rsid w:val="002A0160"/>
    <w:rsid w:val="002A2FCB"/>
    <w:rsid w:val="002A4B07"/>
    <w:rsid w:val="002A6C52"/>
    <w:rsid w:val="002A7706"/>
    <w:rsid w:val="002B41B5"/>
    <w:rsid w:val="002B5241"/>
    <w:rsid w:val="002B554E"/>
    <w:rsid w:val="002B5F84"/>
    <w:rsid w:val="002C0C57"/>
    <w:rsid w:val="002C78CF"/>
    <w:rsid w:val="002D2C1E"/>
    <w:rsid w:val="002D5AAE"/>
    <w:rsid w:val="002D6995"/>
    <w:rsid w:val="002D774E"/>
    <w:rsid w:val="002D7CCA"/>
    <w:rsid w:val="002E0ED3"/>
    <w:rsid w:val="002E37E9"/>
    <w:rsid w:val="002E693B"/>
    <w:rsid w:val="002F57D2"/>
    <w:rsid w:val="00300E27"/>
    <w:rsid w:val="00310FB0"/>
    <w:rsid w:val="00311637"/>
    <w:rsid w:val="003124F1"/>
    <w:rsid w:val="0031260D"/>
    <w:rsid w:val="00312DEF"/>
    <w:rsid w:val="00315320"/>
    <w:rsid w:val="003201EA"/>
    <w:rsid w:val="003214C4"/>
    <w:rsid w:val="00326D51"/>
    <w:rsid w:val="00333BB5"/>
    <w:rsid w:val="00334AAC"/>
    <w:rsid w:val="0033553F"/>
    <w:rsid w:val="003368FA"/>
    <w:rsid w:val="00341E0D"/>
    <w:rsid w:val="00341FC2"/>
    <w:rsid w:val="00344250"/>
    <w:rsid w:val="0035155C"/>
    <w:rsid w:val="0035193C"/>
    <w:rsid w:val="003545AE"/>
    <w:rsid w:val="00355725"/>
    <w:rsid w:val="0035629A"/>
    <w:rsid w:val="00367DCA"/>
    <w:rsid w:val="00370D34"/>
    <w:rsid w:val="003721FE"/>
    <w:rsid w:val="00374B2A"/>
    <w:rsid w:val="003755C4"/>
    <w:rsid w:val="00375E90"/>
    <w:rsid w:val="00391046"/>
    <w:rsid w:val="003A2760"/>
    <w:rsid w:val="003A33B8"/>
    <w:rsid w:val="003A3571"/>
    <w:rsid w:val="003B308E"/>
    <w:rsid w:val="003B50FA"/>
    <w:rsid w:val="003B773A"/>
    <w:rsid w:val="003C1B66"/>
    <w:rsid w:val="003C26A2"/>
    <w:rsid w:val="003C4DA8"/>
    <w:rsid w:val="003C66D9"/>
    <w:rsid w:val="003C7647"/>
    <w:rsid w:val="003D2826"/>
    <w:rsid w:val="003D4469"/>
    <w:rsid w:val="003D5AB9"/>
    <w:rsid w:val="003D6E74"/>
    <w:rsid w:val="003D7A41"/>
    <w:rsid w:val="003D7E47"/>
    <w:rsid w:val="003E018B"/>
    <w:rsid w:val="003E12FF"/>
    <w:rsid w:val="003E33D9"/>
    <w:rsid w:val="003E60C0"/>
    <w:rsid w:val="003E6363"/>
    <w:rsid w:val="003E6545"/>
    <w:rsid w:val="003F1386"/>
    <w:rsid w:val="003F3E29"/>
    <w:rsid w:val="00400E1B"/>
    <w:rsid w:val="00401CE7"/>
    <w:rsid w:val="00402807"/>
    <w:rsid w:val="00405052"/>
    <w:rsid w:val="00405D14"/>
    <w:rsid w:val="00405D1E"/>
    <w:rsid w:val="00407450"/>
    <w:rsid w:val="00412C7C"/>
    <w:rsid w:val="00425347"/>
    <w:rsid w:val="0043046D"/>
    <w:rsid w:val="0043372C"/>
    <w:rsid w:val="004444BC"/>
    <w:rsid w:val="00445CC9"/>
    <w:rsid w:val="004509D6"/>
    <w:rsid w:val="0045455B"/>
    <w:rsid w:val="004561E5"/>
    <w:rsid w:val="00456DE7"/>
    <w:rsid w:val="004610A4"/>
    <w:rsid w:val="00464EF3"/>
    <w:rsid w:val="00466A11"/>
    <w:rsid w:val="00473A0C"/>
    <w:rsid w:val="004746CF"/>
    <w:rsid w:val="00474948"/>
    <w:rsid w:val="0047517F"/>
    <w:rsid w:val="00475612"/>
    <w:rsid w:val="00487189"/>
    <w:rsid w:val="00491F05"/>
    <w:rsid w:val="00492DCD"/>
    <w:rsid w:val="00493F28"/>
    <w:rsid w:val="0049403E"/>
    <w:rsid w:val="004950A3"/>
    <w:rsid w:val="004A459A"/>
    <w:rsid w:val="004A4CA1"/>
    <w:rsid w:val="004A5402"/>
    <w:rsid w:val="004A5E4E"/>
    <w:rsid w:val="004C17E9"/>
    <w:rsid w:val="004C5DAC"/>
    <w:rsid w:val="004C71A6"/>
    <w:rsid w:val="004D2326"/>
    <w:rsid w:val="004D41B5"/>
    <w:rsid w:val="004D55E6"/>
    <w:rsid w:val="004D6DEA"/>
    <w:rsid w:val="004D7CC3"/>
    <w:rsid w:val="004E0AB9"/>
    <w:rsid w:val="004F086F"/>
    <w:rsid w:val="004F0D3E"/>
    <w:rsid w:val="004F62C6"/>
    <w:rsid w:val="004F6808"/>
    <w:rsid w:val="004F7B32"/>
    <w:rsid w:val="00504D43"/>
    <w:rsid w:val="0050511A"/>
    <w:rsid w:val="00505794"/>
    <w:rsid w:val="005108E6"/>
    <w:rsid w:val="00511866"/>
    <w:rsid w:val="00512754"/>
    <w:rsid w:val="0051605E"/>
    <w:rsid w:val="00516D2D"/>
    <w:rsid w:val="00522716"/>
    <w:rsid w:val="0052365A"/>
    <w:rsid w:val="005239C6"/>
    <w:rsid w:val="0052548A"/>
    <w:rsid w:val="00526CFC"/>
    <w:rsid w:val="005276D7"/>
    <w:rsid w:val="0053752E"/>
    <w:rsid w:val="0054097E"/>
    <w:rsid w:val="00540D03"/>
    <w:rsid w:val="005410E9"/>
    <w:rsid w:val="005461B0"/>
    <w:rsid w:val="00550D68"/>
    <w:rsid w:val="00550F81"/>
    <w:rsid w:val="00555C8F"/>
    <w:rsid w:val="005629D6"/>
    <w:rsid w:val="00563FB6"/>
    <w:rsid w:val="00564AD4"/>
    <w:rsid w:val="00566DCA"/>
    <w:rsid w:val="005708CD"/>
    <w:rsid w:val="00574BC0"/>
    <w:rsid w:val="0057686A"/>
    <w:rsid w:val="00583942"/>
    <w:rsid w:val="00593C0A"/>
    <w:rsid w:val="0059529A"/>
    <w:rsid w:val="005954C2"/>
    <w:rsid w:val="00596AB1"/>
    <w:rsid w:val="0059780B"/>
    <w:rsid w:val="005A1781"/>
    <w:rsid w:val="005A24AE"/>
    <w:rsid w:val="005A2BAC"/>
    <w:rsid w:val="005A30D5"/>
    <w:rsid w:val="005A42E1"/>
    <w:rsid w:val="005A4B0B"/>
    <w:rsid w:val="005A69B3"/>
    <w:rsid w:val="005C0875"/>
    <w:rsid w:val="005C153F"/>
    <w:rsid w:val="005C5109"/>
    <w:rsid w:val="005D14C7"/>
    <w:rsid w:val="005D564C"/>
    <w:rsid w:val="005D7353"/>
    <w:rsid w:val="005E0412"/>
    <w:rsid w:val="005E072C"/>
    <w:rsid w:val="005E0D87"/>
    <w:rsid w:val="005E7C7B"/>
    <w:rsid w:val="005F6154"/>
    <w:rsid w:val="005F69B5"/>
    <w:rsid w:val="005F7B79"/>
    <w:rsid w:val="0060016F"/>
    <w:rsid w:val="006016B2"/>
    <w:rsid w:val="00601FC2"/>
    <w:rsid w:val="00603254"/>
    <w:rsid w:val="00603D01"/>
    <w:rsid w:val="006047AC"/>
    <w:rsid w:val="00604C5A"/>
    <w:rsid w:val="00616252"/>
    <w:rsid w:val="00617015"/>
    <w:rsid w:val="00617530"/>
    <w:rsid w:val="00617B51"/>
    <w:rsid w:val="00620491"/>
    <w:rsid w:val="00625374"/>
    <w:rsid w:val="00630585"/>
    <w:rsid w:val="006360F1"/>
    <w:rsid w:val="00637279"/>
    <w:rsid w:val="00640C53"/>
    <w:rsid w:val="00641142"/>
    <w:rsid w:val="0064156F"/>
    <w:rsid w:val="006426ED"/>
    <w:rsid w:val="006427EE"/>
    <w:rsid w:val="00647A56"/>
    <w:rsid w:val="00654F21"/>
    <w:rsid w:val="00664D58"/>
    <w:rsid w:val="00665961"/>
    <w:rsid w:val="00671F53"/>
    <w:rsid w:val="00672A67"/>
    <w:rsid w:val="00677894"/>
    <w:rsid w:val="006834EE"/>
    <w:rsid w:val="0068443E"/>
    <w:rsid w:val="00684B71"/>
    <w:rsid w:val="00691BDA"/>
    <w:rsid w:val="006953DE"/>
    <w:rsid w:val="00695D05"/>
    <w:rsid w:val="006961D2"/>
    <w:rsid w:val="006A32A4"/>
    <w:rsid w:val="006A56EA"/>
    <w:rsid w:val="006B7C18"/>
    <w:rsid w:val="006C707E"/>
    <w:rsid w:val="006C71FB"/>
    <w:rsid w:val="006D16E9"/>
    <w:rsid w:val="006D4100"/>
    <w:rsid w:val="006D4D19"/>
    <w:rsid w:val="006D54BD"/>
    <w:rsid w:val="006D7749"/>
    <w:rsid w:val="006D798E"/>
    <w:rsid w:val="006E51F4"/>
    <w:rsid w:val="006E53F6"/>
    <w:rsid w:val="00702210"/>
    <w:rsid w:val="00702C90"/>
    <w:rsid w:val="00703846"/>
    <w:rsid w:val="007044C1"/>
    <w:rsid w:val="00707154"/>
    <w:rsid w:val="00707388"/>
    <w:rsid w:val="0071214A"/>
    <w:rsid w:val="00712EB5"/>
    <w:rsid w:val="00721172"/>
    <w:rsid w:val="00721291"/>
    <w:rsid w:val="00721443"/>
    <w:rsid w:val="00721A6D"/>
    <w:rsid w:val="00724D80"/>
    <w:rsid w:val="0072531D"/>
    <w:rsid w:val="00726784"/>
    <w:rsid w:val="00727415"/>
    <w:rsid w:val="00730404"/>
    <w:rsid w:val="00731CD4"/>
    <w:rsid w:val="00731EC6"/>
    <w:rsid w:val="00732D53"/>
    <w:rsid w:val="00734B8E"/>
    <w:rsid w:val="00736EED"/>
    <w:rsid w:val="00737BB3"/>
    <w:rsid w:val="00747AD4"/>
    <w:rsid w:val="0075075F"/>
    <w:rsid w:val="007514CC"/>
    <w:rsid w:val="0075337F"/>
    <w:rsid w:val="0075420E"/>
    <w:rsid w:val="0075436D"/>
    <w:rsid w:val="00757607"/>
    <w:rsid w:val="007622B9"/>
    <w:rsid w:val="00765892"/>
    <w:rsid w:val="00765AB0"/>
    <w:rsid w:val="00766087"/>
    <w:rsid w:val="00770095"/>
    <w:rsid w:val="007731E2"/>
    <w:rsid w:val="00775887"/>
    <w:rsid w:val="00781A3B"/>
    <w:rsid w:val="00784581"/>
    <w:rsid w:val="00787E4E"/>
    <w:rsid w:val="00790CCA"/>
    <w:rsid w:val="007931DA"/>
    <w:rsid w:val="00793B13"/>
    <w:rsid w:val="00793C0E"/>
    <w:rsid w:val="00794BD6"/>
    <w:rsid w:val="00797B1B"/>
    <w:rsid w:val="007A618E"/>
    <w:rsid w:val="007B18AF"/>
    <w:rsid w:val="007B1C6F"/>
    <w:rsid w:val="007B1EE4"/>
    <w:rsid w:val="007B6995"/>
    <w:rsid w:val="007B7776"/>
    <w:rsid w:val="007C3C4A"/>
    <w:rsid w:val="007D38F0"/>
    <w:rsid w:val="007D4932"/>
    <w:rsid w:val="007D6900"/>
    <w:rsid w:val="007E3132"/>
    <w:rsid w:val="007F3AE0"/>
    <w:rsid w:val="007F4AC9"/>
    <w:rsid w:val="007F709C"/>
    <w:rsid w:val="00800CA6"/>
    <w:rsid w:val="00815595"/>
    <w:rsid w:val="00821E84"/>
    <w:rsid w:val="00833AF4"/>
    <w:rsid w:val="00834BCF"/>
    <w:rsid w:val="0084069E"/>
    <w:rsid w:val="00841F08"/>
    <w:rsid w:val="00843FDD"/>
    <w:rsid w:val="00853E8B"/>
    <w:rsid w:val="00854B99"/>
    <w:rsid w:val="00857AC9"/>
    <w:rsid w:val="0086335E"/>
    <w:rsid w:val="00864127"/>
    <w:rsid w:val="00865421"/>
    <w:rsid w:val="00865616"/>
    <w:rsid w:val="00870C5A"/>
    <w:rsid w:val="00872985"/>
    <w:rsid w:val="008738A6"/>
    <w:rsid w:val="00874249"/>
    <w:rsid w:val="0088373A"/>
    <w:rsid w:val="00892005"/>
    <w:rsid w:val="008929E0"/>
    <w:rsid w:val="00892E01"/>
    <w:rsid w:val="00893933"/>
    <w:rsid w:val="008A20CA"/>
    <w:rsid w:val="008A43A9"/>
    <w:rsid w:val="008B12FB"/>
    <w:rsid w:val="008B1E15"/>
    <w:rsid w:val="008B2BA7"/>
    <w:rsid w:val="008B79C1"/>
    <w:rsid w:val="008C24AA"/>
    <w:rsid w:val="008C6119"/>
    <w:rsid w:val="008C7062"/>
    <w:rsid w:val="008D2D27"/>
    <w:rsid w:val="008D3212"/>
    <w:rsid w:val="008D39B9"/>
    <w:rsid w:val="008D3F41"/>
    <w:rsid w:val="008E2CBB"/>
    <w:rsid w:val="008E7FB3"/>
    <w:rsid w:val="008F2D18"/>
    <w:rsid w:val="008F59AA"/>
    <w:rsid w:val="00903C3C"/>
    <w:rsid w:val="0090544B"/>
    <w:rsid w:val="00906809"/>
    <w:rsid w:val="009070D7"/>
    <w:rsid w:val="00910B46"/>
    <w:rsid w:val="00910D2A"/>
    <w:rsid w:val="00910F49"/>
    <w:rsid w:val="0091391C"/>
    <w:rsid w:val="009154A0"/>
    <w:rsid w:val="00916756"/>
    <w:rsid w:val="00921346"/>
    <w:rsid w:val="00921CDF"/>
    <w:rsid w:val="00925C1B"/>
    <w:rsid w:val="00927120"/>
    <w:rsid w:val="00931225"/>
    <w:rsid w:val="00934052"/>
    <w:rsid w:val="00943041"/>
    <w:rsid w:val="00943544"/>
    <w:rsid w:val="00945DC5"/>
    <w:rsid w:val="0094631F"/>
    <w:rsid w:val="0095167F"/>
    <w:rsid w:val="009524C2"/>
    <w:rsid w:val="00952B96"/>
    <w:rsid w:val="0095482A"/>
    <w:rsid w:val="00955305"/>
    <w:rsid w:val="009573E5"/>
    <w:rsid w:val="00957A6B"/>
    <w:rsid w:val="00963A7A"/>
    <w:rsid w:val="0096486B"/>
    <w:rsid w:val="0096634A"/>
    <w:rsid w:val="009743F8"/>
    <w:rsid w:val="009759CF"/>
    <w:rsid w:val="00976643"/>
    <w:rsid w:val="009848A9"/>
    <w:rsid w:val="009905A1"/>
    <w:rsid w:val="0099148A"/>
    <w:rsid w:val="00991EEF"/>
    <w:rsid w:val="00994701"/>
    <w:rsid w:val="009960B0"/>
    <w:rsid w:val="009A12AC"/>
    <w:rsid w:val="009A15E0"/>
    <w:rsid w:val="009A3F3F"/>
    <w:rsid w:val="009A6281"/>
    <w:rsid w:val="009A7E94"/>
    <w:rsid w:val="009B0677"/>
    <w:rsid w:val="009B1E0B"/>
    <w:rsid w:val="009B20D3"/>
    <w:rsid w:val="009C6E34"/>
    <w:rsid w:val="009D1908"/>
    <w:rsid w:val="009D319B"/>
    <w:rsid w:val="009D4D81"/>
    <w:rsid w:val="009D4F49"/>
    <w:rsid w:val="009D72CA"/>
    <w:rsid w:val="009E7162"/>
    <w:rsid w:val="009F060A"/>
    <w:rsid w:val="009F6EF9"/>
    <w:rsid w:val="009F7EA1"/>
    <w:rsid w:val="00A0134A"/>
    <w:rsid w:val="00A01C63"/>
    <w:rsid w:val="00A1398C"/>
    <w:rsid w:val="00A17A0F"/>
    <w:rsid w:val="00A30586"/>
    <w:rsid w:val="00A35BBB"/>
    <w:rsid w:val="00A3766B"/>
    <w:rsid w:val="00A412AB"/>
    <w:rsid w:val="00A44CC8"/>
    <w:rsid w:val="00A451EA"/>
    <w:rsid w:val="00A454E8"/>
    <w:rsid w:val="00A45A5B"/>
    <w:rsid w:val="00A5084D"/>
    <w:rsid w:val="00A52AD1"/>
    <w:rsid w:val="00A547A7"/>
    <w:rsid w:val="00A54B24"/>
    <w:rsid w:val="00A54C7B"/>
    <w:rsid w:val="00A55ACD"/>
    <w:rsid w:val="00A567F8"/>
    <w:rsid w:val="00A60691"/>
    <w:rsid w:val="00A64AAD"/>
    <w:rsid w:val="00A72EB3"/>
    <w:rsid w:val="00A74D51"/>
    <w:rsid w:val="00A76737"/>
    <w:rsid w:val="00A77364"/>
    <w:rsid w:val="00A8000F"/>
    <w:rsid w:val="00AA1B5E"/>
    <w:rsid w:val="00AA1D05"/>
    <w:rsid w:val="00AA3C4A"/>
    <w:rsid w:val="00AA57B2"/>
    <w:rsid w:val="00AB06F6"/>
    <w:rsid w:val="00AB0FCB"/>
    <w:rsid w:val="00AB1116"/>
    <w:rsid w:val="00AB7AE7"/>
    <w:rsid w:val="00AC0088"/>
    <w:rsid w:val="00AD1F90"/>
    <w:rsid w:val="00AD403B"/>
    <w:rsid w:val="00AD42EB"/>
    <w:rsid w:val="00AD4381"/>
    <w:rsid w:val="00AD4E17"/>
    <w:rsid w:val="00AD69CD"/>
    <w:rsid w:val="00AD7FA1"/>
    <w:rsid w:val="00AE185C"/>
    <w:rsid w:val="00AF569C"/>
    <w:rsid w:val="00B03DFE"/>
    <w:rsid w:val="00B0411F"/>
    <w:rsid w:val="00B142A6"/>
    <w:rsid w:val="00B16686"/>
    <w:rsid w:val="00B2168F"/>
    <w:rsid w:val="00B22F15"/>
    <w:rsid w:val="00B2325C"/>
    <w:rsid w:val="00B27693"/>
    <w:rsid w:val="00B32C21"/>
    <w:rsid w:val="00B33828"/>
    <w:rsid w:val="00B35A76"/>
    <w:rsid w:val="00B35AA0"/>
    <w:rsid w:val="00B37AA5"/>
    <w:rsid w:val="00B40C15"/>
    <w:rsid w:val="00B42F2A"/>
    <w:rsid w:val="00B43ACB"/>
    <w:rsid w:val="00B45A23"/>
    <w:rsid w:val="00B472BD"/>
    <w:rsid w:val="00B526E3"/>
    <w:rsid w:val="00B61E0B"/>
    <w:rsid w:val="00B6393F"/>
    <w:rsid w:val="00B63F45"/>
    <w:rsid w:val="00B65894"/>
    <w:rsid w:val="00B66A43"/>
    <w:rsid w:val="00B67077"/>
    <w:rsid w:val="00B70395"/>
    <w:rsid w:val="00B750AD"/>
    <w:rsid w:val="00B7701B"/>
    <w:rsid w:val="00B801D2"/>
    <w:rsid w:val="00B80AB8"/>
    <w:rsid w:val="00B8235B"/>
    <w:rsid w:val="00B91619"/>
    <w:rsid w:val="00B92E4B"/>
    <w:rsid w:val="00B93738"/>
    <w:rsid w:val="00B97529"/>
    <w:rsid w:val="00BA0E05"/>
    <w:rsid w:val="00BA3FBE"/>
    <w:rsid w:val="00BA59B5"/>
    <w:rsid w:val="00BB1862"/>
    <w:rsid w:val="00BB72EE"/>
    <w:rsid w:val="00BC0C3D"/>
    <w:rsid w:val="00BC306F"/>
    <w:rsid w:val="00BC3ECA"/>
    <w:rsid w:val="00BC6583"/>
    <w:rsid w:val="00BC76E5"/>
    <w:rsid w:val="00BC7A2E"/>
    <w:rsid w:val="00BD0180"/>
    <w:rsid w:val="00BD1011"/>
    <w:rsid w:val="00BD4CF1"/>
    <w:rsid w:val="00BD5E6D"/>
    <w:rsid w:val="00BE25A4"/>
    <w:rsid w:val="00BE2C54"/>
    <w:rsid w:val="00BF2448"/>
    <w:rsid w:val="00BF3130"/>
    <w:rsid w:val="00BF62F5"/>
    <w:rsid w:val="00BF63F0"/>
    <w:rsid w:val="00C00CAB"/>
    <w:rsid w:val="00C032A7"/>
    <w:rsid w:val="00C07F66"/>
    <w:rsid w:val="00C13FD4"/>
    <w:rsid w:val="00C1737C"/>
    <w:rsid w:val="00C33819"/>
    <w:rsid w:val="00C34188"/>
    <w:rsid w:val="00C34DC0"/>
    <w:rsid w:val="00C3558A"/>
    <w:rsid w:val="00C363D6"/>
    <w:rsid w:val="00C43ED9"/>
    <w:rsid w:val="00C4499D"/>
    <w:rsid w:val="00C46A90"/>
    <w:rsid w:val="00C50157"/>
    <w:rsid w:val="00C559E3"/>
    <w:rsid w:val="00C55FBC"/>
    <w:rsid w:val="00C61B36"/>
    <w:rsid w:val="00C6273B"/>
    <w:rsid w:val="00C62EDA"/>
    <w:rsid w:val="00C659CA"/>
    <w:rsid w:val="00C700D6"/>
    <w:rsid w:val="00C70108"/>
    <w:rsid w:val="00C70E1B"/>
    <w:rsid w:val="00C73BD1"/>
    <w:rsid w:val="00C81461"/>
    <w:rsid w:val="00C82637"/>
    <w:rsid w:val="00C843CA"/>
    <w:rsid w:val="00C8762F"/>
    <w:rsid w:val="00C91CB2"/>
    <w:rsid w:val="00C92A4A"/>
    <w:rsid w:val="00C93B8B"/>
    <w:rsid w:val="00C9503D"/>
    <w:rsid w:val="00C953FD"/>
    <w:rsid w:val="00C95C01"/>
    <w:rsid w:val="00C95DC2"/>
    <w:rsid w:val="00C97399"/>
    <w:rsid w:val="00C97CFE"/>
    <w:rsid w:val="00CA4D54"/>
    <w:rsid w:val="00CA7F6B"/>
    <w:rsid w:val="00CB14C0"/>
    <w:rsid w:val="00CB2461"/>
    <w:rsid w:val="00CB5167"/>
    <w:rsid w:val="00CB5D6F"/>
    <w:rsid w:val="00CB6B14"/>
    <w:rsid w:val="00CC052C"/>
    <w:rsid w:val="00CC0C6B"/>
    <w:rsid w:val="00CC141A"/>
    <w:rsid w:val="00CC5A5E"/>
    <w:rsid w:val="00CE261A"/>
    <w:rsid w:val="00CE35C2"/>
    <w:rsid w:val="00CE4A53"/>
    <w:rsid w:val="00CE5BF6"/>
    <w:rsid w:val="00CE6627"/>
    <w:rsid w:val="00CE760F"/>
    <w:rsid w:val="00CF0937"/>
    <w:rsid w:val="00CF1705"/>
    <w:rsid w:val="00CF1FE5"/>
    <w:rsid w:val="00CF3455"/>
    <w:rsid w:val="00D02A58"/>
    <w:rsid w:val="00D0396A"/>
    <w:rsid w:val="00D04A74"/>
    <w:rsid w:val="00D106AE"/>
    <w:rsid w:val="00D12868"/>
    <w:rsid w:val="00D1374F"/>
    <w:rsid w:val="00D14E02"/>
    <w:rsid w:val="00D2009B"/>
    <w:rsid w:val="00D2140F"/>
    <w:rsid w:val="00D22269"/>
    <w:rsid w:val="00D24A8A"/>
    <w:rsid w:val="00D335F1"/>
    <w:rsid w:val="00D51D22"/>
    <w:rsid w:val="00D51D34"/>
    <w:rsid w:val="00D63814"/>
    <w:rsid w:val="00D6599B"/>
    <w:rsid w:val="00D66A21"/>
    <w:rsid w:val="00D82D88"/>
    <w:rsid w:val="00D833FA"/>
    <w:rsid w:val="00D910BA"/>
    <w:rsid w:val="00D91492"/>
    <w:rsid w:val="00D92822"/>
    <w:rsid w:val="00D94E16"/>
    <w:rsid w:val="00D959F9"/>
    <w:rsid w:val="00D973B2"/>
    <w:rsid w:val="00D97520"/>
    <w:rsid w:val="00DB2FA5"/>
    <w:rsid w:val="00DB4852"/>
    <w:rsid w:val="00DC2030"/>
    <w:rsid w:val="00DC521E"/>
    <w:rsid w:val="00DD19A4"/>
    <w:rsid w:val="00DD351F"/>
    <w:rsid w:val="00DD4E03"/>
    <w:rsid w:val="00DD6BC1"/>
    <w:rsid w:val="00DE1A82"/>
    <w:rsid w:val="00DE279E"/>
    <w:rsid w:val="00DE3C72"/>
    <w:rsid w:val="00DE3E76"/>
    <w:rsid w:val="00DE56EC"/>
    <w:rsid w:val="00DE7E6E"/>
    <w:rsid w:val="00DF226A"/>
    <w:rsid w:val="00E01AB2"/>
    <w:rsid w:val="00E02BA4"/>
    <w:rsid w:val="00E04662"/>
    <w:rsid w:val="00E101FC"/>
    <w:rsid w:val="00E10D21"/>
    <w:rsid w:val="00E113CD"/>
    <w:rsid w:val="00E217D5"/>
    <w:rsid w:val="00E21C37"/>
    <w:rsid w:val="00E21DFF"/>
    <w:rsid w:val="00E23B4F"/>
    <w:rsid w:val="00E23BEE"/>
    <w:rsid w:val="00E24CA2"/>
    <w:rsid w:val="00E31455"/>
    <w:rsid w:val="00E41C92"/>
    <w:rsid w:val="00E42C26"/>
    <w:rsid w:val="00E517E9"/>
    <w:rsid w:val="00E5416C"/>
    <w:rsid w:val="00E55228"/>
    <w:rsid w:val="00E55FFA"/>
    <w:rsid w:val="00E646B5"/>
    <w:rsid w:val="00E65D5B"/>
    <w:rsid w:val="00E66CE8"/>
    <w:rsid w:val="00E67973"/>
    <w:rsid w:val="00E712B1"/>
    <w:rsid w:val="00E80A04"/>
    <w:rsid w:val="00E80A64"/>
    <w:rsid w:val="00E80CED"/>
    <w:rsid w:val="00E812A3"/>
    <w:rsid w:val="00E81AE4"/>
    <w:rsid w:val="00E84209"/>
    <w:rsid w:val="00E86206"/>
    <w:rsid w:val="00E86C10"/>
    <w:rsid w:val="00E86D30"/>
    <w:rsid w:val="00E910E3"/>
    <w:rsid w:val="00E917F5"/>
    <w:rsid w:val="00E94964"/>
    <w:rsid w:val="00E957C2"/>
    <w:rsid w:val="00EA4CAA"/>
    <w:rsid w:val="00EA6E9C"/>
    <w:rsid w:val="00EB1BF5"/>
    <w:rsid w:val="00EB2D8B"/>
    <w:rsid w:val="00EB4B67"/>
    <w:rsid w:val="00EB5D44"/>
    <w:rsid w:val="00EC070C"/>
    <w:rsid w:val="00EC2E1E"/>
    <w:rsid w:val="00ED15FA"/>
    <w:rsid w:val="00ED407D"/>
    <w:rsid w:val="00ED5973"/>
    <w:rsid w:val="00ED7596"/>
    <w:rsid w:val="00ED7691"/>
    <w:rsid w:val="00ED7836"/>
    <w:rsid w:val="00EF0F4D"/>
    <w:rsid w:val="00EF28E6"/>
    <w:rsid w:val="00EF29C4"/>
    <w:rsid w:val="00EF4CB3"/>
    <w:rsid w:val="00EF63ED"/>
    <w:rsid w:val="00F00467"/>
    <w:rsid w:val="00F0380A"/>
    <w:rsid w:val="00F03C97"/>
    <w:rsid w:val="00F06040"/>
    <w:rsid w:val="00F122AF"/>
    <w:rsid w:val="00F1624F"/>
    <w:rsid w:val="00F171C3"/>
    <w:rsid w:val="00F26CF5"/>
    <w:rsid w:val="00F33C6D"/>
    <w:rsid w:val="00F35268"/>
    <w:rsid w:val="00F352AD"/>
    <w:rsid w:val="00F36062"/>
    <w:rsid w:val="00F37BB5"/>
    <w:rsid w:val="00F402B8"/>
    <w:rsid w:val="00F40F22"/>
    <w:rsid w:val="00F462C1"/>
    <w:rsid w:val="00F4690C"/>
    <w:rsid w:val="00F469C9"/>
    <w:rsid w:val="00F519F9"/>
    <w:rsid w:val="00F52BA9"/>
    <w:rsid w:val="00F546A1"/>
    <w:rsid w:val="00F60591"/>
    <w:rsid w:val="00F620FC"/>
    <w:rsid w:val="00F63C14"/>
    <w:rsid w:val="00F6745C"/>
    <w:rsid w:val="00F67E95"/>
    <w:rsid w:val="00F73BFB"/>
    <w:rsid w:val="00F74B1F"/>
    <w:rsid w:val="00F76E0B"/>
    <w:rsid w:val="00F818F0"/>
    <w:rsid w:val="00F82ABD"/>
    <w:rsid w:val="00F91166"/>
    <w:rsid w:val="00F91EBC"/>
    <w:rsid w:val="00F92483"/>
    <w:rsid w:val="00F931AD"/>
    <w:rsid w:val="00F9365A"/>
    <w:rsid w:val="00F93C25"/>
    <w:rsid w:val="00F94615"/>
    <w:rsid w:val="00F9571D"/>
    <w:rsid w:val="00FA3681"/>
    <w:rsid w:val="00FA72A3"/>
    <w:rsid w:val="00FB055C"/>
    <w:rsid w:val="00FC119F"/>
    <w:rsid w:val="00FC29BE"/>
    <w:rsid w:val="00FD212C"/>
    <w:rsid w:val="00FD2AF5"/>
    <w:rsid w:val="00FD3249"/>
    <w:rsid w:val="00FD40D8"/>
    <w:rsid w:val="00FD5F85"/>
    <w:rsid w:val="00FD7848"/>
    <w:rsid w:val="00FD7F36"/>
    <w:rsid w:val="00FE0884"/>
    <w:rsid w:val="00FE0BE1"/>
    <w:rsid w:val="00FE2D31"/>
    <w:rsid w:val="00FF1161"/>
    <w:rsid w:val="00FF3767"/>
    <w:rsid w:val="00FF4896"/>
    <w:rsid w:val="014507C8"/>
    <w:rsid w:val="056FAE8A"/>
    <w:rsid w:val="05D14359"/>
    <w:rsid w:val="082AC902"/>
    <w:rsid w:val="0B34C3F4"/>
    <w:rsid w:val="0C7B6107"/>
    <w:rsid w:val="0CD164D4"/>
    <w:rsid w:val="112074FF"/>
    <w:rsid w:val="1694832D"/>
    <w:rsid w:val="196625AA"/>
    <w:rsid w:val="1C5D034E"/>
    <w:rsid w:val="1F334F75"/>
    <w:rsid w:val="2167B114"/>
    <w:rsid w:val="221B1BC3"/>
    <w:rsid w:val="27A91C2C"/>
    <w:rsid w:val="2E8261F6"/>
    <w:rsid w:val="2F888944"/>
    <w:rsid w:val="312BE785"/>
    <w:rsid w:val="327EB520"/>
    <w:rsid w:val="39B5097E"/>
    <w:rsid w:val="3FE26C6E"/>
    <w:rsid w:val="48B04784"/>
    <w:rsid w:val="49DE4B3F"/>
    <w:rsid w:val="4A733167"/>
    <w:rsid w:val="4BCC620F"/>
    <w:rsid w:val="54B22083"/>
    <w:rsid w:val="567CE4F9"/>
    <w:rsid w:val="5899E9D1"/>
    <w:rsid w:val="5971DC87"/>
    <w:rsid w:val="5974F3FF"/>
    <w:rsid w:val="59DAFB93"/>
    <w:rsid w:val="59DDE0F4"/>
    <w:rsid w:val="5C6AB6B5"/>
    <w:rsid w:val="5CA653B5"/>
    <w:rsid w:val="5D080407"/>
    <w:rsid w:val="604E5003"/>
    <w:rsid w:val="61B07537"/>
    <w:rsid w:val="62B87D48"/>
    <w:rsid w:val="67C645AE"/>
    <w:rsid w:val="6836822C"/>
    <w:rsid w:val="693FE9CD"/>
    <w:rsid w:val="6AFEC25B"/>
    <w:rsid w:val="6D0FA8CD"/>
    <w:rsid w:val="6FA924B3"/>
    <w:rsid w:val="724D1F29"/>
    <w:rsid w:val="7669622C"/>
    <w:rsid w:val="772E4103"/>
    <w:rsid w:val="7A2BC5D2"/>
    <w:rsid w:val="7DF007F1"/>
    <w:rsid w:val="7E6F910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6329"/>
  <w15:docId w15:val="{D444B959-09E8-478A-9131-BCC54BE8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496"/>
      <w:ind w:left="143"/>
      <w:outlineLvl w:val="0"/>
    </w:pPr>
    <w:rPr>
      <w:sz w:val="52"/>
      <w:szCs w:val="52"/>
      <w:lang w:val="en-US"/>
    </w:rPr>
  </w:style>
  <w:style w:type="paragraph" w:styleId="Heading2">
    <w:name w:val="heading 2"/>
    <w:basedOn w:val="Normal"/>
    <w:uiPriority w:val="9"/>
    <w:unhideWhenUsed/>
    <w:qFormat/>
    <w:pPr>
      <w:spacing w:before="1"/>
      <w:ind w:left="143"/>
      <w:outlineLvl w:val="1"/>
    </w:pPr>
    <w:rPr>
      <w:sz w:val="32"/>
      <w:szCs w:val="32"/>
      <w:lang w:val="en-US"/>
    </w:rPr>
  </w:style>
  <w:style w:type="paragraph" w:styleId="Heading3">
    <w:name w:val="heading 3"/>
    <w:basedOn w:val="Normal"/>
    <w:uiPriority w:val="9"/>
    <w:unhideWhenUsed/>
    <w:qFormat/>
    <w:pPr>
      <w:spacing w:before="240"/>
      <w:ind w:left="1582" w:hanging="1151"/>
      <w:outlineLvl w:val="2"/>
    </w:pPr>
    <w:rPr>
      <w:b/>
      <w:bCs/>
      <w:sz w:val="24"/>
      <w:szCs w:val="24"/>
      <w:lang w:val="en-US"/>
    </w:rPr>
  </w:style>
  <w:style w:type="paragraph" w:styleId="Heading4">
    <w:name w:val="heading 4"/>
    <w:basedOn w:val="Normal"/>
    <w:uiPriority w:val="9"/>
    <w:unhideWhenUsed/>
    <w:qFormat/>
    <w:pPr>
      <w:spacing w:before="119"/>
      <w:ind w:left="103"/>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47" w:hanging="310"/>
    </w:pPr>
    <w:rPr>
      <w:b/>
      <w:bCs/>
      <w:lang w:val="en-US"/>
    </w:rPr>
  </w:style>
  <w:style w:type="paragraph" w:styleId="TOC2">
    <w:name w:val="toc 2"/>
    <w:basedOn w:val="Normal"/>
    <w:uiPriority w:val="1"/>
    <w:qFormat/>
    <w:pPr>
      <w:spacing w:before="80"/>
      <w:ind w:left="143"/>
    </w:pPr>
    <w:rPr>
      <w:lang w:val="en-US"/>
    </w:rPr>
  </w:style>
  <w:style w:type="paragraph" w:styleId="TOC3">
    <w:name w:val="toc 3"/>
    <w:basedOn w:val="Normal"/>
    <w:uiPriority w:val="1"/>
    <w:qFormat/>
    <w:pPr>
      <w:ind w:left="1462" w:hanging="753"/>
    </w:pPr>
    <w:rPr>
      <w:lang w:val="en-US"/>
    </w:rPr>
  </w:style>
  <w:style w:type="paragraph" w:styleId="BodyText">
    <w:name w:val="Body Text"/>
    <w:basedOn w:val="Normal"/>
    <w:uiPriority w:val="1"/>
    <w:qFormat/>
    <w:rPr>
      <w:lang w:val="en-US"/>
    </w:rPr>
  </w:style>
  <w:style w:type="paragraph" w:styleId="Title">
    <w:name w:val="Title"/>
    <w:basedOn w:val="Normal"/>
    <w:uiPriority w:val="10"/>
    <w:qFormat/>
    <w:pPr>
      <w:spacing w:before="597"/>
      <w:ind w:left="143"/>
    </w:pPr>
    <w:rPr>
      <w:sz w:val="56"/>
      <w:szCs w:val="56"/>
      <w:lang w:val="en-US"/>
    </w:rPr>
  </w:style>
  <w:style w:type="paragraph" w:styleId="ListParagraph">
    <w:name w:val="List Paragraph"/>
    <w:basedOn w:val="Normal"/>
    <w:uiPriority w:val="1"/>
    <w:qFormat/>
    <w:pPr>
      <w:spacing w:before="120"/>
      <w:ind w:left="570" w:hanging="286"/>
      <w:jc w:val="both"/>
    </w:pPr>
    <w:rPr>
      <w:lang w:val="en-US"/>
    </w:rPr>
  </w:style>
  <w:style w:type="paragraph" w:customStyle="1" w:styleId="TableParagraph">
    <w:name w:val="Table Paragraph"/>
    <w:basedOn w:val="Normal"/>
    <w:uiPriority w:val="1"/>
    <w:qFormat/>
    <w:pPr>
      <w:spacing w:line="268" w:lineRule="exact"/>
      <w:ind w:left="107"/>
    </w:pPr>
    <w:rPr>
      <w:lang w:val="en-US"/>
    </w:rPr>
  </w:style>
  <w:style w:type="character" w:styleId="Hyperlink">
    <w:name w:val="Hyperlink"/>
    <w:basedOn w:val="DefaultParagraphFont"/>
    <w:uiPriority w:val="99"/>
    <w:unhideWhenUsed/>
    <w:rsid w:val="00D24A8A"/>
    <w:rPr>
      <w:color w:val="0000FF" w:themeColor="hyperlink"/>
      <w:u w:val="single"/>
    </w:rPr>
  </w:style>
  <w:style w:type="character" w:styleId="UnresolvedMention">
    <w:name w:val="Unresolved Mention"/>
    <w:basedOn w:val="DefaultParagraphFont"/>
    <w:uiPriority w:val="99"/>
    <w:semiHidden/>
    <w:unhideWhenUsed/>
    <w:rsid w:val="00D24A8A"/>
    <w:rPr>
      <w:color w:val="605E5C"/>
      <w:shd w:val="clear" w:color="auto" w:fill="E1DFDD"/>
    </w:rPr>
  </w:style>
  <w:style w:type="character" w:styleId="FollowedHyperlink">
    <w:name w:val="FollowedHyperlink"/>
    <w:basedOn w:val="DefaultParagraphFont"/>
    <w:uiPriority w:val="99"/>
    <w:semiHidden/>
    <w:unhideWhenUsed/>
    <w:rsid w:val="00C46A90"/>
    <w:rPr>
      <w:color w:val="800080" w:themeColor="followedHyperlink"/>
      <w:u w:val="single"/>
    </w:rPr>
  </w:style>
  <w:style w:type="paragraph" w:styleId="Header">
    <w:name w:val="header"/>
    <w:basedOn w:val="Normal"/>
    <w:link w:val="HeaderChar"/>
    <w:uiPriority w:val="99"/>
    <w:unhideWhenUsed/>
    <w:rsid w:val="00834BCF"/>
    <w:pPr>
      <w:tabs>
        <w:tab w:val="center" w:pos="4513"/>
        <w:tab w:val="right" w:pos="9026"/>
      </w:tabs>
    </w:pPr>
  </w:style>
  <w:style w:type="character" w:customStyle="1" w:styleId="HeaderChar">
    <w:name w:val="Header Char"/>
    <w:basedOn w:val="DefaultParagraphFont"/>
    <w:link w:val="Header"/>
    <w:uiPriority w:val="99"/>
    <w:rsid w:val="00834BCF"/>
    <w:rPr>
      <w:rFonts w:ascii="Calibri" w:eastAsia="Calibri" w:hAnsi="Calibri" w:cs="Calibri"/>
      <w:lang w:val="en-GB"/>
    </w:rPr>
  </w:style>
  <w:style w:type="paragraph" w:styleId="Footer">
    <w:name w:val="footer"/>
    <w:basedOn w:val="Normal"/>
    <w:link w:val="FooterChar"/>
    <w:uiPriority w:val="99"/>
    <w:unhideWhenUsed/>
    <w:rsid w:val="00834BCF"/>
    <w:pPr>
      <w:tabs>
        <w:tab w:val="center" w:pos="4513"/>
        <w:tab w:val="right" w:pos="9026"/>
      </w:tabs>
    </w:pPr>
  </w:style>
  <w:style w:type="character" w:customStyle="1" w:styleId="FooterChar">
    <w:name w:val="Footer Char"/>
    <w:basedOn w:val="DefaultParagraphFont"/>
    <w:link w:val="Footer"/>
    <w:uiPriority w:val="99"/>
    <w:rsid w:val="00834BCF"/>
    <w:rPr>
      <w:rFonts w:ascii="Calibri" w:eastAsia="Calibri" w:hAnsi="Calibri" w:cs="Calibri"/>
      <w:lang w:val="en-GB"/>
    </w:rPr>
  </w:style>
  <w:style w:type="character" w:styleId="CommentReference">
    <w:name w:val="annotation reference"/>
    <w:basedOn w:val="DefaultParagraphFont"/>
    <w:uiPriority w:val="99"/>
    <w:semiHidden/>
    <w:unhideWhenUsed/>
    <w:rsid w:val="00684B71"/>
    <w:rPr>
      <w:sz w:val="16"/>
      <w:szCs w:val="16"/>
    </w:rPr>
  </w:style>
  <w:style w:type="paragraph" w:styleId="CommentText">
    <w:name w:val="annotation text"/>
    <w:basedOn w:val="Normal"/>
    <w:link w:val="CommentTextChar"/>
    <w:uiPriority w:val="99"/>
    <w:unhideWhenUsed/>
    <w:rsid w:val="00684B71"/>
    <w:rPr>
      <w:sz w:val="20"/>
      <w:szCs w:val="20"/>
    </w:rPr>
  </w:style>
  <w:style w:type="character" w:customStyle="1" w:styleId="CommentTextChar">
    <w:name w:val="Comment Text Char"/>
    <w:basedOn w:val="DefaultParagraphFont"/>
    <w:link w:val="CommentText"/>
    <w:uiPriority w:val="99"/>
    <w:rsid w:val="00684B71"/>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684B71"/>
    <w:rPr>
      <w:b/>
      <w:bCs/>
    </w:rPr>
  </w:style>
  <w:style w:type="character" w:customStyle="1" w:styleId="CommentSubjectChar">
    <w:name w:val="Comment Subject Char"/>
    <w:basedOn w:val="CommentTextChar"/>
    <w:link w:val="CommentSubject"/>
    <w:uiPriority w:val="99"/>
    <w:semiHidden/>
    <w:rsid w:val="00684B71"/>
    <w:rPr>
      <w:rFonts w:ascii="Calibri" w:eastAsia="Calibri" w:hAnsi="Calibri" w:cs="Calibri"/>
      <w:b/>
      <w:bCs/>
      <w:sz w:val="20"/>
      <w:szCs w:val="20"/>
      <w:lang w:val="en-GB"/>
    </w:rPr>
  </w:style>
  <w:style w:type="character" w:styleId="Mention">
    <w:name w:val="Mention"/>
    <w:basedOn w:val="DefaultParagraphFont"/>
    <w:uiPriority w:val="99"/>
    <w:unhideWhenUsed/>
    <w:rsid w:val="009312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ma.europa.eu/sites/default/files/2026-01/ESAs_Final_Report_-_Joint_Guidelines_on_ESG_Stress_Testing.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ma.europa.eu/sites/default/files/2026-01/ESAs_Final_Report_-_Joint_Guidelines_on_ESG_Stress_Testing.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59f7a68d-61cf-4024-84d4-298994dd1bbe" xsi:nil="true"/>
    <_ip_UnifiedCompliancePolicyProperties xmlns="http://schemas.microsoft.com/sharepoint/v3" xsi:nil="true"/>
    <TaxCatchAll xmlns="ee823e78-f313-45cd-95e0-d75152a21556" xsi:nil="true"/>
    <lcf76f155ced4ddcb4097134ff3c332f xmlns="59f7a68d-61cf-4024-84d4-298994dd1b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05088B76454E4299986F46D65EDAF5" ma:contentTypeVersion="18" ma:contentTypeDescription="Create a new document." ma:contentTypeScope="" ma:versionID="2124661959d7feaaeb8b29ce6f8b765f">
  <xsd:schema xmlns:xsd="http://www.w3.org/2001/XMLSchema" xmlns:xs="http://www.w3.org/2001/XMLSchema" xmlns:p="http://schemas.microsoft.com/office/2006/metadata/properties" xmlns:ns1="http://schemas.microsoft.com/sharepoint/v3" xmlns:ns2="59f7a68d-61cf-4024-84d4-298994dd1bbe" xmlns:ns3="ee823e78-f313-45cd-95e0-d75152a21556" targetNamespace="http://schemas.microsoft.com/office/2006/metadata/properties" ma:root="true" ma:fieldsID="a8de65a0be8c690effb583576f5f897a" ns1:_="" ns2:_="" ns3:_="">
    <xsd:import namespace="http://schemas.microsoft.com/sharepoint/v3"/>
    <xsd:import namespace="59f7a68d-61cf-4024-84d4-298994dd1bbe"/>
    <xsd:import namespace="ee823e78-f313-45cd-95e0-d75152a21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f7a68d-61cf-4024-84d4-298994dd1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03c4af3-d430-4f28-9747-46973365dc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s" ma:index="24" nillable="true" ma:displayName="Comments" ma:format="Dropdown" ma:internalName="Comment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23e78-f313-45cd-95e0-d75152a215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d6369dc-236e-4bbb-ba03-d8da9e77a87d}" ma:internalName="TaxCatchAll" ma:showField="CatchAllData" ma:web="ee823e78-f313-45cd-95e0-d75152a215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1FBCE-0409-48E9-B7CE-A40D4CE2530E}">
  <ds:schemaRefs>
    <ds:schemaRef ds:uri="http://schemas.microsoft.com/office/2006/documentManagement/types"/>
    <ds:schemaRef ds:uri="http://www.w3.org/XML/1998/namespace"/>
    <ds:schemaRef ds:uri="http://purl.org/dc/dcmitype/"/>
    <ds:schemaRef ds:uri="http://purl.org/dc/terms/"/>
    <ds:schemaRef ds:uri="59f7a68d-61cf-4024-84d4-298994dd1bb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ee823e78-f313-45cd-95e0-d75152a21556"/>
    <ds:schemaRef ds:uri="http://schemas.microsoft.com/sharepoint/v3"/>
  </ds:schemaRefs>
</ds:datastoreItem>
</file>

<file path=customXml/itemProps2.xml><?xml version="1.0" encoding="utf-8"?>
<ds:datastoreItem xmlns:ds="http://schemas.openxmlformats.org/officeDocument/2006/customXml" ds:itemID="{81051D5A-DCE6-4BEB-980C-5F5CF3CDFB53}">
  <ds:schemaRefs>
    <ds:schemaRef ds:uri="http://schemas.openxmlformats.org/officeDocument/2006/bibliography"/>
  </ds:schemaRefs>
</ds:datastoreItem>
</file>

<file path=customXml/itemProps3.xml><?xml version="1.0" encoding="utf-8"?>
<ds:datastoreItem xmlns:ds="http://schemas.openxmlformats.org/officeDocument/2006/customXml" ds:itemID="{393392F2-417E-487C-99D5-757B9ECB8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f7a68d-61cf-4024-84d4-298994dd1bbe"/>
    <ds:schemaRef ds:uri="ee823e78-f313-45cd-95e0-d75152a21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66AEB-5A4E-4A6F-AFDB-49949803E4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14</Pages>
  <Words>6751</Words>
  <Characters>37134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Rabobank</Company>
  <LinksUpToDate>false</LinksUpToDate>
  <CharactersWithSpaces>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Caspar Corneel van Niekerk</dc:creator>
  <cp:keywords/>
  <cp:lastModifiedBy>Haasbroek, LJ (Leendert)</cp:lastModifiedBy>
  <cp:revision>46</cp:revision>
  <cp:lastPrinted>2026-02-17T23:02:00Z</cp:lastPrinted>
  <dcterms:created xsi:type="dcterms:W3CDTF">2026-05-04T15:12:00Z</dcterms:created>
  <dcterms:modified xsi:type="dcterms:W3CDTF">2026-05-07T14:39:00Z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 for Microsoft 365</vt:lpwstr>
  </property>
  <property fmtid="{D5CDD505-2E9C-101B-9397-08002B2CF9AE}" pid="4" name="LastSaved">
    <vt:filetime>2026-02-10T00:00:00Z</vt:filetime>
  </property>
  <property fmtid="{D5CDD505-2E9C-101B-9397-08002B2CF9AE}" pid="5" name="MSIP_Label_e66ba66e-8b7b-475b-ae81-4aab15d5f212_Enabled">
    <vt:lpwstr>True</vt:lpwstr>
  </property>
  <property fmtid="{D5CDD505-2E9C-101B-9397-08002B2CF9AE}" pid="6" name="MSIP_Label_e66ba66e-8b7b-475b-ae81-4aab15d5f212_Method">
    <vt:lpwstr>Privileged</vt:lpwstr>
  </property>
  <property fmtid="{D5CDD505-2E9C-101B-9397-08002B2CF9AE}" pid="7" name="MSIP_Label_e66ba66e-8b7b-475b-ae81-4aab15d5f212_SiteId">
    <vt:lpwstr>3bacb4ff-f1a2-4c92-b96c-e99fec826b68</vt:lpwstr>
  </property>
  <property fmtid="{D5CDD505-2E9C-101B-9397-08002B2CF9AE}" pid="8" name="Producer">
    <vt:lpwstr>Microsoft® Word for Microsoft 365</vt:lpwstr>
  </property>
  <property fmtid="{D5CDD505-2E9C-101B-9397-08002B2CF9AE}" pid="9" name="ContentTypeId">
    <vt:lpwstr>0x0101005F05088B76454E4299986F46D65EDAF5</vt:lpwstr>
  </property>
  <property fmtid="{D5CDD505-2E9C-101B-9397-08002B2CF9AE}" pid="10" name="MediaServiceImageTags">
    <vt:lpwstr/>
  </property>
  <property fmtid="{D5CDD505-2E9C-101B-9397-08002B2CF9AE}" pid="11" name="docLang">
    <vt:lpwstr>en</vt:lpwstr>
  </property>
</Properties>
</file>