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BA5DA" w14:textId="77777777" w:rsidR="00A904B6" w:rsidRDefault="00DB2207">
      <w:pPr>
        <w:spacing w:before="480" w:after="120"/>
      </w:pPr>
      <w:r>
        <w:rPr>
          <w:b/>
          <w:bCs/>
          <w:color w:val="003366"/>
          <w:sz w:val="56"/>
          <w:szCs w:val="56"/>
        </w:rPr>
        <w:t>ezbob Ltd</w:t>
      </w:r>
    </w:p>
    <w:p w14:paraId="5F168731" w14:textId="77777777" w:rsidR="00A904B6" w:rsidRDefault="00DB2207">
      <w:pPr>
        <w:spacing w:after="80"/>
      </w:pPr>
      <w:r>
        <w:rPr>
          <w:color w:val="1F5C8B"/>
          <w:sz w:val="36"/>
          <w:szCs w:val="36"/>
        </w:rPr>
        <w:t>Consultation Response</w:t>
      </w:r>
    </w:p>
    <w:p w14:paraId="7E4D4B53" w14:textId="77777777" w:rsidR="00A904B6" w:rsidRDefault="00A904B6">
      <w:pPr>
        <w:pBdr>
          <w:bottom w:val="single" w:sz="2" w:space="4" w:color="CCCCCC"/>
        </w:pBdr>
        <w:spacing w:before="120" w:after="120"/>
      </w:pPr>
    </w:p>
    <w:p w14:paraId="764F97E6" w14:textId="77777777" w:rsidR="00A904B6" w:rsidRDefault="00DB2207">
      <w:pPr>
        <w:spacing w:before="200" w:after="100"/>
      </w:pPr>
      <w:r>
        <w:rPr>
          <w:b/>
          <w:bCs/>
          <w:color w:val="000000"/>
          <w:sz w:val="28"/>
          <w:szCs w:val="28"/>
        </w:rPr>
        <w:t>EBA Discussion Paper on Simplification and Assessment of the Credit Risk Framework</w:t>
      </w:r>
    </w:p>
    <w:p w14:paraId="6683505B" w14:textId="77777777" w:rsidR="00A904B6" w:rsidRDefault="00DB2207">
      <w:pPr>
        <w:spacing w:after="280"/>
      </w:pPr>
      <w:r>
        <w:rPr>
          <w:i/>
          <w:iCs/>
          <w:color w:val="595959"/>
        </w:rPr>
        <w:t>EBA/DP/2026/01 — Published 9 February 2026</w:t>
      </w:r>
    </w:p>
    <w:p w14:paraId="56AEB25C" w14:textId="77777777" w:rsidR="00A904B6" w:rsidRDefault="00A904B6">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A904B6" w14:paraId="4048517A"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60" w:type="dxa"/>
              <w:bottom w:w="80" w:type="dxa"/>
              <w:right w:w="160" w:type="dxa"/>
            </w:tcMar>
          </w:tcPr>
          <w:p w14:paraId="06FD6491" w14:textId="77777777" w:rsidR="00A904B6" w:rsidRDefault="00DB2207">
            <w:r>
              <w:rPr>
                <w:b/>
                <w:bCs/>
                <w:color w:val="003366"/>
                <w:sz w:val="20"/>
                <w:szCs w:val="20"/>
              </w:rPr>
              <w:t>Respondent</w:t>
            </w:r>
          </w:p>
        </w:tc>
        <w:tc>
          <w:tcPr>
            <w:tcW w:w="6560" w:type="dxa"/>
            <w:tcBorders>
              <w:top w:val="single" w:sz="1" w:space="0" w:color="CCCCCC"/>
              <w:left w:val="single" w:sz="1" w:space="0" w:color="CCCCCC"/>
              <w:bottom w:val="single" w:sz="1" w:space="0" w:color="CCCCCC"/>
              <w:right w:val="single" w:sz="1" w:space="0" w:color="CCCCCC"/>
            </w:tcBorders>
            <w:tcMar>
              <w:top w:w="80" w:type="dxa"/>
              <w:left w:w="160" w:type="dxa"/>
              <w:bottom w:w="80" w:type="dxa"/>
              <w:right w:w="160" w:type="dxa"/>
            </w:tcMar>
          </w:tcPr>
          <w:p w14:paraId="4207CCCB" w14:textId="77777777" w:rsidR="00A904B6" w:rsidRDefault="00DB2207">
            <w:r>
              <w:rPr>
                <w:color w:val="000000"/>
                <w:sz w:val="20"/>
                <w:szCs w:val="20"/>
              </w:rPr>
              <w:t>ezbob Ltd</w:t>
            </w:r>
          </w:p>
        </w:tc>
      </w:tr>
      <w:tr w:rsidR="00A904B6" w14:paraId="555EF7EF"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60" w:type="dxa"/>
              <w:bottom w:w="80" w:type="dxa"/>
              <w:right w:w="160" w:type="dxa"/>
            </w:tcMar>
          </w:tcPr>
          <w:p w14:paraId="316A84F8" w14:textId="77777777" w:rsidR="00A904B6" w:rsidRDefault="00DB2207">
            <w:r>
              <w:rPr>
                <w:b/>
                <w:bCs/>
                <w:color w:val="003366"/>
                <w:sz w:val="20"/>
                <w:szCs w:val="20"/>
              </w:rPr>
              <w:t>Contact</w:t>
            </w:r>
          </w:p>
        </w:tc>
        <w:tc>
          <w:tcPr>
            <w:tcW w:w="6560" w:type="dxa"/>
            <w:tcBorders>
              <w:top w:val="single" w:sz="1" w:space="0" w:color="CCCCCC"/>
              <w:left w:val="single" w:sz="1" w:space="0" w:color="CCCCCC"/>
              <w:bottom w:val="single" w:sz="1" w:space="0" w:color="CCCCCC"/>
              <w:right w:val="single" w:sz="1" w:space="0" w:color="CCCCCC"/>
            </w:tcBorders>
            <w:tcMar>
              <w:top w:w="80" w:type="dxa"/>
              <w:left w:w="160" w:type="dxa"/>
              <w:bottom w:w="80" w:type="dxa"/>
              <w:right w:w="160" w:type="dxa"/>
            </w:tcMar>
          </w:tcPr>
          <w:p w14:paraId="5E7BFB27" w14:textId="77777777" w:rsidR="00A904B6" w:rsidRDefault="00DB2207">
            <w:r>
              <w:rPr>
                <w:color w:val="000000"/>
                <w:sz w:val="20"/>
                <w:szCs w:val="20"/>
              </w:rPr>
              <w:t>John Christiansen, Chief Risk Officer</w:t>
            </w:r>
          </w:p>
        </w:tc>
      </w:tr>
      <w:tr w:rsidR="00A904B6" w14:paraId="1EAF0EB0"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60" w:type="dxa"/>
              <w:bottom w:w="80" w:type="dxa"/>
              <w:right w:w="160" w:type="dxa"/>
            </w:tcMar>
          </w:tcPr>
          <w:p w14:paraId="375A73D3" w14:textId="77777777" w:rsidR="00A904B6" w:rsidRDefault="00DB2207">
            <w:r>
              <w:rPr>
                <w:b/>
                <w:bCs/>
                <w:color w:val="003366"/>
                <w:sz w:val="20"/>
                <w:szCs w:val="20"/>
              </w:rPr>
              <w:t>Address</w:t>
            </w:r>
          </w:p>
        </w:tc>
        <w:tc>
          <w:tcPr>
            <w:tcW w:w="6560" w:type="dxa"/>
            <w:tcBorders>
              <w:top w:val="single" w:sz="1" w:space="0" w:color="CCCCCC"/>
              <w:left w:val="single" w:sz="1" w:space="0" w:color="CCCCCC"/>
              <w:bottom w:val="single" w:sz="1" w:space="0" w:color="CCCCCC"/>
              <w:right w:val="single" w:sz="1" w:space="0" w:color="CCCCCC"/>
            </w:tcBorders>
            <w:tcMar>
              <w:top w:w="80" w:type="dxa"/>
              <w:left w:w="160" w:type="dxa"/>
              <w:bottom w:w="80" w:type="dxa"/>
              <w:right w:w="160" w:type="dxa"/>
            </w:tcMar>
          </w:tcPr>
          <w:p w14:paraId="241A43FD" w14:textId="35D8271C" w:rsidR="00A904B6" w:rsidRDefault="002907F5">
            <w:r>
              <w:rPr>
                <w:color w:val="000000"/>
                <w:sz w:val="20"/>
                <w:szCs w:val="20"/>
              </w:rPr>
              <w:t>120 New Cavendish</w:t>
            </w:r>
            <w:r w:rsidR="00DB2207">
              <w:rPr>
                <w:color w:val="000000"/>
                <w:sz w:val="20"/>
                <w:szCs w:val="20"/>
              </w:rPr>
              <w:t xml:space="preserve"> Street, London W1W </w:t>
            </w:r>
            <w:r>
              <w:rPr>
                <w:color w:val="000000"/>
                <w:sz w:val="20"/>
                <w:szCs w:val="20"/>
              </w:rPr>
              <w:t>6XX</w:t>
            </w:r>
            <w:r w:rsidR="00DB2207">
              <w:rPr>
                <w:color w:val="000000"/>
                <w:sz w:val="20"/>
                <w:szCs w:val="20"/>
              </w:rPr>
              <w:t>, United Kingdom</w:t>
            </w:r>
          </w:p>
        </w:tc>
      </w:tr>
      <w:tr w:rsidR="00A904B6" w14:paraId="35C050B5"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60" w:type="dxa"/>
              <w:bottom w:w="80" w:type="dxa"/>
              <w:right w:w="160" w:type="dxa"/>
            </w:tcMar>
          </w:tcPr>
          <w:p w14:paraId="3CD33E3E" w14:textId="77777777" w:rsidR="00A904B6" w:rsidRDefault="00DB2207">
            <w:r>
              <w:rPr>
                <w:b/>
                <w:bCs/>
                <w:color w:val="003366"/>
                <w:sz w:val="20"/>
                <w:szCs w:val="20"/>
              </w:rPr>
              <w:t>Email</w:t>
            </w:r>
          </w:p>
        </w:tc>
        <w:tc>
          <w:tcPr>
            <w:tcW w:w="6560" w:type="dxa"/>
            <w:tcBorders>
              <w:top w:val="single" w:sz="1" w:space="0" w:color="CCCCCC"/>
              <w:left w:val="single" w:sz="1" w:space="0" w:color="CCCCCC"/>
              <w:bottom w:val="single" w:sz="1" w:space="0" w:color="CCCCCC"/>
              <w:right w:val="single" w:sz="1" w:space="0" w:color="CCCCCC"/>
            </w:tcBorders>
            <w:tcMar>
              <w:top w:w="80" w:type="dxa"/>
              <w:left w:w="160" w:type="dxa"/>
              <w:bottom w:w="80" w:type="dxa"/>
              <w:right w:w="160" w:type="dxa"/>
            </w:tcMar>
          </w:tcPr>
          <w:p w14:paraId="0F07B53B" w14:textId="2A31CDDE" w:rsidR="00A904B6" w:rsidRDefault="00DB2207">
            <w:r>
              <w:rPr>
                <w:color w:val="000000"/>
                <w:sz w:val="20"/>
                <w:szCs w:val="20"/>
              </w:rPr>
              <w:t>j</w:t>
            </w:r>
            <w:r w:rsidR="002907F5">
              <w:rPr>
                <w:color w:val="000000"/>
                <w:sz w:val="20"/>
                <w:szCs w:val="20"/>
              </w:rPr>
              <w:t>ohn</w:t>
            </w:r>
            <w:r>
              <w:rPr>
                <w:color w:val="000000"/>
                <w:sz w:val="20"/>
                <w:szCs w:val="20"/>
              </w:rPr>
              <w:t>.christiansen@ezbob.com</w:t>
            </w:r>
          </w:p>
        </w:tc>
      </w:tr>
      <w:tr w:rsidR="00A904B6" w14:paraId="6E5BCC20"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60" w:type="dxa"/>
              <w:bottom w:w="80" w:type="dxa"/>
              <w:right w:w="160" w:type="dxa"/>
            </w:tcMar>
          </w:tcPr>
          <w:p w14:paraId="2DE4F30A" w14:textId="77777777" w:rsidR="00A904B6" w:rsidRDefault="00DB2207">
            <w:r>
              <w:rPr>
                <w:b/>
                <w:bCs/>
                <w:color w:val="003366"/>
                <w:sz w:val="20"/>
                <w:szCs w:val="20"/>
              </w:rPr>
              <w:t>Submission Date</w:t>
            </w:r>
          </w:p>
        </w:tc>
        <w:tc>
          <w:tcPr>
            <w:tcW w:w="6560" w:type="dxa"/>
            <w:tcBorders>
              <w:top w:val="single" w:sz="1" w:space="0" w:color="CCCCCC"/>
              <w:left w:val="single" w:sz="1" w:space="0" w:color="CCCCCC"/>
              <w:bottom w:val="single" w:sz="1" w:space="0" w:color="CCCCCC"/>
              <w:right w:val="single" w:sz="1" w:space="0" w:color="CCCCCC"/>
            </w:tcBorders>
            <w:tcMar>
              <w:top w:w="80" w:type="dxa"/>
              <w:left w:w="160" w:type="dxa"/>
              <w:bottom w:w="80" w:type="dxa"/>
              <w:right w:w="160" w:type="dxa"/>
            </w:tcMar>
          </w:tcPr>
          <w:p w14:paraId="434CA4D1" w14:textId="77777777" w:rsidR="00A904B6" w:rsidRDefault="00DB2207">
            <w:r>
              <w:rPr>
                <w:color w:val="000000"/>
                <w:sz w:val="20"/>
                <w:szCs w:val="20"/>
              </w:rPr>
              <w:t>May 2026</w:t>
            </w:r>
          </w:p>
        </w:tc>
      </w:tr>
      <w:tr w:rsidR="00A904B6" w14:paraId="0A87ABC2"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60" w:type="dxa"/>
              <w:bottom w:w="80" w:type="dxa"/>
              <w:right w:w="160" w:type="dxa"/>
            </w:tcMar>
          </w:tcPr>
          <w:p w14:paraId="52B2DE89" w14:textId="77777777" w:rsidR="00A904B6" w:rsidRDefault="00DB2207">
            <w:r>
              <w:rPr>
                <w:b/>
                <w:bCs/>
                <w:color w:val="003366"/>
                <w:sz w:val="20"/>
                <w:szCs w:val="20"/>
              </w:rPr>
              <w:t>Reference</w:t>
            </w:r>
          </w:p>
        </w:tc>
        <w:tc>
          <w:tcPr>
            <w:tcW w:w="6560" w:type="dxa"/>
            <w:tcBorders>
              <w:top w:val="single" w:sz="1" w:space="0" w:color="CCCCCC"/>
              <w:left w:val="single" w:sz="1" w:space="0" w:color="CCCCCC"/>
              <w:bottom w:val="single" w:sz="1" w:space="0" w:color="CCCCCC"/>
              <w:right w:val="single" w:sz="1" w:space="0" w:color="CCCCCC"/>
            </w:tcBorders>
            <w:tcMar>
              <w:top w:w="80" w:type="dxa"/>
              <w:left w:w="160" w:type="dxa"/>
              <w:bottom w:w="80" w:type="dxa"/>
              <w:right w:w="160" w:type="dxa"/>
            </w:tcMar>
          </w:tcPr>
          <w:p w14:paraId="331011CD" w14:textId="77777777" w:rsidR="00A904B6" w:rsidRDefault="00DB2207">
            <w:r>
              <w:rPr>
                <w:color w:val="000000"/>
                <w:sz w:val="20"/>
                <w:szCs w:val="20"/>
              </w:rPr>
              <w:t>EBA/DP/2026/01</w:t>
            </w:r>
          </w:p>
        </w:tc>
      </w:tr>
      <w:tr w:rsidR="00A904B6" w14:paraId="2A6CB33E"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60" w:type="dxa"/>
              <w:bottom w:w="80" w:type="dxa"/>
              <w:right w:w="160" w:type="dxa"/>
            </w:tcMar>
          </w:tcPr>
          <w:p w14:paraId="11D4F37E" w14:textId="77777777" w:rsidR="00A904B6" w:rsidRDefault="00DB2207">
            <w:r>
              <w:rPr>
                <w:b/>
                <w:bCs/>
                <w:color w:val="003366"/>
                <w:sz w:val="20"/>
                <w:szCs w:val="20"/>
              </w:rPr>
              <w:t>Confidentiality</w:t>
            </w:r>
          </w:p>
        </w:tc>
        <w:tc>
          <w:tcPr>
            <w:tcW w:w="6560" w:type="dxa"/>
            <w:tcBorders>
              <w:top w:val="single" w:sz="1" w:space="0" w:color="CCCCCC"/>
              <w:left w:val="single" w:sz="1" w:space="0" w:color="CCCCCC"/>
              <w:bottom w:val="single" w:sz="1" w:space="0" w:color="CCCCCC"/>
              <w:right w:val="single" w:sz="1" w:space="0" w:color="CCCCCC"/>
            </w:tcBorders>
            <w:tcMar>
              <w:top w:w="80" w:type="dxa"/>
              <w:left w:w="160" w:type="dxa"/>
              <w:bottom w:w="80" w:type="dxa"/>
              <w:right w:w="160" w:type="dxa"/>
            </w:tcMar>
          </w:tcPr>
          <w:p w14:paraId="318DDD39" w14:textId="77777777" w:rsidR="00A904B6" w:rsidRDefault="00DB2207">
            <w:r>
              <w:rPr>
                <w:color w:val="000000"/>
                <w:sz w:val="20"/>
                <w:szCs w:val="20"/>
              </w:rPr>
              <w:t>Public — ezbob consents to publication of this response</w:t>
            </w:r>
          </w:p>
        </w:tc>
      </w:tr>
    </w:tbl>
    <w:p w14:paraId="27251BB4" w14:textId="77777777" w:rsidR="00A904B6" w:rsidRDefault="00A904B6">
      <w:pPr>
        <w:spacing w:before="60" w:after="60"/>
      </w:pPr>
    </w:p>
    <w:p w14:paraId="55A49B7C" w14:textId="77777777" w:rsidR="00A904B6" w:rsidRDefault="00A904B6">
      <w:pPr>
        <w:spacing w:before="60" w:after="60"/>
      </w:pPr>
    </w:p>
    <w:p w14:paraId="26EDCEBF" w14:textId="77777777" w:rsidR="00A904B6" w:rsidRDefault="00DB2207">
      <w:pPr>
        <w:pStyle w:val="Heading1"/>
        <w:pBdr>
          <w:bottom w:val="single" w:sz="6" w:space="4" w:color="0070C0"/>
        </w:pBdr>
      </w:pPr>
      <w:r>
        <w:t>Executive Summary</w:t>
      </w:r>
    </w:p>
    <w:p w14:paraId="0C21420B" w14:textId="77777777" w:rsidR="00A904B6" w:rsidRDefault="00DB2207">
      <w:pPr>
        <w:spacing w:before="100" w:after="140"/>
        <w:jc w:val="both"/>
      </w:pPr>
      <w:r>
        <w:rPr>
          <w:color w:val="000000"/>
        </w:rPr>
        <w:t xml:space="preserve">ezbob Ltd welcomes the opportunity to respond to the European Banking Authority's Discussion Paper on the simplification and assessment of the credit risk framework (EBA/DP/2026/01). As a UK-based lending technology company that provides loan origination, credit decisioning, and risk management software to regulated financial institutions across the United Kingdom, European Union, and Republic of Ireland, ezbob is directly affected by — and has a material interest in — the efficient design of the EU credit </w:t>
      </w:r>
      <w:r>
        <w:rPr>
          <w:color w:val="000000"/>
        </w:rPr>
        <w:t>risk framework.</w:t>
      </w:r>
    </w:p>
    <w:p w14:paraId="72EF4C80" w14:textId="50ABB688" w:rsidR="00A904B6" w:rsidRDefault="00DB2207">
      <w:pPr>
        <w:spacing w:before="100" w:after="140"/>
        <w:jc w:val="both"/>
      </w:pPr>
      <w:r>
        <w:rPr>
          <w:color w:val="000000"/>
        </w:rPr>
        <w:t>Our response draws on three areas of operational expertise: (</w:t>
      </w:r>
      <w:proofErr w:type="spellStart"/>
      <w:r>
        <w:rPr>
          <w:color w:val="000000"/>
        </w:rPr>
        <w:t>i</w:t>
      </w:r>
      <w:proofErr w:type="spellEnd"/>
      <w:r>
        <w:rPr>
          <w:color w:val="000000"/>
        </w:rPr>
        <w:t xml:space="preserve">) the implementation of credit risk models and decision engines within regulated lending environments, including IRB-adjacent PD, LGD, and EAD frameworks through our </w:t>
      </w:r>
      <w:r w:rsidR="002907F5">
        <w:rPr>
          <w:color w:val="000000"/>
        </w:rPr>
        <w:t>modelling and decision engine</w:t>
      </w:r>
      <w:r>
        <w:rPr>
          <w:color w:val="000000"/>
        </w:rPr>
        <w:t xml:space="preserve"> platform; (ii) the design and deployment of loan origination systems (LOS) </w:t>
      </w:r>
      <w:r>
        <w:rPr>
          <w:color w:val="000000"/>
        </w:rPr>
        <w:t>for banks, specialist lenders, and credit intermediaries; and (iii) the operationalisation of EU AI Act-compliant explainable AI (XAI) frameworks for credit scoring in SME and consumer lending contexts.</w:t>
      </w:r>
    </w:p>
    <w:p w14:paraId="6156C6A8" w14:textId="77777777" w:rsidR="00A904B6" w:rsidRDefault="00DB2207">
      <w:pPr>
        <w:spacing w:before="100" w:after="140"/>
        <w:jc w:val="both"/>
      </w:pPr>
      <w:r>
        <w:rPr>
          <w:color w:val="000000"/>
        </w:rPr>
        <w:t>We support the EBA's objectives of reducing unnecessary complexity, improving consistency, and maintaining risk sensitivity. Our overarching position is that simplification should be pursued where the marginal cost of compliance with existing requirements significantly exceeds the marginal benefit in risk precision — and that technology providers such as ezbob are well-placed to translate simplified, consistent rules into better, faster implementations for clients of all sizes.</w:t>
      </w:r>
    </w:p>
    <w:p w14:paraId="590FF41F" w14:textId="77777777" w:rsidR="00A904B6" w:rsidRDefault="00DB2207">
      <w:pPr>
        <w:spacing w:before="100" w:after="140"/>
        <w:jc w:val="both"/>
      </w:pPr>
      <w:r>
        <w:rPr>
          <w:color w:val="000000"/>
        </w:rPr>
        <w:t>Key positions in this response include:</w:t>
      </w:r>
    </w:p>
    <w:p w14:paraId="541521FA" w14:textId="77777777" w:rsidR="00A904B6" w:rsidRDefault="00DB2207" w:rsidP="002907F5">
      <w:pPr>
        <w:pStyle w:val="ListParagraph"/>
        <w:numPr>
          <w:ilvl w:val="0"/>
          <w:numId w:val="4"/>
        </w:numPr>
        <w:spacing w:before="60" w:after="60"/>
        <w:jc w:val="both"/>
      </w:pPr>
      <w:r>
        <w:rPr>
          <w:color w:val="000000"/>
        </w:rPr>
        <w:lastRenderedPageBreak/>
        <w:t>Support for harmonised loss definitions and a cautious, multi-factor use of CRR Article 430a data for real estate RW assessment.</w:t>
      </w:r>
    </w:p>
    <w:p w14:paraId="49C5500F" w14:textId="77777777" w:rsidR="00A904B6" w:rsidRDefault="00DB2207" w:rsidP="002907F5">
      <w:pPr>
        <w:pStyle w:val="ListParagraph"/>
        <w:numPr>
          <w:ilvl w:val="0"/>
          <w:numId w:val="4"/>
        </w:numPr>
        <w:spacing w:before="60" w:after="60"/>
        <w:jc w:val="both"/>
      </w:pPr>
      <w:r>
        <w:rPr>
          <w:color w:val="000000"/>
        </w:rPr>
        <w:t>Strong endorsement of consolidating IRB regulatory products, which imposes disproportionate implementation costs on technology vendors and their clients.</w:t>
      </w:r>
    </w:p>
    <w:p w14:paraId="319D19EE" w14:textId="77777777" w:rsidR="00A904B6" w:rsidRDefault="00DB2207" w:rsidP="002907F5">
      <w:pPr>
        <w:pStyle w:val="ListParagraph"/>
        <w:numPr>
          <w:ilvl w:val="0"/>
          <w:numId w:val="4"/>
        </w:numPr>
        <w:spacing w:before="60" w:after="60"/>
        <w:jc w:val="both"/>
      </w:pPr>
      <w:r>
        <w:rPr>
          <w:color w:val="000000"/>
        </w:rPr>
        <w:t>Practical observations on continuous model testing requirements, drawing on our experience deploying continuous scoring models in UK SME and consumer credit environments.</w:t>
      </w:r>
    </w:p>
    <w:p w14:paraId="72F88810" w14:textId="77777777" w:rsidR="00A904B6" w:rsidRDefault="00DB2207" w:rsidP="002907F5">
      <w:pPr>
        <w:pStyle w:val="ListParagraph"/>
        <w:numPr>
          <w:ilvl w:val="0"/>
          <w:numId w:val="4"/>
        </w:numPr>
        <w:spacing w:before="60" w:after="60"/>
        <w:jc w:val="both"/>
      </w:pPr>
      <w:r>
        <w:rPr>
          <w:color w:val="000000"/>
        </w:rPr>
        <w:t>Support for the proposed simplified approaches for MoC, downturn estimation, and CCF, with specific calibration suggestions.</w:t>
      </w:r>
    </w:p>
    <w:p w14:paraId="4388CE64" w14:textId="77777777" w:rsidR="00A904B6" w:rsidRDefault="00DB2207" w:rsidP="002907F5">
      <w:pPr>
        <w:pStyle w:val="ListParagraph"/>
        <w:numPr>
          <w:ilvl w:val="0"/>
          <w:numId w:val="4"/>
        </w:numPr>
        <w:spacing w:before="60" w:after="60"/>
        <w:jc w:val="both"/>
      </w:pPr>
      <w:r>
        <w:rPr>
          <w:color w:val="000000"/>
        </w:rPr>
        <w:t>Recommendations on the proportionality dimension, which we believe should be added to the EBA's six-factor analytical framework for L1 assessment.</w:t>
      </w:r>
    </w:p>
    <w:p w14:paraId="7262A07A" w14:textId="77777777" w:rsidR="00A904B6" w:rsidRDefault="00A904B6">
      <w:pPr>
        <w:spacing w:before="60" w:after="60"/>
      </w:pPr>
    </w:p>
    <w:p w14:paraId="4CB35378" w14:textId="77777777" w:rsidR="00A904B6" w:rsidRDefault="00DB2207">
      <w:pPr>
        <w:pStyle w:val="Heading1"/>
        <w:pBdr>
          <w:bottom w:val="single" w:sz="6" w:space="4" w:color="0070C0"/>
        </w:pBdr>
      </w:pPr>
      <w:r>
        <w:t>About ezbob Ltd</w:t>
      </w:r>
    </w:p>
    <w:p w14:paraId="0CD160D4" w14:textId="77777777" w:rsidR="002907F5" w:rsidRDefault="00DB2207">
      <w:pPr>
        <w:spacing w:before="100" w:after="140"/>
        <w:jc w:val="both"/>
        <w:rPr>
          <w:color w:val="000000"/>
        </w:rPr>
      </w:pPr>
      <w:r>
        <w:rPr>
          <w:color w:val="000000"/>
        </w:rPr>
        <w:t xml:space="preserve">ezbob Ltd is a lending technology SaaS company headquartered in London. Originally founded as a direct SME lender, ezbob transitioned to a pure software vendor providing cloud-native origination and decisioning infrastructure to regulated lenders. </w:t>
      </w:r>
    </w:p>
    <w:p w14:paraId="1192108E" w14:textId="0E185541" w:rsidR="00A904B6" w:rsidRDefault="00DB2207" w:rsidP="002907F5">
      <w:pPr>
        <w:spacing w:before="100" w:after="140"/>
        <w:jc w:val="both"/>
      </w:pPr>
      <w:r>
        <w:rPr>
          <w:color w:val="000000"/>
        </w:rPr>
        <w:t>Our flagship platforms include</w:t>
      </w:r>
      <w:r w:rsidR="002907F5">
        <w:rPr>
          <w:color w:val="000000"/>
        </w:rPr>
        <w:t xml:space="preserve"> a </w:t>
      </w:r>
      <w:r>
        <w:rPr>
          <w:color w:val="000000"/>
        </w:rPr>
        <w:t xml:space="preserve">modular loan </w:t>
      </w:r>
      <w:r>
        <w:rPr>
          <w:color w:val="000000"/>
        </w:rPr>
        <w:t>origination system integrating with credit bureaux (Experian, Equifax, TransUnion, CreditSafe), open banking</w:t>
      </w:r>
      <w:r w:rsidR="002907F5">
        <w:rPr>
          <w:color w:val="000000"/>
        </w:rPr>
        <w:t xml:space="preserve"> and finance</w:t>
      </w:r>
      <w:r>
        <w:rPr>
          <w:color w:val="000000"/>
        </w:rPr>
        <w:t xml:space="preserve"> providers, </w:t>
      </w:r>
      <w:r w:rsidR="002907F5">
        <w:rPr>
          <w:color w:val="000000"/>
        </w:rPr>
        <w:t>CDD (</w:t>
      </w:r>
      <w:r>
        <w:rPr>
          <w:color w:val="000000"/>
        </w:rPr>
        <w:t>KYC</w:t>
      </w:r>
      <w:r w:rsidR="002907F5">
        <w:rPr>
          <w:color w:val="000000"/>
        </w:rPr>
        <w:t>/KYB</w:t>
      </w:r>
      <w:r>
        <w:rPr>
          <w:color w:val="000000"/>
        </w:rPr>
        <w:t>/AML</w:t>
      </w:r>
      <w:r w:rsidR="002907F5">
        <w:rPr>
          <w:color w:val="000000"/>
        </w:rPr>
        <w:t>)</w:t>
      </w:r>
      <w:r>
        <w:rPr>
          <w:color w:val="000000"/>
        </w:rPr>
        <w:t xml:space="preserve"> platforms, and core banking systems across UK and EU markets.</w:t>
      </w:r>
    </w:p>
    <w:p w14:paraId="464C5F16" w14:textId="6966EB9B" w:rsidR="00A904B6" w:rsidRDefault="00DB2207">
      <w:pPr>
        <w:spacing w:before="100" w:after="140"/>
        <w:jc w:val="both"/>
      </w:pPr>
      <w:r>
        <w:rPr>
          <w:color w:val="000000"/>
        </w:rPr>
        <w:t xml:space="preserve">Our client </w:t>
      </w:r>
      <w:r w:rsidR="002907F5">
        <w:rPr>
          <w:color w:val="000000"/>
        </w:rPr>
        <w:t xml:space="preserve">and prospective client </w:t>
      </w:r>
      <w:r>
        <w:rPr>
          <w:color w:val="000000"/>
        </w:rPr>
        <w:t>base encompasses UK high-street banks, specialist lenders, Irish credit institutions (including participants in the Central Bank of Ireland-regulated consumer credit market), and Israeli fintech-enabled lenders. We have participated in FCA Innovation initiatives including the Smart Data Accelerator and TechSprint programmes.</w:t>
      </w:r>
    </w:p>
    <w:p w14:paraId="7AE8B7BD" w14:textId="77777777" w:rsidR="00A904B6" w:rsidRDefault="00DB2207">
      <w:pPr>
        <w:spacing w:before="100" w:after="140"/>
        <w:jc w:val="both"/>
      </w:pPr>
      <w:r>
        <w:rPr>
          <w:color w:val="000000"/>
        </w:rPr>
        <w:t>Whilst ezbob's own operations are UK-based and not directly subject to EU prudential regulation, our software implementations operate within the IRB-adjacent frameworks of our EU-regulated clients and must meet the technical requirements of the credit risk rulebook in order for those clients to remain compliant. We therefore have a material stake in the efficiency and clarity of the framework that informs how our products are specified, built, and validated.</w:t>
      </w:r>
    </w:p>
    <w:p w14:paraId="4CDDCB50" w14:textId="77777777" w:rsidR="00A904B6" w:rsidRDefault="00A904B6">
      <w:pPr>
        <w:spacing w:before="60" w:after="60"/>
      </w:pPr>
    </w:p>
    <w:p w14:paraId="73CDAD6D" w14:textId="77777777" w:rsidR="00A904B6" w:rsidRDefault="00DB2207">
      <w:pPr>
        <w:pStyle w:val="Heading1"/>
        <w:pBdr>
          <w:bottom w:val="single" w:sz="6" w:space="4" w:color="0070C0"/>
        </w:pBdr>
      </w:pPr>
      <w:r>
        <w:t>Section 2: Simplification in the Standardised Approach</w:t>
      </w:r>
    </w:p>
    <w:p w14:paraId="348327FC" w14:textId="77777777" w:rsidR="00A904B6" w:rsidRDefault="00DB2207">
      <w:pPr>
        <w:pStyle w:val="Heading2"/>
      </w:pPr>
      <w:r>
        <w:t>2.1  Real Estate Exposures — CRR Article 430a Loss Data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904B6" w14:paraId="234D00C8" w14:textId="77777777">
        <w:tblPrEx>
          <w:tblCellMar>
            <w:top w:w="0" w:type="dxa"/>
            <w:bottom w:w="0" w:type="dxa"/>
          </w:tblCellMar>
        </w:tblPrEx>
        <w:tc>
          <w:tcPr>
            <w:tcW w:w="0" w:type="auto"/>
            <w:tcBorders>
              <w:top w:val="single" w:sz="2" w:space="0" w:color="0070C0"/>
              <w:left w:val="single" w:sz="2" w:space="0" w:color="0070C0"/>
              <w:bottom w:val="single" w:sz="2" w:space="0" w:color="0070C0"/>
              <w:right w:val="single" w:sz="2" w:space="0" w:color="0070C0"/>
            </w:tcBorders>
            <w:shd w:val="clear" w:color="auto" w:fill="F2F6FA"/>
            <w:tcMar>
              <w:top w:w="120" w:type="dxa"/>
              <w:left w:w="200" w:type="dxa"/>
              <w:bottom w:w="120" w:type="dxa"/>
              <w:right w:w="200" w:type="dxa"/>
            </w:tcMar>
          </w:tcPr>
          <w:p w14:paraId="26A1ABEA" w14:textId="77777777" w:rsidR="00A904B6" w:rsidRDefault="00DB2207" w:rsidP="002907F5">
            <w:pPr>
              <w:jc w:val="both"/>
            </w:pPr>
            <w:r>
              <w:rPr>
                <w:b/>
                <w:bCs/>
                <w:color w:val="0070C0"/>
                <w:sz w:val="20"/>
                <w:szCs w:val="20"/>
              </w:rPr>
              <w:t xml:space="preserve">Question Q1: </w:t>
            </w:r>
            <w:r>
              <w:rPr>
                <w:i/>
                <w:iCs/>
                <w:color w:val="000000"/>
                <w:sz w:val="20"/>
                <w:szCs w:val="20"/>
              </w:rPr>
              <w:t>For the purpose of reporting under CRR Article 430a, which definition of loss should be used?</w:t>
            </w:r>
          </w:p>
        </w:tc>
      </w:tr>
    </w:tbl>
    <w:p w14:paraId="5C23CB27" w14:textId="77777777" w:rsidR="00A904B6" w:rsidRDefault="00A904B6">
      <w:pPr>
        <w:spacing w:before="60" w:after="60"/>
      </w:pPr>
    </w:p>
    <w:p w14:paraId="6435707B" w14:textId="77777777" w:rsidR="00A904B6" w:rsidRDefault="00DB2207">
      <w:pPr>
        <w:spacing w:before="100" w:after="140"/>
        <w:jc w:val="both"/>
      </w:pPr>
      <w:r>
        <w:rPr>
          <w:color w:val="000000"/>
        </w:rPr>
        <w:t>ezbob recommends adopting a definition aligned with the first approach described in the Discussion Paper — that is, losses reported on a prudential LGD-like basis, linked to defaults observed during the reporting period, with estimation applied for incomplete recoveries. Our reasoning is threefold.</w:t>
      </w:r>
    </w:p>
    <w:p w14:paraId="71290C4D" w14:textId="2C6989B4" w:rsidR="00A904B6" w:rsidRDefault="00DB2207">
      <w:pPr>
        <w:spacing w:before="100" w:after="140"/>
        <w:jc w:val="both"/>
      </w:pPr>
      <w:r>
        <w:rPr>
          <w:color w:val="000000"/>
        </w:rPr>
        <w:t xml:space="preserve">First, consistency with the IRB framework is operationally valuable. Lenders using our </w:t>
      </w:r>
      <w:r>
        <w:rPr>
          <w:color w:val="000000"/>
        </w:rPr>
        <w:t>platform maintain default cohort tracking that aligns naturally with the prudential definition. Introducing a parallel definition based on observed annual losses (the second approach) would require lenders to maintain two separate default accounting streams, increasing operational burden.</w:t>
      </w:r>
    </w:p>
    <w:p w14:paraId="4EC9DC35" w14:textId="77777777" w:rsidR="00A904B6" w:rsidRDefault="00DB2207">
      <w:pPr>
        <w:spacing w:before="100" w:after="140"/>
        <w:jc w:val="both"/>
      </w:pPr>
      <w:r>
        <w:rPr>
          <w:color w:val="000000"/>
        </w:rPr>
        <w:lastRenderedPageBreak/>
        <w:t>Second, the observed-loss approach has a well-documented pro-cyclicality problem in real estate. When property values fall sharply (as in 2008-2009 and certain EU markets in 2011-2014), institutions may delay property sales, causing realised losses to lag underlying risk. The prudential approach, with its estimation requirement for incomplete recoveries, is better calibrated to forward-looking risk assessment.</w:t>
      </w:r>
    </w:p>
    <w:p w14:paraId="3111CF5F" w14:textId="77777777" w:rsidR="00A904B6" w:rsidRDefault="00DB2207">
      <w:pPr>
        <w:spacing w:before="100" w:after="140"/>
        <w:jc w:val="both"/>
      </w:pPr>
      <w:r>
        <w:rPr>
          <w:color w:val="000000"/>
        </w:rPr>
        <w:t>Third, we acknowledge the technical concern that estimation of incomplete recoveries introduces subjectivity. We recommend that the EBA, in harmonising the loss definition, also prescribe a standard methodology for estimating incomplete recoveries — for example, using haircuts based on supervisory LGD reference values by collateral type, updated annually.</w:t>
      </w:r>
    </w:p>
    <w:p w14:paraId="134D3B7E" w14:textId="77777777" w:rsidR="00A904B6" w:rsidRDefault="00DB2207" w:rsidP="002907F5">
      <w:pPr>
        <w:pStyle w:val="ListParagraph"/>
        <w:numPr>
          <w:ilvl w:val="0"/>
          <w:numId w:val="5"/>
        </w:numPr>
        <w:spacing w:before="60" w:after="60"/>
      </w:pPr>
      <w:r>
        <w:rPr>
          <w:color w:val="000000"/>
        </w:rPr>
        <w:t>Recommended definition: prudential LGD-aligned (cohort of defaults in the reporting period, with standardised estimation for incomplete recoveries).</w:t>
      </w:r>
    </w:p>
    <w:p w14:paraId="14F00B4C" w14:textId="77777777" w:rsidR="00A904B6" w:rsidRDefault="00DB2207" w:rsidP="002907F5">
      <w:pPr>
        <w:pStyle w:val="ListParagraph"/>
        <w:numPr>
          <w:ilvl w:val="0"/>
          <w:numId w:val="5"/>
        </w:numPr>
        <w:spacing w:before="60" w:after="60"/>
      </w:pPr>
      <w:r>
        <w:rPr>
          <w:color w:val="000000"/>
        </w:rPr>
        <w:t>Supplementary requirement: EBA to prescribe a standardised incomplete-recovery estimation methodology to reduce subjectivity across institutions.</w:t>
      </w:r>
    </w:p>
    <w:p w14:paraId="57EE10C4" w14:textId="77777777" w:rsidR="00A904B6" w:rsidRDefault="00A904B6">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904B6" w14:paraId="78F4C3E8" w14:textId="77777777">
        <w:tblPrEx>
          <w:tblCellMar>
            <w:top w:w="0" w:type="dxa"/>
            <w:bottom w:w="0" w:type="dxa"/>
          </w:tblCellMar>
        </w:tblPrEx>
        <w:tc>
          <w:tcPr>
            <w:tcW w:w="0" w:type="auto"/>
            <w:tcBorders>
              <w:top w:val="single" w:sz="2" w:space="0" w:color="0070C0"/>
              <w:left w:val="single" w:sz="2" w:space="0" w:color="0070C0"/>
              <w:bottom w:val="single" w:sz="2" w:space="0" w:color="0070C0"/>
              <w:right w:val="single" w:sz="2" w:space="0" w:color="0070C0"/>
            </w:tcBorders>
            <w:shd w:val="clear" w:color="auto" w:fill="F2F6FA"/>
            <w:tcMar>
              <w:top w:w="120" w:type="dxa"/>
              <w:left w:w="200" w:type="dxa"/>
              <w:bottom w:w="120" w:type="dxa"/>
              <w:right w:w="200" w:type="dxa"/>
            </w:tcMar>
          </w:tcPr>
          <w:p w14:paraId="630604D8" w14:textId="77777777" w:rsidR="00A904B6" w:rsidRDefault="00DB2207" w:rsidP="002907F5">
            <w:r>
              <w:rPr>
                <w:b/>
                <w:bCs/>
                <w:color w:val="0070C0"/>
                <w:sz w:val="20"/>
                <w:szCs w:val="20"/>
              </w:rPr>
              <w:t xml:space="preserve">Question Q2: </w:t>
            </w:r>
            <w:r>
              <w:rPr>
                <w:i/>
                <w:iCs/>
                <w:color w:val="000000"/>
                <w:sz w:val="20"/>
                <w:szCs w:val="20"/>
              </w:rPr>
              <w:t>Should the loss data (CRR Article 430a) be used for the assessment of RWs of real estate exposures under CRR Article 126(4) and CRR Article 465(11)?</w:t>
            </w:r>
          </w:p>
        </w:tc>
      </w:tr>
    </w:tbl>
    <w:p w14:paraId="610C9BA2" w14:textId="77777777" w:rsidR="00A904B6" w:rsidRDefault="00A904B6">
      <w:pPr>
        <w:spacing w:before="60" w:after="60"/>
      </w:pPr>
    </w:p>
    <w:p w14:paraId="3BBB7589" w14:textId="77777777" w:rsidR="00A904B6" w:rsidRDefault="00DB2207">
      <w:pPr>
        <w:spacing w:before="100" w:after="140"/>
        <w:jc w:val="both"/>
      </w:pPr>
      <w:r>
        <w:rPr>
          <w:color w:val="000000"/>
        </w:rPr>
        <w:t>ezbob supports the use of CRR Article 430a loss data as an input to RW assessment, subject to important qualifications. A single loss metric is insufficient to justify changes in risk weighting for complex, cyclical asset classes such as real estate. The data should serve as one of several indicators in a structured, multi-factor supervisory judgement process.</w:t>
      </w:r>
    </w:p>
    <w:p w14:paraId="2198E0E3" w14:textId="708BA082" w:rsidR="00A904B6" w:rsidRDefault="00DB2207">
      <w:pPr>
        <w:spacing w:before="100" w:after="140"/>
        <w:jc w:val="both"/>
      </w:pPr>
      <w:r>
        <w:rPr>
          <w:color w:val="000000"/>
        </w:rPr>
        <w:t xml:space="preserve">In our experience implementing lending platforms for </w:t>
      </w:r>
      <w:r>
        <w:rPr>
          <w:color w:val="000000"/>
        </w:rPr>
        <w:t>lenders, property market conditions — including LTV distributions, interest rate sensitivity, and market liquidity — vary substantially not only between Member States but between regions within a single jurisdiction. The loss data reported under CRR Article 430a reflects an aggregated national picture that may mask significant local heterogeneity.</w:t>
      </w:r>
    </w:p>
    <w:p w14:paraId="00F82F53" w14:textId="77777777" w:rsidR="00A904B6" w:rsidRDefault="00DB2207">
      <w:pPr>
        <w:spacing w:before="100" w:after="140"/>
        <w:jc w:val="both"/>
      </w:pPr>
      <w:r>
        <w:rPr>
          <w:color w:val="000000"/>
        </w:rPr>
        <w:t>We therefore recommend that the EBA use CRR Article 430a data as a necessary but not sufficient condition for IPRE preferential treatment decisions, supplemented by forward-looking supervisory indicators and national designated authority judgement. The hard thresholds in CRR Articles 125(2) and 126(2) (0.3% and 0.5%) should be reviewed for calibration, as they may be overly sensitive to reporting methodology variation.</w:t>
      </w:r>
    </w:p>
    <w:p w14:paraId="4C3C21DF" w14:textId="77777777" w:rsidR="00A904B6" w:rsidRDefault="00A904B6">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904B6" w14:paraId="3A5EC609" w14:textId="77777777">
        <w:tblPrEx>
          <w:tblCellMar>
            <w:top w:w="0" w:type="dxa"/>
            <w:bottom w:w="0" w:type="dxa"/>
          </w:tblCellMar>
        </w:tblPrEx>
        <w:tc>
          <w:tcPr>
            <w:tcW w:w="0" w:type="auto"/>
            <w:tcBorders>
              <w:top w:val="single" w:sz="2" w:space="0" w:color="0070C0"/>
              <w:left w:val="single" w:sz="2" w:space="0" w:color="0070C0"/>
              <w:bottom w:val="single" w:sz="2" w:space="0" w:color="0070C0"/>
              <w:right w:val="single" w:sz="2" w:space="0" w:color="0070C0"/>
            </w:tcBorders>
            <w:shd w:val="clear" w:color="auto" w:fill="F2F6FA"/>
            <w:tcMar>
              <w:top w:w="120" w:type="dxa"/>
              <w:left w:w="200" w:type="dxa"/>
              <w:bottom w:w="120" w:type="dxa"/>
              <w:right w:w="200" w:type="dxa"/>
            </w:tcMar>
          </w:tcPr>
          <w:p w14:paraId="39EC53FC" w14:textId="77777777" w:rsidR="00A904B6" w:rsidRDefault="00DB2207" w:rsidP="002907F5">
            <w:pPr>
              <w:jc w:val="both"/>
            </w:pPr>
            <w:r>
              <w:rPr>
                <w:b/>
                <w:bCs/>
                <w:color w:val="0070C0"/>
                <w:sz w:val="20"/>
                <w:szCs w:val="20"/>
              </w:rPr>
              <w:t xml:space="preserve">Question Q3: </w:t>
            </w:r>
            <w:r>
              <w:rPr>
                <w:i/>
                <w:iCs/>
                <w:color w:val="000000"/>
                <w:sz w:val="20"/>
                <w:szCs w:val="20"/>
              </w:rPr>
              <w:t>Which elements of the real estate framework should be further simplified?</w:t>
            </w:r>
          </w:p>
        </w:tc>
      </w:tr>
    </w:tbl>
    <w:p w14:paraId="60E018CA" w14:textId="77777777" w:rsidR="00A904B6" w:rsidRDefault="00A904B6">
      <w:pPr>
        <w:spacing w:before="60" w:after="60"/>
      </w:pPr>
    </w:p>
    <w:p w14:paraId="1023EF34" w14:textId="77777777" w:rsidR="00A904B6" w:rsidRDefault="00DB2207">
      <w:pPr>
        <w:spacing w:before="100" w:after="140"/>
        <w:jc w:val="both"/>
      </w:pPr>
      <w:r>
        <w:rPr>
          <w:color w:val="000000"/>
        </w:rPr>
        <w:t>From an implementation perspective, the following elements of the real estate framework impose disproportionate complexity relative to their risk differentiation value:</w:t>
      </w:r>
    </w:p>
    <w:p w14:paraId="4D9C4DFE" w14:textId="77777777" w:rsidR="00A904B6" w:rsidRDefault="00DB2207" w:rsidP="002907F5">
      <w:pPr>
        <w:pStyle w:val="ListParagraph"/>
        <w:numPr>
          <w:ilvl w:val="0"/>
          <w:numId w:val="6"/>
        </w:numPr>
        <w:spacing w:before="60" w:after="60"/>
        <w:jc w:val="both"/>
      </w:pPr>
      <w:r>
        <w:rPr>
          <w:color w:val="000000"/>
        </w:rPr>
        <w:t>ADC vs. non-ADC boundary: The distinction between acquisition, development and construction exposures and non-ADC exposures, while conceptually sound, creates significant definitional ambiguity in practice, particularly for phased development projects and mixed-use properties. Clearer, technology-implementable criteria would improve consistency.</w:t>
      </w:r>
    </w:p>
    <w:p w14:paraId="0068FAA5" w14:textId="77777777" w:rsidR="00A904B6" w:rsidRDefault="00DB2207" w:rsidP="002907F5">
      <w:pPr>
        <w:pStyle w:val="ListParagraph"/>
        <w:numPr>
          <w:ilvl w:val="0"/>
          <w:numId w:val="6"/>
        </w:numPr>
        <w:spacing w:before="60" w:after="60"/>
        <w:jc w:val="both"/>
      </w:pPr>
      <w:r>
        <w:rPr>
          <w:color w:val="000000"/>
        </w:rPr>
        <w:t>IPRE cash-flow test: The determination of whether repayment capacity is primarily dependent on property cash flows is judgement-intensive and inconsistently applied across institutions. Standardised documentation templates or indicator-based tests (e.g., LTV combined with debt service coverage ratios) would assist.</w:t>
      </w:r>
    </w:p>
    <w:p w14:paraId="56643899" w14:textId="77777777" w:rsidR="00A904B6" w:rsidRDefault="00DB2207" w:rsidP="002907F5">
      <w:pPr>
        <w:pStyle w:val="ListParagraph"/>
        <w:numPr>
          <w:ilvl w:val="0"/>
          <w:numId w:val="6"/>
        </w:numPr>
        <w:spacing w:before="60" w:after="60"/>
        <w:jc w:val="both"/>
      </w:pPr>
      <w:r>
        <w:rPr>
          <w:color w:val="000000"/>
        </w:rPr>
        <w:t xml:space="preserve">Stacking of derogations: The overlap between CRR Article 124(9) national risk weight increases, CRR Article 458 macroprudential measures, and CRD Article 133 systemic risk </w:t>
      </w:r>
      <w:r>
        <w:rPr>
          <w:color w:val="000000"/>
        </w:rPr>
        <w:lastRenderedPageBreak/>
        <w:t>buffers creates complexity that is difficult to communicate to board-level governance, implement in origination systems, and audit. Consolidating these overlapping tools would be beneficial.</w:t>
      </w:r>
    </w:p>
    <w:p w14:paraId="5DDC2950" w14:textId="77777777" w:rsidR="00A904B6" w:rsidRDefault="00DB2207" w:rsidP="002907F5">
      <w:pPr>
        <w:pStyle w:val="ListParagraph"/>
        <w:numPr>
          <w:ilvl w:val="0"/>
          <w:numId w:val="6"/>
        </w:numPr>
        <w:spacing w:before="60" w:after="60"/>
        <w:jc w:val="both"/>
      </w:pPr>
      <w:r>
        <w:rPr>
          <w:color w:val="000000"/>
        </w:rPr>
        <w:t>LTV measurement inconsistency: Different jurisdictions apply different valuation standards and refresh frequencies for the LTV ratio. Standardising valuation requirements (e.g., minimum refresh frequency on IPRE exposures, approved valuer standards) would improve the comparability of LTV-driven risk weights across the Single Market.</w:t>
      </w:r>
    </w:p>
    <w:p w14:paraId="6229C138" w14:textId="77777777" w:rsidR="00A904B6" w:rsidRDefault="00A904B6">
      <w:pPr>
        <w:spacing w:before="60" w:after="60"/>
      </w:pPr>
    </w:p>
    <w:p w14:paraId="76E67568" w14:textId="77777777" w:rsidR="00A904B6" w:rsidRDefault="00DB2207">
      <w:pPr>
        <w:pStyle w:val="Heading2"/>
      </w:pPr>
      <w:r>
        <w:t>2.2  ECAI Mappings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904B6" w14:paraId="79599D81" w14:textId="77777777">
        <w:tblPrEx>
          <w:tblCellMar>
            <w:top w:w="0" w:type="dxa"/>
            <w:bottom w:w="0" w:type="dxa"/>
          </w:tblCellMar>
        </w:tblPrEx>
        <w:tc>
          <w:tcPr>
            <w:tcW w:w="0" w:type="auto"/>
            <w:tcBorders>
              <w:top w:val="single" w:sz="2" w:space="0" w:color="0070C0"/>
              <w:left w:val="single" w:sz="2" w:space="0" w:color="0070C0"/>
              <w:bottom w:val="single" w:sz="2" w:space="0" w:color="0070C0"/>
              <w:right w:val="single" w:sz="2" w:space="0" w:color="0070C0"/>
            </w:tcBorders>
            <w:shd w:val="clear" w:color="auto" w:fill="F2F6FA"/>
            <w:tcMar>
              <w:top w:w="120" w:type="dxa"/>
              <w:left w:w="200" w:type="dxa"/>
              <w:bottom w:w="120" w:type="dxa"/>
              <w:right w:w="200" w:type="dxa"/>
            </w:tcMar>
          </w:tcPr>
          <w:p w14:paraId="0232FE7C" w14:textId="77777777" w:rsidR="00A904B6" w:rsidRDefault="00DB2207" w:rsidP="002907F5">
            <w:pPr>
              <w:jc w:val="both"/>
            </w:pPr>
            <w:r>
              <w:rPr>
                <w:b/>
                <w:bCs/>
                <w:color w:val="0070C0"/>
                <w:sz w:val="20"/>
                <w:szCs w:val="20"/>
              </w:rPr>
              <w:t xml:space="preserve">Question Q4: </w:t>
            </w:r>
            <w:r>
              <w:rPr>
                <w:i/>
                <w:iCs/>
                <w:color w:val="000000"/>
                <w:sz w:val="20"/>
                <w:szCs w:val="20"/>
              </w:rPr>
              <w:t>Which other clarifications do you consider necessary to apply the new ECAI framework?</w:t>
            </w:r>
          </w:p>
        </w:tc>
      </w:tr>
    </w:tbl>
    <w:p w14:paraId="7DFC627C" w14:textId="77777777" w:rsidR="00A904B6" w:rsidRDefault="00A904B6">
      <w:pPr>
        <w:spacing w:before="60" w:after="60"/>
      </w:pPr>
    </w:p>
    <w:p w14:paraId="565B334B" w14:textId="77777777" w:rsidR="00A904B6" w:rsidRDefault="00DB2207" w:rsidP="002907F5">
      <w:pPr>
        <w:spacing w:before="100" w:after="140"/>
        <w:jc w:val="both"/>
      </w:pPr>
      <w:r>
        <w:rPr>
          <w:color w:val="000000"/>
        </w:rPr>
        <w:t>ezbob supports the EBA's pragmatic position on ex-government support ratings (C3). From an operational perspective, the key additional clarifications needed relate to the treatment of unrated exposures and the interaction with lending technology systems.</w:t>
      </w:r>
    </w:p>
    <w:p w14:paraId="03CBB504" w14:textId="77777777" w:rsidR="00A904B6" w:rsidRDefault="00DB2207" w:rsidP="002907F5">
      <w:pPr>
        <w:spacing w:before="100" w:after="140"/>
        <w:jc w:val="both"/>
      </w:pPr>
      <w:r>
        <w:rPr>
          <w:color w:val="000000"/>
        </w:rPr>
        <w:t>In our LOS implementations, credit assessment for exposures to smaller EU institutions (including cooperative banks and credit unions that are ezbob's clients or partners) frequently relies not on ECAI ratings but on internal scores or bureau-derived credit data. Clarity on the SA treatment of unrated sub-investment-grade institutions, and whether fintech-enabled internal rating proxies can supplement or substitute for ECAI ratings in specific contexts, would be operationally valuable.</w:t>
      </w:r>
    </w:p>
    <w:p w14:paraId="38EC1C17" w14:textId="1731E774" w:rsidR="00A904B6" w:rsidRDefault="00DB2207" w:rsidP="002907F5">
      <w:pPr>
        <w:spacing w:before="100" w:after="140"/>
        <w:jc w:val="both"/>
      </w:pPr>
      <w:r>
        <w:rPr>
          <w:color w:val="000000"/>
        </w:rPr>
        <w:t>We also note that the proliferation of different ECAI methodologies — and the partial application of the ex-government support adjustment by Fitch</w:t>
      </w:r>
      <w:r w:rsidR="002907F5">
        <w:rPr>
          <w:color w:val="000000"/>
        </w:rPr>
        <w:t xml:space="preserve"> although</w:t>
      </w:r>
      <w:r>
        <w:rPr>
          <w:color w:val="000000"/>
        </w:rPr>
        <w:t xml:space="preserve"> not </w:t>
      </w:r>
      <w:r w:rsidR="002907F5">
        <w:rPr>
          <w:color w:val="000000"/>
        </w:rPr>
        <w:t xml:space="preserve">by </w:t>
      </w:r>
      <w:r>
        <w:rPr>
          <w:color w:val="000000"/>
        </w:rPr>
        <w:t>other major CRAs — creates a level playing field concern. The EBA should clarify whether institutions with exposures to the same counterparty rated by different agencies (with different government support adjustments) must apply different risk weights, or whether a standardised hierarchy of ECAI ratings applies.</w:t>
      </w:r>
    </w:p>
    <w:p w14:paraId="54FE7CB0" w14:textId="77777777" w:rsidR="00A904B6" w:rsidRDefault="00A904B6">
      <w:pPr>
        <w:spacing w:before="60" w:after="60"/>
      </w:pPr>
    </w:p>
    <w:p w14:paraId="42026014" w14:textId="77777777" w:rsidR="00A904B6" w:rsidRDefault="00DB2207">
      <w:pPr>
        <w:pStyle w:val="Heading1"/>
        <w:pBdr>
          <w:bottom w:val="single" w:sz="6" w:space="4" w:color="0070C0"/>
        </w:pBdr>
      </w:pPr>
      <w:r>
        <w:t>Section 3: Simplification in the IRB Approach</w:t>
      </w:r>
    </w:p>
    <w:p w14:paraId="702CA792" w14:textId="77777777" w:rsidR="00A904B6" w:rsidRDefault="00DB2207">
      <w:pPr>
        <w:pStyle w:val="Heading2"/>
      </w:pPr>
      <w:r>
        <w:t>3.1  Consolidating and Increasing Consistency in the IRB Rules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904B6" w14:paraId="436307A8" w14:textId="77777777">
        <w:tblPrEx>
          <w:tblCellMar>
            <w:top w:w="0" w:type="dxa"/>
            <w:bottom w:w="0" w:type="dxa"/>
          </w:tblCellMar>
        </w:tblPrEx>
        <w:tc>
          <w:tcPr>
            <w:tcW w:w="0" w:type="auto"/>
            <w:tcBorders>
              <w:top w:val="single" w:sz="2" w:space="0" w:color="0070C0"/>
              <w:left w:val="single" w:sz="2" w:space="0" w:color="0070C0"/>
              <w:bottom w:val="single" w:sz="2" w:space="0" w:color="0070C0"/>
              <w:right w:val="single" w:sz="2" w:space="0" w:color="0070C0"/>
            </w:tcBorders>
            <w:shd w:val="clear" w:color="auto" w:fill="F2F6FA"/>
            <w:tcMar>
              <w:top w:w="120" w:type="dxa"/>
              <w:left w:w="200" w:type="dxa"/>
              <w:bottom w:w="120" w:type="dxa"/>
              <w:right w:w="200" w:type="dxa"/>
            </w:tcMar>
          </w:tcPr>
          <w:p w14:paraId="7C2570BD" w14:textId="77777777" w:rsidR="00A904B6" w:rsidRDefault="00DB2207" w:rsidP="002907F5">
            <w:pPr>
              <w:jc w:val="both"/>
            </w:pPr>
            <w:r>
              <w:rPr>
                <w:b/>
                <w:bCs/>
                <w:color w:val="0070C0"/>
                <w:sz w:val="20"/>
                <w:szCs w:val="20"/>
              </w:rPr>
              <w:t xml:space="preserve">Question Q5: </w:t>
            </w:r>
            <w:r>
              <w:rPr>
                <w:i/>
                <w:iCs/>
                <w:color w:val="000000"/>
                <w:sz w:val="20"/>
                <w:szCs w:val="20"/>
              </w:rPr>
              <w:t>Should the consolidation of regulatory products for credit risk be a priority or should regulatory stability be preferable instead? Have you identified any redundancies in IRB products?</w:t>
            </w:r>
          </w:p>
        </w:tc>
      </w:tr>
    </w:tbl>
    <w:p w14:paraId="4929A1C1" w14:textId="77777777" w:rsidR="00A904B6" w:rsidRDefault="00A904B6">
      <w:pPr>
        <w:spacing w:before="60" w:after="60"/>
      </w:pPr>
    </w:p>
    <w:p w14:paraId="5D2F4E44" w14:textId="77777777" w:rsidR="00A904B6" w:rsidRDefault="00DB2207">
      <w:pPr>
        <w:spacing w:before="100" w:after="140"/>
        <w:jc w:val="both"/>
      </w:pPr>
      <w:r>
        <w:rPr>
          <w:color w:val="000000"/>
        </w:rPr>
        <w:t>ezbob strongly advocates for consolidation as a priority. As a technology vendor whose products must implement the requirements of the IRB framework for regulated lender clients, the fragmentation of guidance across multiple guidelines, RTS, validation handbooks, and Q&amp;As imposes real and recurring costs.</w:t>
      </w:r>
    </w:p>
    <w:p w14:paraId="7ADA68C8" w14:textId="545E7D7D" w:rsidR="00A904B6" w:rsidRDefault="00DB2207">
      <w:pPr>
        <w:spacing w:before="100" w:after="140"/>
        <w:jc w:val="both"/>
      </w:pPr>
      <w:r>
        <w:rPr>
          <w:color w:val="000000"/>
        </w:rPr>
        <w:t xml:space="preserve">Each time a client requests an IRB-adjacent model implementation in our </w:t>
      </w:r>
      <w:r>
        <w:rPr>
          <w:color w:val="000000"/>
        </w:rPr>
        <w:t xml:space="preserve">platform, our technical team </w:t>
      </w:r>
      <w:r w:rsidR="002907F5">
        <w:rPr>
          <w:color w:val="000000"/>
        </w:rPr>
        <w:t>will</w:t>
      </w:r>
      <w:r>
        <w:rPr>
          <w:color w:val="000000"/>
        </w:rPr>
        <w:t xml:space="preserve"> cross-reference the PD and LGD estimation guidelines, the downturn LGD guidelines, the credit risk mitigation guidelines, the forthcoming CCF guidelines, the relevant RTS, and any applicable national competent authority guidance. The risk of inconsistent interpretation is high, and the cost of rectification following a supervisory review is substantial.</w:t>
      </w:r>
    </w:p>
    <w:p w14:paraId="27F2B7F2" w14:textId="77777777" w:rsidR="00A904B6" w:rsidRDefault="00DB2207">
      <w:pPr>
        <w:spacing w:before="100" w:after="140"/>
        <w:jc w:val="both"/>
      </w:pPr>
      <w:r>
        <w:rPr>
          <w:color w:val="000000"/>
        </w:rPr>
        <w:t>Specific redundancies and inconsistencies we have identified include:</w:t>
      </w:r>
    </w:p>
    <w:p w14:paraId="258778FC" w14:textId="77777777" w:rsidR="00A904B6" w:rsidRDefault="00DB2207" w:rsidP="002907F5">
      <w:pPr>
        <w:pStyle w:val="ListParagraph"/>
        <w:numPr>
          <w:ilvl w:val="0"/>
          <w:numId w:val="7"/>
        </w:numPr>
        <w:spacing w:before="60" w:after="60"/>
        <w:jc w:val="both"/>
      </w:pPr>
      <w:r>
        <w:rPr>
          <w:color w:val="000000"/>
        </w:rPr>
        <w:lastRenderedPageBreak/>
        <w:t>The MoC framework is described in the PD and LGD guidelines with language that does not map cleanly to the forthcoming CCF guidelines — producing two parallel MoC methodologies that our platform must maintain separately.</w:t>
      </w:r>
    </w:p>
    <w:p w14:paraId="59392C9E" w14:textId="77777777" w:rsidR="00A904B6" w:rsidRDefault="00DB2207" w:rsidP="002907F5">
      <w:pPr>
        <w:pStyle w:val="ListParagraph"/>
        <w:numPr>
          <w:ilvl w:val="0"/>
          <w:numId w:val="7"/>
        </w:numPr>
        <w:spacing w:before="60" w:after="60"/>
        <w:jc w:val="both"/>
      </w:pPr>
      <w:r>
        <w:rPr>
          <w:color w:val="000000"/>
        </w:rPr>
        <w:t>The definition of 'long-run average' is handled differently across the PD estimation guidelines and the downturn LGD guidelines, creating calibration inconsistencies when both are implemented in the same system.</w:t>
      </w:r>
    </w:p>
    <w:p w14:paraId="017197C6" w14:textId="77777777" w:rsidR="00A904B6" w:rsidRDefault="00DB2207" w:rsidP="002907F5">
      <w:pPr>
        <w:pStyle w:val="ListParagraph"/>
        <w:numPr>
          <w:ilvl w:val="0"/>
          <w:numId w:val="7"/>
        </w:numPr>
        <w:spacing w:before="60" w:after="60"/>
        <w:jc w:val="both"/>
      </w:pPr>
      <w:r>
        <w:rPr>
          <w:color w:val="000000"/>
        </w:rPr>
        <w:t>The validation handbook addresses some topics (e.g., concentration in grade pools) using different thresholds and language from the corresponding provisions in the PD/LGD guidelines.</w:t>
      </w:r>
    </w:p>
    <w:p w14:paraId="7DD82965" w14:textId="77777777" w:rsidR="00A904B6" w:rsidRDefault="00DB2207">
      <w:pPr>
        <w:spacing w:before="100" w:after="140"/>
        <w:jc w:val="both"/>
      </w:pPr>
      <w:r>
        <w:rPr>
          <w:color w:val="000000"/>
        </w:rPr>
        <w:t>We would strongly support a programme of consolidation that produces a single IRB Modelling Guideline (covering PD, LGD, CCF, and MoC in a consistent structure) and a single IRB Validation Guideline, ideally with a unified definitional annex. Regulatory stability can be maintained by versioning this consolidated framework rather than layering new guidance documents on top of existing ones.</w:t>
      </w:r>
    </w:p>
    <w:p w14:paraId="68B8F6CF" w14:textId="77777777" w:rsidR="00A904B6" w:rsidRDefault="00A904B6">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904B6" w14:paraId="51D20D8F" w14:textId="77777777">
        <w:tblPrEx>
          <w:tblCellMar>
            <w:top w:w="0" w:type="dxa"/>
            <w:bottom w:w="0" w:type="dxa"/>
          </w:tblCellMar>
        </w:tblPrEx>
        <w:tc>
          <w:tcPr>
            <w:tcW w:w="0" w:type="auto"/>
            <w:tcBorders>
              <w:top w:val="single" w:sz="2" w:space="0" w:color="0070C0"/>
              <w:left w:val="single" w:sz="2" w:space="0" w:color="0070C0"/>
              <w:bottom w:val="single" w:sz="2" w:space="0" w:color="0070C0"/>
              <w:right w:val="single" w:sz="2" w:space="0" w:color="0070C0"/>
            </w:tcBorders>
            <w:shd w:val="clear" w:color="auto" w:fill="F2F6FA"/>
            <w:tcMar>
              <w:top w:w="120" w:type="dxa"/>
              <w:left w:w="200" w:type="dxa"/>
              <w:bottom w:w="120" w:type="dxa"/>
              <w:right w:w="200" w:type="dxa"/>
            </w:tcMar>
          </w:tcPr>
          <w:p w14:paraId="1AE156F7" w14:textId="77777777" w:rsidR="00A904B6" w:rsidRDefault="00DB2207" w:rsidP="002907F5">
            <w:pPr>
              <w:jc w:val="both"/>
            </w:pPr>
            <w:r>
              <w:rPr>
                <w:b/>
                <w:bCs/>
                <w:color w:val="0070C0"/>
                <w:sz w:val="20"/>
                <w:szCs w:val="20"/>
              </w:rPr>
              <w:t xml:space="preserve">Question Q6: </w:t>
            </w:r>
            <w:r>
              <w:rPr>
                <w:i/>
                <w:iCs/>
                <w:color w:val="000000"/>
                <w:sz w:val="20"/>
                <w:szCs w:val="20"/>
              </w:rPr>
              <w:t>Do you consider that the integration of environmental and social risks into the credit risk framework could be further enhanced without undermining its simplicity? Which areas, if any, would you prioritise for further work or clarification?</w:t>
            </w:r>
          </w:p>
        </w:tc>
      </w:tr>
    </w:tbl>
    <w:p w14:paraId="025EF9E6" w14:textId="77777777" w:rsidR="00A904B6" w:rsidRDefault="00A904B6">
      <w:pPr>
        <w:spacing w:before="60" w:after="60"/>
      </w:pPr>
    </w:p>
    <w:p w14:paraId="10A5A2F5" w14:textId="3BAA2CFE" w:rsidR="00A904B6" w:rsidRDefault="00DB2207" w:rsidP="002907F5">
      <w:pPr>
        <w:spacing w:before="100" w:after="140"/>
        <w:jc w:val="both"/>
      </w:pPr>
      <w:r>
        <w:rPr>
          <w:color w:val="000000"/>
        </w:rPr>
        <w:t>ezbob has significant experience in this area</w:t>
      </w:r>
      <w:r w:rsidR="002907F5">
        <w:rPr>
          <w:color w:val="000000"/>
        </w:rPr>
        <w:t xml:space="preserve"> with the contribution of ESG measures  being added </w:t>
      </w:r>
      <w:r>
        <w:rPr>
          <w:color w:val="000000"/>
        </w:rPr>
        <w:t>into credit portfolio analytics. Our practical experience suggests that E&amp;S risk integration into credit risk models is technically feasible but requires a phased and proportionate approach.</w:t>
      </w:r>
    </w:p>
    <w:p w14:paraId="3D693F8A" w14:textId="77777777" w:rsidR="00A904B6" w:rsidRDefault="00DB2207" w:rsidP="002907F5">
      <w:pPr>
        <w:spacing w:before="100" w:after="140"/>
        <w:jc w:val="both"/>
      </w:pPr>
      <w:r>
        <w:rPr>
          <w:color w:val="000000"/>
        </w:rPr>
        <w:t>For SME lending — a core segment for our clients — direct environmental risk data at obligor level is sparse or unreliable. Most SMEs do not produce audited ESG disclosures. We have therefore developed proxy-based approaches using sector classification, geographic exposure to physical climate hazards, and energy efficiency ratings where available.</w:t>
      </w:r>
    </w:p>
    <w:p w14:paraId="09B753E6" w14:textId="77777777" w:rsidR="00A904B6" w:rsidRDefault="00DB2207" w:rsidP="002907F5">
      <w:pPr>
        <w:spacing w:before="100" w:after="140"/>
        <w:jc w:val="both"/>
      </w:pPr>
      <w:r>
        <w:rPr>
          <w:color w:val="000000"/>
        </w:rPr>
        <w:t>Our recommended priorities for EBA clarification are:</w:t>
      </w:r>
    </w:p>
    <w:p w14:paraId="591A4BF6" w14:textId="77777777" w:rsidR="00A904B6" w:rsidRDefault="00DB2207" w:rsidP="002907F5">
      <w:pPr>
        <w:pStyle w:val="ListParagraph"/>
        <w:numPr>
          <w:ilvl w:val="0"/>
          <w:numId w:val="8"/>
        </w:numPr>
        <w:spacing w:before="60" w:after="60"/>
        <w:jc w:val="both"/>
      </w:pPr>
      <w:r>
        <w:rPr>
          <w:color w:val="000000"/>
        </w:rPr>
        <w:t>PD model: Clarify how sector-level climate transition risk scores (e.g., from NGFS scenarios) may be incorporated as conditional adjustments to long-run average PD estimates, without requiring full re-estimation of the base model.</w:t>
      </w:r>
    </w:p>
    <w:p w14:paraId="60E0F90D" w14:textId="77777777" w:rsidR="00A904B6" w:rsidRDefault="00DB2207" w:rsidP="002907F5">
      <w:pPr>
        <w:pStyle w:val="ListParagraph"/>
        <w:numPr>
          <w:ilvl w:val="0"/>
          <w:numId w:val="8"/>
        </w:numPr>
        <w:spacing w:before="60" w:after="60"/>
        <w:jc w:val="both"/>
      </w:pPr>
      <w:r>
        <w:rPr>
          <w:color w:val="000000"/>
        </w:rPr>
        <w:t>LGD model: Provide guidance on the treatment of real estate collateral located in high physical climate risk zones — specifically whether climate hazard maps may be used to adjust LGD input floors.</w:t>
      </w:r>
    </w:p>
    <w:p w14:paraId="31BF5C03" w14:textId="77777777" w:rsidR="00A904B6" w:rsidRDefault="00DB2207" w:rsidP="002907F5">
      <w:pPr>
        <w:pStyle w:val="ListParagraph"/>
        <w:numPr>
          <w:ilvl w:val="0"/>
          <w:numId w:val="8"/>
        </w:numPr>
        <w:spacing w:before="60" w:after="60"/>
        <w:jc w:val="both"/>
      </w:pPr>
      <w:r>
        <w:rPr>
          <w:color w:val="000000"/>
        </w:rPr>
        <w:t>Stress testing: Clarify the interaction between CRR Article 177 IRB stress tests and the ESG scenario analysis proposed in the January 2025 consultation. A single integrated stress test would be preferable to two parallel exercises.</w:t>
      </w:r>
    </w:p>
    <w:p w14:paraId="1539B556" w14:textId="77777777" w:rsidR="00A904B6" w:rsidRDefault="00DB2207" w:rsidP="002907F5">
      <w:pPr>
        <w:pStyle w:val="ListParagraph"/>
        <w:numPr>
          <w:ilvl w:val="0"/>
          <w:numId w:val="8"/>
        </w:numPr>
        <w:spacing w:before="60" w:after="60"/>
        <w:jc w:val="both"/>
      </w:pPr>
      <w:r>
        <w:rPr>
          <w:color w:val="000000"/>
        </w:rPr>
        <w:t>Data standards: We strongly recommend that the EBA and ESAs develop standardised SME environmental data templates (aligned with the ESRS for small companies) to improve the reliability of E&amp;S risk data in lending credit assessment.</w:t>
      </w:r>
    </w:p>
    <w:p w14:paraId="61EE5A57" w14:textId="77777777" w:rsidR="00A904B6" w:rsidRDefault="00A904B6">
      <w:pPr>
        <w:spacing w:before="60" w:after="60"/>
      </w:pPr>
    </w:p>
    <w:p w14:paraId="100C9AFE" w14:textId="77777777" w:rsidR="00A904B6" w:rsidRDefault="00DB2207">
      <w:pPr>
        <w:pStyle w:val="Heading2"/>
      </w:pPr>
      <w:r>
        <w:t>3.1.2  Continuous vs. Discrete Models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904B6" w14:paraId="5473A94A" w14:textId="77777777">
        <w:tblPrEx>
          <w:tblCellMar>
            <w:top w:w="0" w:type="dxa"/>
            <w:bottom w:w="0" w:type="dxa"/>
          </w:tblCellMar>
        </w:tblPrEx>
        <w:tc>
          <w:tcPr>
            <w:tcW w:w="0" w:type="auto"/>
            <w:tcBorders>
              <w:top w:val="single" w:sz="2" w:space="0" w:color="0070C0"/>
              <w:left w:val="single" w:sz="2" w:space="0" w:color="0070C0"/>
              <w:bottom w:val="single" w:sz="2" w:space="0" w:color="0070C0"/>
              <w:right w:val="single" w:sz="2" w:space="0" w:color="0070C0"/>
            </w:tcBorders>
            <w:shd w:val="clear" w:color="auto" w:fill="F2F6FA"/>
            <w:tcMar>
              <w:top w:w="120" w:type="dxa"/>
              <w:left w:w="200" w:type="dxa"/>
              <w:bottom w:w="120" w:type="dxa"/>
              <w:right w:w="200" w:type="dxa"/>
            </w:tcMar>
          </w:tcPr>
          <w:p w14:paraId="4EA2BE84" w14:textId="77777777" w:rsidR="00A904B6" w:rsidRDefault="00DB2207" w:rsidP="002907F5">
            <w:pPr>
              <w:jc w:val="both"/>
            </w:pPr>
            <w:r>
              <w:rPr>
                <w:b/>
                <w:bCs/>
                <w:color w:val="0070C0"/>
                <w:sz w:val="20"/>
                <w:szCs w:val="20"/>
              </w:rPr>
              <w:t xml:space="preserve">Question Q7: </w:t>
            </w:r>
            <w:r>
              <w:rPr>
                <w:i/>
                <w:iCs/>
                <w:color w:val="000000"/>
                <w:sz w:val="20"/>
                <w:szCs w:val="20"/>
              </w:rPr>
              <w:t>Which requirements should apply in relation to the measurement of the performance of continuous models (e.g. back-testing)? How could testing requirements be facilitated and enhanced for continuous models?</w:t>
            </w:r>
          </w:p>
        </w:tc>
      </w:tr>
    </w:tbl>
    <w:p w14:paraId="743265D4" w14:textId="77777777" w:rsidR="00A904B6" w:rsidRDefault="00A904B6">
      <w:pPr>
        <w:spacing w:before="60" w:after="60"/>
      </w:pPr>
    </w:p>
    <w:p w14:paraId="4C797013" w14:textId="3B552FD2" w:rsidR="00A904B6" w:rsidRDefault="00DB2207" w:rsidP="002907F5">
      <w:pPr>
        <w:spacing w:before="100" w:after="140"/>
        <w:jc w:val="both"/>
      </w:pPr>
      <w:r>
        <w:rPr>
          <w:color w:val="000000"/>
        </w:rPr>
        <w:lastRenderedPageBreak/>
        <w:t xml:space="preserve">ezbob has direct experience of this issue through our </w:t>
      </w:r>
      <w:r>
        <w:rPr>
          <w:color w:val="000000"/>
        </w:rPr>
        <w:t>platform, which implements continuous scoring models for SME and consumer credit portfolios. The practical challenges of back-testing continuous PD models are significant and often underappreciated in regulatory guidance.</w:t>
      </w:r>
    </w:p>
    <w:p w14:paraId="69CD5EB1" w14:textId="5FAD75F6" w:rsidR="00A904B6" w:rsidRDefault="00DB2207" w:rsidP="002907F5">
      <w:pPr>
        <w:spacing w:before="100" w:after="140"/>
        <w:jc w:val="both"/>
      </w:pPr>
      <w:r>
        <w:rPr>
          <w:color w:val="000000"/>
        </w:rPr>
        <w:t>For a continuous PD model, each obligor receives a unique PD estimate. Back-testing at the individual level necessarily compares a probability (the estimated PD, a value in [0,1]) against a binary outcome (default</w:t>
      </w:r>
      <w:r w:rsidR="002907F5">
        <w:rPr>
          <w:color w:val="000000"/>
        </w:rPr>
        <w:t>,</w:t>
      </w:r>
      <w:r>
        <w:rPr>
          <w:color w:val="000000"/>
        </w:rPr>
        <w:t xml:space="preserve"> </w:t>
      </w:r>
      <w:r>
        <w:rPr>
          <w:color w:val="000000"/>
        </w:rPr>
        <w:t>not default). This comparison has essentially no statistical power at the individual level: every 'grade' by definition contains a single observation, and a default rate of either 0% or 100% carries no information about whether the model's PD estimate is well-calibrated.</w:t>
      </w:r>
    </w:p>
    <w:p w14:paraId="06B6ABAF" w14:textId="77777777" w:rsidR="00A904B6" w:rsidRDefault="00DB2207" w:rsidP="002907F5">
      <w:pPr>
        <w:spacing w:before="100" w:after="140"/>
        <w:jc w:val="both"/>
      </w:pPr>
      <w:r>
        <w:rPr>
          <w:color w:val="000000"/>
        </w:rPr>
        <w:t>We therefore strongly support the EBA's proposal (C7) to require discretisation of continuous models for testing purposes. Our specific recommendations on how this should work:</w:t>
      </w:r>
    </w:p>
    <w:p w14:paraId="28E503F6" w14:textId="77777777" w:rsidR="00A904B6" w:rsidRDefault="00DB2207" w:rsidP="002907F5">
      <w:pPr>
        <w:pStyle w:val="ListParagraph"/>
        <w:numPr>
          <w:ilvl w:val="0"/>
          <w:numId w:val="2"/>
        </w:numPr>
        <w:spacing w:before="60" w:after="60"/>
        <w:jc w:val="both"/>
      </w:pPr>
      <w:r>
        <w:rPr>
          <w:color w:val="000000"/>
        </w:rPr>
        <w:t>Minimum grade count: Continuous models should be discretised into at least 10 pools for PD back-testing purposes, with pools defined by equal-frequency or equal-width partitioning of the score distribution, documented in the model's validation framework.</w:t>
      </w:r>
    </w:p>
    <w:p w14:paraId="74D5AE5C" w14:textId="77777777" w:rsidR="00A904B6" w:rsidRDefault="00DB2207" w:rsidP="002907F5">
      <w:pPr>
        <w:pStyle w:val="ListParagraph"/>
        <w:numPr>
          <w:ilvl w:val="0"/>
          <w:numId w:val="2"/>
        </w:numPr>
        <w:spacing w:before="60" w:after="60"/>
        <w:jc w:val="both"/>
      </w:pPr>
      <w:r>
        <w:rPr>
          <w:color w:val="000000"/>
        </w:rPr>
        <w:t>Pool stability: The discretisation boundaries should be fixed at model development and re-validated on at least an annual basis. Changes to pool boundaries should be subject to the material model change criteria.</w:t>
      </w:r>
    </w:p>
    <w:p w14:paraId="448EEFE4" w14:textId="77777777" w:rsidR="00A904B6" w:rsidRDefault="00DB2207" w:rsidP="002907F5">
      <w:pPr>
        <w:pStyle w:val="ListParagraph"/>
        <w:numPr>
          <w:ilvl w:val="0"/>
          <w:numId w:val="2"/>
        </w:numPr>
        <w:spacing w:before="60" w:after="60"/>
        <w:jc w:val="both"/>
      </w:pPr>
      <w:r>
        <w:rPr>
          <w:color w:val="000000"/>
        </w:rPr>
        <w:t>Statistical tests: For each discretised pool, the Binomial test and Hosmer-Lemeshow test remain appropriate for calibration validation. For discriminatory power, the Gini coefficient calculated on the continuous score distribution is preferable to AUC calculated on discretised pools.</w:t>
      </w:r>
    </w:p>
    <w:p w14:paraId="3A95CA08" w14:textId="77777777" w:rsidR="00A904B6" w:rsidRDefault="00DB2207" w:rsidP="002907F5">
      <w:pPr>
        <w:pStyle w:val="ListParagraph"/>
        <w:numPr>
          <w:ilvl w:val="0"/>
          <w:numId w:val="2"/>
        </w:numPr>
        <w:spacing w:before="60" w:after="60"/>
        <w:jc w:val="both"/>
      </w:pPr>
      <w:r>
        <w:rPr>
          <w:color w:val="000000"/>
        </w:rPr>
        <w:t>LGD and CCF: For continuous LGD and CCF models, obligor-level comparison of predicted versus realised values remains feasible and should be the primary back-testing approach. Pool-level aggregation is a supplementary rather than primary test for LGD/CCF.</w:t>
      </w:r>
    </w:p>
    <w:p w14:paraId="1F746455" w14:textId="77777777" w:rsidR="00A904B6" w:rsidRDefault="00A904B6">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904B6" w14:paraId="79480509" w14:textId="77777777">
        <w:tblPrEx>
          <w:tblCellMar>
            <w:top w:w="0" w:type="dxa"/>
            <w:bottom w:w="0" w:type="dxa"/>
          </w:tblCellMar>
        </w:tblPrEx>
        <w:tc>
          <w:tcPr>
            <w:tcW w:w="0" w:type="auto"/>
            <w:tcBorders>
              <w:top w:val="single" w:sz="2" w:space="0" w:color="0070C0"/>
              <w:left w:val="single" w:sz="2" w:space="0" w:color="0070C0"/>
              <w:bottom w:val="single" w:sz="2" w:space="0" w:color="0070C0"/>
              <w:right w:val="single" w:sz="2" w:space="0" w:color="0070C0"/>
            </w:tcBorders>
            <w:shd w:val="clear" w:color="auto" w:fill="F2F6FA"/>
            <w:tcMar>
              <w:top w:w="120" w:type="dxa"/>
              <w:left w:w="200" w:type="dxa"/>
              <w:bottom w:w="120" w:type="dxa"/>
              <w:right w:w="200" w:type="dxa"/>
            </w:tcMar>
          </w:tcPr>
          <w:p w14:paraId="4F39D909" w14:textId="77777777" w:rsidR="00A904B6" w:rsidRDefault="00DB2207" w:rsidP="002907F5">
            <w:pPr>
              <w:jc w:val="both"/>
            </w:pPr>
            <w:r>
              <w:rPr>
                <w:b/>
                <w:bCs/>
                <w:color w:val="0070C0"/>
                <w:sz w:val="20"/>
                <w:szCs w:val="20"/>
              </w:rPr>
              <w:t xml:space="preserve">Question Q8: </w:t>
            </w:r>
            <w:r>
              <w:rPr>
                <w:i/>
                <w:iCs/>
                <w:color w:val="000000"/>
                <w:sz w:val="20"/>
                <w:szCs w:val="20"/>
              </w:rPr>
              <w:t>Which requirements should apply in the application phase of continuous models (e.g. overrides)?</w:t>
            </w:r>
          </w:p>
        </w:tc>
      </w:tr>
    </w:tbl>
    <w:p w14:paraId="5AF61125" w14:textId="77777777" w:rsidR="00A904B6" w:rsidRDefault="00A904B6">
      <w:pPr>
        <w:spacing w:before="60" w:after="60"/>
      </w:pPr>
    </w:p>
    <w:p w14:paraId="2CFCA16B" w14:textId="77777777" w:rsidR="00A904B6" w:rsidRDefault="00DB2207">
      <w:pPr>
        <w:spacing w:before="100" w:after="140"/>
        <w:jc w:val="both"/>
      </w:pPr>
      <w:r>
        <w:rPr>
          <w:color w:val="000000"/>
        </w:rPr>
        <w:t>The override framework is one of the most operationally complex aspects of applying continuous models in a real lending environment. In a discrete grading system, an override is naturally expressed as a 'notch' — moving an obligor from one grade to an adjacent grade. In a continuous system, there is no natural unit of override.</w:t>
      </w:r>
    </w:p>
    <w:p w14:paraId="72C94BB4" w14:textId="5AD10D88" w:rsidR="00A904B6" w:rsidRDefault="00DB2207">
      <w:pPr>
        <w:spacing w:before="100" w:after="140"/>
        <w:jc w:val="both"/>
      </w:pPr>
      <w:r>
        <w:rPr>
          <w:color w:val="000000"/>
        </w:rPr>
        <w:t xml:space="preserve">Our recommended approach, informed by our </w:t>
      </w:r>
      <w:r>
        <w:rPr>
          <w:color w:val="000000"/>
        </w:rPr>
        <w:t>implementation</w:t>
      </w:r>
      <w:r w:rsidR="002907F5">
        <w:rPr>
          <w:color w:val="000000"/>
        </w:rPr>
        <w:t>s</w:t>
      </w:r>
      <w:r>
        <w:rPr>
          <w:color w:val="000000"/>
        </w:rPr>
        <w:t>, is as follows:</w:t>
      </w:r>
    </w:p>
    <w:p w14:paraId="2F6A1D52" w14:textId="77777777" w:rsidR="00A904B6" w:rsidRDefault="00DB2207" w:rsidP="002907F5">
      <w:pPr>
        <w:pStyle w:val="ListParagraph"/>
        <w:numPr>
          <w:ilvl w:val="0"/>
          <w:numId w:val="9"/>
        </w:numPr>
        <w:spacing w:before="60" w:after="60"/>
        <w:jc w:val="both"/>
      </w:pPr>
      <w:r>
        <w:rPr>
          <w:color w:val="000000"/>
        </w:rPr>
        <w:t>Define a 'standard notch equivalent' as a fixed increment/decrement in the continuous score that corresponds to a meaningful economic movement — for example, the average PD difference between adjacent grades in the institution's internal master scale.</w:t>
      </w:r>
    </w:p>
    <w:p w14:paraId="14F3A00B" w14:textId="77777777" w:rsidR="00A904B6" w:rsidRDefault="00DB2207" w:rsidP="002907F5">
      <w:pPr>
        <w:pStyle w:val="ListParagraph"/>
        <w:numPr>
          <w:ilvl w:val="0"/>
          <w:numId w:val="9"/>
        </w:numPr>
        <w:spacing w:before="60" w:after="60"/>
        <w:jc w:val="both"/>
      </w:pPr>
      <w:r>
        <w:rPr>
          <w:color w:val="000000"/>
        </w:rPr>
        <w:t>Require that overrides be expressed in terms of this standard notch equivalent, with documented justification for each override direction and magnitude.</w:t>
      </w:r>
    </w:p>
    <w:p w14:paraId="614F83E3" w14:textId="77777777" w:rsidR="00A904B6" w:rsidRDefault="00DB2207" w:rsidP="002907F5">
      <w:pPr>
        <w:pStyle w:val="ListParagraph"/>
        <w:numPr>
          <w:ilvl w:val="0"/>
          <w:numId w:val="9"/>
        </w:numPr>
        <w:spacing w:before="60" w:after="60"/>
        <w:jc w:val="both"/>
      </w:pPr>
      <w:r>
        <w:rPr>
          <w:color w:val="000000"/>
        </w:rPr>
        <w:t>Apply identical governance requirements (documentation, senior credit officer sign-off, override rate monitoring) to continuous model overrides as apply to discrete grade overrides.</w:t>
      </w:r>
    </w:p>
    <w:p w14:paraId="428376A7" w14:textId="23B3E4B7" w:rsidR="00A904B6" w:rsidRDefault="00DB2207" w:rsidP="002907F5">
      <w:pPr>
        <w:pStyle w:val="ListParagraph"/>
        <w:numPr>
          <w:ilvl w:val="0"/>
          <w:numId w:val="9"/>
        </w:numPr>
        <w:spacing w:before="60" w:after="60"/>
        <w:jc w:val="both"/>
      </w:pPr>
      <w:r>
        <w:rPr>
          <w:color w:val="000000"/>
        </w:rPr>
        <w:t>Monitor override rates by score band (equivalent to monitoring by grade)</w:t>
      </w:r>
      <w:r>
        <w:rPr>
          <w:color w:val="000000"/>
        </w:rPr>
        <w:t xml:space="preserve"> and require escalation if override rates in any score band exceed supervisory thresholds.</w:t>
      </w:r>
    </w:p>
    <w:p w14:paraId="486BC0AE" w14:textId="77777777" w:rsidR="00A904B6" w:rsidRDefault="00DB2207" w:rsidP="002907F5">
      <w:pPr>
        <w:pStyle w:val="ListParagraph"/>
        <w:numPr>
          <w:ilvl w:val="0"/>
          <w:numId w:val="9"/>
        </w:numPr>
        <w:spacing w:before="60" w:after="60"/>
        <w:jc w:val="both"/>
      </w:pPr>
      <w:r>
        <w:rPr>
          <w:color w:val="000000"/>
        </w:rPr>
        <w:t>For the purpose of regulatory reporting, the continuous PD post-override should be mapped to the nearest discretised pool for comparison with the pre-override pool, providing a tractable audit trail.</w:t>
      </w:r>
    </w:p>
    <w:p w14:paraId="68CBAF25" w14:textId="77777777" w:rsidR="00A904B6" w:rsidRDefault="00A904B6">
      <w:pPr>
        <w:spacing w:before="60" w:after="60"/>
      </w:pPr>
    </w:p>
    <w:p w14:paraId="690B19C5" w14:textId="77777777" w:rsidR="00A904B6" w:rsidRDefault="00DB2207">
      <w:pPr>
        <w:pStyle w:val="Heading2"/>
      </w:pPr>
      <w:r>
        <w:t>3.1.3  Definition of Facility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904B6" w14:paraId="1B698A89" w14:textId="77777777">
        <w:tblPrEx>
          <w:tblCellMar>
            <w:top w:w="0" w:type="dxa"/>
            <w:bottom w:w="0" w:type="dxa"/>
          </w:tblCellMar>
        </w:tblPrEx>
        <w:tc>
          <w:tcPr>
            <w:tcW w:w="0" w:type="auto"/>
            <w:tcBorders>
              <w:top w:val="single" w:sz="2" w:space="0" w:color="0070C0"/>
              <w:left w:val="single" w:sz="2" w:space="0" w:color="0070C0"/>
              <w:bottom w:val="single" w:sz="2" w:space="0" w:color="0070C0"/>
              <w:right w:val="single" w:sz="2" w:space="0" w:color="0070C0"/>
            </w:tcBorders>
            <w:shd w:val="clear" w:color="auto" w:fill="F2F6FA"/>
            <w:tcMar>
              <w:top w:w="120" w:type="dxa"/>
              <w:left w:w="200" w:type="dxa"/>
              <w:bottom w:w="120" w:type="dxa"/>
              <w:right w:w="200" w:type="dxa"/>
            </w:tcMar>
          </w:tcPr>
          <w:p w14:paraId="69E89A04" w14:textId="77777777" w:rsidR="00A904B6" w:rsidRDefault="00DB2207" w:rsidP="002907F5">
            <w:pPr>
              <w:jc w:val="both"/>
            </w:pPr>
            <w:r>
              <w:rPr>
                <w:b/>
                <w:bCs/>
                <w:color w:val="0070C0"/>
                <w:sz w:val="20"/>
                <w:szCs w:val="20"/>
              </w:rPr>
              <w:t xml:space="preserve">Question Q9: </w:t>
            </w:r>
            <w:r>
              <w:rPr>
                <w:i/>
                <w:iCs/>
                <w:color w:val="000000"/>
                <w:sz w:val="20"/>
                <w:szCs w:val="20"/>
              </w:rPr>
              <w:t>Which challenges have you encountered in implementing the new CRR definition of facility?</w:t>
            </w:r>
          </w:p>
        </w:tc>
      </w:tr>
    </w:tbl>
    <w:p w14:paraId="3AF45FA5" w14:textId="77777777" w:rsidR="00A904B6" w:rsidRDefault="00A904B6">
      <w:pPr>
        <w:spacing w:before="60" w:after="60"/>
      </w:pPr>
    </w:p>
    <w:p w14:paraId="4C06076B" w14:textId="475A15C0" w:rsidR="00A904B6" w:rsidRDefault="00DB2207">
      <w:pPr>
        <w:spacing w:before="100" w:after="140"/>
        <w:jc w:val="both"/>
      </w:pPr>
      <w:r>
        <w:rPr>
          <w:color w:val="000000"/>
        </w:rPr>
        <w:t xml:space="preserve">ezbob has encountered significant implementation challenges with the new CRR3 facility definition across our </w:t>
      </w:r>
      <w:r>
        <w:rPr>
          <w:color w:val="000000"/>
        </w:rPr>
        <w:t>LOS deployments. The core difficulty is that the definition — which allows a facility to be 'a credit exposure arising from a contract or a set of contracts' — is simultaneously too flexible and insufficiently specific.</w:t>
      </w:r>
    </w:p>
    <w:p w14:paraId="1E5782D8" w14:textId="77777777" w:rsidR="00A904B6" w:rsidRDefault="00DB2207" w:rsidP="002907F5">
      <w:pPr>
        <w:spacing w:before="100" w:after="140"/>
        <w:jc w:val="both"/>
      </w:pPr>
      <w:r>
        <w:rPr>
          <w:color w:val="000000"/>
        </w:rPr>
        <w:t>In practice, the following scenarios generate implementation ambiguity:</w:t>
      </w:r>
    </w:p>
    <w:p w14:paraId="1E434C52" w14:textId="77777777" w:rsidR="00A904B6" w:rsidRDefault="00DB2207" w:rsidP="002907F5">
      <w:pPr>
        <w:pStyle w:val="ListParagraph"/>
        <w:numPr>
          <w:ilvl w:val="0"/>
          <w:numId w:val="2"/>
        </w:numPr>
        <w:spacing w:before="60" w:after="60"/>
        <w:jc w:val="both"/>
      </w:pPr>
      <w:r>
        <w:rPr>
          <w:color w:val="000000"/>
        </w:rPr>
        <w:t>Revolving credit facilities with multiple sub-limits: Where a single master agreement governs both a revolving credit facility and a term loan, clients have taken different positions on whether these constitute one facility or two.</w:t>
      </w:r>
    </w:p>
    <w:p w14:paraId="16D3B3F1" w14:textId="77777777" w:rsidR="00A904B6" w:rsidRDefault="00DB2207" w:rsidP="002907F5">
      <w:pPr>
        <w:pStyle w:val="ListParagraph"/>
        <w:numPr>
          <w:ilvl w:val="0"/>
          <w:numId w:val="2"/>
        </w:numPr>
        <w:spacing w:before="60" w:after="60"/>
        <w:jc w:val="both"/>
      </w:pPr>
      <w:r>
        <w:rPr>
          <w:color w:val="000000"/>
        </w:rPr>
        <w:t>Multi-product obligors in SME lending: A borrower with a business current account overdraft, an invoice finance facility, and a term loan — all with the same institution — may be treated as having one, two, or three facilities depending on how 'set of contracts' is interpreted.</w:t>
      </w:r>
    </w:p>
    <w:p w14:paraId="52AAE956" w14:textId="77777777" w:rsidR="00A904B6" w:rsidRDefault="00DB2207" w:rsidP="002907F5">
      <w:pPr>
        <w:pStyle w:val="ListParagraph"/>
        <w:numPr>
          <w:ilvl w:val="0"/>
          <w:numId w:val="2"/>
        </w:numPr>
        <w:spacing w:before="60" w:after="60"/>
        <w:jc w:val="both"/>
      </w:pPr>
      <w:r>
        <w:rPr>
          <w:color w:val="000000"/>
        </w:rPr>
        <w:t>Restructured facilities: Following a forbearance agreement, the restructured terms may or may not create a new facility, with implications for default identification (contagion) and CCF calculation.</w:t>
      </w:r>
    </w:p>
    <w:p w14:paraId="01C65858" w14:textId="77777777" w:rsidR="00A904B6" w:rsidRDefault="00DB2207" w:rsidP="002907F5">
      <w:pPr>
        <w:pStyle w:val="ListParagraph"/>
        <w:numPr>
          <w:ilvl w:val="0"/>
          <w:numId w:val="2"/>
        </w:numPr>
        <w:spacing w:before="60" w:after="60"/>
        <w:jc w:val="both"/>
      </w:pPr>
      <w:r>
        <w:rPr>
          <w:color w:val="000000"/>
        </w:rPr>
        <w:t>Retail product bundles: Consumer products that include both a credit card and a personal loan linked by a common credit limit raise genuine ambiguity about whether they constitute a single facility.</w:t>
      </w:r>
    </w:p>
    <w:p w14:paraId="3137E21D" w14:textId="1A6425B8" w:rsidR="00A904B6" w:rsidRDefault="00DB2207" w:rsidP="002907F5">
      <w:pPr>
        <w:spacing w:before="100" w:after="140"/>
        <w:jc w:val="both"/>
      </w:pPr>
      <w:r>
        <w:rPr>
          <w:color w:val="000000"/>
        </w:rPr>
        <w:t xml:space="preserve">The </w:t>
      </w:r>
      <w:r w:rsidR="002907F5">
        <w:rPr>
          <w:color w:val="000000"/>
        </w:rPr>
        <w:t>ezbob</w:t>
      </w:r>
      <w:r>
        <w:rPr>
          <w:color w:val="000000"/>
        </w:rPr>
        <w:t xml:space="preserve"> LOS </w:t>
      </w:r>
      <w:r w:rsidR="002907F5">
        <w:rPr>
          <w:color w:val="000000"/>
        </w:rPr>
        <w:t>is</w:t>
      </w:r>
      <w:r>
        <w:rPr>
          <w:color w:val="000000"/>
        </w:rPr>
        <w:t xml:space="preserve"> designed to track facilities at the product level, with obligor-level aggregation as a reporting layer. The CRR3 definition potentially requires us to support a more aggregated facility definition at the product logic level, which has significant data architecture implications for our clients.</w:t>
      </w:r>
    </w:p>
    <w:p w14:paraId="47EA4A94" w14:textId="77777777" w:rsidR="00A904B6" w:rsidRDefault="00A904B6">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904B6" w14:paraId="4FA5EF2B" w14:textId="77777777">
        <w:tblPrEx>
          <w:tblCellMar>
            <w:top w:w="0" w:type="dxa"/>
            <w:bottom w:w="0" w:type="dxa"/>
          </w:tblCellMar>
        </w:tblPrEx>
        <w:tc>
          <w:tcPr>
            <w:tcW w:w="0" w:type="auto"/>
            <w:tcBorders>
              <w:top w:val="single" w:sz="2" w:space="0" w:color="0070C0"/>
              <w:left w:val="single" w:sz="2" w:space="0" w:color="0070C0"/>
              <w:bottom w:val="single" w:sz="2" w:space="0" w:color="0070C0"/>
              <w:right w:val="single" w:sz="2" w:space="0" w:color="0070C0"/>
            </w:tcBorders>
            <w:shd w:val="clear" w:color="auto" w:fill="F2F6FA"/>
            <w:tcMar>
              <w:top w:w="120" w:type="dxa"/>
              <w:left w:w="200" w:type="dxa"/>
              <w:bottom w:w="120" w:type="dxa"/>
              <w:right w:w="200" w:type="dxa"/>
            </w:tcMar>
          </w:tcPr>
          <w:p w14:paraId="023BEAA8" w14:textId="77777777" w:rsidR="00A904B6" w:rsidRDefault="00DB2207" w:rsidP="002907F5">
            <w:pPr>
              <w:jc w:val="both"/>
            </w:pPr>
            <w:r>
              <w:rPr>
                <w:b/>
                <w:bCs/>
                <w:color w:val="0070C0"/>
                <w:sz w:val="20"/>
                <w:szCs w:val="20"/>
              </w:rPr>
              <w:t xml:space="preserve">Question Q10: </w:t>
            </w:r>
            <w:r>
              <w:rPr>
                <w:i/>
                <w:iCs/>
                <w:color w:val="000000"/>
                <w:sz w:val="20"/>
                <w:szCs w:val="20"/>
              </w:rPr>
              <w:t>Should a consistent and single facility definition be applied across all risk parameters?</w:t>
            </w:r>
          </w:p>
        </w:tc>
      </w:tr>
    </w:tbl>
    <w:p w14:paraId="2BD5310C" w14:textId="77777777" w:rsidR="00A904B6" w:rsidRDefault="00A904B6">
      <w:pPr>
        <w:spacing w:before="60" w:after="60"/>
      </w:pPr>
    </w:p>
    <w:p w14:paraId="2CC75D78" w14:textId="77777777" w:rsidR="00A904B6" w:rsidRDefault="00DB2207" w:rsidP="002907F5">
      <w:pPr>
        <w:spacing w:before="100" w:after="140"/>
        <w:jc w:val="both"/>
      </w:pPr>
      <w:r>
        <w:rPr>
          <w:color w:val="000000"/>
        </w:rPr>
        <w:t>Yes, ezbob supports a consistent facility definition across all risk parameters in principle, as consistency reduces the risk of regulatory arbitrage and simplifies implementation. However, we urge the EBA to pair this requirement with a realistic transition timeline.</w:t>
      </w:r>
    </w:p>
    <w:p w14:paraId="3607F6DA" w14:textId="77777777" w:rsidR="002907F5" w:rsidRDefault="00DB2207" w:rsidP="002907F5">
      <w:pPr>
        <w:spacing w:before="100" w:after="140"/>
        <w:jc w:val="both"/>
        <w:rPr>
          <w:color w:val="000000"/>
        </w:rPr>
      </w:pPr>
      <w:r>
        <w:rPr>
          <w:color w:val="000000"/>
        </w:rPr>
        <w:t xml:space="preserve">The redevelopment of PD, LGD, and CCF models to a consistent facility definition — where these have historically been modelled at different levels of aggregation — represents a substantial undertaking for lenders. </w:t>
      </w:r>
    </w:p>
    <w:p w14:paraId="7759A2B3" w14:textId="0F07B719" w:rsidR="00A904B6" w:rsidRDefault="00DB2207" w:rsidP="002907F5">
      <w:pPr>
        <w:spacing w:before="100" w:after="140"/>
        <w:jc w:val="both"/>
      </w:pPr>
      <w:r>
        <w:rPr>
          <w:color w:val="000000"/>
        </w:rPr>
        <w:t>For our larger clients, this involves not only model redevelopment (which must be approved by competent authorities) but also data re-labelling across historical portfolios and system changes in the LOS. We estimate that a minimum of 24-36 months of transition time from finalisation of the EBA guidance would be required for an orderly implementation.</w:t>
      </w:r>
    </w:p>
    <w:p w14:paraId="44C3B2A0" w14:textId="77777777" w:rsidR="00A904B6" w:rsidRDefault="00A904B6">
      <w:pPr>
        <w:spacing w:before="60" w:after="60"/>
      </w:pPr>
    </w:p>
    <w:p w14:paraId="22A878DF" w14:textId="77777777" w:rsidR="00A904B6" w:rsidRDefault="00DB2207">
      <w:pPr>
        <w:pStyle w:val="Heading2"/>
      </w:pPr>
      <w:r>
        <w:t>3.1.4  Representativeness Requirements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904B6" w14:paraId="74B3AE3D" w14:textId="77777777">
        <w:tblPrEx>
          <w:tblCellMar>
            <w:top w:w="0" w:type="dxa"/>
            <w:bottom w:w="0" w:type="dxa"/>
          </w:tblCellMar>
        </w:tblPrEx>
        <w:tc>
          <w:tcPr>
            <w:tcW w:w="0" w:type="auto"/>
            <w:tcBorders>
              <w:top w:val="single" w:sz="2" w:space="0" w:color="0070C0"/>
              <w:left w:val="single" w:sz="2" w:space="0" w:color="0070C0"/>
              <w:bottom w:val="single" w:sz="2" w:space="0" w:color="0070C0"/>
              <w:right w:val="single" w:sz="2" w:space="0" w:color="0070C0"/>
            </w:tcBorders>
            <w:shd w:val="clear" w:color="auto" w:fill="F2F6FA"/>
            <w:tcMar>
              <w:top w:w="120" w:type="dxa"/>
              <w:left w:w="200" w:type="dxa"/>
              <w:bottom w:w="120" w:type="dxa"/>
              <w:right w:w="200" w:type="dxa"/>
            </w:tcMar>
          </w:tcPr>
          <w:p w14:paraId="3431C733" w14:textId="77777777" w:rsidR="00A904B6" w:rsidRDefault="00DB2207" w:rsidP="002907F5">
            <w:pPr>
              <w:jc w:val="both"/>
            </w:pPr>
            <w:r>
              <w:rPr>
                <w:b/>
                <w:bCs/>
                <w:color w:val="0070C0"/>
                <w:sz w:val="20"/>
                <w:szCs w:val="20"/>
              </w:rPr>
              <w:lastRenderedPageBreak/>
              <w:t xml:space="preserve">Question Q11: </w:t>
            </w:r>
            <w:r>
              <w:rPr>
                <w:i/>
                <w:iCs/>
                <w:color w:val="000000"/>
                <w:sz w:val="20"/>
                <w:szCs w:val="20"/>
              </w:rPr>
              <w:t>Are adjustments proposed in the representativeness requirement for the CCF parameter also suited for PD and LGD risk parameters? Which amendments would be needed to accommodate PD and LGD specificities?</w:t>
            </w:r>
          </w:p>
        </w:tc>
      </w:tr>
    </w:tbl>
    <w:p w14:paraId="2C305BA3" w14:textId="77777777" w:rsidR="00A904B6" w:rsidRDefault="00A904B6">
      <w:pPr>
        <w:spacing w:before="60" w:after="60"/>
      </w:pPr>
    </w:p>
    <w:p w14:paraId="56385142" w14:textId="77777777" w:rsidR="00A904B6" w:rsidRDefault="00DB2207" w:rsidP="002907F5">
      <w:pPr>
        <w:spacing w:before="100" w:after="140"/>
        <w:jc w:val="both"/>
      </w:pPr>
      <w:r>
        <w:rPr>
          <w:color w:val="000000"/>
        </w:rPr>
        <w:t>The updated representativeness framework proposed in the CCF consultation paper is largely applicable to PD and LGD estimation, and we support its extension. The three key clarifications — distinguishing development from testing data, simplifying representativeness dimensions, and addressing limited historical data situations — are all relevant to PD and LGD modelling.</w:t>
      </w:r>
    </w:p>
    <w:p w14:paraId="49923109" w14:textId="77777777" w:rsidR="00A904B6" w:rsidRDefault="00DB2207" w:rsidP="002907F5">
      <w:pPr>
        <w:spacing w:before="100" w:after="140"/>
        <w:jc w:val="both"/>
      </w:pPr>
      <w:r>
        <w:rPr>
          <w:color w:val="000000"/>
        </w:rPr>
        <w:t>The following PD-specific amendments would be needed:</w:t>
      </w:r>
    </w:p>
    <w:p w14:paraId="086FFADE" w14:textId="77777777" w:rsidR="00A904B6" w:rsidRDefault="00DB2207" w:rsidP="002907F5">
      <w:pPr>
        <w:pStyle w:val="ListParagraph"/>
        <w:numPr>
          <w:ilvl w:val="0"/>
          <w:numId w:val="10"/>
        </w:numPr>
        <w:spacing w:before="60" w:after="60"/>
        <w:jc w:val="both"/>
      </w:pPr>
      <w:r>
        <w:rPr>
          <w:color w:val="000000"/>
        </w:rPr>
        <w:t>Default rate variability: For PD models, the range of representativeness assessment should explicitly account for the cyclical variability of observed default rates. A portfolio with a long-run average PD of 2% but a through-the-cycle range of 0.5%-6% requires a different representativeness assessment than a portfolio with a stable 2% default rate. The CCF framework's flexibility provisions should be adapted to this cyclical dimension.</w:t>
      </w:r>
    </w:p>
    <w:p w14:paraId="4AF7CCE5" w14:textId="77777777" w:rsidR="00A904B6" w:rsidRDefault="00DB2207" w:rsidP="002907F5">
      <w:pPr>
        <w:pStyle w:val="ListParagraph"/>
        <w:numPr>
          <w:ilvl w:val="0"/>
          <w:numId w:val="10"/>
        </w:numPr>
        <w:spacing w:before="60" w:after="60"/>
        <w:jc w:val="both"/>
      </w:pPr>
      <w:r>
        <w:rPr>
          <w:color w:val="000000"/>
        </w:rPr>
        <w:t>Vintage representativeness: For LGD models, the vintage composition of the development sample is particularly important because recovery outcomes are highly dependent on macroeconomic conditions at time of default. LGD representativeness requirements should explicitly address the minimum distribution of default vintages needed across economic cycles.</w:t>
      </w:r>
    </w:p>
    <w:p w14:paraId="1F7C5A84" w14:textId="77777777" w:rsidR="00A904B6" w:rsidRDefault="00DB2207" w:rsidP="002907F5">
      <w:pPr>
        <w:pStyle w:val="ListParagraph"/>
        <w:numPr>
          <w:ilvl w:val="0"/>
          <w:numId w:val="10"/>
        </w:numPr>
        <w:spacing w:before="60" w:after="60"/>
        <w:jc w:val="both"/>
      </w:pPr>
      <w:r>
        <w:rPr>
          <w:color w:val="000000"/>
        </w:rPr>
        <w:t>Challenger model development: A specific provision for representativeness in challenger model contexts (where new models are developed on smaller or more recent datasets as a precursor to full replacement) would be operationally valuable, particularly for newer lenders or lenders entering new market segments.</w:t>
      </w:r>
    </w:p>
    <w:p w14:paraId="00A92DF5" w14:textId="77777777" w:rsidR="00A904B6" w:rsidRDefault="00A904B6">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904B6" w14:paraId="5032537A" w14:textId="77777777">
        <w:tblPrEx>
          <w:tblCellMar>
            <w:top w:w="0" w:type="dxa"/>
            <w:bottom w:w="0" w:type="dxa"/>
          </w:tblCellMar>
        </w:tblPrEx>
        <w:tc>
          <w:tcPr>
            <w:tcW w:w="0" w:type="auto"/>
            <w:tcBorders>
              <w:top w:val="single" w:sz="2" w:space="0" w:color="0070C0"/>
              <w:left w:val="single" w:sz="2" w:space="0" w:color="0070C0"/>
              <w:bottom w:val="single" w:sz="2" w:space="0" w:color="0070C0"/>
              <w:right w:val="single" w:sz="2" w:space="0" w:color="0070C0"/>
            </w:tcBorders>
            <w:shd w:val="clear" w:color="auto" w:fill="F2F6FA"/>
            <w:tcMar>
              <w:top w:w="120" w:type="dxa"/>
              <w:left w:w="200" w:type="dxa"/>
              <w:bottom w:w="120" w:type="dxa"/>
              <w:right w:w="200" w:type="dxa"/>
            </w:tcMar>
          </w:tcPr>
          <w:p w14:paraId="7554C5B9" w14:textId="77777777" w:rsidR="00A904B6" w:rsidRDefault="00DB2207" w:rsidP="002907F5">
            <w:pPr>
              <w:jc w:val="both"/>
            </w:pPr>
            <w:r>
              <w:rPr>
                <w:b/>
                <w:bCs/>
                <w:color w:val="0070C0"/>
                <w:sz w:val="20"/>
                <w:szCs w:val="20"/>
              </w:rPr>
              <w:t xml:space="preserve">Question Q12: </w:t>
            </w:r>
            <w:r>
              <w:rPr>
                <w:i/>
                <w:iCs/>
                <w:color w:val="000000"/>
                <w:sz w:val="20"/>
                <w:szCs w:val="20"/>
              </w:rPr>
              <w:t>Do you consider further simplification of the representativeness requirement necessary for PD and LGD, and if so, what kind?</w:t>
            </w:r>
          </w:p>
        </w:tc>
      </w:tr>
    </w:tbl>
    <w:p w14:paraId="35B94BB5" w14:textId="77777777" w:rsidR="00A904B6" w:rsidRDefault="00A904B6">
      <w:pPr>
        <w:spacing w:before="60" w:after="60"/>
      </w:pPr>
    </w:p>
    <w:p w14:paraId="209A372C" w14:textId="77777777" w:rsidR="00A904B6" w:rsidRDefault="00DB2207" w:rsidP="002907F5">
      <w:pPr>
        <w:spacing w:before="100" w:after="140"/>
        <w:jc w:val="both"/>
      </w:pPr>
      <w:r>
        <w:rPr>
          <w:color w:val="000000"/>
        </w:rPr>
        <w:t>Yes, particularly in two scenarios that are directly relevant to ezbob's client base:</w:t>
      </w:r>
    </w:p>
    <w:p w14:paraId="57435359" w14:textId="5814369C" w:rsidR="00A904B6" w:rsidRDefault="00DB2207" w:rsidP="002907F5">
      <w:pPr>
        <w:pStyle w:val="ListParagraph"/>
        <w:numPr>
          <w:ilvl w:val="0"/>
          <w:numId w:val="11"/>
        </w:numPr>
        <w:spacing w:before="60" w:after="60"/>
        <w:jc w:val="both"/>
      </w:pPr>
      <w:r>
        <w:rPr>
          <w:color w:val="000000"/>
        </w:rPr>
        <w:t xml:space="preserve">New market entrants: Lenders entering a new product or geographic market — including ezbob clients expanding into </w:t>
      </w:r>
      <w:r w:rsidR="002907F5">
        <w:rPr>
          <w:color w:val="000000"/>
        </w:rPr>
        <w:t>new</w:t>
      </w:r>
      <w:r>
        <w:rPr>
          <w:color w:val="000000"/>
        </w:rPr>
        <w:t xml:space="preserve"> markets — frequently have limited historical data for the target population. The current representativeness framework provides insufficient guidance on how to proceed in this scenario, leading to conservative MoC additions that may not be well-calibrated. A structured framework for 'limited data' representativeness assessment (analogous to the forthcoming CCF guidelines' treatment of this scenario) would be valuable.</w:t>
      </w:r>
    </w:p>
    <w:p w14:paraId="4CE1584B" w14:textId="77777777" w:rsidR="00A904B6" w:rsidRDefault="00DB2207" w:rsidP="002907F5">
      <w:pPr>
        <w:pStyle w:val="ListParagraph"/>
        <w:numPr>
          <w:ilvl w:val="0"/>
          <w:numId w:val="11"/>
        </w:numPr>
        <w:spacing w:before="60" w:after="60"/>
        <w:jc w:val="both"/>
      </w:pPr>
      <w:r>
        <w:rPr>
          <w:color w:val="000000"/>
        </w:rPr>
        <w:t>Acquired portfolios: When a lender acquires a portfolio from another institution — a common scenario in credit market consolidation — the acquired book may not be representative of the acquirer's origination practices or underwriting standards. A pragmatic framework for assessing representativeness in this context, including permissible use of the vendor's historical data with documented adjustments, would reduce implementation risk.</w:t>
      </w:r>
    </w:p>
    <w:p w14:paraId="7C0522B7" w14:textId="77777777" w:rsidR="00A904B6" w:rsidRDefault="00A904B6">
      <w:pPr>
        <w:spacing w:before="60" w:after="60"/>
      </w:pPr>
    </w:p>
    <w:p w14:paraId="6C11AEC7" w14:textId="77777777" w:rsidR="00A904B6" w:rsidRDefault="00DB2207">
      <w:pPr>
        <w:pStyle w:val="Heading2"/>
      </w:pPr>
      <w:r>
        <w:t>3.2  Simplified Approaches in IRB Estimation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904B6" w14:paraId="0D4BCC3C" w14:textId="77777777">
        <w:tblPrEx>
          <w:tblCellMar>
            <w:top w:w="0" w:type="dxa"/>
            <w:bottom w:w="0" w:type="dxa"/>
          </w:tblCellMar>
        </w:tblPrEx>
        <w:tc>
          <w:tcPr>
            <w:tcW w:w="0" w:type="auto"/>
            <w:tcBorders>
              <w:top w:val="single" w:sz="2" w:space="0" w:color="0070C0"/>
              <w:left w:val="single" w:sz="2" w:space="0" w:color="0070C0"/>
              <w:bottom w:val="single" w:sz="2" w:space="0" w:color="0070C0"/>
              <w:right w:val="single" w:sz="2" w:space="0" w:color="0070C0"/>
            </w:tcBorders>
            <w:shd w:val="clear" w:color="auto" w:fill="F2F6FA"/>
            <w:tcMar>
              <w:top w:w="120" w:type="dxa"/>
              <w:left w:w="200" w:type="dxa"/>
              <w:bottom w:w="120" w:type="dxa"/>
              <w:right w:w="200" w:type="dxa"/>
            </w:tcMar>
          </w:tcPr>
          <w:p w14:paraId="7D6B027F" w14:textId="77777777" w:rsidR="00A904B6" w:rsidRDefault="00DB2207" w:rsidP="002907F5">
            <w:pPr>
              <w:jc w:val="both"/>
            </w:pPr>
            <w:r>
              <w:rPr>
                <w:b/>
                <w:bCs/>
                <w:color w:val="0070C0"/>
                <w:sz w:val="20"/>
                <w:szCs w:val="20"/>
              </w:rPr>
              <w:t xml:space="preserve">Question Q13: </w:t>
            </w:r>
            <w:r>
              <w:rPr>
                <w:i/>
                <w:iCs/>
                <w:color w:val="000000"/>
                <w:sz w:val="20"/>
                <w:szCs w:val="20"/>
              </w:rPr>
              <w:t>Should these simplifications be pursued? Do you have any preferred approaches with respect to these simplifications?</w:t>
            </w:r>
          </w:p>
        </w:tc>
      </w:tr>
    </w:tbl>
    <w:p w14:paraId="2FE6C448" w14:textId="77777777" w:rsidR="00A904B6" w:rsidRDefault="00A904B6">
      <w:pPr>
        <w:spacing w:before="60" w:after="60"/>
      </w:pPr>
    </w:p>
    <w:p w14:paraId="4304D79F" w14:textId="77777777" w:rsidR="00A904B6" w:rsidRDefault="00DB2207" w:rsidP="002907F5">
      <w:pPr>
        <w:spacing w:before="100" w:after="140"/>
        <w:jc w:val="both"/>
      </w:pPr>
      <w:r>
        <w:rPr>
          <w:color w:val="000000"/>
        </w:rPr>
        <w:t>ezbob strongly supports the pursuit of all simplifications proposed in Discussion Box 7 (C10-C15). Our view is grounded in implementation experience: the current framework imposes modelling burdens on lenders — and by extension, on technology vendors — that are in several cases disproportionate to the risk sensitivity gained.</w:t>
      </w:r>
    </w:p>
    <w:p w14:paraId="2BD0C3F5" w14:textId="77777777" w:rsidR="00A904B6" w:rsidRDefault="00DB2207" w:rsidP="002907F5">
      <w:pPr>
        <w:spacing w:before="100" w:after="140"/>
        <w:jc w:val="both"/>
      </w:pPr>
      <w:r>
        <w:rPr>
          <w:color w:val="000000"/>
        </w:rPr>
        <w:t>Our preferred approaches for each simplification are:</w:t>
      </w:r>
    </w:p>
    <w:p w14:paraId="02FA55A4" w14:textId="77777777" w:rsidR="00A904B6" w:rsidRDefault="00DB2207" w:rsidP="002907F5">
      <w:pPr>
        <w:spacing w:before="80" w:after="100"/>
        <w:jc w:val="both"/>
      </w:pPr>
      <w:r>
        <w:rPr>
          <w:b/>
          <w:bCs/>
          <w:color w:val="003366"/>
        </w:rPr>
        <w:t xml:space="preserve">C10 — Margin of Conservatism: </w:t>
      </w:r>
      <w:r>
        <w:rPr>
          <w:color w:val="000000"/>
        </w:rPr>
        <w:t>We support the optional fallback for MoC A and B, and strongly support standardisation of MoC C. The current heterogeneity in MoC C approaches across institutions is a significant source of RWA variability that has no prudential justification. A standardised MoC C based on the standard error of the long-run average estimator, with a regulatory floor, would be our preferred approach. The standardised formula should be published as part of the consolidated IRB guidelines.</w:t>
      </w:r>
    </w:p>
    <w:p w14:paraId="58B41A91" w14:textId="77777777" w:rsidR="00A904B6" w:rsidRDefault="00DB2207" w:rsidP="002907F5">
      <w:pPr>
        <w:spacing w:before="80" w:after="100"/>
        <w:jc w:val="both"/>
      </w:pPr>
      <w:r>
        <w:rPr>
          <w:b/>
          <w:bCs/>
          <w:color w:val="003366"/>
        </w:rPr>
        <w:t xml:space="preserve">C11 — Direct and Indirect Costs: </w:t>
      </w:r>
      <w:r>
        <w:rPr>
          <w:color w:val="000000"/>
        </w:rPr>
        <w:t>We support the optional percentage add-on fallback. From our clients' LOS implementations, indirect cost data is almost never captured at loan level — it is allocated from overhead accounts at portfolio or cost-centre level. The practical ability of most institutions to provide reliable loan-level indirect cost data is therefore limited. A regulatory add-on (our suggestion: 5-8% of realised LGD, calibrated from EBA benchmarking data) would be a significant simplification for small and mid-sized institutions</w:t>
      </w:r>
      <w:r>
        <w:rPr>
          <w:color w:val="000000"/>
        </w:rPr>
        <w:t>.</w:t>
      </w:r>
    </w:p>
    <w:p w14:paraId="106C0A0B" w14:textId="5027800B" w:rsidR="00A904B6" w:rsidRDefault="00DB2207" w:rsidP="002907F5">
      <w:pPr>
        <w:spacing w:before="80" w:after="100"/>
        <w:jc w:val="both"/>
      </w:pPr>
      <w:r>
        <w:rPr>
          <w:b/>
          <w:bCs/>
          <w:color w:val="003366"/>
        </w:rPr>
        <w:t xml:space="preserve">C12 — Downturn Estimation: </w:t>
      </w:r>
      <w:r>
        <w:rPr>
          <w:color w:val="000000"/>
        </w:rPr>
        <w:t xml:space="preserve">We support giving more prominence to the reference value approach. In our </w:t>
      </w:r>
      <w:r>
        <w:rPr>
          <w:color w:val="000000"/>
        </w:rPr>
        <w:t>implementations, the three-methodology downturn framework is the single most complex modelling requirement to implement and validate. Institutions with sufficient years of observation should be permitted to use the reference value (average of two worst-year LGDs) as a conservative but tractable primary estimate, subject to a floor at the long-run average LGD plus a regulatory add-on.</w:t>
      </w:r>
    </w:p>
    <w:p w14:paraId="1BC9F88D" w14:textId="77777777" w:rsidR="00A904B6" w:rsidRDefault="00DB2207" w:rsidP="002907F5">
      <w:pPr>
        <w:spacing w:before="80" w:after="100"/>
        <w:jc w:val="both"/>
      </w:pPr>
      <w:r>
        <w:rPr>
          <w:b/>
          <w:bCs/>
          <w:color w:val="003366"/>
        </w:rPr>
        <w:t xml:space="preserve">C13 — In-Default LGD: </w:t>
      </w:r>
      <w:r>
        <w:rPr>
          <w:color w:val="000000"/>
        </w:rPr>
        <w:t>We support an SA-like fallback for in-default exposures, subject to back-testing. The NPL backstop already provides a capital floor for non-performing exposures, reducing the risk of under-capitalisation. An SA-equivalent LGD for in-default exposures (with regulatory supervisory LGD values as floors) would allow institutions to concentrate modelling investment on the performing book.</w:t>
      </w:r>
    </w:p>
    <w:p w14:paraId="2E5107AD" w14:textId="77777777" w:rsidR="00A904B6" w:rsidRDefault="00DB2207" w:rsidP="002907F5">
      <w:pPr>
        <w:spacing w:before="80" w:after="100"/>
        <w:jc w:val="both"/>
      </w:pPr>
      <w:r>
        <w:rPr>
          <w:b/>
          <w:bCs/>
          <w:color w:val="003366"/>
        </w:rPr>
        <w:t xml:space="preserve">C14 — Fixed CCF: </w:t>
      </w:r>
      <w:r>
        <w:rPr>
          <w:color w:val="000000"/>
        </w:rPr>
        <w:t>We strongly support the fixed CCF option for entire exposure types, subject to back-testing. In our LOS implementations, revolving credit line behaviour — particularly for SME facilities — is driven more by product design and account management policy than by obligor risk characteristics. This limits the discriminatory power of CCF models, as the EBA acknowledges. A well-calibrated fixed CCF with a conservative MoC would produce more reliable capital requirements than a poorly discriminating model.</w:t>
      </w:r>
    </w:p>
    <w:p w14:paraId="75A03224" w14:textId="77777777" w:rsidR="00A904B6" w:rsidRDefault="00DB2207" w:rsidP="002907F5">
      <w:pPr>
        <w:spacing w:before="80" w:after="100"/>
        <w:jc w:val="both"/>
      </w:pPr>
      <w:r>
        <w:rPr>
          <w:b/>
          <w:bCs/>
          <w:color w:val="003366"/>
        </w:rPr>
        <w:t xml:space="preserve">C15 — 12-Month Fixed Horizon Flexibility: </w:t>
      </w:r>
      <w:r>
        <w:rPr>
          <w:color w:val="000000"/>
        </w:rPr>
        <w:t>We support additional flexibility and consider it appropriate to allow a cohort approach as an alternative, with reconciliation requirements to the 12-month fixed horizon as a benchmark. The technical challenges described in Box 3 of the DP — particularly the reference date mismatch and the overrepresentation of early-default exposures — are real and practically significant.</w:t>
      </w:r>
    </w:p>
    <w:p w14:paraId="1DB0750F" w14:textId="77777777" w:rsidR="00A904B6" w:rsidRDefault="00A904B6">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904B6" w14:paraId="09B34E8C" w14:textId="77777777">
        <w:tblPrEx>
          <w:tblCellMar>
            <w:top w:w="0" w:type="dxa"/>
            <w:bottom w:w="0" w:type="dxa"/>
          </w:tblCellMar>
        </w:tblPrEx>
        <w:tc>
          <w:tcPr>
            <w:tcW w:w="0" w:type="auto"/>
            <w:tcBorders>
              <w:top w:val="single" w:sz="2" w:space="0" w:color="0070C0"/>
              <w:left w:val="single" w:sz="2" w:space="0" w:color="0070C0"/>
              <w:bottom w:val="single" w:sz="2" w:space="0" w:color="0070C0"/>
              <w:right w:val="single" w:sz="2" w:space="0" w:color="0070C0"/>
            </w:tcBorders>
            <w:shd w:val="clear" w:color="auto" w:fill="F2F6FA"/>
            <w:tcMar>
              <w:top w:w="120" w:type="dxa"/>
              <w:left w:w="200" w:type="dxa"/>
              <w:bottom w:w="120" w:type="dxa"/>
              <w:right w:w="200" w:type="dxa"/>
            </w:tcMar>
          </w:tcPr>
          <w:p w14:paraId="15877C2C" w14:textId="77777777" w:rsidR="00A904B6" w:rsidRDefault="00DB2207" w:rsidP="002907F5">
            <w:pPr>
              <w:jc w:val="both"/>
            </w:pPr>
            <w:r>
              <w:rPr>
                <w:b/>
                <w:bCs/>
                <w:color w:val="0070C0"/>
                <w:sz w:val="20"/>
                <w:szCs w:val="20"/>
              </w:rPr>
              <w:t xml:space="preserve">Question Q14: </w:t>
            </w:r>
            <w:r>
              <w:rPr>
                <w:i/>
                <w:iCs/>
                <w:color w:val="000000"/>
                <w:sz w:val="20"/>
                <w:szCs w:val="20"/>
              </w:rPr>
              <w:t>Do you have comments and suggestions with reference to the calibration of the fall-back approaches?</w:t>
            </w:r>
          </w:p>
        </w:tc>
      </w:tr>
    </w:tbl>
    <w:p w14:paraId="3ED90AEE" w14:textId="77777777" w:rsidR="00A904B6" w:rsidRDefault="00A904B6">
      <w:pPr>
        <w:spacing w:before="60" w:after="60"/>
      </w:pPr>
    </w:p>
    <w:p w14:paraId="27851D89" w14:textId="77777777" w:rsidR="00A904B6" w:rsidRDefault="00DB2207" w:rsidP="002907F5">
      <w:pPr>
        <w:spacing w:before="100" w:after="140"/>
        <w:jc w:val="both"/>
      </w:pPr>
      <w:r>
        <w:rPr>
          <w:color w:val="000000"/>
        </w:rPr>
        <w:t>The calibration of fallback approaches — particularly the X% add-on for indirect costs (C11) and the structure of the downturn reference value approach (C12) — should be grounded in empirical analysis rather than regulatory judgement alone. We make the following specific suggestions:</w:t>
      </w:r>
    </w:p>
    <w:p w14:paraId="38CAD8C7" w14:textId="77777777" w:rsidR="00A904B6" w:rsidRDefault="00DB2207" w:rsidP="002907F5">
      <w:pPr>
        <w:pStyle w:val="ListParagraph"/>
        <w:numPr>
          <w:ilvl w:val="0"/>
          <w:numId w:val="12"/>
        </w:numPr>
        <w:spacing w:before="60" w:after="60"/>
        <w:jc w:val="both"/>
      </w:pPr>
      <w:r>
        <w:rPr>
          <w:color w:val="000000"/>
        </w:rPr>
        <w:lastRenderedPageBreak/>
        <w:t>Indirect cost add-on (C11): The EBA should conduct a benchmarking study across a representative sample of IRB institutions before fixing the percentage add-on. The study should stratify by asset class and institution size. We suggest the final add-on be set at the 75th percentile of observed indirect cost ratios across the benchmarking sample, applied as a minimum floor that institutions may exceed if their own data supports a higher value.</w:t>
      </w:r>
    </w:p>
    <w:p w14:paraId="58EB131F" w14:textId="77777777" w:rsidR="00A904B6" w:rsidRDefault="00DB2207" w:rsidP="002907F5">
      <w:pPr>
        <w:pStyle w:val="ListParagraph"/>
        <w:numPr>
          <w:ilvl w:val="0"/>
          <w:numId w:val="12"/>
        </w:numPr>
        <w:spacing w:before="60" w:after="60"/>
        <w:jc w:val="both"/>
      </w:pPr>
      <w:r>
        <w:rPr>
          <w:color w:val="000000"/>
        </w:rPr>
        <w:t>MoC C standardisation (C10): The standard formula for MoC C should be based on a parametric approximation of the standard error of the long-run average PD estimator (e.g., based on the binomial variance), adjusted for the number of years of observation and the cyclicality of the portfolio. EBA should publish reference tables by asset class.</w:t>
      </w:r>
    </w:p>
    <w:p w14:paraId="4D497B61" w14:textId="77777777" w:rsidR="00A904B6" w:rsidRDefault="00DB2207" w:rsidP="002907F5">
      <w:pPr>
        <w:pStyle w:val="ListParagraph"/>
        <w:numPr>
          <w:ilvl w:val="0"/>
          <w:numId w:val="12"/>
        </w:numPr>
        <w:spacing w:before="60" w:after="60"/>
        <w:jc w:val="both"/>
      </w:pPr>
      <w:r>
        <w:rPr>
          <w:color w:val="000000"/>
        </w:rPr>
        <w:t>Downturn reference value floor (C12): The reference value should be floored at the long-run average LGD plus a fixed regulatory add-on (we suggest 10-15% of the long-run average), to ensure the simplified approach remains conservative relative to the full methodology.</w:t>
      </w:r>
    </w:p>
    <w:p w14:paraId="170F2064" w14:textId="77777777" w:rsidR="00A904B6" w:rsidRDefault="00DB2207" w:rsidP="002907F5">
      <w:pPr>
        <w:pStyle w:val="ListParagraph"/>
        <w:numPr>
          <w:ilvl w:val="0"/>
          <w:numId w:val="12"/>
        </w:numPr>
        <w:spacing w:before="60" w:after="60"/>
        <w:jc w:val="both"/>
      </w:pPr>
      <w:r>
        <w:rPr>
          <w:color w:val="000000"/>
        </w:rPr>
        <w:t>Fixed CCF back-testing threshold (C14): The back-testing requirement for fixed CCF should include an explicit trigger for mandatory model redevelopment — for example, where the fixed CCF produces realised CCF coverage of less than 90% over a rolling three-year period.</w:t>
      </w:r>
    </w:p>
    <w:p w14:paraId="3A5A623D" w14:textId="77777777" w:rsidR="00A904B6" w:rsidRDefault="00A904B6">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904B6" w14:paraId="5C040CB8" w14:textId="77777777">
        <w:tblPrEx>
          <w:tblCellMar>
            <w:top w:w="0" w:type="dxa"/>
            <w:bottom w:w="0" w:type="dxa"/>
          </w:tblCellMar>
        </w:tblPrEx>
        <w:tc>
          <w:tcPr>
            <w:tcW w:w="0" w:type="auto"/>
            <w:tcBorders>
              <w:top w:val="single" w:sz="2" w:space="0" w:color="0070C0"/>
              <w:left w:val="single" w:sz="2" w:space="0" w:color="0070C0"/>
              <w:bottom w:val="single" w:sz="2" w:space="0" w:color="0070C0"/>
              <w:right w:val="single" w:sz="2" w:space="0" w:color="0070C0"/>
            </w:tcBorders>
            <w:shd w:val="clear" w:color="auto" w:fill="F2F6FA"/>
            <w:tcMar>
              <w:top w:w="120" w:type="dxa"/>
              <w:left w:w="200" w:type="dxa"/>
              <w:bottom w:w="120" w:type="dxa"/>
              <w:right w:w="200" w:type="dxa"/>
            </w:tcMar>
          </w:tcPr>
          <w:p w14:paraId="387783B2" w14:textId="77777777" w:rsidR="00A904B6" w:rsidRDefault="00DB2207" w:rsidP="002907F5">
            <w:pPr>
              <w:jc w:val="both"/>
            </w:pPr>
            <w:r>
              <w:rPr>
                <w:b/>
                <w:bCs/>
                <w:color w:val="0070C0"/>
                <w:sz w:val="20"/>
                <w:szCs w:val="20"/>
              </w:rPr>
              <w:t xml:space="preserve">Question Q15: </w:t>
            </w:r>
            <w:r>
              <w:rPr>
                <w:i/>
                <w:iCs/>
                <w:color w:val="000000"/>
                <w:sz w:val="20"/>
                <w:szCs w:val="20"/>
              </w:rPr>
              <w:t>Do you see other potential simplification areas where the modelling burden is not commensurate to the gain in risk sensitivity?</w:t>
            </w:r>
          </w:p>
        </w:tc>
      </w:tr>
    </w:tbl>
    <w:p w14:paraId="2268CC82" w14:textId="77777777" w:rsidR="00A904B6" w:rsidRDefault="00A904B6">
      <w:pPr>
        <w:spacing w:before="60" w:after="60"/>
      </w:pPr>
    </w:p>
    <w:p w14:paraId="297A4CA7" w14:textId="77777777" w:rsidR="00A904B6" w:rsidRDefault="00DB2207" w:rsidP="002907F5">
      <w:pPr>
        <w:spacing w:before="100" w:after="140"/>
        <w:jc w:val="both"/>
      </w:pPr>
      <w:r>
        <w:rPr>
          <w:color w:val="000000"/>
        </w:rPr>
        <w:t>Yes. Based on our experience implementing and maintaining credit risk models for regulated lenders, we identify the following additional areas where the modelling burden is disproportionate:</w:t>
      </w:r>
    </w:p>
    <w:p w14:paraId="53DB69B3" w14:textId="7F7E05C8" w:rsidR="00A904B6" w:rsidRDefault="00DB2207" w:rsidP="002907F5">
      <w:pPr>
        <w:pStyle w:val="ListParagraph"/>
        <w:numPr>
          <w:ilvl w:val="0"/>
          <w:numId w:val="13"/>
        </w:numPr>
        <w:spacing w:before="60" w:after="60"/>
        <w:jc w:val="both"/>
      </w:pPr>
      <w:r>
        <w:rPr>
          <w:color w:val="000000"/>
        </w:rPr>
        <w:t xml:space="preserve">Cure rate estimation within the default definition: The requirements for estimating and applying cure rates — the probability that a defaulted exposure returns to performing status within a specified period — are inconsistently specified and impose significant modelling effort. For asset classes with low default rates (e.g., prime residential </w:t>
      </w:r>
      <w:r>
        <w:rPr>
          <w:color w:val="000000"/>
        </w:rPr>
        <w:t>portfolios), cure rate estimation is particularly data-intensive. A regulatory cure rate schedule by asset class and LTV band, usable as a fallback, would be beneficial.</w:t>
      </w:r>
    </w:p>
    <w:p w14:paraId="2372D95C" w14:textId="77777777" w:rsidR="00A904B6" w:rsidRDefault="00DB2207" w:rsidP="002907F5">
      <w:pPr>
        <w:pStyle w:val="ListParagraph"/>
        <w:numPr>
          <w:ilvl w:val="0"/>
          <w:numId w:val="13"/>
        </w:numPr>
        <w:spacing w:before="60" w:after="60"/>
        <w:jc w:val="both"/>
      </w:pPr>
      <w:r>
        <w:rPr>
          <w:color w:val="000000"/>
        </w:rPr>
        <w:t>Materiality thresholds for model changes: The current framework for distinguishing material from non-material model changes requires supervisory approval for a wide range of changes, including routine recalibrations. Clearer, more mechanical criteria for non-material changes (e.g., recalibrations that change average PD by less than 5 basis points and RWA by less than 1%) would reduce supervisory burden without compromising integrity.</w:t>
      </w:r>
    </w:p>
    <w:p w14:paraId="08097664" w14:textId="77777777" w:rsidR="00A904B6" w:rsidRDefault="00DB2207" w:rsidP="002907F5">
      <w:pPr>
        <w:pStyle w:val="ListParagraph"/>
        <w:numPr>
          <w:ilvl w:val="0"/>
          <w:numId w:val="13"/>
        </w:numPr>
        <w:spacing w:before="60" w:after="60"/>
        <w:jc w:val="both"/>
      </w:pPr>
      <w:r>
        <w:rPr>
          <w:color w:val="000000"/>
        </w:rPr>
        <w:t>Consistency of treatment for purchased receivables: The requirements for IRB treatment of purchased receivables (including invoice finance portfolios, which are significant in SME lending) are complex and inconsistently applied. A simplified IRB framework for pooled receivable portfolios — possibly leveraging the supervisory slotting approach as a model — would be valuable.</w:t>
      </w:r>
    </w:p>
    <w:p w14:paraId="6E0F973E" w14:textId="77777777" w:rsidR="00A904B6" w:rsidRDefault="00DB2207" w:rsidP="002907F5">
      <w:pPr>
        <w:pStyle w:val="ListParagraph"/>
        <w:numPr>
          <w:ilvl w:val="0"/>
          <w:numId w:val="13"/>
        </w:numPr>
        <w:spacing w:before="60" w:after="60"/>
        <w:jc w:val="both"/>
      </w:pPr>
      <w:r>
        <w:rPr>
          <w:color w:val="000000"/>
        </w:rPr>
        <w:t>ESG stress test integration (CRR Article 177): The requirement for IRB stress tests under CRR Article 177 and the emerging ESG scenario analysis requirements interact in ways that are not yet clearly specified. A single integrated stress test covering both credit risk and climate risk scenarios would reduce the compliance burden for IRB institutions.</w:t>
      </w:r>
    </w:p>
    <w:p w14:paraId="672A1936" w14:textId="77777777" w:rsidR="00A904B6" w:rsidRDefault="00A904B6">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904B6" w14:paraId="4B9D6A2C" w14:textId="77777777">
        <w:tblPrEx>
          <w:tblCellMar>
            <w:top w:w="0" w:type="dxa"/>
            <w:bottom w:w="0" w:type="dxa"/>
          </w:tblCellMar>
        </w:tblPrEx>
        <w:tc>
          <w:tcPr>
            <w:tcW w:w="0" w:type="auto"/>
            <w:tcBorders>
              <w:top w:val="single" w:sz="2" w:space="0" w:color="0070C0"/>
              <w:left w:val="single" w:sz="2" w:space="0" w:color="0070C0"/>
              <w:bottom w:val="single" w:sz="2" w:space="0" w:color="0070C0"/>
              <w:right w:val="single" w:sz="2" w:space="0" w:color="0070C0"/>
            </w:tcBorders>
            <w:shd w:val="clear" w:color="auto" w:fill="F2F6FA"/>
            <w:tcMar>
              <w:top w:w="120" w:type="dxa"/>
              <w:left w:w="200" w:type="dxa"/>
              <w:bottom w:w="120" w:type="dxa"/>
              <w:right w:w="200" w:type="dxa"/>
            </w:tcMar>
          </w:tcPr>
          <w:p w14:paraId="551617D7" w14:textId="77777777" w:rsidR="00A904B6" w:rsidRDefault="00DB2207" w:rsidP="002907F5">
            <w:pPr>
              <w:jc w:val="both"/>
            </w:pPr>
            <w:r>
              <w:rPr>
                <w:b/>
                <w:bCs/>
                <w:color w:val="0070C0"/>
                <w:sz w:val="20"/>
                <w:szCs w:val="20"/>
              </w:rPr>
              <w:t xml:space="preserve">Question Q16: </w:t>
            </w:r>
            <w:r>
              <w:rPr>
                <w:i/>
                <w:iCs/>
                <w:color w:val="000000"/>
                <w:sz w:val="20"/>
                <w:szCs w:val="20"/>
              </w:rPr>
              <w:t>What do you perceive as challenges in your capacity to collect appropriate data, in particular in relation to indirect costs?</w:t>
            </w:r>
          </w:p>
        </w:tc>
      </w:tr>
    </w:tbl>
    <w:p w14:paraId="70FEF65E" w14:textId="77777777" w:rsidR="00A904B6" w:rsidRDefault="00A904B6">
      <w:pPr>
        <w:spacing w:before="60" w:after="60"/>
      </w:pPr>
    </w:p>
    <w:p w14:paraId="003E72EE" w14:textId="77777777" w:rsidR="00A904B6" w:rsidRDefault="00DB2207" w:rsidP="002907F5">
      <w:pPr>
        <w:spacing w:before="100" w:after="140"/>
        <w:jc w:val="both"/>
      </w:pPr>
      <w:r>
        <w:rPr>
          <w:color w:val="000000"/>
        </w:rPr>
        <w:t>Data collection for indirect costs is one of the most practically challenging requirements in the IRB framework, based on our experience supporting clients through model implementation and validation. The challenges operate at multiple levels:</w:t>
      </w:r>
    </w:p>
    <w:p w14:paraId="76CBD4D2" w14:textId="77777777" w:rsidR="00A904B6" w:rsidRDefault="00DB2207" w:rsidP="002907F5">
      <w:pPr>
        <w:pStyle w:val="ListParagraph"/>
        <w:numPr>
          <w:ilvl w:val="0"/>
          <w:numId w:val="14"/>
        </w:numPr>
        <w:spacing w:before="60" w:after="60"/>
        <w:jc w:val="both"/>
      </w:pPr>
      <w:r>
        <w:rPr>
          <w:color w:val="000000"/>
        </w:rPr>
        <w:t>System architecture: Indirect costs — such as collections department staff costs, legal fees, property management costs, and IT system costs attributable to recovery — are recorded in general ledger accounts at department or cost-centre level, not at loan level. Attributing these costs to individual loans or facilities requires allocation methodologies that are inherently judgement-dependent and difficult to audit.</w:t>
      </w:r>
    </w:p>
    <w:p w14:paraId="04B07D9F" w14:textId="77777777" w:rsidR="00A904B6" w:rsidRDefault="00DB2207" w:rsidP="002907F5">
      <w:pPr>
        <w:pStyle w:val="ListParagraph"/>
        <w:numPr>
          <w:ilvl w:val="0"/>
          <w:numId w:val="14"/>
        </w:numPr>
        <w:spacing w:before="60" w:after="60"/>
        <w:jc w:val="both"/>
      </w:pPr>
      <w:r>
        <w:rPr>
          <w:color w:val="000000"/>
        </w:rPr>
        <w:t>Historical data: Even institutions that have committed to collecting indirect cost data going forward frequently lack reliable historical data covering a full economic cycle. This creates a bootstrapping problem: the very scenario (economic downturn) that generates the most relevant indirect cost data is the scenario in which operational disruption makes systematic data collection most difficult.</w:t>
      </w:r>
    </w:p>
    <w:p w14:paraId="01CFEBE5" w14:textId="77777777" w:rsidR="00A904B6" w:rsidRDefault="00DB2207" w:rsidP="002907F5">
      <w:pPr>
        <w:pStyle w:val="ListParagraph"/>
        <w:numPr>
          <w:ilvl w:val="0"/>
          <w:numId w:val="14"/>
        </w:numPr>
        <w:spacing w:before="60" w:after="60"/>
        <w:jc w:val="both"/>
      </w:pPr>
      <w:r>
        <w:rPr>
          <w:color w:val="000000"/>
        </w:rPr>
        <w:t>Consistency across workout strategies: Indirect costs vary significantly depending on the workout strategy applied (e.g., in-house collections, third-party debt purchaser, legal enforcement). Institutions that have changed their workout strategy over time face particular challenges in creating a consistent historical series.</w:t>
      </w:r>
    </w:p>
    <w:p w14:paraId="20996D56" w14:textId="77777777" w:rsidR="00A904B6" w:rsidRDefault="00DB2207" w:rsidP="002907F5">
      <w:pPr>
        <w:pStyle w:val="ListParagraph"/>
        <w:numPr>
          <w:ilvl w:val="0"/>
          <w:numId w:val="14"/>
        </w:numPr>
        <w:spacing w:before="60" w:after="60"/>
        <w:jc w:val="both"/>
      </w:pPr>
      <w:r>
        <w:rPr>
          <w:color w:val="000000"/>
        </w:rPr>
        <w:t>Smaller institution proportionality: For smaller IRB institutions — including building societies and specialist lenders that use our platform — indirect cost data collection imposes a disproportionate compliance burden relative to the precision it adds to LGD estimates. The optional percentage fallback (C11) is particularly important for this segment.</w:t>
      </w:r>
    </w:p>
    <w:p w14:paraId="3904381D" w14:textId="77777777" w:rsidR="00A904B6" w:rsidRDefault="00DB2207" w:rsidP="002907F5">
      <w:pPr>
        <w:spacing w:before="100" w:after="140"/>
        <w:jc w:val="both"/>
      </w:pPr>
      <w:r>
        <w:rPr>
          <w:color w:val="000000"/>
        </w:rPr>
        <w:t>We recommend that the EBA, in finalising the simplified approach for indirect costs, also publish implementation guidance on acceptable cost allocation methodologies and minimum data quality standards. A standardised data collection template, aligned with FINREP reporting where possible, would substantially reduce implementation costs across the industry.</w:t>
      </w:r>
    </w:p>
    <w:p w14:paraId="71E98008" w14:textId="77777777" w:rsidR="00A904B6" w:rsidRDefault="00A904B6">
      <w:pPr>
        <w:spacing w:before="60" w:after="60"/>
      </w:pPr>
    </w:p>
    <w:p w14:paraId="25E1A865" w14:textId="77777777" w:rsidR="00A904B6" w:rsidRDefault="00DB2207">
      <w:pPr>
        <w:pStyle w:val="Heading1"/>
        <w:pBdr>
          <w:bottom w:val="single" w:sz="6" w:space="4" w:color="0070C0"/>
        </w:pBdr>
      </w:pPr>
      <w:r>
        <w:t>Section 4: EBA Reports to Assess L1</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904B6" w14:paraId="49D4B37E" w14:textId="77777777">
        <w:tblPrEx>
          <w:tblCellMar>
            <w:top w:w="0" w:type="dxa"/>
            <w:bottom w:w="0" w:type="dxa"/>
          </w:tblCellMar>
        </w:tblPrEx>
        <w:tc>
          <w:tcPr>
            <w:tcW w:w="0" w:type="auto"/>
            <w:tcBorders>
              <w:top w:val="single" w:sz="2" w:space="0" w:color="0070C0"/>
              <w:left w:val="single" w:sz="2" w:space="0" w:color="0070C0"/>
              <w:bottom w:val="single" w:sz="2" w:space="0" w:color="0070C0"/>
              <w:right w:val="single" w:sz="2" w:space="0" w:color="0070C0"/>
            </w:tcBorders>
            <w:shd w:val="clear" w:color="auto" w:fill="F2F6FA"/>
            <w:tcMar>
              <w:top w:w="120" w:type="dxa"/>
              <w:left w:w="200" w:type="dxa"/>
              <w:bottom w:w="120" w:type="dxa"/>
              <w:right w:w="200" w:type="dxa"/>
            </w:tcMar>
          </w:tcPr>
          <w:p w14:paraId="5D05FD56" w14:textId="77777777" w:rsidR="00A904B6" w:rsidRDefault="00DB2207" w:rsidP="002907F5">
            <w:pPr>
              <w:jc w:val="both"/>
            </w:pPr>
            <w:r>
              <w:rPr>
                <w:b/>
                <w:bCs/>
                <w:color w:val="0070C0"/>
                <w:sz w:val="20"/>
                <w:szCs w:val="20"/>
              </w:rPr>
              <w:t xml:space="preserve">Question Q17: </w:t>
            </w:r>
            <w:r>
              <w:rPr>
                <w:i/>
                <w:iCs/>
                <w:color w:val="000000"/>
                <w:sz w:val="20"/>
                <w:szCs w:val="20"/>
              </w:rPr>
              <w:t>Do you agree with the approach proposed by EBA? Do you see further measures as necessary?</w:t>
            </w:r>
          </w:p>
        </w:tc>
      </w:tr>
    </w:tbl>
    <w:p w14:paraId="7FF6CE26" w14:textId="77777777" w:rsidR="00A904B6" w:rsidRDefault="00A904B6">
      <w:pPr>
        <w:spacing w:before="60" w:after="60"/>
      </w:pPr>
    </w:p>
    <w:p w14:paraId="3A4F7ECB" w14:textId="77777777" w:rsidR="00A904B6" w:rsidRDefault="00DB2207" w:rsidP="002907F5">
      <w:pPr>
        <w:spacing w:before="100" w:after="140"/>
        <w:jc w:val="both"/>
      </w:pPr>
      <w:r>
        <w:rPr>
          <w:color w:val="000000"/>
        </w:rPr>
        <w:t>ezbob agrees with the proposed six-factor analytical framework for L1 assessment (criticality of exposures, materiality of miscalibration, simplicity of rules, transition costs, intrinsic consistency, and extrinsic consistency). The framework provides a structured and defensible basis for evaluating potential changes to Level 1 text, and its publication as a transparent assessment tool is itself a step toward regulatory clarity.</w:t>
      </w:r>
    </w:p>
    <w:p w14:paraId="16BFF64F" w14:textId="77777777" w:rsidR="00A904B6" w:rsidRDefault="00DB2207" w:rsidP="002907F5">
      <w:pPr>
        <w:spacing w:before="100" w:after="140"/>
        <w:jc w:val="both"/>
      </w:pPr>
      <w:r>
        <w:rPr>
          <w:color w:val="000000"/>
        </w:rPr>
        <w:t>We consider the framework sound and support its application (C16). However, we would recommend the addition of a seventh dimension:</w:t>
      </w:r>
    </w:p>
    <w:p w14:paraId="37F7EAB3" w14:textId="4A84723F" w:rsidR="00A904B6" w:rsidRDefault="00DB2207" w:rsidP="002907F5">
      <w:pPr>
        <w:spacing w:before="80" w:after="100"/>
        <w:jc w:val="both"/>
      </w:pPr>
      <w:r>
        <w:rPr>
          <w:b/>
          <w:bCs/>
          <w:color w:val="003366"/>
        </w:rPr>
        <w:t xml:space="preserve">Proportionality: </w:t>
      </w:r>
      <w:r>
        <w:rPr>
          <w:color w:val="000000"/>
        </w:rPr>
        <w:t>The current framework evaluates costs and benefits primarily at the level of the typical or median IRB institution. However, the credit risk rulebook must function effectively across a range of institution types and sizes, from global systemically important institutions to specialist lenders with narrow product focus. A proportionality dimension would require explicit assessment of whether a proposed change to L1 text creates disproportionate compliance costs for smaller or specialist institutions, and whet</w:t>
      </w:r>
      <w:r>
        <w:rPr>
          <w:color w:val="000000"/>
        </w:rPr>
        <w:t xml:space="preserve">her tiered or threshold-based treatments </w:t>
      </w:r>
      <w:r>
        <w:rPr>
          <w:color w:val="000000"/>
        </w:rPr>
        <w:lastRenderedPageBreak/>
        <w:t>should be considered.</w:t>
      </w:r>
      <w:r w:rsidR="002907F5">
        <w:t xml:space="preserve"> </w:t>
      </w:r>
      <w:r>
        <w:rPr>
          <w:color w:val="000000"/>
        </w:rPr>
        <w:t xml:space="preserve">This is directly relevant to several of the simplified approaches proposed in Section 3.2 of this Discussion Paper, where the benefit of the simplification is most significant for smaller </w:t>
      </w:r>
      <w:proofErr w:type="gramStart"/>
      <w:r>
        <w:rPr>
          <w:color w:val="000000"/>
        </w:rPr>
        <w:t>institutions</w:t>
      </w:r>
      <w:proofErr w:type="gramEnd"/>
      <w:r>
        <w:rPr>
          <w:color w:val="000000"/>
        </w:rPr>
        <w:t xml:space="preserve"> but the EBA has framed the discussion primarily in terms of large IRB bank experience.</w:t>
      </w:r>
    </w:p>
    <w:p w14:paraId="3CF3ABF2" w14:textId="77777777" w:rsidR="00A904B6" w:rsidRDefault="00DB2207" w:rsidP="002907F5">
      <w:pPr>
        <w:spacing w:before="100" w:after="140"/>
        <w:jc w:val="both"/>
      </w:pPr>
      <w:r>
        <w:rPr>
          <w:color w:val="000000"/>
        </w:rPr>
        <w:t>Additional measures we consider necessary:</w:t>
      </w:r>
    </w:p>
    <w:p w14:paraId="6B18315D" w14:textId="77777777" w:rsidR="00A904B6" w:rsidRDefault="00DB2207" w:rsidP="002907F5">
      <w:pPr>
        <w:pStyle w:val="ListParagraph"/>
        <w:numPr>
          <w:ilvl w:val="0"/>
          <w:numId w:val="15"/>
        </w:numPr>
        <w:spacing w:before="60" w:after="60"/>
        <w:jc w:val="both"/>
      </w:pPr>
      <w:r>
        <w:rPr>
          <w:color w:val="000000"/>
        </w:rPr>
        <w:t xml:space="preserve">Technology impact assessment: As fintech and </w:t>
      </w:r>
      <w:proofErr w:type="spellStart"/>
      <w:r>
        <w:rPr>
          <w:color w:val="000000"/>
        </w:rPr>
        <w:t>regtech</w:t>
      </w:r>
      <w:proofErr w:type="spellEnd"/>
      <w:r>
        <w:rPr>
          <w:color w:val="000000"/>
        </w:rPr>
        <w:t xml:space="preserve"> increasingly mediate the implementation of regulatory requirements, the EBA should include an assessment of implementation feasibility in technology-based compliance environments as part of its L1 review process. Requirements that are technically tractable for large institutions with custom-built risk systems may be practically infeasible for institutions using standardised third-party platforms.</w:t>
      </w:r>
    </w:p>
    <w:p w14:paraId="1A2A9D72" w14:textId="77777777" w:rsidR="00A904B6" w:rsidRDefault="00DB2207" w:rsidP="002907F5">
      <w:pPr>
        <w:pStyle w:val="ListParagraph"/>
        <w:numPr>
          <w:ilvl w:val="0"/>
          <w:numId w:val="15"/>
        </w:numPr>
        <w:spacing w:before="60" w:after="60"/>
        <w:jc w:val="both"/>
      </w:pPr>
      <w:r>
        <w:rPr>
          <w:color w:val="000000"/>
        </w:rPr>
        <w:t>Cross-jurisdictional consistency: The EBA's extrinsic consistency dimension addresses compliance with the Basel framework. We would extend this to include consistency with the UK PRA's implementation of Basel 3.1, given the significant volume of cross-border activity between UK-regulated institutions (including many ezbob clients) and EU-regulated counterparties. Divergence between the UK and EU implementations of IRB requirements creates complexity for institutions operating on both sides of the Channel.</w:t>
      </w:r>
    </w:p>
    <w:p w14:paraId="6FE6DE2D" w14:textId="77777777" w:rsidR="00A904B6" w:rsidRDefault="00DB2207" w:rsidP="002907F5">
      <w:pPr>
        <w:pStyle w:val="ListParagraph"/>
        <w:numPr>
          <w:ilvl w:val="0"/>
          <w:numId w:val="15"/>
        </w:numPr>
        <w:spacing w:before="60" w:after="60"/>
        <w:jc w:val="both"/>
      </w:pPr>
      <w:r>
        <w:rPr>
          <w:color w:val="000000"/>
        </w:rPr>
        <w:t>Public benchmarking publication: The EBA's report programme should include regular publication of anonymised benchmarking data on key IRB parameters (LGD by asset class and collateral type, PD by rating grade, MoC distributions) to support the materiality of miscalibration assessment. This data would also benefit market participants in calibrating their own models and assessing whether their estimates are outliers.</w:t>
      </w:r>
    </w:p>
    <w:p w14:paraId="06E6544B" w14:textId="77777777" w:rsidR="00A904B6" w:rsidRDefault="00A904B6" w:rsidP="002907F5">
      <w:pPr>
        <w:spacing w:before="60" w:after="60"/>
        <w:jc w:val="both"/>
      </w:pPr>
    </w:p>
    <w:p w14:paraId="4D3C831C" w14:textId="77777777" w:rsidR="00A904B6" w:rsidRDefault="00DB2207">
      <w:pPr>
        <w:pStyle w:val="Heading1"/>
        <w:pBdr>
          <w:bottom w:val="single" w:sz="6" w:space="4" w:color="0070C0"/>
        </w:pBdr>
      </w:pPr>
      <w:r>
        <w:t>Conclusion</w:t>
      </w:r>
    </w:p>
    <w:p w14:paraId="257E960D" w14:textId="77777777" w:rsidR="00A904B6" w:rsidRDefault="00DB2207">
      <w:pPr>
        <w:spacing w:before="100" w:after="140"/>
        <w:jc w:val="both"/>
      </w:pPr>
      <w:r>
        <w:rPr>
          <w:color w:val="000000"/>
        </w:rPr>
        <w:t>ezbob Ltd thanks the EBA for the quality and substance of this Discussion Paper, which reflects a genuine effort to engage with the practical dimensions of credit risk regulation rather than treating simplification as a purely legal or structural exercise.</w:t>
      </w:r>
    </w:p>
    <w:p w14:paraId="044F3224" w14:textId="77777777" w:rsidR="00A904B6" w:rsidRDefault="00DB2207">
      <w:pPr>
        <w:spacing w:before="100" w:after="140"/>
        <w:jc w:val="both"/>
      </w:pPr>
      <w:r>
        <w:rPr>
          <w:color w:val="000000"/>
        </w:rPr>
        <w:t>Our response reflects the perspective of a lending technology company that translates regulatory requirements into working systems for regulated lenders. We have a strong interest in a framework that is risk-sensitive, internally consistent, and — critically — implementable with reasonable cost and effort by institutions of different sizes and sophistication.</w:t>
      </w:r>
    </w:p>
    <w:p w14:paraId="6D433224" w14:textId="77777777" w:rsidR="00A904B6" w:rsidRDefault="00DB2207">
      <w:pPr>
        <w:spacing w:before="100" w:after="140"/>
        <w:jc w:val="both"/>
      </w:pPr>
      <w:r>
        <w:rPr>
          <w:color w:val="000000"/>
        </w:rPr>
        <w:t>We would summarise our key positions as follows:</w:t>
      </w:r>
    </w:p>
    <w:p w14:paraId="45E78F95" w14:textId="77777777" w:rsidR="00A904B6" w:rsidRDefault="00DB2207" w:rsidP="002907F5">
      <w:pPr>
        <w:pStyle w:val="ListParagraph"/>
        <w:numPr>
          <w:ilvl w:val="0"/>
          <w:numId w:val="16"/>
        </w:numPr>
        <w:spacing w:before="60" w:after="60"/>
      </w:pPr>
      <w:r>
        <w:rPr>
          <w:color w:val="000000"/>
        </w:rPr>
        <w:t>Harmonise the CRR Article 430a loss definition using the prudential LGD-aligned approach, supplemented by standardised incomplete-recovery estimation guidance.</w:t>
      </w:r>
    </w:p>
    <w:p w14:paraId="5F7C0E62" w14:textId="77777777" w:rsidR="00A904B6" w:rsidRDefault="00DB2207" w:rsidP="002907F5">
      <w:pPr>
        <w:pStyle w:val="ListParagraph"/>
        <w:numPr>
          <w:ilvl w:val="0"/>
          <w:numId w:val="16"/>
        </w:numPr>
        <w:spacing w:before="60" w:after="60"/>
      </w:pPr>
      <w:r>
        <w:rPr>
          <w:color w:val="000000"/>
        </w:rPr>
        <w:t>Use loss data as one factor among several in RW assessments for real estate, not as a standalone trigger.</w:t>
      </w:r>
    </w:p>
    <w:p w14:paraId="3540BBD7" w14:textId="77777777" w:rsidR="00A904B6" w:rsidRDefault="00DB2207" w:rsidP="002907F5">
      <w:pPr>
        <w:pStyle w:val="ListParagraph"/>
        <w:numPr>
          <w:ilvl w:val="0"/>
          <w:numId w:val="16"/>
        </w:numPr>
        <w:spacing w:before="60" w:after="60"/>
      </w:pPr>
      <w:r>
        <w:rPr>
          <w:color w:val="000000"/>
        </w:rPr>
        <w:t>Prioritise consolidation of IRB regulatory products — this is the single most impactful simplification available within the EBA's mandate.</w:t>
      </w:r>
    </w:p>
    <w:p w14:paraId="0F72F2B6" w14:textId="77777777" w:rsidR="00A904B6" w:rsidRDefault="00DB2207" w:rsidP="002907F5">
      <w:pPr>
        <w:pStyle w:val="ListParagraph"/>
        <w:numPr>
          <w:ilvl w:val="0"/>
          <w:numId w:val="16"/>
        </w:numPr>
        <w:spacing w:before="60" w:after="60"/>
      </w:pPr>
      <w:r>
        <w:rPr>
          <w:color w:val="000000"/>
        </w:rPr>
        <w:t>Require discretisation of continuous models for testing purposes, with a minimum of 10 pools for PD back-testing.</w:t>
      </w:r>
    </w:p>
    <w:p w14:paraId="47D5EE28" w14:textId="77777777" w:rsidR="00A904B6" w:rsidRDefault="00DB2207" w:rsidP="002907F5">
      <w:pPr>
        <w:pStyle w:val="ListParagraph"/>
        <w:numPr>
          <w:ilvl w:val="0"/>
          <w:numId w:val="16"/>
        </w:numPr>
        <w:spacing w:before="60" w:after="60"/>
      </w:pPr>
      <w:r>
        <w:rPr>
          <w:color w:val="000000"/>
        </w:rPr>
        <w:t>Pursue all simplified approaches proposed for MoC, downturn LGD, in-default LGD, and CCF, with empirically calibrated parameters.</w:t>
      </w:r>
    </w:p>
    <w:p w14:paraId="751E5DA7" w14:textId="77777777" w:rsidR="00A904B6" w:rsidRDefault="00DB2207" w:rsidP="002907F5">
      <w:pPr>
        <w:pStyle w:val="ListParagraph"/>
        <w:numPr>
          <w:ilvl w:val="0"/>
          <w:numId w:val="16"/>
        </w:numPr>
        <w:spacing w:before="60" w:after="60"/>
      </w:pPr>
      <w:r>
        <w:rPr>
          <w:color w:val="000000"/>
        </w:rPr>
        <w:t>Add a proportionality dimension to the six-factor analytical framework for L1 assessment.</w:t>
      </w:r>
    </w:p>
    <w:p w14:paraId="28FBC9CE" w14:textId="77777777" w:rsidR="00A904B6" w:rsidRDefault="00DB2207" w:rsidP="002907F5">
      <w:pPr>
        <w:pStyle w:val="ListParagraph"/>
        <w:numPr>
          <w:ilvl w:val="0"/>
          <w:numId w:val="17"/>
        </w:numPr>
        <w:spacing w:before="60" w:after="60"/>
      </w:pPr>
      <w:r>
        <w:rPr>
          <w:color w:val="000000"/>
        </w:rPr>
        <w:t>Publish standardised data collection templates for indirect costs and E&amp;S risk proxies to reduce implementation heterogeneity.</w:t>
      </w:r>
    </w:p>
    <w:p w14:paraId="5E799A4F" w14:textId="77777777" w:rsidR="00A904B6" w:rsidRDefault="00DB2207">
      <w:pPr>
        <w:spacing w:before="100" w:after="140"/>
        <w:jc w:val="both"/>
      </w:pPr>
      <w:r>
        <w:rPr>
          <w:color w:val="000000"/>
        </w:rPr>
        <w:lastRenderedPageBreak/>
        <w:t>ezbob would welcome the opportunity to engage further with EBA staff on any of the technical issues raised in this response. We are particularly willing to participate in any follow-up technical workshops on continuous model testing, the simplified MoC framework, or the indirect cost data collection methodology.</w:t>
      </w:r>
    </w:p>
    <w:p w14:paraId="27A0385A" w14:textId="77777777" w:rsidR="00A904B6" w:rsidRDefault="00A904B6">
      <w:pPr>
        <w:spacing w:before="60" w:after="60"/>
      </w:pPr>
    </w:p>
    <w:p w14:paraId="489E8DB7" w14:textId="77777777" w:rsidR="00A904B6" w:rsidRDefault="00DB2207">
      <w:pPr>
        <w:spacing w:before="80" w:after="40"/>
      </w:pPr>
      <w:r>
        <w:rPr>
          <w:b/>
          <w:bCs/>
          <w:color w:val="003366"/>
          <w:sz w:val="20"/>
          <w:szCs w:val="20"/>
        </w:rPr>
        <w:t>John Christiansen  |  Chief Risk Officer, ezbob Ltd</w:t>
      </w:r>
    </w:p>
    <w:p w14:paraId="05AF8817" w14:textId="43813DAA" w:rsidR="00A904B6" w:rsidRDefault="00DB2207">
      <w:pPr>
        <w:spacing w:after="40"/>
      </w:pPr>
      <w:r>
        <w:rPr>
          <w:i/>
          <w:iCs/>
          <w:color w:val="595959"/>
          <w:sz w:val="18"/>
          <w:szCs w:val="18"/>
        </w:rPr>
        <w:t>j</w:t>
      </w:r>
      <w:r w:rsidR="002907F5">
        <w:rPr>
          <w:i/>
          <w:iCs/>
          <w:color w:val="595959"/>
          <w:sz w:val="18"/>
          <w:szCs w:val="18"/>
        </w:rPr>
        <w:t>ohn</w:t>
      </w:r>
      <w:r>
        <w:rPr>
          <w:i/>
          <w:iCs/>
          <w:color w:val="595959"/>
          <w:sz w:val="18"/>
          <w:szCs w:val="18"/>
        </w:rPr>
        <w:t xml:space="preserve">.christiansen@ezbob.com  |  ezbob.com  |  </w:t>
      </w:r>
      <w:r w:rsidR="002907F5">
        <w:rPr>
          <w:i/>
          <w:iCs/>
          <w:color w:val="595959"/>
          <w:sz w:val="18"/>
          <w:szCs w:val="18"/>
        </w:rPr>
        <w:t>120</w:t>
      </w:r>
      <w:r>
        <w:rPr>
          <w:i/>
          <w:iCs/>
          <w:color w:val="595959"/>
          <w:sz w:val="18"/>
          <w:szCs w:val="18"/>
        </w:rPr>
        <w:t xml:space="preserve"> </w:t>
      </w:r>
      <w:r w:rsidR="002907F5">
        <w:rPr>
          <w:i/>
          <w:iCs/>
          <w:color w:val="595959"/>
          <w:sz w:val="18"/>
          <w:szCs w:val="18"/>
        </w:rPr>
        <w:t xml:space="preserve">New Cavendish </w:t>
      </w:r>
      <w:r>
        <w:rPr>
          <w:i/>
          <w:iCs/>
          <w:color w:val="595959"/>
          <w:sz w:val="18"/>
          <w:szCs w:val="18"/>
        </w:rPr>
        <w:t xml:space="preserve">Street, London W1W </w:t>
      </w:r>
      <w:r w:rsidR="002907F5">
        <w:rPr>
          <w:i/>
          <w:iCs/>
          <w:color w:val="595959"/>
          <w:sz w:val="18"/>
          <w:szCs w:val="18"/>
        </w:rPr>
        <w:t>6XX</w:t>
      </w:r>
    </w:p>
    <w:p w14:paraId="3A048F55" w14:textId="77777777" w:rsidR="00A904B6" w:rsidRDefault="00DB2207">
      <w:r>
        <w:rPr>
          <w:i/>
          <w:iCs/>
          <w:color w:val="595959"/>
          <w:sz w:val="18"/>
          <w:szCs w:val="18"/>
        </w:rPr>
        <w:t>Submitted in response to EBA/DP/2026/01 — Deadline 10 May 2026</w:t>
      </w:r>
    </w:p>
    <w:sectPr w:rsidR="00A904B6">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C097C" w14:textId="77777777" w:rsidR="00DB2207" w:rsidRDefault="00DB2207">
      <w:r>
        <w:separator/>
      </w:r>
    </w:p>
  </w:endnote>
  <w:endnote w:type="continuationSeparator" w:id="0">
    <w:p w14:paraId="08DC4F40" w14:textId="77777777" w:rsidR="00DB2207" w:rsidRDefault="00DB2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1ABE6" w14:textId="77777777" w:rsidR="00A904B6" w:rsidRDefault="00DB2207">
    <w:pPr>
      <w:pBdr>
        <w:top w:val="single" w:sz="4" w:space="4" w:color="0070C0"/>
      </w:pBdr>
      <w:jc w:val="center"/>
    </w:pPr>
    <w:r>
      <w:rPr>
        <w:color w:val="595959"/>
        <w:sz w:val="18"/>
        <w:szCs w:val="18"/>
      </w:rPr>
      <w:t xml:space="preserve">Confidential — ezbob Ltd, 85 Great Portland Street, London W1W 7LT   |   Page </w:t>
    </w:r>
    <w:r>
      <w:rPr>
        <w:color w:val="595959"/>
        <w:sz w:val="18"/>
        <w:szCs w:val="18"/>
      </w:rPr>
      <w:fldChar w:fldCharType="begin"/>
    </w:r>
    <w:r>
      <w:rPr>
        <w:color w:val="595959"/>
        <w:sz w:val="18"/>
        <w:szCs w:val="18"/>
      </w:rPr>
      <w:instrText>PAGE</w:instrText>
    </w:r>
    <w:r>
      <w:rPr>
        <w:color w:val="595959"/>
        <w:sz w:val="18"/>
        <w:szCs w:val="18"/>
      </w:rPr>
      <w:fldChar w:fldCharType="separate"/>
    </w:r>
    <w:r w:rsidR="002907F5">
      <w:rPr>
        <w:noProof/>
        <w:color w:val="595959"/>
        <w:sz w:val="18"/>
        <w:szCs w:val="18"/>
      </w:rPr>
      <w:t>1</w:t>
    </w:r>
    <w:r>
      <w:rPr>
        <w:color w:val="59595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3BF70" w14:textId="77777777" w:rsidR="00DB2207" w:rsidRDefault="00DB2207">
      <w:r>
        <w:separator/>
      </w:r>
    </w:p>
  </w:footnote>
  <w:footnote w:type="continuationSeparator" w:id="0">
    <w:p w14:paraId="57D80A34" w14:textId="77777777" w:rsidR="00DB2207" w:rsidRDefault="00DB2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F4910" w14:textId="77777777" w:rsidR="00A904B6" w:rsidRDefault="00DB2207">
    <w:pPr>
      <w:pBdr>
        <w:bottom w:val="single" w:sz="4" w:space="4" w:color="0070C0"/>
      </w:pBdr>
    </w:pPr>
    <w:r>
      <w:rPr>
        <w:color w:val="595959"/>
        <w:sz w:val="18"/>
        <w:szCs w:val="18"/>
      </w:rPr>
      <w:t>ezbob Ltd  |  EBA/DP/2026/01 Response</w:t>
    </w:r>
    <w:r>
      <w:rPr>
        <w:color w:val="595959"/>
        <w:sz w:val="18"/>
        <w:szCs w:val="18"/>
      </w:rPr>
      <w:t xml:space="preserve">  |  March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F5577"/>
    <w:multiLevelType w:val="hybridMultilevel"/>
    <w:tmpl w:val="B9CC5FFC"/>
    <w:lvl w:ilvl="0" w:tplc="08090005">
      <w:start w:val="1"/>
      <w:numFmt w:val="bullet"/>
      <w:lvlText w:val=""/>
      <w:lvlJc w:val="left"/>
      <w:pPr>
        <w:ind w:left="360" w:hanging="360"/>
      </w:pPr>
      <w:rPr>
        <w:rFonts w:ascii="Wingdings" w:hAnsi="Wingdings" w:hint="default"/>
      </w:rPr>
    </w:lvl>
    <w:lvl w:ilvl="1" w:tplc="FFFFFFFF">
      <w:start w:val="1"/>
      <w:numFmt w:val="bullet"/>
      <w:lvlText w:val="◦"/>
      <w:lvlJc w:val="left"/>
      <w:pPr>
        <w:ind w:left="72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254FA9"/>
    <w:multiLevelType w:val="hybridMultilevel"/>
    <w:tmpl w:val="A6267B62"/>
    <w:lvl w:ilvl="0" w:tplc="00725800">
      <w:start w:val="1"/>
      <w:numFmt w:val="bullet"/>
      <w:lvlText w:val="●"/>
      <w:lvlJc w:val="left"/>
      <w:pPr>
        <w:ind w:left="720" w:hanging="360"/>
      </w:pPr>
    </w:lvl>
    <w:lvl w:ilvl="1" w:tplc="7B3E682A">
      <w:start w:val="1"/>
      <w:numFmt w:val="bullet"/>
      <w:lvlText w:val="○"/>
      <w:lvlJc w:val="left"/>
      <w:pPr>
        <w:ind w:left="1440" w:hanging="360"/>
      </w:pPr>
    </w:lvl>
    <w:lvl w:ilvl="2" w:tplc="731EE70A">
      <w:start w:val="1"/>
      <w:numFmt w:val="bullet"/>
      <w:lvlText w:val="■"/>
      <w:lvlJc w:val="left"/>
      <w:pPr>
        <w:ind w:left="2160" w:hanging="360"/>
      </w:pPr>
    </w:lvl>
    <w:lvl w:ilvl="3" w:tplc="F7CCE65C">
      <w:start w:val="1"/>
      <w:numFmt w:val="bullet"/>
      <w:lvlText w:val="●"/>
      <w:lvlJc w:val="left"/>
      <w:pPr>
        <w:ind w:left="2880" w:hanging="360"/>
      </w:pPr>
    </w:lvl>
    <w:lvl w:ilvl="4" w:tplc="DB7A6D8A">
      <w:start w:val="1"/>
      <w:numFmt w:val="bullet"/>
      <w:lvlText w:val="○"/>
      <w:lvlJc w:val="left"/>
      <w:pPr>
        <w:ind w:left="3600" w:hanging="360"/>
      </w:pPr>
    </w:lvl>
    <w:lvl w:ilvl="5" w:tplc="C79E7CB4">
      <w:start w:val="1"/>
      <w:numFmt w:val="bullet"/>
      <w:lvlText w:val="■"/>
      <w:lvlJc w:val="left"/>
      <w:pPr>
        <w:ind w:left="4320" w:hanging="360"/>
      </w:pPr>
    </w:lvl>
    <w:lvl w:ilvl="6" w:tplc="93E0A458">
      <w:start w:val="1"/>
      <w:numFmt w:val="bullet"/>
      <w:lvlText w:val="●"/>
      <w:lvlJc w:val="left"/>
      <w:pPr>
        <w:ind w:left="5040" w:hanging="360"/>
      </w:pPr>
    </w:lvl>
    <w:lvl w:ilvl="7" w:tplc="48CE6CE8">
      <w:start w:val="1"/>
      <w:numFmt w:val="bullet"/>
      <w:lvlText w:val="●"/>
      <w:lvlJc w:val="left"/>
      <w:pPr>
        <w:ind w:left="5760" w:hanging="360"/>
      </w:pPr>
    </w:lvl>
    <w:lvl w:ilvl="8" w:tplc="7F7C397E">
      <w:start w:val="1"/>
      <w:numFmt w:val="bullet"/>
      <w:lvlText w:val="●"/>
      <w:lvlJc w:val="left"/>
      <w:pPr>
        <w:ind w:left="6480" w:hanging="360"/>
      </w:pPr>
    </w:lvl>
  </w:abstractNum>
  <w:abstractNum w:abstractNumId="2" w15:restartNumberingAfterBreak="0">
    <w:nsid w:val="259878EE"/>
    <w:multiLevelType w:val="hybridMultilevel"/>
    <w:tmpl w:val="9508E662"/>
    <w:lvl w:ilvl="0" w:tplc="08090005">
      <w:start w:val="1"/>
      <w:numFmt w:val="bullet"/>
      <w:lvlText w:val=""/>
      <w:lvlJc w:val="left"/>
      <w:pPr>
        <w:ind w:left="360" w:hanging="360"/>
      </w:pPr>
      <w:rPr>
        <w:rFonts w:ascii="Wingdings" w:hAnsi="Wingdings" w:hint="default"/>
      </w:rPr>
    </w:lvl>
    <w:lvl w:ilvl="1" w:tplc="FFFFFFFF">
      <w:start w:val="1"/>
      <w:numFmt w:val="bullet"/>
      <w:lvlText w:val="◦"/>
      <w:lvlJc w:val="left"/>
      <w:pPr>
        <w:ind w:left="72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51A6AD7"/>
    <w:multiLevelType w:val="hybridMultilevel"/>
    <w:tmpl w:val="FCA28A04"/>
    <w:lvl w:ilvl="0" w:tplc="08090005">
      <w:start w:val="1"/>
      <w:numFmt w:val="bullet"/>
      <w:lvlText w:val=""/>
      <w:lvlJc w:val="left"/>
      <w:pPr>
        <w:ind w:left="360" w:hanging="360"/>
      </w:pPr>
      <w:rPr>
        <w:rFonts w:ascii="Wingdings" w:hAnsi="Wingdings" w:hint="default"/>
      </w:rPr>
    </w:lvl>
    <w:lvl w:ilvl="1" w:tplc="FFFFFFFF">
      <w:start w:val="1"/>
      <w:numFmt w:val="bullet"/>
      <w:lvlText w:val="◦"/>
      <w:lvlJc w:val="left"/>
      <w:pPr>
        <w:ind w:left="72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6562F39"/>
    <w:multiLevelType w:val="hybridMultilevel"/>
    <w:tmpl w:val="098A3EC2"/>
    <w:lvl w:ilvl="0" w:tplc="08090005">
      <w:start w:val="1"/>
      <w:numFmt w:val="bullet"/>
      <w:lvlText w:val=""/>
      <w:lvlJc w:val="left"/>
      <w:pPr>
        <w:ind w:left="360" w:hanging="360"/>
      </w:pPr>
      <w:rPr>
        <w:rFonts w:ascii="Wingdings" w:hAnsi="Wingdings" w:hint="default"/>
      </w:rPr>
    </w:lvl>
    <w:lvl w:ilvl="1" w:tplc="FFFFFFFF">
      <w:start w:val="1"/>
      <w:numFmt w:val="bullet"/>
      <w:lvlText w:val="◦"/>
      <w:lvlJc w:val="left"/>
      <w:pPr>
        <w:ind w:left="72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8081F8C"/>
    <w:multiLevelType w:val="hybridMultilevel"/>
    <w:tmpl w:val="6A7A640A"/>
    <w:lvl w:ilvl="0" w:tplc="08090005">
      <w:start w:val="1"/>
      <w:numFmt w:val="bullet"/>
      <w:lvlText w:val=""/>
      <w:lvlJc w:val="left"/>
      <w:pPr>
        <w:ind w:left="360" w:hanging="360"/>
      </w:pPr>
      <w:rPr>
        <w:rFonts w:ascii="Wingdings" w:hAnsi="Wingdings" w:hint="default"/>
      </w:rPr>
    </w:lvl>
    <w:lvl w:ilvl="1" w:tplc="FFFFFFFF">
      <w:start w:val="1"/>
      <w:numFmt w:val="bullet"/>
      <w:lvlText w:val="◦"/>
      <w:lvlJc w:val="left"/>
      <w:pPr>
        <w:ind w:left="72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0BE3E31"/>
    <w:multiLevelType w:val="hybridMultilevel"/>
    <w:tmpl w:val="0A7A52CE"/>
    <w:lvl w:ilvl="0" w:tplc="08090005">
      <w:start w:val="1"/>
      <w:numFmt w:val="bullet"/>
      <w:lvlText w:val=""/>
      <w:lvlJc w:val="left"/>
      <w:pPr>
        <w:ind w:left="360" w:hanging="360"/>
      </w:pPr>
      <w:rPr>
        <w:rFonts w:ascii="Wingdings" w:hAnsi="Wingdings" w:hint="default"/>
      </w:rPr>
    </w:lvl>
    <w:lvl w:ilvl="1" w:tplc="FFFFFFFF">
      <w:start w:val="1"/>
      <w:numFmt w:val="bullet"/>
      <w:lvlText w:val="◦"/>
      <w:lvlJc w:val="left"/>
      <w:pPr>
        <w:ind w:left="72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3856873"/>
    <w:multiLevelType w:val="hybridMultilevel"/>
    <w:tmpl w:val="D57EF926"/>
    <w:lvl w:ilvl="0" w:tplc="08090005">
      <w:start w:val="1"/>
      <w:numFmt w:val="bullet"/>
      <w:lvlText w:val=""/>
      <w:lvlJc w:val="left"/>
      <w:pPr>
        <w:ind w:left="360" w:hanging="360"/>
      </w:pPr>
      <w:rPr>
        <w:rFonts w:ascii="Wingdings" w:hAnsi="Wingdings" w:hint="default"/>
      </w:rPr>
    </w:lvl>
    <w:lvl w:ilvl="1" w:tplc="FFFFFFFF">
      <w:start w:val="1"/>
      <w:numFmt w:val="bullet"/>
      <w:lvlText w:val="◦"/>
      <w:lvlJc w:val="left"/>
      <w:pPr>
        <w:ind w:left="72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65F4A19"/>
    <w:multiLevelType w:val="hybridMultilevel"/>
    <w:tmpl w:val="D8746976"/>
    <w:lvl w:ilvl="0" w:tplc="4F20E01C">
      <w:start w:val="1"/>
      <w:numFmt w:val="bullet"/>
      <w:lvlText w:val="•"/>
      <w:lvlJc w:val="left"/>
      <w:pPr>
        <w:ind w:left="360" w:hanging="360"/>
      </w:pPr>
    </w:lvl>
    <w:lvl w:ilvl="1" w:tplc="450AEB7C">
      <w:start w:val="1"/>
      <w:numFmt w:val="bullet"/>
      <w:lvlText w:val="◦"/>
      <w:lvlJc w:val="left"/>
      <w:pPr>
        <w:ind w:left="720" w:hanging="360"/>
      </w:pPr>
    </w:lvl>
    <w:lvl w:ilvl="2" w:tplc="BB3A2436">
      <w:numFmt w:val="decimal"/>
      <w:lvlText w:val=""/>
      <w:lvlJc w:val="left"/>
    </w:lvl>
    <w:lvl w:ilvl="3" w:tplc="88049A10">
      <w:numFmt w:val="decimal"/>
      <w:lvlText w:val=""/>
      <w:lvlJc w:val="left"/>
    </w:lvl>
    <w:lvl w:ilvl="4" w:tplc="C30EA058">
      <w:numFmt w:val="decimal"/>
      <w:lvlText w:val=""/>
      <w:lvlJc w:val="left"/>
    </w:lvl>
    <w:lvl w:ilvl="5" w:tplc="FAA64E40">
      <w:numFmt w:val="decimal"/>
      <w:lvlText w:val=""/>
      <w:lvlJc w:val="left"/>
    </w:lvl>
    <w:lvl w:ilvl="6" w:tplc="54CEF320">
      <w:numFmt w:val="decimal"/>
      <w:lvlText w:val=""/>
      <w:lvlJc w:val="left"/>
    </w:lvl>
    <w:lvl w:ilvl="7" w:tplc="AB323D58">
      <w:numFmt w:val="decimal"/>
      <w:lvlText w:val=""/>
      <w:lvlJc w:val="left"/>
    </w:lvl>
    <w:lvl w:ilvl="8" w:tplc="CB0C1D76">
      <w:numFmt w:val="decimal"/>
      <w:lvlText w:val=""/>
      <w:lvlJc w:val="left"/>
    </w:lvl>
  </w:abstractNum>
  <w:abstractNum w:abstractNumId="9" w15:restartNumberingAfterBreak="0">
    <w:nsid w:val="56DC7BD6"/>
    <w:multiLevelType w:val="hybridMultilevel"/>
    <w:tmpl w:val="D66EBBCC"/>
    <w:lvl w:ilvl="0" w:tplc="08090005">
      <w:start w:val="1"/>
      <w:numFmt w:val="bullet"/>
      <w:lvlText w:val=""/>
      <w:lvlJc w:val="left"/>
      <w:pPr>
        <w:ind w:left="360" w:hanging="360"/>
      </w:pPr>
      <w:rPr>
        <w:rFonts w:ascii="Wingdings" w:hAnsi="Wingdings" w:hint="default"/>
      </w:rPr>
    </w:lvl>
    <w:lvl w:ilvl="1" w:tplc="FFFFFFFF">
      <w:start w:val="1"/>
      <w:numFmt w:val="bullet"/>
      <w:lvlText w:val="◦"/>
      <w:lvlJc w:val="left"/>
      <w:pPr>
        <w:ind w:left="72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94F6975"/>
    <w:multiLevelType w:val="hybridMultilevel"/>
    <w:tmpl w:val="0600A1D2"/>
    <w:lvl w:ilvl="0" w:tplc="08090005">
      <w:start w:val="1"/>
      <w:numFmt w:val="bullet"/>
      <w:lvlText w:val=""/>
      <w:lvlJc w:val="left"/>
      <w:pPr>
        <w:ind w:left="360" w:hanging="360"/>
      </w:pPr>
      <w:rPr>
        <w:rFonts w:ascii="Wingdings" w:hAnsi="Wingdings" w:hint="default"/>
      </w:rPr>
    </w:lvl>
    <w:lvl w:ilvl="1" w:tplc="FFFFFFFF">
      <w:start w:val="1"/>
      <w:numFmt w:val="bullet"/>
      <w:lvlText w:val="◦"/>
      <w:lvlJc w:val="left"/>
      <w:pPr>
        <w:ind w:left="72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BB02875"/>
    <w:multiLevelType w:val="hybridMultilevel"/>
    <w:tmpl w:val="2B40BF22"/>
    <w:lvl w:ilvl="0" w:tplc="08090005">
      <w:start w:val="1"/>
      <w:numFmt w:val="bullet"/>
      <w:lvlText w:val=""/>
      <w:lvlJc w:val="left"/>
      <w:pPr>
        <w:ind w:left="360" w:hanging="360"/>
      </w:pPr>
      <w:rPr>
        <w:rFonts w:ascii="Wingdings" w:hAnsi="Wingdings" w:hint="default"/>
      </w:rPr>
    </w:lvl>
    <w:lvl w:ilvl="1" w:tplc="FFFFFFFF">
      <w:start w:val="1"/>
      <w:numFmt w:val="bullet"/>
      <w:lvlText w:val="◦"/>
      <w:lvlJc w:val="left"/>
      <w:pPr>
        <w:ind w:left="72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F533204"/>
    <w:multiLevelType w:val="hybridMultilevel"/>
    <w:tmpl w:val="5BC4CC86"/>
    <w:lvl w:ilvl="0" w:tplc="08090005">
      <w:start w:val="1"/>
      <w:numFmt w:val="bullet"/>
      <w:lvlText w:val=""/>
      <w:lvlJc w:val="left"/>
      <w:pPr>
        <w:ind w:left="360" w:hanging="360"/>
      </w:pPr>
      <w:rPr>
        <w:rFonts w:ascii="Wingdings" w:hAnsi="Wingdings" w:hint="default"/>
      </w:rPr>
    </w:lvl>
    <w:lvl w:ilvl="1" w:tplc="FFFFFFFF">
      <w:start w:val="1"/>
      <w:numFmt w:val="bullet"/>
      <w:lvlText w:val="◦"/>
      <w:lvlJc w:val="left"/>
      <w:pPr>
        <w:ind w:left="72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4CC1F90"/>
    <w:multiLevelType w:val="hybridMultilevel"/>
    <w:tmpl w:val="68D891F0"/>
    <w:lvl w:ilvl="0" w:tplc="08090005">
      <w:start w:val="1"/>
      <w:numFmt w:val="bullet"/>
      <w:lvlText w:val=""/>
      <w:lvlJc w:val="left"/>
      <w:pPr>
        <w:ind w:left="360" w:hanging="360"/>
      </w:pPr>
      <w:rPr>
        <w:rFonts w:ascii="Wingdings" w:hAnsi="Wingdings" w:hint="default"/>
      </w:rPr>
    </w:lvl>
    <w:lvl w:ilvl="1" w:tplc="FFFFFFFF">
      <w:start w:val="1"/>
      <w:numFmt w:val="bullet"/>
      <w:lvlText w:val="◦"/>
      <w:lvlJc w:val="left"/>
      <w:pPr>
        <w:ind w:left="72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787710B"/>
    <w:multiLevelType w:val="hybridMultilevel"/>
    <w:tmpl w:val="D3F8744E"/>
    <w:lvl w:ilvl="0" w:tplc="08090005">
      <w:start w:val="1"/>
      <w:numFmt w:val="bullet"/>
      <w:lvlText w:val=""/>
      <w:lvlJc w:val="left"/>
      <w:pPr>
        <w:ind w:left="360" w:hanging="360"/>
      </w:pPr>
      <w:rPr>
        <w:rFonts w:ascii="Wingdings" w:hAnsi="Wingdings" w:hint="default"/>
      </w:rPr>
    </w:lvl>
    <w:lvl w:ilvl="1" w:tplc="FFFFFFFF">
      <w:start w:val="1"/>
      <w:numFmt w:val="bullet"/>
      <w:lvlText w:val="◦"/>
      <w:lvlJc w:val="left"/>
      <w:pPr>
        <w:ind w:left="72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E054801"/>
    <w:multiLevelType w:val="hybridMultilevel"/>
    <w:tmpl w:val="8E582D74"/>
    <w:lvl w:ilvl="0" w:tplc="08090005">
      <w:start w:val="1"/>
      <w:numFmt w:val="bullet"/>
      <w:lvlText w:val=""/>
      <w:lvlJc w:val="left"/>
      <w:pPr>
        <w:ind w:left="360" w:hanging="360"/>
      </w:pPr>
      <w:rPr>
        <w:rFonts w:ascii="Wingdings" w:hAnsi="Wingdings" w:hint="default"/>
      </w:rPr>
    </w:lvl>
    <w:lvl w:ilvl="1" w:tplc="FFFFFFFF">
      <w:start w:val="1"/>
      <w:numFmt w:val="bullet"/>
      <w:lvlText w:val="◦"/>
      <w:lvlJc w:val="left"/>
      <w:pPr>
        <w:ind w:left="72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27936513">
    <w:abstractNumId w:val="1"/>
    <w:lvlOverride w:ilvl="0">
      <w:startOverride w:val="1"/>
    </w:lvlOverride>
  </w:num>
  <w:num w:numId="2" w16cid:durableId="1577351476">
    <w:abstractNumId w:val="8"/>
    <w:lvlOverride w:ilvl="0">
      <w:startOverride w:val="1"/>
    </w:lvlOverride>
  </w:num>
  <w:num w:numId="3" w16cid:durableId="113064990">
    <w:abstractNumId w:val="8"/>
  </w:num>
  <w:num w:numId="4" w16cid:durableId="539392033">
    <w:abstractNumId w:val="2"/>
  </w:num>
  <w:num w:numId="5" w16cid:durableId="2110929874">
    <w:abstractNumId w:val="5"/>
  </w:num>
  <w:num w:numId="6" w16cid:durableId="1732118804">
    <w:abstractNumId w:val="4"/>
  </w:num>
  <w:num w:numId="7" w16cid:durableId="693581513">
    <w:abstractNumId w:val="6"/>
  </w:num>
  <w:num w:numId="8" w16cid:durableId="26221541">
    <w:abstractNumId w:val="15"/>
  </w:num>
  <w:num w:numId="9" w16cid:durableId="158926284">
    <w:abstractNumId w:val="10"/>
  </w:num>
  <w:num w:numId="10" w16cid:durableId="11803393">
    <w:abstractNumId w:val="13"/>
  </w:num>
  <w:num w:numId="11" w16cid:durableId="1055084034">
    <w:abstractNumId w:val="7"/>
  </w:num>
  <w:num w:numId="12" w16cid:durableId="1815877271">
    <w:abstractNumId w:val="0"/>
  </w:num>
  <w:num w:numId="13" w16cid:durableId="2051801855">
    <w:abstractNumId w:val="12"/>
  </w:num>
  <w:num w:numId="14" w16cid:durableId="53552736">
    <w:abstractNumId w:val="9"/>
  </w:num>
  <w:num w:numId="15" w16cid:durableId="2098936854">
    <w:abstractNumId w:val="14"/>
  </w:num>
  <w:num w:numId="16" w16cid:durableId="1180317289">
    <w:abstractNumId w:val="11"/>
  </w:num>
  <w:num w:numId="17" w16cid:durableId="449663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4B6"/>
    <w:rsid w:val="002907F5"/>
    <w:rsid w:val="002C6211"/>
    <w:rsid w:val="004B26DC"/>
    <w:rsid w:val="00A904B6"/>
    <w:rsid w:val="00DB2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0E283"/>
  <w15:docId w15:val="{4830729C-E04E-47E4-BD17-ABDF68206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003366"/>
      <w:sz w:val="32"/>
      <w:szCs w:val="32"/>
    </w:rPr>
  </w:style>
  <w:style w:type="paragraph" w:styleId="Heading2">
    <w:name w:val="heading 2"/>
    <w:uiPriority w:val="9"/>
    <w:unhideWhenUsed/>
    <w:qFormat/>
    <w:pPr>
      <w:spacing w:before="280" w:after="140"/>
      <w:outlineLvl w:val="1"/>
    </w:pPr>
    <w:rPr>
      <w:b/>
      <w:bCs/>
      <w:color w:val="1F5C8B"/>
      <w:sz w:val="26"/>
      <w:szCs w:val="26"/>
    </w:rPr>
  </w:style>
  <w:style w:type="paragraph" w:styleId="Heading3">
    <w:name w:val="heading 3"/>
    <w:uiPriority w:val="9"/>
    <w:semiHidden/>
    <w:unhideWhenUsed/>
    <w:qFormat/>
    <w:pPr>
      <w:spacing w:before="240" w:after="120"/>
      <w:outlineLvl w:val="2"/>
    </w:pPr>
    <w:rPr>
      <w:b/>
      <w:bCs/>
      <w:color w:val="0070C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5718</Words>
  <Characters>32595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John Christiansen</cp:lastModifiedBy>
  <cp:revision>2</cp:revision>
  <dcterms:created xsi:type="dcterms:W3CDTF">2026-03-18T09:32:00Z</dcterms:created>
  <dcterms:modified xsi:type="dcterms:W3CDTF">2026-03-18T09:32:00Z</dcterms:modified>
</cp:coreProperties>
</file>