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EB3FE" w14:textId="65D3D825" w:rsidR="006C597C" w:rsidRPr="006C597C" w:rsidRDefault="006C597C" w:rsidP="00500D48">
      <w:pPr>
        <w:jc w:val="both"/>
        <w:rPr>
          <w:b/>
          <w:bCs/>
          <w:noProof w:val="0"/>
          <w:lang w:val="en-GB"/>
        </w:rPr>
      </w:pPr>
      <w:r>
        <w:rPr>
          <w:b/>
          <w:bCs/>
          <w:noProof w:val="0"/>
          <w:lang w:val="en-GB"/>
        </w:rPr>
        <w:t xml:space="preserve">Comment to </w:t>
      </w:r>
      <w:r w:rsidR="006B3591">
        <w:rPr>
          <w:b/>
          <w:bCs/>
          <w:noProof w:val="0"/>
          <w:lang w:val="en-GB"/>
        </w:rPr>
        <w:t>Consultation Paper on EBA Draft Guidelines on the sound management of third party risk</w:t>
      </w:r>
      <w:r w:rsidR="00BD3186">
        <w:rPr>
          <w:b/>
          <w:bCs/>
          <w:noProof w:val="0"/>
          <w:lang w:val="en-GB"/>
        </w:rPr>
        <w:t xml:space="preserve"> (EBA/CP/2025/12)</w:t>
      </w:r>
      <w:r w:rsidR="006B3591">
        <w:rPr>
          <w:b/>
          <w:bCs/>
          <w:noProof w:val="0"/>
          <w:lang w:val="en-GB"/>
        </w:rPr>
        <w:t>, superseding EBA Outsourcing g</w:t>
      </w:r>
      <w:r w:rsidR="00BD3186">
        <w:rPr>
          <w:b/>
          <w:bCs/>
          <w:noProof w:val="0"/>
          <w:lang w:val="en-GB"/>
        </w:rPr>
        <w:t>u</w:t>
      </w:r>
      <w:r w:rsidR="006B3591">
        <w:rPr>
          <w:b/>
          <w:bCs/>
          <w:noProof w:val="0"/>
          <w:lang w:val="en-GB"/>
        </w:rPr>
        <w:t xml:space="preserve">idelines </w:t>
      </w:r>
      <w:r w:rsidR="00BD3186">
        <w:rPr>
          <w:b/>
          <w:bCs/>
          <w:noProof w:val="0"/>
          <w:lang w:val="en-GB"/>
        </w:rPr>
        <w:t>(EBA/GL/2019/2)</w:t>
      </w:r>
    </w:p>
    <w:p w14:paraId="7B5E7A0D" w14:textId="6E3157AD" w:rsidR="006C597C" w:rsidRPr="001F4A59" w:rsidRDefault="0015253E" w:rsidP="0015253E">
      <w:pPr>
        <w:jc w:val="both"/>
        <w:rPr>
          <w:noProof w:val="0"/>
          <w:lang w:val="en-GB"/>
        </w:rPr>
      </w:pPr>
      <w:r w:rsidRPr="001F4A59">
        <w:rPr>
          <w:noProof w:val="0"/>
          <w:lang w:val="en-GB"/>
        </w:rPr>
        <w:t>Respondent</w:t>
      </w:r>
      <w:r w:rsidR="001F4A59" w:rsidRPr="001F4A59">
        <w:rPr>
          <w:noProof w:val="0"/>
          <w:lang w:val="en-GB"/>
        </w:rPr>
        <w:t>: Jakub Stolarczyk</w:t>
      </w:r>
    </w:p>
    <w:p w14:paraId="4180F5F2" w14:textId="77777777" w:rsidR="003310D9" w:rsidRDefault="003310D9" w:rsidP="0015253E">
      <w:pPr>
        <w:jc w:val="both"/>
        <w:rPr>
          <w:b/>
          <w:bCs/>
          <w:noProof w:val="0"/>
          <w:lang w:val="en-US"/>
        </w:rPr>
      </w:pPr>
    </w:p>
    <w:p w14:paraId="493C7F85" w14:textId="3DEB965A" w:rsidR="006B3591" w:rsidRDefault="006B3591" w:rsidP="0015253E">
      <w:pPr>
        <w:jc w:val="both"/>
        <w:rPr>
          <w:b/>
          <w:bCs/>
          <w:noProof w:val="0"/>
          <w:lang w:val="en-US"/>
        </w:rPr>
      </w:pPr>
      <w:r>
        <w:rPr>
          <w:b/>
          <w:bCs/>
          <w:noProof w:val="0"/>
          <w:lang w:val="en-US"/>
        </w:rPr>
        <w:t>Disclosure clause</w:t>
      </w:r>
    </w:p>
    <w:p w14:paraId="4094BC31" w14:textId="36A8E8CB" w:rsidR="006B3591" w:rsidRPr="006B3591" w:rsidRDefault="006B3591" w:rsidP="0015253E">
      <w:pPr>
        <w:jc w:val="both"/>
        <w:rPr>
          <w:noProof w:val="0"/>
          <w:lang w:val="en-US"/>
        </w:rPr>
      </w:pPr>
      <w:r w:rsidRPr="006B3591">
        <w:rPr>
          <w:noProof w:val="0"/>
          <w:lang w:val="en-US"/>
        </w:rPr>
        <w:t xml:space="preserve">You are free to disclose comments </w:t>
      </w:r>
      <w:r>
        <w:rPr>
          <w:noProof w:val="0"/>
          <w:lang w:val="en-US"/>
        </w:rPr>
        <w:t xml:space="preserve">listed in this document. </w:t>
      </w:r>
      <w:r w:rsidR="00BD3186">
        <w:rPr>
          <w:noProof w:val="0"/>
          <w:lang w:val="en-US"/>
        </w:rPr>
        <w:t xml:space="preserve">You are free even to publish this full document. </w:t>
      </w:r>
    </w:p>
    <w:p w14:paraId="51C5E219" w14:textId="77777777" w:rsidR="006B3591" w:rsidRDefault="006B3591" w:rsidP="0015253E">
      <w:pPr>
        <w:jc w:val="both"/>
        <w:rPr>
          <w:b/>
          <w:bCs/>
          <w:noProof w:val="0"/>
          <w:lang w:val="en-US"/>
        </w:rPr>
      </w:pPr>
    </w:p>
    <w:p w14:paraId="1B519356" w14:textId="4CC6E144" w:rsidR="006F7925" w:rsidRPr="003310D9" w:rsidRDefault="006F7925" w:rsidP="0015253E">
      <w:pPr>
        <w:jc w:val="both"/>
        <w:rPr>
          <w:b/>
          <w:bCs/>
          <w:noProof w:val="0"/>
          <w:lang w:val="en-US"/>
        </w:rPr>
      </w:pPr>
      <w:r>
        <w:rPr>
          <w:b/>
          <w:bCs/>
          <w:noProof w:val="0"/>
          <w:lang w:val="en-US"/>
        </w:rPr>
        <w:t>General observation</w:t>
      </w:r>
    </w:p>
    <w:p w14:paraId="21618403" w14:textId="69F6A871" w:rsidR="006B3591" w:rsidRDefault="006B3591" w:rsidP="0015253E">
      <w:pPr>
        <w:jc w:val="both"/>
        <w:rPr>
          <w:noProof w:val="0"/>
          <w:lang w:val="en-GB"/>
        </w:rPr>
      </w:pPr>
      <w:r>
        <w:rPr>
          <w:noProof w:val="0"/>
          <w:lang w:val="en-GB"/>
        </w:rPr>
        <w:t xml:space="preserve">It should be noted that the new document supersedes the previous EBA </w:t>
      </w:r>
      <w:r w:rsidR="00A93181">
        <w:rPr>
          <w:noProof w:val="0"/>
          <w:lang w:val="en-GB"/>
        </w:rPr>
        <w:t>outsourcing</w:t>
      </w:r>
      <w:r>
        <w:rPr>
          <w:noProof w:val="0"/>
          <w:lang w:val="en-GB"/>
        </w:rPr>
        <w:t xml:space="preserve"> guidelines. But the document EBA/GL/2019/2 has been </w:t>
      </w:r>
      <w:r w:rsidR="00A93181">
        <w:rPr>
          <w:noProof w:val="0"/>
          <w:lang w:val="en-GB"/>
        </w:rPr>
        <w:t>modified</w:t>
      </w:r>
      <w:r>
        <w:rPr>
          <w:noProof w:val="0"/>
          <w:lang w:val="en-GB"/>
        </w:rPr>
        <w:t xml:space="preserve"> in the past by various other documents. It is highly recommended to use the occasion of creating a new document and to include</w:t>
      </w:r>
      <w:r w:rsidR="007B1F34">
        <w:rPr>
          <w:noProof w:val="0"/>
          <w:lang w:val="en-GB"/>
        </w:rPr>
        <w:t xml:space="preserve"> in the new </w:t>
      </w:r>
      <w:r w:rsidR="006E7E6B">
        <w:rPr>
          <w:noProof w:val="0"/>
          <w:lang w:val="en-GB"/>
        </w:rPr>
        <w:t>guidelines</w:t>
      </w:r>
      <w:r>
        <w:rPr>
          <w:noProof w:val="0"/>
          <w:lang w:val="en-GB"/>
        </w:rPr>
        <w:t>:</w:t>
      </w:r>
    </w:p>
    <w:p w14:paraId="774797F3" w14:textId="21647DBE" w:rsidR="006B3591" w:rsidRDefault="008F2DAA" w:rsidP="006B3591">
      <w:pPr>
        <w:pStyle w:val="ListParagraph"/>
        <w:numPr>
          <w:ilvl w:val="0"/>
          <w:numId w:val="4"/>
        </w:numPr>
        <w:jc w:val="both"/>
        <w:rPr>
          <w:noProof w:val="0"/>
          <w:lang w:val="en-GB"/>
        </w:rPr>
      </w:pPr>
      <w:r>
        <w:rPr>
          <w:noProof w:val="0"/>
          <w:lang w:val="en-GB"/>
        </w:rPr>
        <w:t>r</w:t>
      </w:r>
      <w:r w:rsidR="006B3591">
        <w:rPr>
          <w:noProof w:val="0"/>
          <w:lang w:val="en-GB"/>
        </w:rPr>
        <w:t>equirements arising from EBA internal governance and</w:t>
      </w:r>
    </w:p>
    <w:p w14:paraId="5AA4960D" w14:textId="76299087" w:rsidR="006B3591" w:rsidRDefault="006B3591" w:rsidP="006B3591">
      <w:pPr>
        <w:pStyle w:val="ListParagraph"/>
        <w:numPr>
          <w:ilvl w:val="0"/>
          <w:numId w:val="4"/>
        </w:numPr>
        <w:jc w:val="both"/>
        <w:rPr>
          <w:noProof w:val="0"/>
          <w:lang w:val="en-GB"/>
        </w:rPr>
      </w:pPr>
      <w:r>
        <w:rPr>
          <w:noProof w:val="0"/>
          <w:lang w:val="en-GB"/>
        </w:rPr>
        <w:t>guidelines</w:t>
      </w:r>
      <w:r w:rsidR="00893E37">
        <w:rPr>
          <w:noProof w:val="0"/>
          <w:lang w:val="en-GB"/>
        </w:rPr>
        <w:t xml:space="preserve"> </w:t>
      </w:r>
      <w:r w:rsidR="007B1F34" w:rsidRPr="007B1F34">
        <w:rPr>
          <w:noProof w:val="0"/>
          <w:lang w:val="en-US"/>
        </w:rPr>
        <w:t>on improving resolvability for institutions and resolution authorities under articles 15 and 16 BRRD</w:t>
      </w:r>
      <w:r w:rsidR="007B1F34" w:rsidRPr="007B1F34">
        <w:rPr>
          <w:noProof w:val="0"/>
          <w:lang w:val="en-GB"/>
        </w:rPr>
        <w:t xml:space="preserve"> </w:t>
      </w:r>
      <w:r w:rsidR="00893E37">
        <w:rPr>
          <w:noProof w:val="0"/>
          <w:lang w:val="en-GB"/>
        </w:rPr>
        <w:t>(</w:t>
      </w:r>
      <w:r w:rsidR="00893E37" w:rsidRPr="007B1F34">
        <w:rPr>
          <w:noProof w:val="0"/>
          <w:lang w:val="en-US"/>
        </w:rPr>
        <w:t>EBA/GL/2022/01)</w:t>
      </w:r>
      <w:r>
        <w:rPr>
          <w:noProof w:val="0"/>
          <w:lang w:val="en-GB"/>
        </w:rPr>
        <w:t>.</w:t>
      </w:r>
    </w:p>
    <w:p w14:paraId="6A6EFDD3" w14:textId="4ED6770D" w:rsidR="006B3591" w:rsidRDefault="006B3591" w:rsidP="006B3591">
      <w:pPr>
        <w:jc w:val="both"/>
        <w:rPr>
          <w:noProof w:val="0"/>
          <w:lang w:val="en-GB"/>
        </w:rPr>
      </w:pPr>
      <w:r>
        <w:rPr>
          <w:noProof w:val="0"/>
          <w:lang w:val="en-GB"/>
        </w:rPr>
        <w:t xml:space="preserve">It is also recommended to enrich the document with other various aspects of risks, </w:t>
      </w:r>
      <w:r w:rsidR="00DB48CE">
        <w:rPr>
          <w:noProof w:val="0"/>
          <w:lang w:val="en-GB"/>
        </w:rPr>
        <w:t>highlighted</w:t>
      </w:r>
      <w:r>
        <w:rPr>
          <w:noProof w:val="0"/>
          <w:lang w:val="en-GB"/>
        </w:rPr>
        <w:t xml:space="preserve"> by other regulators. For example, US Office of Currency </w:t>
      </w:r>
      <w:r w:rsidR="00DB48CE">
        <w:rPr>
          <w:noProof w:val="0"/>
          <w:lang w:val="en-GB"/>
        </w:rPr>
        <w:t>Comptroller</w:t>
      </w:r>
      <w:r>
        <w:rPr>
          <w:noProof w:val="0"/>
          <w:lang w:val="en-GB"/>
        </w:rPr>
        <w:t xml:space="preserve"> recommends to define in the agreement </w:t>
      </w:r>
      <w:r w:rsidR="00D51C2F">
        <w:rPr>
          <w:noProof w:val="0"/>
          <w:lang w:val="en-GB"/>
        </w:rPr>
        <w:t xml:space="preserve">between financial institution and third party </w:t>
      </w:r>
      <w:r w:rsidR="00B03FE6">
        <w:rPr>
          <w:noProof w:val="0"/>
          <w:lang w:val="en-GB"/>
        </w:rPr>
        <w:t>h</w:t>
      </w:r>
      <w:r>
        <w:rPr>
          <w:noProof w:val="0"/>
          <w:lang w:val="en-GB"/>
        </w:rPr>
        <w:t xml:space="preserve">ow the trade mark of </w:t>
      </w:r>
      <w:r w:rsidR="00B76FA2">
        <w:rPr>
          <w:noProof w:val="0"/>
          <w:lang w:val="en-GB"/>
        </w:rPr>
        <w:t>financial</w:t>
      </w:r>
      <w:r>
        <w:rPr>
          <w:noProof w:val="0"/>
          <w:lang w:val="en-GB"/>
        </w:rPr>
        <w:t xml:space="preserve"> institution may be used by </w:t>
      </w:r>
      <w:r w:rsidR="00DB48CE">
        <w:rPr>
          <w:noProof w:val="0"/>
          <w:lang w:val="en-GB"/>
        </w:rPr>
        <w:t>third party</w:t>
      </w:r>
      <w:r>
        <w:rPr>
          <w:noProof w:val="0"/>
          <w:lang w:val="en-GB"/>
        </w:rPr>
        <w:t xml:space="preserve"> in order to exclude misuse of the trademark of the outsourcer. </w:t>
      </w:r>
    </w:p>
    <w:p w14:paraId="54F7ED89" w14:textId="77777777" w:rsidR="00B76FA2" w:rsidRDefault="00B76FA2" w:rsidP="006B3591">
      <w:pPr>
        <w:jc w:val="both"/>
        <w:rPr>
          <w:noProof w:val="0"/>
          <w:lang w:val="en-GB"/>
        </w:rPr>
      </w:pPr>
    </w:p>
    <w:p w14:paraId="6D3D67F1" w14:textId="4446C166" w:rsidR="001D1139" w:rsidRPr="003310D9" w:rsidRDefault="003C4D0D" w:rsidP="001D1139">
      <w:pPr>
        <w:jc w:val="both"/>
        <w:rPr>
          <w:b/>
          <w:bCs/>
          <w:noProof w:val="0"/>
          <w:lang w:val="en-US"/>
        </w:rPr>
      </w:pPr>
      <w:r>
        <w:rPr>
          <w:b/>
          <w:bCs/>
          <w:noProof w:val="0"/>
          <w:lang w:val="en-US"/>
        </w:rPr>
        <w:t xml:space="preserve">Question </w:t>
      </w:r>
      <w:r w:rsidR="006265AD">
        <w:rPr>
          <w:b/>
          <w:bCs/>
          <w:noProof w:val="0"/>
          <w:lang w:val="en-US"/>
        </w:rPr>
        <w:t xml:space="preserve">n. 1 Are subject matter, scope </w:t>
      </w:r>
      <w:proofErr w:type="spellStart"/>
      <w:r w:rsidR="006265AD">
        <w:rPr>
          <w:b/>
          <w:bCs/>
          <w:noProof w:val="0"/>
          <w:lang w:val="en-US"/>
        </w:rPr>
        <w:t>od</w:t>
      </w:r>
      <w:proofErr w:type="spellEnd"/>
      <w:r w:rsidR="006265AD">
        <w:rPr>
          <w:b/>
          <w:bCs/>
          <w:noProof w:val="0"/>
          <w:lang w:val="en-US"/>
        </w:rPr>
        <w:t xml:space="preserve"> application, definitions and transitional arrangements appropriate and sufficient clear</w:t>
      </w:r>
    </w:p>
    <w:p w14:paraId="6FA22DC3" w14:textId="2114EF3B" w:rsidR="006265AD" w:rsidRDefault="006265AD" w:rsidP="001D1139">
      <w:pPr>
        <w:jc w:val="both"/>
        <w:rPr>
          <w:noProof w:val="0"/>
          <w:lang w:val="en-GB"/>
        </w:rPr>
      </w:pPr>
      <w:r w:rsidRPr="006265AD">
        <w:rPr>
          <w:b/>
          <w:bCs/>
          <w:noProof w:val="0"/>
          <w:lang w:val="en-GB"/>
        </w:rPr>
        <w:t>Answer 1: No</w:t>
      </w:r>
      <w:r>
        <w:rPr>
          <w:noProof w:val="0"/>
          <w:lang w:val="en-GB"/>
        </w:rPr>
        <w:t>.</w:t>
      </w:r>
    </w:p>
    <w:p w14:paraId="7A9311CA" w14:textId="77CE8D16" w:rsidR="00D02AE4" w:rsidRDefault="006265AD" w:rsidP="00A67548">
      <w:pPr>
        <w:jc w:val="both"/>
        <w:rPr>
          <w:noProof w:val="0"/>
          <w:lang w:val="en-GB"/>
        </w:rPr>
      </w:pPr>
      <w:r>
        <w:rPr>
          <w:noProof w:val="0"/>
          <w:lang w:val="en-GB"/>
        </w:rPr>
        <w:t xml:space="preserve">Justification: </w:t>
      </w:r>
      <w:r w:rsidR="00F531B3">
        <w:rPr>
          <w:noProof w:val="0"/>
          <w:lang w:val="en-GB"/>
        </w:rPr>
        <w:t xml:space="preserve">The definition of </w:t>
      </w:r>
      <w:r w:rsidR="00D02AE4">
        <w:rPr>
          <w:noProof w:val="0"/>
          <w:lang w:val="en-GB"/>
        </w:rPr>
        <w:t>third party arrangements has not been clarified</w:t>
      </w:r>
      <w:r w:rsidR="00D51C2F">
        <w:rPr>
          <w:noProof w:val="0"/>
          <w:lang w:val="en-GB"/>
        </w:rPr>
        <w:t xml:space="preserve">, </w:t>
      </w:r>
      <w:r w:rsidR="006C745B">
        <w:rPr>
          <w:noProof w:val="0"/>
          <w:lang w:val="en-GB"/>
        </w:rPr>
        <w:t>despite</w:t>
      </w:r>
      <w:r w:rsidR="00D51C2F">
        <w:rPr>
          <w:noProof w:val="0"/>
          <w:lang w:val="en-GB"/>
        </w:rPr>
        <w:t xml:space="preserve"> </w:t>
      </w:r>
      <w:r w:rsidR="006C745B">
        <w:rPr>
          <w:noProof w:val="0"/>
          <w:lang w:val="en-GB"/>
        </w:rPr>
        <w:t xml:space="preserve">the declaration issued in </w:t>
      </w:r>
      <w:r w:rsidR="00D51C2F">
        <w:rPr>
          <w:noProof w:val="0"/>
          <w:lang w:val="en-GB"/>
        </w:rPr>
        <w:t>point 17 of section “3. Background and rationale”</w:t>
      </w:r>
      <w:r w:rsidR="00D02AE4">
        <w:rPr>
          <w:noProof w:val="0"/>
          <w:lang w:val="en-GB"/>
        </w:rPr>
        <w:t xml:space="preserve">. What is clear for sure is that outsourcing </w:t>
      </w:r>
      <w:r w:rsidR="00422868">
        <w:rPr>
          <w:noProof w:val="0"/>
          <w:lang w:val="en-GB"/>
        </w:rPr>
        <w:t xml:space="preserve">arrangements </w:t>
      </w:r>
      <w:r w:rsidR="00D02AE4">
        <w:rPr>
          <w:noProof w:val="0"/>
          <w:lang w:val="en-GB"/>
        </w:rPr>
        <w:t xml:space="preserve">are a subset of third party </w:t>
      </w:r>
      <w:r w:rsidR="000B01F8">
        <w:rPr>
          <w:noProof w:val="0"/>
          <w:lang w:val="en-GB"/>
        </w:rPr>
        <w:t>arrangements</w:t>
      </w:r>
      <w:r w:rsidR="00D02AE4">
        <w:rPr>
          <w:noProof w:val="0"/>
          <w:lang w:val="en-GB"/>
        </w:rPr>
        <w:t xml:space="preserve">. Since </w:t>
      </w:r>
      <w:r w:rsidR="002E0946">
        <w:rPr>
          <w:noProof w:val="0"/>
          <w:lang w:val="en-GB"/>
        </w:rPr>
        <w:t>outsourcing arran</w:t>
      </w:r>
      <w:r w:rsidR="00422868">
        <w:rPr>
          <w:noProof w:val="0"/>
          <w:lang w:val="en-GB"/>
        </w:rPr>
        <w:t xml:space="preserve">gements (following EBA/GL/2019/2) are </w:t>
      </w:r>
      <w:r w:rsidR="00D15638">
        <w:rPr>
          <w:noProof w:val="0"/>
          <w:lang w:val="en-GB"/>
        </w:rPr>
        <w:t>agreements</w:t>
      </w:r>
      <w:r w:rsidR="00A67548">
        <w:rPr>
          <w:noProof w:val="0"/>
          <w:lang w:val="en-GB"/>
        </w:rPr>
        <w:t xml:space="preserve"> concluded </w:t>
      </w:r>
      <w:r w:rsidR="0098293C">
        <w:rPr>
          <w:noProof w:val="0"/>
          <w:lang w:val="en-GB"/>
        </w:rPr>
        <w:t xml:space="preserve">with </w:t>
      </w:r>
      <w:r w:rsidR="004A48AC">
        <w:rPr>
          <w:noProof w:val="0"/>
          <w:lang w:val="en-GB"/>
        </w:rPr>
        <w:t>service provider</w:t>
      </w:r>
      <w:r w:rsidR="000C3199">
        <w:rPr>
          <w:noProof w:val="0"/>
          <w:lang w:val="en-GB"/>
        </w:rPr>
        <w:t xml:space="preserve"> who </w:t>
      </w:r>
      <w:r w:rsidR="00CA2570">
        <w:rPr>
          <w:noProof w:val="0"/>
          <w:lang w:val="en-GB"/>
        </w:rPr>
        <w:t xml:space="preserve">performs on a </w:t>
      </w:r>
      <w:r w:rsidR="0061602E">
        <w:rPr>
          <w:noProof w:val="0"/>
          <w:lang w:val="en-GB"/>
        </w:rPr>
        <w:t xml:space="preserve">recurrent or an ongoing basis a function that would otherwise be </w:t>
      </w:r>
      <w:r w:rsidR="008E0A27">
        <w:rPr>
          <w:noProof w:val="0"/>
          <w:lang w:val="en-GB"/>
        </w:rPr>
        <w:t>undertaken</w:t>
      </w:r>
      <w:r w:rsidR="0061602E">
        <w:rPr>
          <w:noProof w:val="0"/>
          <w:lang w:val="en-GB"/>
        </w:rPr>
        <w:t xml:space="preserve"> by the financial </w:t>
      </w:r>
      <w:r w:rsidR="006B65E5">
        <w:rPr>
          <w:noProof w:val="0"/>
          <w:lang w:val="en-GB"/>
        </w:rPr>
        <w:t xml:space="preserve">entity itself it is clear that the third party </w:t>
      </w:r>
      <w:proofErr w:type="spellStart"/>
      <w:r w:rsidR="006B65E5">
        <w:rPr>
          <w:noProof w:val="0"/>
          <w:lang w:val="en-GB"/>
        </w:rPr>
        <w:t>arrangemets</w:t>
      </w:r>
      <w:proofErr w:type="spellEnd"/>
      <w:r w:rsidR="006B65E5">
        <w:rPr>
          <w:noProof w:val="0"/>
          <w:lang w:val="en-GB"/>
        </w:rPr>
        <w:t xml:space="preserve"> </w:t>
      </w:r>
      <w:r w:rsidR="007D3413">
        <w:rPr>
          <w:noProof w:val="0"/>
          <w:lang w:val="en-GB"/>
        </w:rPr>
        <w:t>are</w:t>
      </w:r>
      <w:r w:rsidR="006B65E5">
        <w:rPr>
          <w:noProof w:val="0"/>
          <w:lang w:val="en-GB"/>
        </w:rPr>
        <w:t xml:space="preserve"> of a wider scope. What is unclear </w:t>
      </w:r>
      <w:r w:rsidR="005F1499">
        <w:rPr>
          <w:noProof w:val="0"/>
          <w:lang w:val="en-GB"/>
        </w:rPr>
        <w:t xml:space="preserve">is the direction of </w:t>
      </w:r>
      <w:r w:rsidR="002B7C96">
        <w:rPr>
          <w:noProof w:val="0"/>
          <w:lang w:val="en-GB"/>
        </w:rPr>
        <w:t>this</w:t>
      </w:r>
      <w:r w:rsidR="005F1499">
        <w:rPr>
          <w:noProof w:val="0"/>
          <w:lang w:val="en-GB"/>
        </w:rPr>
        <w:t xml:space="preserve"> definition inflation. </w:t>
      </w:r>
      <w:r w:rsidR="0084666D">
        <w:rPr>
          <w:noProof w:val="0"/>
          <w:lang w:val="en-GB"/>
        </w:rPr>
        <w:t xml:space="preserve">In particular it should be clearly </w:t>
      </w:r>
      <w:r w:rsidR="003D1E20">
        <w:rPr>
          <w:noProof w:val="0"/>
          <w:lang w:val="en-GB"/>
        </w:rPr>
        <w:t>named</w:t>
      </w:r>
      <w:r w:rsidR="0084666D">
        <w:rPr>
          <w:noProof w:val="0"/>
          <w:lang w:val="en-GB"/>
        </w:rPr>
        <w:t xml:space="preserve"> </w:t>
      </w:r>
      <w:r w:rsidR="001051D8">
        <w:rPr>
          <w:noProof w:val="0"/>
          <w:lang w:val="en-GB"/>
        </w:rPr>
        <w:t xml:space="preserve">the difference between previous </w:t>
      </w:r>
      <w:r w:rsidR="008E0E13">
        <w:rPr>
          <w:noProof w:val="0"/>
          <w:lang w:val="en-GB"/>
        </w:rPr>
        <w:t>range and the new extent</w:t>
      </w:r>
      <w:r w:rsidR="00D75CCA">
        <w:rPr>
          <w:noProof w:val="0"/>
          <w:lang w:val="en-GB"/>
        </w:rPr>
        <w:t xml:space="preserve">. </w:t>
      </w:r>
    </w:p>
    <w:p w14:paraId="07FA857D" w14:textId="23120415" w:rsidR="00846A0C" w:rsidRPr="00FA0264" w:rsidRDefault="003D1E20" w:rsidP="00A67548">
      <w:pPr>
        <w:jc w:val="both"/>
        <w:rPr>
          <w:noProof w:val="0"/>
          <w:lang w:val="en-US"/>
        </w:rPr>
      </w:pPr>
      <w:r>
        <w:rPr>
          <w:noProof w:val="0"/>
          <w:lang w:val="en-GB"/>
        </w:rPr>
        <w:t>T</w:t>
      </w:r>
      <w:r w:rsidR="009417C8">
        <w:rPr>
          <w:noProof w:val="0"/>
          <w:lang w:val="en-GB"/>
        </w:rPr>
        <w:t xml:space="preserve">he </w:t>
      </w:r>
      <w:r w:rsidR="00D0657B">
        <w:rPr>
          <w:noProof w:val="0"/>
          <w:lang w:val="en-GB"/>
        </w:rPr>
        <w:t>one and only probably</w:t>
      </w:r>
      <w:r w:rsidR="009417C8">
        <w:rPr>
          <w:noProof w:val="0"/>
          <w:lang w:val="en-GB"/>
        </w:rPr>
        <w:t xml:space="preserve"> direction </w:t>
      </w:r>
      <w:r w:rsidR="005E63D3">
        <w:rPr>
          <w:noProof w:val="0"/>
          <w:lang w:val="en-GB"/>
        </w:rPr>
        <w:t xml:space="preserve">in which the wider definition of third party arrangements may </w:t>
      </w:r>
      <w:r w:rsidR="0017087A">
        <w:rPr>
          <w:noProof w:val="0"/>
          <w:lang w:val="en-GB"/>
        </w:rPr>
        <w:t>aim</w:t>
      </w:r>
      <w:r w:rsidR="00253F62">
        <w:rPr>
          <w:noProof w:val="0"/>
          <w:lang w:val="en-GB"/>
        </w:rPr>
        <w:t xml:space="preserve"> is to include in the new regime </w:t>
      </w:r>
      <w:r w:rsidR="007765CA">
        <w:rPr>
          <w:noProof w:val="0"/>
          <w:lang w:val="en-GB"/>
        </w:rPr>
        <w:t xml:space="preserve">a one-off contracts. </w:t>
      </w:r>
      <w:r w:rsidR="00572F03">
        <w:rPr>
          <w:noProof w:val="0"/>
          <w:lang w:val="en-GB"/>
        </w:rPr>
        <w:t xml:space="preserve">Other directions are </w:t>
      </w:r>
      <w:r w:rsidR="00CC00F0">
        <w:rPr>
          <w:noProof w:val="0"/>
          <w:lang w:val="en-GB"/>
        </w:rPr>
        <w:t xml:space="preserve">pointless, as based on the white list presented in paragraph 32 on page 27, </w:t>
      </w:r>
      <w:r w:rsidR="002B1ACE">
        <w:rPr>
          <w:noProof w:val="0"/>
          <w:lang w:val="en-GB"/>
        </w:rPr>
        <w:t xml:space="preserve">function that are usually not performed by financial </w:t>
      </w:r>
      <w:r w:rsidR="00D737C1">
        <w:rPr>
          <w:noProof w:val="0"/>
          <w:lang w:val="en-GB"/>
        </w:rPr>
        <w:t>institutions</w:t>
      </w:r>
      <w:r w:rsidR="002B1ACE">
        <w:rPr>
          <w:noProof w:val="0"/>
          <w:lang w:val="en-GB"/>
        </w:rPr>
        <w:t xml:space="preserve"> are exempted from </w:t>
      </w:r>
      <w:r w:rsidR="00E33182">
        <w:rPr>
          <w:noProof w:val="0"/>
          <w:lang w:val="en-GB"/>
        </w:rPr>
        <w:t xml:space="preserve">the new </w:t>
      </w:r>
      <w:r w:rsidR="00D737C1">
        <w:rPr>
          <w:noProof w:val="0"/>
          <w:lang w:val="en-GB"/>
        </w:rPr>
        <w:t>regime</w:t>
      </w:r>
      <w:r w:rsidR="00E33182">
        <w:rPr>
          <w:noProof w:val="0"/>
          <w:lang w:val="en-GB"/>
        </w:rPr>
        <w:t xml:space="preserve">. </w:t>
      </w:r>
      <w:r w:rsidR="00D737C1">
        <w:rPr>
          <w:noProof w:val="0"/>
          <w:lang w:val="en-GB"/>
        </w:rPr>
        <w:t>Hence</w:t>
      </w:r>
      <w:r w:rsidR="00E33182">
        <w:rPr>
          <w:noProof w:val="0"/>
          <w:lang w:val="en-GB"/>
        </w:rPr>
        <w:t xml:space="preserve"> functions on white list cannot be considered as “third party arrangements”. </w:t>
      </w:r>
      <w:r w:rsidR="00702D58">
        <w:rPr>
          <w:noProof w:val="0"/>
          <w:lang w:val="en-GB"/>
        </w:rPr>
        <w:t xml:space="preserve">There is one more </w:t>
      </w:r>
      <w:r w:rsidR="00522837">
        <w:rPr>
          <w:noProof w:val="0"/>
          <w:lang w:val="en-GB"/>
        </w:rPr>
        <w:t xml:space="preserve">possible </w:t>
      </w:r>
      <w:r w:rsidR="00702D58">
        <w:rPr>
          <w:noProof w:val="0"/>
          <w:lang w:val="en-GB"/>
        </w:rPr>
        <w:t xml:space="preserve">explanation </w:t>
      </w:r>
      <w:r w:rsidR="00522837">
        <w:rPr>
          <w:noProof w:val="0"/>
          <w:lang w:val="en-GB"/>
        </w:rPr>
        <w:t>–</w:t>
      </w:r>
      <w:r w:rsidR="00702D58">
        <w:rPr>
          <w:noProof w:val="0"/>
          <w:lang w:val="en-GB"/>
        </w:rPr>
        <w:t xml:space="preserve"> </w:t>
      </w:r>
      <w:r w:rsidR="00522837">
        <w:rPr>
          <w:noProof w:val="0"/>
          <w:lang w:val="en-GB"/>
        </w:rPr>
        <w:t>this is a carbon copy of one of provision from DORA</w:t>
      </w:r>
      <w:r w:rsidR="001B6E59">
        <w:rPr>
          <w:noProof w:val="0"/>
          <w:lang w:val="en-GB"/>
        </w:rPr>
        <w:t xml:space="preserve">, which says that </w:t>
      </w:r>
      <w:r w:rsidR="000568F4">
        <w:rPr>
          <w:noProof w:val="0"/>
          <w:lang w:val="en-GB"/>
        </w:rPr>
        <w:t>outsourcing arrangements are a subset of</w:t>
      </w:r>
      <w:r w:rsidR="00D5021D">
        <w:rPr>
          <w:noProof w:val="0"/>
          <w:lang w:val="en-GB"/>
        </w:rPr>
        <w:t xml:space="preserve"> </w:t>
      </w:r>
      <w:r w:rsidR="0068279C">
        <w:rPr>
          <w:noProof w:val="0"/>
          <w:lang w:val="en-GB"/>
        </w:rPr>
        <w:t>arrangements with</w:t>
      </w:r>
      <w:r w:rsidR="000568F4">
        <w:rPr>
          <w:noProof w:val="0"/>
          <w:lang w:val="en-GB"/>
        </w:rPr>
        <w:t xml:space="preserve"> </w:t>
      </w:r>
      <w:r w:rsidR="00D5021D" w:rsidRPr="00D5021D">
        <w:rPr>
          <w:noProof w:val="0"/>
          <w:lang w:val="en-US"/>
        </w:rPr>
        <w:t>ICT third-party service provider</w:t>
      </w:r>
      <w:r w:rsidR="0068279C">
        <w:rPr>
          <w:noProof w:val="0"/>
          <w:lang w:val="en-US"/>
        </w:rPr>
        <w:t>. It is truth indeed but only in that direction</w:t>
      </w:r>
      <w:r w:rsidR="00EE1B3C">
        <w:rPr>
          <w:noProof w:val="0"/>
          <w:lang w:val="en-US"/>
        </w:rPr>
        <w:t>, since based on white list included in EBA outsourcing guidelines (</w:t>
      </w:r>
      <w:r w:rsidR="00EE1B3C" w:rsidRPr="00EE1B3C">
        <w:rPr>
          <w:noProof w:val="0"/>
          <w:lang w:val="en-GB"/>
        </w:rPr>
        <w:t>EBA/GL/2019/2)</w:t>
      </w:r>
      <w:r w:rsidR="00EE1B3C">
        <w:rPr>
          <w:noProof w:val="0"/>
          <w:lang w:val="en-GB"/>
        </w:rPr>
        <w:t xml:space="preserve"> some functions </w:t>
      </w:r>
      <w:r w:rsidR="0094151A">
        <w:rPr>
          <w:noProof w:val="0"/>
          <w:lang w:val="en-GB"/>
        </w:rPr>
        <w:t>are</w:t>
      </w:r>
      <w:r w:rsidR="00EE1B3C">
        <w:rPr>
          <w:noProof w:val="0"/>
          <w:lang w:val="en-GB"/>
        </w:rPr>
        <w:t xml:space="preserve"> exempt from </w:t>
      </w:r>
      <w:r w:rsidR="0094151A">
        <w:rPr>
          <w:noProof w:val="0"/>
          <w:lang w:val="en-GB"/>
        </w:rPr>
        <w:t>outsourcing</w:t>
      </w:r>
      <w:r w:rsidR="003A1D59">
        <w:rPr>
          <w:noProof w:val="0"/>
          <w:lang w:val="en-GB"/>
        </w:rPr>
        <w:t xml:space="preserve"> re</w:t>
      </w:r>
      <w:r w:rsidR="00417E1C">
        <w:rPr>
          <w:noProof w:val="0"/>
          <w:lang w:val="en-GB"/>
        </w:rPr>
        <w:t>g</w:t>
      </w:r>
      <w:r w:rsidR="003A1D59">
        <w:rPr>
          <w:noProof w:val="0"/>
          <w:lang w:val="en-GB"/>
        </w:rPr>
        <w:t xml:space="preserve">ime, however under DORA regime these </w:t>
      </w:r>
      <w:r w:rsidR="0077724C">
        <w:rPr>
          <w:noProof w:val="0"/>
          <w:lang w:val="en-GB"/>
        </w:rPr>
        <w:t>non-outsourcing arrangements are</w:t>
      </w:r>
      <w:r w:rsidR="003A1D59">
        <w:rPr>
          <w:noProof w:val="0"/>
          <w:lang w:val="en-GB"/>
        </w:rPr>
        <w:t xml:space="preserve"> considered as </w:t>
      </w:r>
      <w:r w:rsidR="003A1D59">
        <w:rPr>
          <w:noProof w:val="0"/>
          <w:lang w:val="en-GB"/>
        </w:rPr>
        <w:lastRenderedPageBreak/>
        <w:t xml:space="preserve">arrangements with ICT service </w:t>
      </w:r>
      <w:r w:rsidR="003F6DDD">
        <w:rPr>
          <w:noProof w:val="0"/>
          <w:lang w:val="en-GB"/>
        </w:rPr>
        <w:t>providers</w:t>
      </w:r>
      <w:r w:rsidR="003A1D59">
        <w:rPr>
          <w:noProof w:val="0"/>
          <w:lang w:val="en-GB"/>
        </w:rPr>
        <w:t xml:space="preserve">. </w:t>
      </w:r>
      <w:r w:rsidR="00556730">
        <w:rPr>
          <w:noProof w:val="0"/>
          <w:lang w:val="en-GB"/>
        </w:rPr>
        <w:t xml:space="preserve">See also </w:t>
      </w:r>
      <w:r w:rsidR="00FA0264">
        <w:rPr>
          <w:noProof w:val="0"/>
          <w:lang w:val="en-GB"/>
        </w:rPr>
        <w:t>wide explanations provided by UK’s FCA (</w:t>
      </w:r>
      <w:r w:rsidR="00FA0264" w:rsidRPr="00FA0264">
        <w:rPr>
          <w:noProof w:val="0"/>
          <w:lang w:val="en-US"/>
        </w:rPr>
        <w:t>Supervisory Statement</w:t>
      </w:r>
      <w:r w:rsidR="00FA0264">
        <w:rPr>
          <w:noProof w:val="0"/>
          <w:lang w:val="en-US"/>
        </w:rPr>
        <w:t>,</w:t>
      </w:r>
      <w:r w:rsidR="00FA0264" w:rsidRPr="00FA0264">
        <w:rPr>
          <w:noProof w:val="0"/>
          <w:lang w:val="en-US"/>
        </w:rPr>
        <w:t xml:space="preserve"> SS2/21 Outsourcing and third party risk management</w:t>
      </w:r>
      <w:r w:rsidR="00FA0264">
        <w:rPr>
          <w:noProof w:val="0"/>
          <w:lang w:val="en-US"/>
        </w:rPr>
        <w:t>,</w:t>
      </w:r>
      <w:r w:rsidR="00FA0264" w:rsidRPr="00FA0264">
        <w:rPr>
          <w:noProof w:val="0"/>
          <w:lang w:val="en-US"/>
        </w:rPr>
        <w:t xml:space="preserve"> November 2024</w:t>
      </w:r>
      <w:r w:rsidR="00FA0264">
        <w:rPr>
          <w:noProof w:val="0"/>
          <w:lang w:val="en-US"/>
        </w:rPr>
        <w:t>)</w:t>
      </w:r>
    </w:p>
    <w:p w14:paraId="7FF03175" w14:textId="6A3E3729" w:rsidR="00B76FA2" w:rsidRDefault="00B76FA2" w:rsidP="006B3591">
      <w:pPr>
        <w:jc w:val="both"/>
        <w:rPr>
          <w:noProof w:val="0"/>
          <w:lang w:val="en-GB"/>
        </w:rPr>
      </w:pPr>
    </w:p>
    <w:p w14:paraId="646E1246" w14:textId="42FBB28E" w:rsidR="00B352B5" w:rsidRPr="00B352B5" w:rsidRDefault="0059127A" w:rsidP="006B3591">
      <w:pPr>
        <w:jc w:val="both"/>
        <w:rPr>
          <w:noProof w:val="0"/>
          <w:lang w:val="en-GB"/>
        </w:rPr>
      </w:pPr>
      <w:r>
        <w:rPr>
          <w:noProof w:val="0"/>
          <w:lang w:val="en-GB"/>
        </w:rPr>
        <w:t xml:space="preserve">It should be also </w:t>
      </w:r>
      <w:r w:rsidR="00EB1915">
        <w:rPr>
          <w:noProof w:val="0"/>
          <w:lang w:val="en-GB"/>
        </w:rPr>
        <w:t xml:space="preserve">more explicitly </w:t>
      </w:r>
      <w:r w:rsidR="00B07215">
        <w:rPr>
          <w:noProof w:val="0"/>
          <w:lang w:val="en-GB"/>
        </w:rPr>
        <w:t xml:space="preserve">explained the difference between “providing” and “supporting” </w:t>
      </w:r>
      <w:r w:rsidR="00070843">
        <w:rPr>
          <w:noProof w:val="0"/>
          <w:lang w:val="en-GB"/>
        </w:rPr>
        <w:t xml:space="preserve">a function next to the </w:t>
      </w:r>
      <w:r w:rsidR="0077724C">
        <w:rPr>
          <w:noProof w:val="0"/>
          <w:lang w:val="en-GB"/>
        </w:rPr>
        <w:t>definition of</w:t>
      </w:r>
      <w:r w:rsidR="00070843">
        <w:rPr>
          <w:noProof w:val="0"/>
          <w:lang w:val="en-GB"/>
        </w:rPr>
        <w:t xml:space="preserve"> “third-party service provider”. As an example EBA could use the </w:t>
      </w:r>
      <w:r w:rsidR="00CD1904">
        <w:rPr>
          <w:noProof w:val="0"/>
          <w:lang w:val="en-GB"/>
        </w:rPr>
        <w:t xml:space="preserve">EIOPA </w:t>
      </w:r>
      <w:r w:rsidR="00C00F80">
        <w:rPr>
          <w:noProof w:val="0"/>
          <w:lang w:val="en-GB"/>
        </w:rPr>
        <w:t xml:space="preserve">answer on question </w:t>
      </w:r>
      <w:r w:rsidR="00C00F80" w:rsidRPr="00C00F80">
        <w:rPr>
          <w:noProof w:val="0"/>
          <w:lang w:val="en-GB"/>
        </w:rPr>
        <w:t>2750 - DORA006</w:t>
      </w:r>
      <w:r w:rsidR="00C00F80">
        <w:rPr>
          <w:rStyle w:val="FootnoteReference"/>
          <w:noProof w:val="0"/>
          <w:lang w:val="en-GB"/>
        </w:rPr>
        <w:footnoteReference w:id="1"/>
      </w:r>
      <w:r w:rsidR="00B352B5">
        <w:rPr>
          <w:noProof w:val="0"/>
          <w:lang w:val="en-GB"/>
        </w:rPr>
        <w:t xml:space="preserve">. In particular on many occasions </w:t>
      </w:r>
      <w:r w:rsidR="005D39B0">
        <w:rPr>
          <w:noProof w:val="0"/>
          <w:lang w:val="en-GB"/>
        </w:rPr>
        <w:t>third party service providers are no</w:t>
      </w:r>
      <w:r w:rsidR="00483A31">
        <w:rPr>
          <w:noProof w:val="0"/>
          <w:lang w:val="en-GB"/>
        </w:rPr>
        <w:t>t</w:t>
      </w:r>
      <w:r w:rsidR="005D39B0">
        <w:rPr>
          <w:noProof w:val="0"/>
          <w:lang w:val="en-GB"/>
        </w:rPr>
        <w:t xml:space="preserve"> necessarily providing a function</w:t>
      </w:r>
      <w:r w:rsidR="00483A31">
        <w:rPr>
          <w:noProof w:val="0"/>
          <w:lang w:val="en-GB"/>
        </w:rPr>
        <w:t xml:space="preserve"> as a whole</w:t>
      </w:r>
      <w:r w:rsidR="005D39B0">
        <w:rPr>
          <w:noProof w:val="0"/>
          <w:lang w:val="en-GB"/>
        </w:rPr>
        <w:t xml:space="preserve">. In most cases these are only supporting some </w:t>
      </w:r>
      <w:r w:rsidR="008111BF">
        <w:rPr>
          <w:noProof w:val="0"/>
          <w:lang w:val="en-GB"/>
        </w:rPr>
        <w:t xml:space="preserve">part of the process. It should be clearly written that </w:t>
      </w:r>
      <w:r w:rsidR="002911C8">
        <w:rPr>
          <w:noProof w:val="0"/>
          <w:lang w:val="en-GB"/>
        </w:rPr>
        <w:t xml:space="preserve">even though a function is critical or important for the financial entity, the level of support of </w:t>
      </w:r>
      <w:r w:rsidR="003943BB">
        <w:rPr>
          <w:noProof w:val="0"/>
          <w:lang w:val="en-GB"/>
        </w:rPr>
        <w:t xml:space="preserve">may be </w:t>
      </w:r>
      <w:r w:rsidR="00D270ED">
        <w:rPr>
          <w:noProof w:val="0"/>
          <w:lang w:val="en-GB"/>
        </w:rPr>
        <w:t>of</w:t>
      </w:r>
      <w:r w:rsidR="003943BB">
        <w:rPr>
          <w:noProof w:val="0"/>
          <w:lang w:val="en-GB"/>
        </w:rPr>
        <w:t xml:space="preserve"> </w:t>
      </w:r>
      <w:proofErr w:type="spellStart"/>
      <w:r w:rsidR="003943BB">
        <w:rPr>
          <w:noProof w:val="0"/>
          <w:lang w:val="en-GB"/>
        </w:rPr>
        <w:t>non material</w:t>
      </w:r>
      <w:proofErr w:type="spellEnd"/>
      <w:r w:rsidR="003943BB">
        <w:rPr>
          <w:noProof w:val="0"/>
          <w:lang w:val="en-GB"/>
        </w:rPr>
        <w:t xml:space="preserve"> </w:t>
      </w:r>
      <w:r w:rsidR="00591901">
        <w:rPr>
          <w:noProof w:val="0"/>
          <w:lang w:val="en-GB"/>
        </w:rPr>
        <w:t xml:space="preserve">level and hence albeit the function itself is classified as critical, the regime in which the </w:t>
      </w:r>
      <w:r w:rsidR="00D47C21">
        <w:rPr>
          <w:noProof w:val="0"/>
          <w:lang w:val="en-GB"/>
        </w:rPr>
        <w:t xml:space="preserve">third party should be monitored is of less level. </w:t>
      </w:r>
    </w:p>
    <w:p w14:paraId="0D04AD79" w14:textId="77777777" w:rsidR="006B3591" w:rsidRDefault="006B3591" w:rsidP="006B3591">
      <w:pPr>
        <w:jc w:val="both"/>
        <w:rPr>
          <w:noProof w:val="0"/>
          <w:lang w:val="en-GB"/>
        </w:rPr>
      </w:pPr>
    </w:p>
    <w:p w14:paraId="55DB3E2C" w14:textId="68085AFF" w:rsidR="00F27453" w:rsidRPr="00C8618E" w:rsidRDefault="00F27453" w:rsidP="00F27453">
      <w:pPr>
        <w:jc w:val="both"/>
        <w:rPr>
          <w:b/>
          <w:bCs/>
          <w:noProof w:val="0"/>
          <w:lang w:val="en-GB"/>
        </w:rPr>
      </w:pPr>
      <w:r w:rsidRPr="00C8618E">
        <w:rPr>
          <w:b/>
          <w:bCs/>
          <w:noProof w:val="0"/>
          <w:lang w:val="en-GB"/>
        </w:rPr>
        <w:t xml:space="preserve">Question </w:t>
      </w:r>
      <w:proofErr w:type="spellStart"/>
      <w:r w:rsidRPr="00C8618E">
        <w:rPr>
          <w:b/>
          <w:bCs/>
          <w:noProof w:val="0"/>
          <w:lang w:val="en-GB"/>
        </w:rPr>
        <w:t>n</w:t>
      </w:r>
      <w:proofErr w:type="spellEnd"/>
      <w:r w:rsidRPr="00C8618E">
        <w:rPr>
          <w:b/>
          <w:bCs/>
          <w:noProof w:val="0"/>
          <w:lang w:val="en-GB"/>
        </w:rPr>
        <w:t xml:space="preserve"> </w:t>
      </w:r>
      <w:r>
        <w:rPr>
          <w:b/>
          <w:bCs/>
          <w:noProof w:val="0"/>
          <w:lang w:val="en-GB"/>
        </w:rPr>
        <w:t>2</w:t>
      </w:r>
      <w:r w:rsidRPr="00C8618E">
        <w:rPr>
          <w:b/>
          <w:bCs/>
          <w:noProof w:val="0"/>
          <w:lang w:val="en-GB"/>
        </w:rPr>
        <w:t xml:space="preserve"> Is Title </w:t>
      </w:r>
      <w:r>
        <w:rPr>
          <w:b/>
          <w:bCs/>
          <w:noProof w:val="0"/>
          <w:lang w:val="en-GB"/>
        </w:rPr>
        <w:t>II</w:t>
      </w:r>
      <w:r w:rsidRPr="00C8618E">
        <w:rPr>
          <w:b/>
          <w:bCs/>
          <w:noProof w:val="0"/>
          <w:lang w:val="en-GB"/>
        </w:rPr>
        <w:t xml:space="preserve"> appropriate and sufficiently clear?</w:t>
      </w:r>
    </w:p>
    <w:p w14:paraId="56ED08C2" w14:textId="7513CD30" w:rsidR="00F27453" w:rsidRPr="00C8618E" w:rsidRDefault="00F27453" w:rsidP="00F27453">
      <w:pPr>
        <w:jc w:val="both"/>
        <w:rPr>
          <w:b/>
          <w:bCs/>
          <w:noProof w:val="0"/>
          <w:lang w:val="en-GB"/>
        </w:rPr>
      </w:pPr>
      <w:r w:rsidRPr="00C8618E">
        <w:rPr>
          <w:b/>
          <w:bCs/>
          <w:noProof w:val="0"/>
          <w:lang w:val="en-GB"/>
        </w:rPr>
        <w:t xml:space="preserve">Answer </w:t>
      </w:r>
      <w:r>
        <w:rPr>
          <w:b/>
          <w:bCs/>
          <w:noProof w:val="0"/>
          <w:lang w:val="en-GB"/>
        </w:rPr>
        <w:t>2</w:t>
      </w:r>
      <w:r w:rsidRPr="00C8618E">
        <w:rPr>
          <w:b/>
          <w:bCs/>
          <w:noProof w:val="0"/>
          <w:lang w:val="en-GB"/>
        </w:rPr>
        <w:t xml:space="preserve">: </w:t>
      </w:r>
      <w:r>
        <w:rPr>
          <w:b/>
          <w:bCs/>
          <w:noProof w:val="0"/>
          <w:lang w:val="en-GB"/>
        </w:rPr>
        <w:t>Yes</w:t>
      </w:r>
    </w:p>
    <w:p w14:paraId="35BAAF13" w14:textId="77777777" w:rsidR="00F27453" w:rsidRDefault="00F27453" w:rsidP="006B3591">
      <w:pPr>
        <w:jc w:val="both"/>
        <w:rPr>
          <w:noProof w:val="0"/>
          <w:lang w:val="en-GB"/>
        </w:rPr>
      </w:pPr>
    </w:p>
    <w:p w14:paraId="61D6BD75" w14:textId="31156BA7" w:rsidR="00C8618E" w:rsidRPr="00C8618E" w:rsidRDefault="00C8618E" w:rsidP="00C8618E">
      <w:pPr>
        <w:jc w:val="both"/>
        <w:rPr>
          <w:b/>
          <w:bCs/>
          <w:noProof w:val="0"/>
          <w:lang w:val="en-GB"/>
        </w:rPr>
      </w:pPr>
      <w:r w:rsidRPr="00C8618E">
        <w:rPr>
          <w:b/>
          <w:bCs/>
          <w:noProof w:val="0"/>
          <w:lang w:val="en-GB"/>
        </w:rPr>
        <w:t xml:space="preserve">Question </w:t>
      </w:r>
      <w:proofErr w:type="spellStart"/>
      <w:r w:rsidRPr="00C8618E">
        <w:rPr>
          <w:b/>
          <w:bCs/>
          <w:noProof w:val="0"/>
          <w:lang w:val="en-GB"/>
        </w:rPr>
        <w:t>n</w:t>
      </w:r>
      <w:proofErr w:type="spellEnd"/>
      <w:r w:rsidRPr="00C8618E">
        <w:rPr>
          <w:b/>
          <w:bCs/>
          <w:noProof w:val="0"/>
          <w:lang w:val="en-GB"/>
        </w:rPr>
        <w:t xml:space="preserve"> </w:t>
      </w:r>
      <w:r w:rsidR="00F27453">
        <w:rPr>
          <w:b/>
          <w:bCs/>
          <w:noProof w:val="0"/>
          <w:lang w:val="en-GB"/>
        </w:rPr>
        <w:t>3</w:t>
      </w:r>
      <w:r w:rsidRPr="00C8618E">
        <w:rPr>
          <w:b/>
          <w:bCs/>
          <w:noProof w:val="0"/>
          <w:lang w:val="en-GB"/>
        </w:rPr>
        <w:t xml:space="preserve"> </w:t>
      </w:r>
      <w:r w:rsidR="001D6382">
        <w:rPr>
          <w:b/>
          <w:bCs/>
          <w:noProof w:val="0"/>
          <w:lang w:val="en-GB"/>
        </w:rPr>
        <w:t xml:space="preserve">Are </w:t>
      </w:r>
      <w:proofErr w:type="spellStart"/>
      <w:r w:rsidR="001D6382">
        <w:rPr>
          <w:b/>
          <w:bCs/>
          <w:noProof w:val="0"/>
          <w:lang w:val="en-GB"/>
        </w:rPr>
        <w:t>Sctions</w:t>
      </w:r>
      <w:proofErr w:type="spellEnd"/>
      <w:r w:rsidR="001D6382">
        <w:rPr>
          <w:b/>
          <w:bCs/>
          <w:noProof w:val="0"/>
          <w:lang w:val="en-GB"/>
        </w:rPr>
        <w:t xml:space="preserve"> 5-10 (</w:t>
      </w:r>
      <w:r w:rsidRPr="00C8618E">
        <w:rPr>
          <w:b/>
          <w:bCs/>
          <w:noProof w:val="0"/>
          <w:lang w:val="en-GB"/>
        </w:rPr>
        <w:t>Title I</w:t>
      </w:r>
      <w:r w:rsidR="001D6382">
        <w:rPr>
          <w:b/>
          <w:bCs/>
          <w:noProof w:val="0"/>
          <w:lang w:val="en-GB"/>
        </w:rPr>
        <w:t>II)</w:t>
      </w:r>
      <w:r w:rsidRPr="00C8618E">
        <w:rPr>
          <w:b/>
          <w:bCs/>
          <w:noProof w:val="0"/>
          <w:lang w:val="en-GB"/>
        </w:rPr>
        <w:t xml:space="preserve"> </w:t>
      </w:r>
      <w:r w:rsidR="008D5FF5">
        <w:rPr>
          <w:b/>
          <w:bCs/>
          <w:noProof w:val="0"/>
          <w:lang w:val="en-GB"/>
        </w:rPr>
        <w:t>of the Guidelines s</w:t>
      </w:r>
      <w:r w:rsidR="001D6382" w:rsidRPr="00C8618E">
        <w:rPr>
          <w:b/>
          <w:bCs/>
          <w:noProof w:val="0"/>
          <w:lang w:val="en-GB"/>
        </w:rPr>
        <w:t>ufficiently</w:t>
      </w:r>
      <w:r w:rsidRPr="00C8618E">
        <w:rPr>
          <w:b/>
          <w:bCs/>
          <w:noProof w:val="0"/>
          <w:lang w:val="en-GB"/>
        </w:rPr>
        <w:t xml:space="preserve"> clear</w:t>
      </w:r>
      <w:r w:rsidR="001D6382">
        <w:rPr>
          <w:b/>
          <w:bCs/>
          <w:noProof w:val="0"/>
          <w:lang w:val="en-GB"/>
        </w:rPr>
        <w:t xml:space="preserve"> and appropriate</w:t>
      </w:r>
      <w:r w:rsidRPr="00C8618E">
        <w:rPr>
          <w:b/>
          <w:bCs/>
          <w:noProof w:val="0"/>
          <w:lang w:val="en-GB"/>
        </w:rPr>
        <w:t>?</w:t>
      </w:r>
    </w:p>
    <w:p w14:paraId="062F2486" w14:textId="49177E62" w:rsidR="00C8618E" w:rsidRPr="00C8618E" w:rsidRDefault="00C8618E" w:rsidP="00C8618E">
      <w:pPr>
        <w:jc w:val="both"/>
        <w:rPr>
          <w:b/>
          <w:bCs/>
          <w:noProof w:val="0"/>
          <w:lang w:val="en-GB"/>
        </w:rPr>
      </w:pPr>
      <w:r w:rsidRPr="00C8618E">
        <w:rPr>
          <w:b/>
          <w:bCs/>
          <w:noProof w:val="0"/>
          <w:lang w:val="en-GB"/>
        </w:rPr>
        <w:t xml:space="preserve">Answer </w:t>
      </w:r>
      <w:r>
        <w:rPr>
          <w:b/>
          <w:bCs/>
          <w:noProof w:val="0"/>
          <w:lang w:val="en-GB"/>
        </w:rPr>
        <w:t>3</w:t>
      </w:r>
      <w:r w:rsidRPr="00C8618E">
        <w:rPr>
          <w:b/>
          <w:bCs/>
          <w:noProof w:val="0"/>
          <w:lang w:val="en-GB"/>
        </w:rPr>
        <w:t xml:space="preserve">: </w:t>
      </w:r>
      <w:r>
        <w:rPr>
          <w:b/>
          <w:bCs/>
          <w:noProof w:val="0"/>
          <w:lang w:val="en-GB"/>
        </w:rPr>
        <w:t>Yes</w:t>
      </w:r>
    </w:p>
    <w:p w14:paraId="707C0B9F" w14:textId="77777777" w:rsidR="00C8618E" w:rsidRDefault="00C8618E" w:rsidP="006B3591">
      <w:pPr>
        <w:jc w:val="both"/>
        <w:rPr>
          <w:noProof w:val="0"/>
          <w:lang w:val="en-GB"/>
        </w:rPr>
      </w:pPr>
    </w:p>
    <w:p w14:paraId="1E665256" w14:textId="56630646" w:rsidR="00640274" w:rsidRPr="00C8618E" w:rsidRDefault="00640274" w:rsidP="006B3591">
      <w:pPr>
        <w:jc w:val="both"/>
        <w:rPr>
          <w:b/>
          <w:bCs/>
          <w:noProof w:val="0"/>
          <w:lang w:val="en-GB"/>
        </w:rPr>
      </w:pPr>
      <w:r w:rsidRPr="00C8618E">
        <w:rPr>
          <w:b/>
          <w:bCs/>
          <w:noProof w:val="0"/>
          <w:lang w:val="en-GB"/>
        </w:rPr>
        <w:t>Question</w:t>
      </w:r>
      <w:r w:rsidR="00204DA3" w:rsidRPr="00C8618E">
        <w:rPr>
          <w:b/>
          <w:bCs/>
          <w:noProof w:val="0"/>
          <w:lang w:val="en-GB"/>
        </w:rPr>
        <w:t xml:space="preserve"> </w:t>
      </w:r>
      <w:proofErr w:type="spellStart"/>
      <w:r w:rsidR="00204DA3" w:rsidRPr="00C8618E">
        <w:rPr>
          <w:b/>
          <w:bCs/>
          <w:noProof w:val="0"/>
          <w:lang w:val="en-GB"/>
        </w:rPr>
        <w:t>n</w:t>
      </w:r>
      <w:proofErr w:type="spellEnd"/>
      <w:r w:rsidR="00204DA3" w:rsidRPr="00C8618E">
        <w:rPr>
          <w:b/>
          <w:bCs/>
          <w:noProof w:val="0"/>
          <w:lang w:val="en-GB"/>
        </w:rPr>
        <w:t xml:space="preserve"> </w:t>
      </w:r>
      <w:r w:rsidR="00D03B30" w:rsidRPr="00C8618E">
        <w:rPr>
          <w:b/>
          <w:bCs/>
          <w:noProof w:val="0"/>
          <w:lang w:val="en-GB"/>
        </w:rPr>
        <w:t>4</w:t>
      </w:r>
      <w:r w:rsidR="00204DA3" w:rsidRPr="00C8618E">
        <w:rPr>
          <w:b/>
          <w:bCs/>
          <w:noProof w:val="0"/>
          <w:lang w:val="en-GB"/>
        </w:rPr>
        <w:t xml:space="preserve"> Is Title I</w:t>
      </w:r>
      <w:r w:rsidR="0061400E" w:rsidRPr="00C8618E">
        <w:rPr>
          <w:b/>
          <w:bCs/>
          <w:noProof w:val="0"/>
          <w:lang w:val="en-GB"/>
        </w:rPr>
        <w:t>V</w:t>
      </w:r>
      <w:r w:rsidR="00204DA3" w:rsidRPr="00C8618E">
        <w:rPr>
          <w:b/>
          <w:bCs/>
          <w:noProof w:val="0"/>
          <w:lang w:val="en-GB"/>
        </w:rPr>
        <w:t xml:space="preserve"> appropriate and </w:t>
      </w:r>
      <w:r w:rsidR="001D6382" w:rsidRPr="00C8618E">
        <w:rPr>
          <w:b/>
          <w:bCs/>
          <w:noProof w:val="0"/>
          <w:lang w:val="en-GB"/>
        </w:rPr>
        <w:t>sufficiently</w:t>
      </w:r>
      <w:r w:rsidR="00204DA3" w:rsidRPr="00C8618E">
        <w:rPr>
          <w:b/>
          <w:bCs/>
          <w:noProof w:val="0"/>
          <w:lang w:val="en-GB"/>
        </w:rPr>
        <w:t xml:space="preserve"> clear?</w:t>
      </w:r>
    </w:p>
    <w:p w14:paraId="3B3014C5" w14:textId="0CD39715" w:rsidR="00204DA3" w:rsidRPr="00C8618E" w:rsidRDefault="00204DA3" w:rsidP="006B3591">
      <w:pPr>
        <w:jc w:val="both"/>
        <w:rPr>
          <w:b/>
          <w:bCs/>
          <w:noProof w:val="0"/>
          <w:lang w:val="en-GB"/>
        </w:rPr>
      </w:pPr>
      <w:r w:rsidRPr="00C8618E">
        <w:rPr>
          <w:b/>
          <w:bCs/>
          <w:noProof w:val="0"/>
          <w:lang w:val="en-GB"/>
        </w:rPr>
        <w:t xml:space="preserve">Answer </w:t>
      </w:r>
      <w:r w:rsidR="0061400E" w:rsidRPr="00C8618E">
        <w:rPr>
          <w:b/>
          <w:bCs/>
          <w:noProof w:val="0"/>
          <w:lang w:val="en-GB"/>
        </w:rPr>
        <w:t>4</w:t>
      </w:r>
      <w:r w:rsidRPr="00C8618E">
        <w:rPr>
          <w:b/>
          <w:bCs/>
          <w:noProof w:val="0"/>
          <w:lang w:val="en-GB"/>
        </w:rPr>
        <w:t>: No</w:t>
      </w:r>
    </w:p>
    <w:p w14:paraId="57CEC20C" w14:textId="7AF2BB8D" w:rsidR="00640274" w:rsidRDefault="0061400E" w:rsidP="006B3591">
      <w:pPr>
        <w:jc w:val="both"/>
        <w:rPr>
          <w:noProof w:val="0"/>
          <w:lang w:val="en-GB"/>
        </w:rPr>
      </w:pPr>
      <w:r>
        <w:rPr>
          <w:noProof w:val="0"/>
          <w:lang w:val="en-GB"/>
        </w:rPr>
        <w:t>There are probably some mistakes in the text, EBA should in particular consider:</w:t>
      </w:r>
    </w:p>
    <w:p w14:paraId="485D9F4F" w14:textId="5C1D1920" w:rsidR="0061400E" w:rsidRDefault="00BF26C4" w:rsidP="006B3591">
      <w:pPr>
        <w:jc w:val="both"/>
        <w:rPr>
          <w:noProof w:val="0"/>
          <w:lang w:val="en-GB"/>
        </w:rPr>
      </w:pPr>
      <w:r>
        <w:rPr>
          <w:noProof w:val="0"/>
          <w:lang w:val="en-GB"/>
        </w:rPr>
        <w:t xml:space="preserve">Section 13 – monitoring should include periodical </w:t>
      </w:r>
      <w:r w:rsidR="00686576">
        <w:rPr>
          <w:noProof w:val="0"/>
          <w:lang w:val="en-GB"/>
        </w:rPr>
        <w:t>due diligence of the third party</w:t>
      </w:r>
    </w:p>
    <w:p w14:paraId="05198FFC" w14:textId="4C41231A" w:rsidR="00686576" w:rsidRDefault="00D24A8B" w:rsidP="006B3591">
      <w:pPr>
        <w:jc w:val="both"/>
        <w:rPr>
          <w:noProof w:val="0"/>
          <w:lang w:val="en-GB"/>
        </w:rPr>
      </w:pPr>
      <w:r>
        <w:rPr>
          <w:noProof w:val="0"/>
          <w:lang w:val="en-GB"/>
        </w:rPr>
        <w:t xml:space="preserve">Paragraph 109 – missing </w:t>
      </w:r>
      <w:r w:rsidR="00B920E0">
        <w:rPr>
          <w:noProof w:val="0"/>
          <w:lang w:val="en-GB"/>
        </w:rPr>
        <w:t>letter f</w:t>
      </w:r>
      <w:r w:rsidR="00BB7017">
        <w:rPr>
          <w:noProof w:val="0"/>
          <w:lang w:val="en-GB"/>
        </w:rPr>
        <w:t>:</w:t>
      </w:r>
      <w:r w:rsidR="00B920E0">
        <w:rPr>
          <w:noProof w:val="0"/>
          <w:lang w:val="en-GB"/>
        </w:rPr>
        <w:t xml:space="preserve"> </w:t>
      </w:r>
      <w:r w:rsidR="00BB7017">
        <w:rPr>
          <w:noProof w:val="0"/>
          <w:lang w:val="en-GB"/>
        </w:rPr>
        <w:t>“</w:t>
      </w:r>
      <w:r w:rsidR="00B920E0">
        <w:rPr>
          <w:noProof w:val="0"/>
          <w:lang w:val="en-GB"/>
        </w:rPr>
        <w:t xml:space="preserve">the reviewed risk assessment will reveal, that </w:t>
      </w:r>
      <w:r w:rsidR="00E94A87">
        <w:rPr>
          <w:noProof w:val="0"/>
          <w:lang w:val="en-GB"/>
        </w:rPr>
        <w:t>the risk of delegating the function on third party is exceeding the risk appetite</w:t>
      </w:r>
      <w:r w:rsidR="00BB7017">
        <w:rPr>
          <w:noProof w:val="0"/>
          <w:lang w:val="en-GB"/>
        </w:rPr>
        <w:t>”</w:t>
      </w:r>
      <w:r w:rsidR="00E94A87">
        <w:rPr>
          <w:noProof w:val="0"/>
          <w:lang w:val="en-GB"/>
        </w:rPr>
        <w:t xml:space="preserve">. </w:t>
      </w:r>
    </w:p>
    <w:p w14:paraId="1D771DBE" w14:textId="7E490E7D" w:rsidR="00D255B6" w:rsidRDefault="00D255B6" w:rsidP="006B3591">
      <w:pPr>
        <w:jc w:val="both"/>
        <w:rPr>
          <w:noProof w:val="0"/>
          <w:lang w:val="en-GB"/>
        </w:rPr>
      </w:pPr>
      <w:r>
        <w:rPr>
          <w:noProof w:val="0"/>
          <w:lang w:val="en-GB"/>
        </w:rPr>
        <w:t xml:space="preserve">Paragraph 97 – these so called “audits” in current regime are not necessarily conducted by </w:t>
      </w:r>
      <w:r w:rsidR="00011E5B">
        <w:rPr>
          <w:noProof w:val="0"/>
          <w:lang w:val="en-GB"/>
        </w:rPr>
        <w:t xml:space="preserve">internal </w:t>
      </w:r>
      <w:r>
        <w:rPr>
          <w:noProof w:val="0"/>
          <w:lang w:val="en-GB"/>
        </w:rPr>
        <w:t>audit (III LOD). Currently audits in</w:t>
      </w:r>
      <w:r w:rsidR="00D652BD">
        <w:rPr>
          <w:noProof w:val="0"/>
          <w:lang w:val="en-GB"/>
        </w:rPr>
        <w:t xml:space="preserve"> vast institutions are performed by business and compliance</w:t>
      </w:r>
      <w:r w:rsidR="004D6287">
        <w:rPr>
          <w:noProof w:val="0"/>
          <w:lang w:val="en-GB"/>
        </w:rPr>
        <w:t xml:space="preserve"> function</w:t>
      </w:r>
      <w:r w:rsidR="00D652BD">
        <w:rPr>
          <w:noProof w:val="0"/>
          <w:lang w:val="en-GB"/>
        </w:rPr>
        <w:t xml:space="preserve"> (including data protection officers)</w:t>
      </w:r>
      <w:r w:rsidR="004D6287">
        <w:rPr>
          <w:noProof w:val="0"/>
          <w:lang w:val="en-GB"/>
        </w:rPr>
        <w:t xml:space="preserve">. EBA should refrain from pointing </w:t>
      </w:r>
      <w:r w:rsidR="003E488D">
        <w:rPr>
          <w:noProof w:val="0"/>
          <w:lang w:val="en-GB"/>
        </w:rPr>
        <w:t xml:space="preserve">the internal audit function as responsible for these “audits”. </w:t>
      </w:r>
    </w:p>
    <w:p w14:paraId="28CA3E6D" w14:textId="232D7950" w:rsidR="00590912" w:rsidRDefault="00590912" w:rsidP="006B3591">
      <w:pPr>
        <w:jc w:val="both"/>
        <w:rPr>
          <w:noProof w:val="0"/>
          <w:lang w:val="en-GB"/>
        </w:rPr>
      </w:pPr>
      <w:r>
        <w:rPr>
          <w:noProof w:val="0"/>
          <w:lang w:val="en-GB"/>
        </w:rPr>
        <w:t>Paragraph 86, letter f – “exit strateg</w:t>
      </w:r>
      <w:r w:rsidR="0093229D">
        <w:rPr>
          <w:noProof w:val="0"/>
          <w:lang w:val="en-GB"/>
        </w:rPr>
        <w:t xml:space="preserve">y” should be renamed on “exit plan”. Justification – paragraph 86 defines elements which should be included in the agreement. Exit strategy since 2006 (CEBS outsourcing guidelines) is a more strategic document which is part of the outsourcing policy. Since paragraph 86 is about elements to the agreement, </w:t>
      </w:r>
      <w:r w:rsidR="00311928">
        <w:rPr>
          <w:noProof w:val="0"/>
          <w:lang w:val="en-GB"/>
        </w:rPr>
        <w:t xml:space="preserve">it should refer to exit plan which is more specific to the specific agreement. </w:t>
      </w:r>
    </w:p>
    <w:p w14:paraId="590A4812" w14:textId="44161A9D" w:rsidR="00F31D17" w:rsidRDefault="00AA4DFE" w:rsidP="006B3591">
      <w:pPr>
        <w:jc w:val="both"/>
        <w:rPr>
          <w:noProof w:val="0"/>
          <w:lang w:val="en-GB"/>
        </w:rPr>
      </w:pPr>
      <w:r>
        <w:rPr>
          <w:noProof w:val="0"/>
          <w:lang w:val="en-GB"/>
        </w:rPr>
        <w:t>Paragraph 86, letter e point (i) should refer to section 12.2 (</w:t>
      </w:r>
      <w:r w:rsidR="00C47605">
        <w:rPr>
          <w:noProof w:val="0"/>
          <w:lang w:val="en-GB"/>
        </w:rPr>
        <w:t xml:space="preserve">access, information and audit rights) </w:t>
      </w:r>
      <w:r>
        <w:rPr>
          <w:noProof w:val="0"/>
          <w:lang w:val="en-GB"/>
        </w:rPr>
        <w:t>and not 12.1</w:t>
      </w:r>
      <w:r w:rsidR="00C47605">
        <w:rPr>
          <w:noProof w:val="0"/>
          <w:lang w:val="en-GB"/>
        </w:rPr>
        <w:t xml:space="preserve"> (subcontracting of critical </w:t>
      </w:r>
      <w:r w:rsidR="004D31C9">
        <w:rPr>
          <w:noProof w:val="0"/>
          <w:lang w:val="en-GB"/>
        </w:rPr>
        <w:t>o</w:t>
      </w:r>
      <w:r w:rsidR="00C47605">
        <w:rPr>
          <w:noProof w:val="0"/>
          <w:lang w:val="en-GB"/>
        </w:rPr>
        <w:t xml:space="preserve">r important functions). </w:t>
      </w:r>
    </w:p>
    <w:p w14:paraId="3A7A4EEE" w14:textId="77777777" w:rsidR="0061400E" w:rsidRDefault="0061400E" w:rsidP="006B3591">
      <w:pPr>
        <w:jc w:val="both"/>
        <w:rPr>
          <w:noProof w:val="0"/>
          <w:lang w:val="en-GB"/>
        </w:rPr>
      </w:pPr>
    </w:p>
    <w:sectPr w:rsidR="00614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4AC34" w14:textId="77777777" w:rsidR="00871E73" w:rsidRDefault="00871E73" w:rsidP="006C597C">
      <w:pPr>
        <w:spacing w:after="0" w:line="240" w:lineRule="auto"/>
      </w:pPr>
      <w:r>
        <w:separator/>
      </w:r>
    </w:p>
  </w:endnote>
  <w:endnote w:type="continuationSeparator" w:id="0">
    <w:p w14:paraId="685CD5EC" w14:textId="77777777" w:rsidR="00871E73" w:rsidRDefault="00871E73" w:rsidP="006C5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EFF17" w14:textId="77777777" w:rsidR="00871E73" w:rsidRDefault="00871E73" w:rsidP="006C597C">
      <w:pPr>
        <w:spacing w:after="0" w:line="240" w:lineRule="auto"/>
      </w:pPr>
      <w:r>
        <w:separator/>
      </w:r>
    </w:p>
  </w:footnote>
  <w:footnote w:type="continuationSeparator" w:id="0">
    <w:p w14:paraId="200D144C" w14:textId="77777777" w:rsidR="00871E73" w:rsidRDefault="00871E73" w:rsidP="006C597C">
      <w:pPr>
        <w:spacing w:after="0" w:line="240" w:lineRule="auto"/>
      </w:pPr>
      <w:r>
        <w:continuationSeparator/>
      </w:r>
    </w:p>
  </w:footnote>
  <w:footnote w:id="1">
    <w:p w14:paraId="561B2D0B" w14:textId="71E85855" w:rsidR="00C00F80" w:rsidRDefault="00C00F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B352B5" w:rsidRPr="000D2D7C">
          <w:rPr>
            <w:rStyle w:val="Hyperlink"/>
          </w:rPr>
          <w:t>https://www.eiopa.europa.eu/qa-regulation/questions-and-answers-database/2750-dora006_en</w:t>
        </w:r>
      </w:hyperlink>
      <w:r w:rsidR="00B352B5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E9E"/>
    <w:multiLevelType w:val="hybridMultilevel"/>
    <w:tmpl w:val="28A0ECA8"/>
    <w:lvl w:ilvl="0" w:tplc="E5463C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E23D5"/>
    <w:multiLevelType w:val="hybridMultilevel"/>
    <w:tmpl w:val="3A1211D6"/>
    <w:lvl w:ilvl="0" w:tplc="01325D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42B9D"/>
    <w:multiLevelType w:val="hybridMultilevel"/>
    <w:tmpl w:val="47A28224"/>
    <w:lvl w:ilvl="0" w:tplc="CA26C0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142D2"/>
    <w:multiLevelType w:val="hybridMultilevel"/>
    <w:tmpl w:val="8222B3A8"/>
    <w:lvl w:ilvl="0" w:tplc="3FCE34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487528">
    <w:abstractNumId w:val="0"/>
  </w:num>
  <w:num w:numId="2" w16cid:durableId="3439577">
    <w:abstractNumId w:val="1"/>
  </w:num>
  <w:num w:numId="3" w16cid:durableId="1045445895">
    <w:abstractNumId w:val="2"/>
  </w:num>
  <w:num w:numId="4" w16cid:durableId="2089110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511"/>
    <w:rsid w:val="00011E5B"/>
    <w:rsid w:val="00015D7C"/>
    <w:rsid w:val="00032942"/>
    <w:rsid w:val="00041433"/>
    <w:rsid w:val="00042DB5"/>
    <w:rsid w:val="000451BB"/>
    <w:rsid w:val="000568F4"/>
    <w:rsid w:val="000700BF"/>
    <w:rsid w:val="00070843"/>
    <w:rsid w:val="00082B93"/>
    <w:rsid w:val="000B01F8"/>
    <w:rsid w:val="000B3E47"/>
    <w:rsid w:val="000C0960"/>
    <w:rsid w:val="000C3199"/>
    <w:rsid w:val="000D0BF7"/>
    <w:rsid w:val="000F769D"/>
    <w:rsid w:val="001051D8"/>
    <w:rsid w:val="00115BE7"/>
    <w:rsid w:val="00135567"/>
    <w:rsid w:val="001441AB"/>
    <w:rsid w:val="0015253E"/>
    <w:rsid w:val="001552DF"/>
    <w:rsid w:val="0016095F"/>
    <w:rsid w:val="0017087A"/>
    <w:rsid w:val="001773CF"/>
    <w:rsid w:val="00181C4E"/>
    <w:rsid w:val="00197D0D"/>
    <w:rsid w:val="001B1ABE"/>
    <w:rsid w:val="001B6E59"/>
    <w:rsid w:val="001D1139"/>
    <w:rsid w:val="001D56A8"/>
    <w:rsid w:val="001D6382"/>
    <w:rsid w:val="001E5B06"/>
    <w:rsid w:val="001F4A59"/>
    <w:rsid w:val="00204DA3"/>
    <w:rsid w:val="002067DE"/>
    <w:rsid w:val="0025001A"/>
    <w:rsid w:val="00253F62"/>
    <w:rsid w:val="00263926"/>
    <w:rsid w:val="002733B0"/>
    <w:rsid w:val="002908A2"/>
    <w:rsid w:val="002911C8"/>
    <w:rsid w:val="00293B11"/>
    <w:rsid w:val="002A13BF"/>
    <w:rsid w:val="002A46E4"/>
    <w:rsid w:val="002B1ACE"/>
    <w:rsid w:val="002B3FF8"/>
    <w:rsid w:val="002B6A3D"/>
    <w:rsid w:val="002B7C96"/>
    <w:rsid w:val="002C4F11"/>
    <w:rsid w:val="002E0946"/>
    <w:rsid w:val="002F141A"/>
    <w:rsid w:val="002F6997"/>
    <w:rsid w:val="0030064E"/>
    <w:rsid w:val="0030336D"/>
    <w:rsid w:val="00311928"/>
    <w:rsid w:val="00311974"/>
    <w:rsid w:val="00324208"/>
    <w:rsid w:val="003307D2"/>
    <w:rsid w:val="003310D9"/>
    <w:rsid w:val="003350BC"/>
    <w:rsid w:val="00345DAA"/>
    <w:rsid w:val="00350432"/>
    <w:rsid w:val="0036047D"/>
    <w:rsid w:val="003943BB"/>
    <w:rsid w:val="003A1D59"/>
    <w:rsid w:val="003B7922"/>
    <w:rsid w:val="003C4D0D"/>
    <w:rsid w:val="003C4F78"/>
    <w:rsid w:val="003D1E20"/>
    <w:rsid w:val="003D78D2"/>
    <w:rsid w:val="003E488D"/>
    <w:rsid w:val="003E7732"/>
    <w:rsid w:val="003F3B67"/>
    <w:rsid w:val="003F629E"/>
    <w:rsid w:val="003F6DDD"/>
    <w:rsid w:val="00417E1C"/>
    <w:rsid w:val="00422868"/>
    <w:rsid w:val="004272CB"/>
    <w:rsid w:val="0043386B"/>
    <w:rsid w:val="004342AA"/>
    <w:rsid w:val="0046065C"/>
    <w:rsid w:val="00480C1C"/>
    <w:rsid w:val="00483A31"/>
    <w:rsid w:val="004865AB"/>
    <w:rsid w:val="0049489B"/>
    <w:rsid w:val="00495402"/>
    <w:rsid w:val="004A3F4A"/>
    <w:rsid w:val="004A48AC"/>
    <w:rsid w:val="004B6A8E"/>
    <w:rsid w:val="004D31C9"/>
    <w:rsid w:val="004D6287"/>
    <w:rsid w:val="004F3AE2"/>
    <w:rsid w:val="00500D48"/>
    <w:rsid w:val="00520423"/>
    <w:rsid w:val="00522837"/>
    <w:rsid w:val="00556730"/>
    <w:rsid w:val="00572006"/>
    <w:rsid w:val="00572F03"/>
    <w:rsid w:val="005770DD"/>
    <w:rsid w:val="00590912"/>
    <w:rsid w:val="0059127A"/>
    <w:rsid w:val="00591901"/>
    <w:rsid w:val="005B616C"/>
    <w:rsid w:val="005C2EEA"/>
    <w:rsid w:val="005D39B0"/>
    <w:rsid w:val="005D7B71"/>
    <w:rsid w:val="005E63D3"/>
    <w:rsid w:val="005F1499"/>
    <w:rsid w:val="005F7C4B"/>
    <w:rsid w:val="006104E3"/>
    <w:rsid w:val="0061400E"/>
    <w:rsid w:val="0061602E"/>
    <w:rsid w:val="00623DE5"/>
    <w:rsid w:val="006245EA"/>
    <w:rsid w:val="006265AD"/>
    <w:rsid w:val="006346AD"/>
    <w:rsid w:val="00637A63"/>
    <w:rsid w:val="00640274"/>
    <w:rsid w:val="00646FF4"/>
    <w:rsid w:val="00652507"/>
    <w:rsid w:val="00652B5C"/>
    <w:rsid w:val="00664632"/>
    <w:rsid w:val="006663D5"/>
    <w:rsid w:val="00666A36"/>
    <w:rsid w:val="006712BF"/>
    <w:rsid w:val="00674020"/>
    <w:rsid w:val="0068279C"/>
    <w:rsid w:val="006838DE"/>
    <w:rsid w:val="00686576"/>
    <w:rsid w:val="006A2B85"/>
    <w:rsid w:val="006B3591"/>
    <w:rsid w:val="006B65E5"/>
    <w:rsid w:val="006C597C"/>
    <w:rsid w:val="006C745B"/>
    <w:rsid w:val="006E2B18"/>
    <w:rsid w:val="006E7E6B"/>
    <w:rsid w:val="006F43E6"/>
    <w:rsid w:val="006F7925"/>
    <w:rsid w:val="00702D58"/>
    <w:rsid w:val="007071DF"/>
    <w:rsid w:val="007153F3"/>
    <w:rsid w:val="007279F3"/>
    <w:rsid w:val="0073138B"/>
    <w:rsid w:val="007461B0"/>
    <w:rsid w:val="00763BE4"/>
    <w:rsid w:val="00767CC3"/>
    <w:rsid w:val="007765CA"/>
    <w:rsid w:val="0077724C"/>
    <w:rsid w:val="007B1F34"/>
    <w:rsid w:val="007D31FD"/>
    <w:rsid w:val="007D3413"/>
    <w:rsid w:val="007E0511"/>
    <w:rsid w:val="007E3A6C"/>
    <w:rsid w:val="008111BF"/>
    <w:rsid w:val="00824337"/>
    <w:rsid w:val="0084666D"/>
    <w:rsid w:val="00846A0C"/>
    <w:rsid w:val="00857F54"/>
    <w:rsid w:val="0086381E"/>
    <w:rsid w:val="00871E73"/>
    <w:rsid w:val="00875B73"/>
    <w:rsid w:val="008816F1"/>
    <w:rsid w:val="00893E37"/>
    <w:rsid w:val="008D319C"/>
    <w:rsid w:val="008D5FF5"/>
    <w:rsid w:val="008E0A27"/>
    <w:rsid w:val="008E0E13"/>
    <w:rsid w:val="008E4CEC"/>
    <w:rsid w:val="008F0574"/>
    <w:rsid w:val="008F2DAA"/>
    <w:rsid w:val="009171B0"/>
    <w:rsid w:val="0093229D"/>
    <w:rsid w:val="0094151A"/>
    <w:rsid w:val="009417C8"/>
    <w:rsid w:val="00962D66"/>
    <w:rsid w:val="009677AD"/>
    <w:rsid w:val="00973E16"/>
    <w:rsid w:val="0098293C"/>
    <w:rsid w:val="009A1BE2"/>
    <w:rsid w:val="009A4A17"/>
    <w:rsid w:val="009D1768"/>
    <w:rsid w:val="009D6AA1"/>
    <w:rsid w:val="009D75E7"/>
    <w:rsid w:val="009F55FA"/>
    <w:rsid w:val="00A02529"/>
    <w:rsid w:val="00A2172E"/>
    <w:rsid w:val="00A22531"/>
    <w:rsid w:val="00A4529C"/>
    <w:rsid w:val="00A649CA"/>
    <w:rsid w:val="00A67548"/>
    <w:rsid w:val="00A86F25"/>
    <w:rsid w:val="00A93181"/>
    <w:rsid w:val="00AA106B"/>
    <w:rsid w:val="00AA4DFE"/>
    <w:rsid w:val="00AA6C39"/>
    <w:rsid w:val="00AA7721"/>
    <w:rsid w:val="00AF55CE"/>
    <w:rsid w:val="00B03FE6"/>
    <w:rsid w:val="00B07215"/>
    <w:rsid w:val="00B352B5"/>
    <w:rsid w:val="00B41CC2"/>
    <w:rsid w:val="00B61F43"/>
    <w:rsid w:val="00B62DEE"/>
    <w:rsid w:val="00B70230"/>
    <w:rsid w:val="00B72E25"/>
    <w:rsid w:val="00B73768"/>
    <w:rsid w:val="00B742BB"/>
    <w:rsid w:val="00B752FA"/>
    <w:rsid w:val="00B76FA2"/>
    <w:rsid w:val="00B77FB4"/>
    <w:rsid w:val="00B91535"/>
    <w:rsid w:val="00B920E0"/>
    <w:rsid w:val="00BB7017"/>
    <w:rsid w:val="00BD3186"/>
    <w:rsid w:val="00BE19A3"/>
    <w:rsid w:val="00BE4319"/>
    <w:rsid w:val="00BF26C4"/>
    <w:rsid w:val="00C00F80"/>
    <w:rsid w:val="00C04F4F"/>
    <w:rsid w:val="00C12090"/>
    <w:rsid w:val="00C429B5"/>
    <w:rsid w:val="00C42CC9"/>
    <w:rsid w:val="00C47605"/>
    <w:rsid w:val="00C6755A"/>
    <w:rsid w:val="00C80A21"/>
    <w:rsid w:val="00C838F0"/>
    <w:rsid w:val="00C8618E"/>
    <w:rsid w:val="00CA2570"/>
    <w:rsid w:val="00CA3794"/>
    <w:rsid w:val="00CC00F0"/>
    <w:rsid w:val="00CD0411"/>
    <w:rsid w:val="00CD05B5"/>
    <w:rsid w:val="00CD1904"/>
    <w:rsid w:val="00CD1A13"/>
    <w:rsid w:val="00CE5AC3"/>
    <w:rsid w:val="00CF3F56"/>
    <w:rsid w:val="00D02AE4"/>
    <w:rsid w:val="00D030E9"/>
    <w:rsid w:val="00D03B30"/>
    <w:rsid w:val="00D0657B"/>
    <w:rsid w:val="00D110D9"/>
    <w:rsid w:val="00D15168"/>
    <w:rsid w:val="00D15638"/>
    <w:rsid w:val="00D21916"/>
    <w:rsid w:val="00D21D0B"/>
    <w:rsid w:val="00D24A8B"/>
    <w:rsid w:val="00D255B6"/>
    <w:rsid w:val="00D270ED"/>
    <w:rsid w:val="00D32296"/>
    <w:rsid w:val="00D47C21"/>
    <w:rsid w:val="00D5021D"/>
    <w:rsid w:val="00D51441"/>
    <w:rsid w:val="00D51C2F"/>
    <w:rsid w:val="00D51F10"/>
    <w:rsid w:val="00D652BD"/>
    <w:rsid w:val="00D65457"/>
    <w:rsid w:val="00D73273"/>
    <w:rsid w:val="00D737C1"/>
    <w:rsid w:val="00D75CCA"/>
    <w:rsid w:val="00D77D2B"/>
    <w:rsid w:val="00D80FA9"/>
    <w:rsid w:val="00D92230"/>
    <w:rsid w:val="00DA02F7"/>
    <w:rsid w:val="00DB48CE"/>
    <w:rsid w:val="00DB5BF0"/>
    <w:rsid w:val="00DD0EDA"/>
    <w:rsid w:val="00DF03A2"/>
    <w:rsid w:val="00DF1037"/>
    <w:rsid w:val="00DF5036"/>
    <w:rsid w:val="00E16738"/>
    <w:rsid w:val="00E17466"/>
    <w:rsid w:val="00E313E9"/>
    <w:rsid w:val="00E33182"/>
    <w:rsid w:val="00E5004C"/>
    <w:rsid w:val="00E54027"/>
    <w:rsid w:val="00E6322C"/>
    <w:rsid w:val="00E63E81"/>
    <w:rsid w:val="00E73304"/>
    <w:rsid w:val="00E85636"/>
    <w:rsid w:val="00E93617"/>
    <w:rsid w:val="00E94A87"/>
    <w:rsid w:val="00EB1915"/>
    <w:rsid w:val="00EC1F81"/>
    <w:rsid w:val="00EC397B"/>
    <w:rsid w:val="00EC5940"/>
    <w:rsid w:val="00ED33DB"/>
    <w:rsid w:val="00EE1B3C"/>
    <w:rsid w:val="00EE25EC"/>
    <w:rsid w:val="00EF0D6D"/>
    <w:rsid w:val="00EF4F15"/>
    <w:rsid w:val="00F17FDC"/>
    <w:rsid w:val="00F24A5C"/>
    <w:rsid w:val="00F27453"/>
    <w:rsid w:val="00F31D17"/>
    <w:rsid w:val="00F33309"/>
    <w:rsid w:val="00F531B3"/>
    <w:rsid w:val="00F53583"/>
    <w:rsid w:val="00F5723E"/>
    <w:rsid w:val="00F641FF"/>
    <w:rsid w:val="00F82926"/>
    <w:rsid w:val="00F958AA"/>
    <w:rsid w:val="00FA0264"/>
    <w:rsid w:val="00FA0BCF"/>
    <w:rsid w:val="00FA3BE3"/>
    <w:rsid w:val="00FA4DA6"/>
    <w:rsid w:val="00FB164A"/>
    <w:rsid w:val="00FD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54E0"/>
  <w15:chartTrackingRefBased/>
  <w15:docId w15:val="{A8337397-C19B-43FF-983F-4440EB99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0B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C59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597C"/>
    <w:rPr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597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352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iopa.europa.eu/qa-regulation/questions-and-answers-database/2750-dora006_e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06831-0170-4E90-BA29-6D7317249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771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stolarczyk</dc:creator>
  <cp:keywords/>
  <dc:description/>
  <cp:lastModifiedBy>jakub stolarczyk</cp:lastModifiedBy>
  <cp:revision>10</cp:revision>
  <dcterms:created xsi:type="dcterms:W3CDTF">2025-10-07T20:59:00Z</dcterms:created>
  <dcterms:modified xsi:type="dcterms:W3CDTF">2025-10-08T19:21:00Z</dcterms:modified>
</cp:coreProperties>
</file>