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7F19" w14:textId="1304BF08" w:rsidR="4FF07476" w:rsidRDefault="3A9BBDFB" w:rsidP="6BA8B680">
      <w:pPr>
        <w:jc w:val="both"/>
        <w:rPr>
          <w:b/>
          <w:bCs/>
        </w:rPr>
      </w:pPr>
      <w:commentRangeStart w:id="0"/>
      <w:r w:rsidRPr="6BA8B680">
        <w:rPr>
          <w:b/>
          <w:bCs/>
        </w:rPr>
        <w:t xml:space="preserve">Annex 1 – Table of comments submitted </w:t>
      </w:r>
      <w:r w:rsidR="00DC6284">
        <w:rPr>
          <w:b/>
          <w:bCs/>
        </w:rPr>
        <w:t xml:space="preserve">to </w:t>
      </w:r>
      <w:proofErr w:type="spellStart"/>
      <w:r w:rsidR="00DC6284">
        <w:rPr>
          <w:b/>
          <w:bCs/>
        </w:rPr>
        <w:t>Związek</w:t>
      </w:r>
      <w:proofErr w:type="spellEnd"/>
      <w:r w:rsidR="00DC6284">
        <w:rPr>
          <w:b/>
          <w:bCs/>
        </w:rPr>
        <w:t xml:space="preserve"> </w:t>
      </w:r>
      <w:proofErr w:type="spellStart"/>
      <w:r w:rsidR="00DC6284">
        <w:rPr>
          <w:b/>
          <w:bCs/>
        </w:rPr>
        <w:t>Banków</w:t>
      </w:r>
      <w:proofErr w:type="spellEnd"/>
      <w:r w:rsidR="00DC6284">
        <w:rPr>
          <w:b/>
          <w:bCs/>
        </w:rPr>
        <w:t xml:space="preserve"> </w:t>
      </w:r>
      <w:proofErr w:type="spellStart"/>
      <w:r w:rsidR="00DC6284">
        <w:rPr>
          <w:b/>
          <w:bCs/>
        </w:rPr>
        <w:t>Polskich</w:t>
      </w:r>
      <w:proofErr w:type="spellEnd"/>
      <w:r w:rsidR="00DC6284">
        <w:rPr>
          <w:b/>
          <w:bCs/>
        </w:rPr>
        <w:t xml:space="preserve"> </w:t>
      </w:r>
      <w:r w:rsidRPr="6BA8B680">
        <w:rPr>
          <w:b/>
          <w:bCs/>
        </w:rPr>
        <w:t>to the draft EBA Guidelines on the sound management of risks arising from cooperation with third parties (EBA/CP/2025/13)</w:t>
      </w:r>
      <w:commentRangeEnd w:id="0"/>
      <w:r w:rsidR="00E72264">
        <w:rPr>
          <w:rStyle w:val="CommentReference"/>
        </w:rPr>
        <w:commentReference w:id="0"/>
      </w:r>
    </w:p>
    <w:tbl>
      <w:tblPr>
        <w:tblStyle w:val="TableGrid"/>
        <w:tblW w:w="17572" w:type="dxa"/>
        <w:tblLayout w:type="fixed"/>
        <w:tblLook w:val="06A0" w:firstRow="1" w:lastRow="0" w:firstColumn="1" w:lastColumn="0" w:noHBand="1" w:noVBand="1"/>
      </w:tblPr>
      <w:tblGrid>
        <w:gridCol w:w="570"/>
        <w:gridCol w:w="1275"/>
        <w:gridCol w:w="11758"/>
        <w:gridCol w:w="3969"/>
      </w:tblGrid>
      <w:tr w:rsidR="00685FB0" w14:paraId="3B1238B3" w14:textId="77777777" w:rsidTr="00685FB0">
        <w:trPr>
          <w:gridAfter w:val="1"/>
          <w:wAfter w:w="3969" w:type="dxa"/>
          <w:trHeight w:val="300"/>
        </w:trPr>
        <w:tc>
          <w:tcPr>
            <w:tcW w:w="1845" w:type="dxa"/>
            <w:gridSpan w:val="2"/>
            <w:shd w:val="clear" w:color="auto" w:fill="E8E8E8" w:themeFill="background2"/>
          </w:tcPr>
          <w:p w14:paraId="3DBBB413" w14:textId="0B25F932" w:rsidR="00685FB0" w:rsidRDefault="00685FB0" w:rsidP="6BA8B680">
            <w:pPr>
              <w:jc w:val="both"/>
              <w:rPr>
                <w:b/>
                <w:bCs/>
                <w:sz w:val="22"/>
                <w:szCs w:val="22"/>
              </w:rPr>
            </w:pPr>
            <w:r w:rsidRPr="6BA8B680">
              <w:rPr>
                <w:b/>
                <w:bCs/>
                <w:sz w:val="22"/>
                <w:szCs w:val="22"/>
              </w:rPr>
              <w:t>Document Name:</w:t>
            </w:r>
          </w:p>
        </w:tc>
        <w:tc>
          <w:tcPr>
            <w:tcW w:w="11758" w:type="dxa"/>
          </w:tcPr>
          <w:p w14:paraId="1CA9CA8C" w14:textId="07002DF2" w:rsidR="00685FB0" w:rsidRDefault="00685FB0" w:rsidP="6BA8B680">
            <w:pPr>
              <w:jc w:val="both"/>
              <w:rPr>
                <w:sz w:val="22"/>
                <w:szCs w:val="22"/>
              </w:rPr>
            </w:pPr>
            <w:r w:rsidRPr="6BA8B680">
              <w:rPr>
                <w:sz w:val="22"/>
                <w:szCs w:val="22"/>
              </w:rPr>
              <w:t>Draft EBA Guidelines on the sound management of risks arising from cooperation with third parties (EBA/CP/2025/</w:t>
            </w:r>
            <w:r w:rsidRPr="6BA8B680">
              <w:rPr>
                <w:rStyle w:val="FootnoteReference"/>
                <w:sz w:val="22"/>
                <w:szCs w:val="22"/>
              </w:rPr>
              <w:footnoteReference w:id="1"/>
            </w:r>
          </w:p>
        </w:tc>
      </w:tr>
      <w:tr w:rsidR="00685FB0" w14:paraId="6B5EF4C3" w14:textId="77777777" w:rsidTr="00685FB0">
        <w:trPr>
          <w:trHeight w:val="1305"/>
        </w:trPr>
        <w:tc>
          <w:tcPr>
            <w:tcW w:w="570" w:type="dxa"/>
            <w:shd w:val="clear" w:color="auto" w:fill="E8E8E8" w:themeFill="background2"/>
          </w:tcPr>
          <w:p w14:paraId="17A3DF69" w14:textId="5B84A8C6" w:rsidR="00685FB0" w:rsidRDefault="00685FB0" w:rsidP="6BA8B680">
            <w:pPr>
              <w:jc w:val="both"/>
              <w:rPr>
                <w:b/>
                <w:bCs/>
                <w:sz w:val="22"/>
                <w:szCs w:val="22"/>
              </w:rPr>
            </w:pPr>
            <w:proofErr w:type="spellStart"/>
            <w:r w:rsidRPr="6BA8B680">
              <w:rPr>
                <w:b/>
                <w:bCs/>
                <w:sz w:val="22"/>
                <w:szCs w:val="22"/>
              </w:rPr>
              <w:t>Lp</w:t>
            </w:r>
            <w:proofErr w:type="spellEnd"/>
            <w:r w:rsidRPr="6BA8B680">
              <w:rPr>
                <w:b/>
                <w:bCs/>
                <w:sz w:val="22"/>
                <w:szCs w:val="22"/>
              </w:rPr>
              <w:t>.</w:t>
            </w:r>
          </w:p>
        </w:tc>
        <w:tc>
          <w:tcPr>
            <w:tcW w:w="1275" w:type="dxa"/>
            <w:shd w:val="clear" w:color="auto" w:fill="E8E8E8" w:themeFill="background2"/>
          </w:tcPr>
          <w:p w14:paraId="62C21FA2" w14:textId="0E9EF693" w:rsidR="00685FB0" w:rsidRDefault="00685FB0" w:rsidP="6BA8B680">
            <w:pPr>
              <w:jc w:val="both"/>
              <w:rPr>
                <w:b/>
                <w:bCs/>
                <w:sz w:val="22"/>
                <w:szCs w:val="22"/>
              </w:rPr>
            </w:pPr>
            <w:r w:rsidRPr="6BA8B680">
              <w:rPr>
                <w:b/>
                <w:bCs/>
                <w:sz w:val="22"/>
                <w:szCs w:val="22"/>
              </w:rPr>
              <w:t>Editorial unit</w:t>
            </w:r>
          </w:p>
        </w:tc>
        <w:tc>
          <w:tcPr>
            <w:tcW w:w="11758" w:type="dxa"/>
            <w:shd w:val="clear" w:color="auto" w:fill="E8E8E8" w:themeFill="background2"/>
          </w:tcPr>
          <w:p w14:paraId="53D25475" w14:textId="02C0C55A" w:rsidR="00685FB0" w:rsidRDefault="00685FB0" w:rsidP="6BA8B680">
            <w:pPr>
              <w:jc w:val="both"/>
              <w:rPr>
                <w:b/>
                <w:bCs/>
                <w:sz w:val="22"/>
                <w:szCs w:val="22"/>
              </w:rPr>
            </w:pPr>
            <w:r w:rsidRPr="6BA8B680">
              <w:rPr>
                <w:b/>
                <w:bCs/>
                <w:sz w:val="22"/>
                <w:szCs w:val="22"/>
              </w:rPr>
              <w:t>Content of the note</w:t>
            </w:r>
          </w:p>
        </w:tc>
        <w:tc>
          <w:tcPr>
            <w:tcW w:w="3969" w:type="dxa"/>
            <w:shd w:val="clear" w:color="auto" w:fill="E8E8E8" w:themeFill="background2"/>
          </w:tcPr>
          <w:p w14:paraId="2DDA787D" w14:textId="505241BD" w:rsidR="00685FB0" w:rsidRDefault="00685FB0" w:rsidP="6BA8B680">
            <w:pPr>
              <w:jc w:val="both"/>
              <w:rPr>
                <w:b/>
                <w:bCs/>
                <w:sz w:val="22"/>
                <w:szCs w:val="22"/>
              </w:rPr>
            </w:pPr>
            <w:r w:rsidRPr="6BA8B680">
              <w:rPr>
                <w:b/>
                <w:bCs/>
                <w:sz w:val="22"/>
                <w:szCs w:val="22"/>
              </w:rPr>
              <w:t>Conclusion</w:t>
            </w:r>
          </w:p>
        </w:tc>
      </w:tr>
      <w:tr w:rsidR="00685FB0" w14:paraId="7A54439A" w14:textId="77777777" w:rsidTr="00685FB0">
        <w:trPr>
          <w:trHeight w:val="300"/>
        </w:trPr>
        <w:tc>
          <w:tcPr>
            <w:tcW w:w="570" w:type="dxa"/>
            <w:shd w:val="clear" w:color="auto" w:fill="E8E8E8" w:themeFill="background2"/>
          </w:tcPr>
          <w:p w14:paraId="35EFB603" w14:textId="33FA367F" w:rsidR="00685FB0" w:rsidRDefault="00685FB0" w:rsidP="6BA8B680">
            <w:pPr>
              <w:jc w:val="both"/>
              <w:rPr>
                <w:sz w:val="22"/>
                <w:szCs w:val="22"/>
              </w:rPr>
            </w:pPr>
            <w:r w:rsidRPr="6BA8B680">
              <w:rPr>
                <w:sz w:val="22"/>
                <w:szCs w:val="22"/>
              </w:rPr>
              <w:t>1.</w:t>
            </w:r>
          </w:p>
        </w:tc>
        <w:tc>
          <w:tcPr>
            <w:tcW w:w="1275" w:type="dxa"/>
          </w:tcPr>
          <w:p w14:paraId="7807AB8F" w14:textId="5F721D56" w:rsidR="00685FB0" w:rsidRDefault="00685FB0" w:rsidP="6BA8B680">
            <w:pPr>
              <w:jc w:val="both"/>
              <w:rPr>
                <w:sz w:val="22"/>
                <w:szCs w:val="22"/>
              </w:rPr>
            </w:pPr>
            <w:r w:rsidRPr="6BA8B680">
              <w:rPr>
                <w:sz w:val="22"/>
                <w:szCs w:val="22"/>
              </w:rPr>
              <w:t>Par.16, Function Definition, Par. 30</w:t>
            </w:r>
          </w:p>
        </w:tc>
        <w:tc>
          <w:tcPr>
            <w:tcW w:w="11758" w:type="dxa"/>
          </w:tcPr>
          <w:p w14:paraId="55A5AF65" w14:textId="6FE4701A" w:rsidR="00685FB0" w:rsidRDefault="00685FB0" w:rsidP="6BA8B680">
            <w:pPr>
              <w:jc w:val="both"/>
              <w:rPr>
                <w:sz w:val="22"/>
                <w:szCs w:val="22"/>
              </w:rPr>
            </w:pPr>
            <w:r w:rsidRPr="6BA8B680">
              <w:rPr>
                <w:sz w:val="22"/>
                <w:szCs w:val="22"/>
              </w:rPr>
              <w:t>Ambiguity of the definition of "function" in the draft Guidelines.</w:t>
            </w:r>
            <w:r>
              <w:br/>
            </w:r>
            <w:r w:rsidRPr="6BA8B680">
              <w:rPr>
                <w:sz w:val="22"/>
                <w:szCs w:val="22"/>
              </w:rPr>
              <w:t>Draft Guidelines: "functions means any process, service or activity or part of it"</w:t>
            </w:r>
          </w:p>
          <w:p w14:paraId="3B8A17E2" w14:textId="742ADA0F" w:rsidR="00685FB0" w:rsidRDefault="00685FB0" w:rsidP="6BA8B680">
            <w:pPr>
              <w:jc w:val="both"/>
              <w:rPr>
                <w:sz w:val="22"/>
                <w:szCs w:val="22"/>
              </w:rPr>
            </w:pPr>
            <w:r w:rsidRPr="6BA8B680">
              <w:rPr>
                <w:sz w:val="22"/>
                <w:szCs w:val="22"/>
              </w:rPr>
              <w:t>EBA/GL/2019/02: “function means any processes, services or activities”</w:t>
            </w:r>
          </w:p>
          <w:p w14:paraId="2B168720" w14:textId="040A4D02" w:rsidR="00685FB0" w:rsidRDefault="00685FB0" w:rsidP="6BA8B680">
            <w:pPr>
              <w:jc w:val="both"/>
              <w:rPr>
                <w:sz w:val="22"/>
                <w:szCs w:val="22"/>
              </w:rPr>
            </w:pPr>
            <w:r w:rsidRPr="6BA8B680">
              <w:rPr>
                <w:sz w:val="22"/>
                <w:szCs w:val="22"/>
              </w:rPr>
              <w:t xml:space="preserve"> </w:t>
            </w:r>
          </w:p>
          <w:p w14:paraId="0F20E59B" w14:textId="0B1BD38E" w:rsidR="00685FB0" w:rsidRDefault="00685FB0" w:rsidP="6BA8B680">
            <w:pPr>
              <w:jc w:val="both"/>
              <w:rPr>
                <w:sz w:val="22"/>
                <w:szCs w:val="22"/>
              </w:rPr>
            </w:pPr>
            <w:r w:rsidRPr="6BA8B680">
              <w:rPr>
                <w:sz w:val="22"/>
                <w:szCs w:val="22"/>
              </w:rPr>
              <w:t xml:space="preserve">Doubts arise e.g. as to whether, in principle, it covers those processes, services, activities or part thereof that are normally performed by a financial institution (this may result from the statute of the financial institution), and their outsourcing to a third party in a repetitive or continuous manner results in the creation of an outsourcing/outsourcing agreement. </w:t>
            </w:r>
          </w:p>
          <w:p w14:paraId="6551D3CF" w14:textId="54BC92D2" w:rsidR="00685FB0" w:rsidRDefault="00685FB0" w:rsidP="6BA8B680">
            <w:pPr>
              <w:jc w:val="both"/>
              <w:rPr>
                <w:sz w:val="22"/>
                <w:szCs w:val="22"/>
              </w:rPr>
            </w:pPr>
          </w:p>
          <w:p w14:paraId="2D64882D" w14:textId="46B4F0D7" w:rsidR="00685FB0" w:rsidRDefault="00685FB0" w:rsidP="6BA8B680">
            <w:pPr>
              <w:jc w:val="both"/>
              <w:rPr>
                <w:sz w:val="22"/>
                <w:szCs w:val="22"/>
              </w:rPr>
            </w:pPr>
            <w:r w:rsidRPr="6BA8B680">
              <w:rPr>
                <w:sz w:val="22"/>
                <w:szCs w:val="22"/>
              </w:rPr>
              <w:t>The exclusion of the purchase of goods in point 30 of the draft Guidelines raises the question of what kind of contracts can be "Contracts with third parties" and not be "Outsourcing Agreements".</w:t>
            </w:r>
          </w:p>
          <w:p w14:paraId="3730E68F" w14:textId="04130378" w:rsidR="00685FB0" w:rsidRDefault="00685FB0" w:rsidP="6BA8B680">
            <w:pPr>
              <w:jc w:val="both"/>
              <w:rPr>
                <w:sz w:val="22"/>
                <w:szCs w:val="22"/>
              </w:rPr>
            </w:pPr>
            <w:r w:rsidRPr="6BA8B680">
              <w:rPr>
                <w:sz w:val="22"/>
                <w:szCs w:val="22"/>
              </w:rPr>
              <w:t xml:space="preserve"> </w:t>
            </w:r>
          </w:p>
          <w:p w14:paraId="5B0641FC" w14:textId="22AD3065" w:rsidR="00685FB0" w:rsidRDefault="00685FB0" w:rsidP="6BA8B680">
            <w:pPr>
              <w:jc w:val="both"/>
              <w:rPr>
                <w:sz w:val="22"/>
                <w:szCs w:val="22"/>
              </w:rPr>
            </w:pPr>
            <w:r w:rsidRPr="6BA8B680">
              <w:rPr>
                <w:sz w:val="22"/>
                <w:szCs w:val="22"/>
              </w:rPr>
              <w:t xml:space="preserve">The identification of the above-mentioned difference is important from the perspective of the need to identify the "Agreements with third parties" referred to in point 30. If it is possible to </w:t>
            </w:r>
            <w:r>
              <w:rPr>
                <w:sz w:val="22"/>
                <w:szCs w:val="22"/>
              </w:rPr>
              <w:t>consider interchangeable</w:t>
            </w:r>
            <w:r w:rsidRPr="6BA8B680">
              <w:rPr>
                <w:sz w:val="22"/>
                <w:szCs w:val="22"/>
              </w:rPr>
              <w:t xml:space="preserve"> "Agreements with third parties" and "Outsourcing Agreement" (at the level of suppliers), then it could be assumed that the identification  of EBA outsourcing agreements, performed by financial entities at the time of entry into force of the EBA Guidelines on Outsourcing, addresses the required need for the identification of "Agreements with third parties" referred to in point 30 and saves financial entities time consuming efforts. </w:t>
            </w:r>
            <w:r w:rsidRPr="6BA8B680">
              <w:rPr>
                <w:i/>
                <w:iCs/>
                <w:sz w:val="22"/>
                <w:szCs w:val="22"/>
              </w:rPr>
              <w:t>(</w:t>
            </w:r>
            <w:r w:rsidRPr="6BA8B680">
              <w:rPr>
                <w:sz w:val="22"/>
                <w:szCs w:val="22"/>
              </w:rPr>
              <w:t>In detail described in subparagraph</w:t>
            </w:r>
            <w:r w:rsidRPr="6BA8B680">
              <w:rPr>
                <w:i/>
                <w:iCs/>
                <w:sz w:val="22"/>
                <w:szCs w:val="22"/>
              </w:rPr>
              <w:t xml:space="preserve"> Issue with distinguishing between a "third-party agreement" and an "outsourcing agreement" for the correct application of regimes (e.g., after the exclusion of goods purchases in the new guidelines</w:t>
            </w:r>
            <w:r w:rsidRPr="6BA8B680">
              <w:rPr>
                <w:sz w:val="22"/>
                <w:szCs w:val="22"/>
              </w:rPr>
              <w:t>).</w:t>
            </w:r>
          </w:p>
        </w:tc>
        <w:tc>
          <w:tcPr>
            <w:tcW w:w="3969" w:type="dxa"/>
          </w:tcPr>
          <w:p w14:paraId="2A1693A5" w14:textId="3527597B" w:rsidR="00685FB0" w:rsidRDefault="00685FB0" w:rsidP="6BA8B680">
            <w:pPr>
              <w:jc w:val="both"/>
              <w:rPr>
                <w:sz w:val="22"/>
                <w:szCs w:val="22"/>
              </w:rPr>
            </w:pPr>
            <w:r w:rsidRPr="6BA8B680">
              <w:rPr>
                <w:sz w:val="22"/>
                <w:szCs w:val="22"/>
              </w:rPr>
              <w:t xml:space="preserve">It is suggested to: </w:t>
            </w:r>
          </w:p>
          <w:p w14:paraId="0925531E" w14:textId="59987FAA" w:rsidR="00685FB0" w:rsidRDefault="00685FB0" w:rsidP="6BA8B680">
            <w:pPr>
              <w:pStyle w:val="ListParagraph"/>
              <w:numPr>
                <w:ilvl w:val="0"/>
                <w:numId w:val="2"/>
              </w:numPr>
              <w:jc w:val="both"/>
              <w:rPr>
                <w:sz w:val="22"/>
                <w:szCs w:val="22"/>
              </w:rPr>
            </w:pPr>
            <w:r w:rsidRPr="6BA8B680">
              <w:rPr>
                <w:sz w:val="22"/>
                <w:szCs w:val="22"/>
              </w:rPr>
              <w:t xml:space="preserve"> establish ancillary criteria for the assessment of functions within a financial institution's activities, taking into account the extended scope of the guidelines.</w:t>
            </w:r>
          </w:p>
          <w:p w14:paraId="6263421A" w14:textId="28C423BB" w:rsidR="00685FB0" w:rsidRDefault="00685FB0" w:rsidP="6BA8B680">
            <w:pPr>
              <w:pStyle w:val="ListParagraph"/>
              <w:numPr>
                <w:ilvl w:val="0"/>
                <w:numId w:val="2"/>
              </w:numPr>
              <w:jc w:val="both"/>
            </w:pPr>
            <w:r w:rsidRPr="6BA8B680">
              <w:rPr>
                <w:sz w:val="22"/>
                <w:szCs w:val="22"/>
              </w:rPr>
              <w:t xml:space="preserve">  develop common sector-wide ancillary criteria that would help establish a practice for differentiating between an outsourcing agreement and a third-party arrangement (not being at the same time an outsourcing arrangement).</w:t>
            </w:r>
          </w:p>
        </w:tc>
      </w:tr>
      <w:tr w:rsidR="00685FB0" w14:paraId="7A59BE84" w14:textId="77777777" w:rsidTr="00685FB0">
        <w:trPr>
          <w:trHeight w:val="300"/>
        </w:trPr>
        <w:tc>
          <w:tcPr>
            <w:tcW w:w="570" w:type="dxa"/>
            <w:shd w:val="clear" w:color="auto" w:fill="E8E8E8" w:themeFill="background2"/>
          </w:tcPr>
          <w:p w14:paraId="548C8340" w14:textId="0391BE96" w:rsidR="00685FB0" w:rsidRDefault="00685FB0" w:rsidP="6BA8B680">
            <w:pPr>
              <w:jc w:val="both"/>
              <w:rPr>
                <w:sz w:val="22"/>
                <w:szCs w:val="22"/>
              </w:rPr>
            </w:pPr>
            <w:r w:rsidRPr="6BA8B680">
              <w:rPr>
                <w:sz w:val="22"/>
                <w:szCs w:val="22"/>
              </w:rPr>
              <w:t>2.</w:t>
            </w:r>
          </w:p>
        </w:tc>
        <w:tc>
          <w:tcPr>
            <w:tcW w:w="1275" w:type="dxa"/>
          </w:tcPr>
          <w:p w14:paraId="5A4026D9" w14:textId="33D69C4A" w:rsidR="00685FB0" w:rsidRDefault="00685FB0" w:rsidP="6BA8B680">
            <w:pPr>
              <w:jc w:val="both"/>
              <w:rPr>
                <w:sz w:val="22"/>
                <w:szCs w:val="22"/>
              </w:rPr>
            </w:pPr>
            <w:r w:rsidRPr="6BA8B680">
              <w:rPr>
                <w:sz w:val="22"/>
                <w:szCs w:val="22"/>
              </w:rPr>
              <w:t xml:space="preserve">Par. 16, definition </w:t>
            </w:r>
            <w:r w:rsidRPr="6BA8B680">
              <w:rPr>
                <w:sz w:val="22"/>
                <w:szCs w:val="22"/>
              </w:rPr>
              <w:lastRenderedPageBreak/>
              <w:t>of a third-party agreement and an outsourcing agreement</w:t>
            </w:r>
          </w:p>
        </w:tc>
        <w:tc>
          <w:tcPr>
            <w:tcW w:w="11758" w:type="dxa"/>
          </w:tcPr>
          <w:p w14:paraId="41F67CB0" w14:textId="2A3DF655" w:rsidR="00685FB0" w:rsidRDefault="00685FB0" w:rsidP="6BA8B680">
            <w:pPr>
              <w:jc w:val="both"/>
              <w:rPr>
                <w:sz w:val="22"/>
                <w:szCs w:val="22"/>
              </w:rPr>
            </w:pPr>
            <w:r w:rsidRPr="6BA8B680">
              <w:rPr>
                <w:sz w:val="22"/>
                <w:szCs w:val="22"/>
              </w:rPr>
              <w:lastRenderedPageBreak/>
              <w:t>It is unclear what is the key difference between a Third Party Agreement and an Outsourcing Agreement.</w:t>
            </w:r>
          </w:p>
          <w:p w14:paraId="79170E72" w14:textId="71841E0C" w:rsidR="00685FB0" w:rsidRDefault="00685FB0" w:rsidP="6BA8B680">
            <w:pPr>
              <w:jc w:val="both"/>
              <w:rPr>
                <w:sz w:val="22"/>
                <w:szCs w:val="22"/>
              </w:rPr>
            </w:pPr>
            <w:r w:rsidRPr="6BA8B680">
              <w:rPr>
                <w:sz w:val="22"/>
                <w:szCs w:val="22"/>
              </w:rPr>
              <w:t xml:space="preserve">  </w:t>
            </w:r>
          </w:p>
          <w:p w14:paraId="16F273F5" w14:textId="77850AFE" w:rsidR="00685FB0" w:rsidRDefault="00685FB0" w:rsidP="6BA8B680">
            <w:pPr>
              <w:jc w:val="both"/>
              <w:rPr>
                <w:sz w:val="22"/>
                <w:szCs w:val="22"/>
              </w:rPr>
            </w:pPr>
            <w:r w:rsidRPr="6BA8B680">
              <w:rPr>
                <w:sz w:val="22"/>
                <w:szCs w:val="22"/>
              </w:rPr>
              <w:lastRenderedPageBreak/>
              <w:t xml:space="preserve">Reading the definition of "Contract with a third party" and "Outsourcing Agreement" directly, it may be considered that "Contract with a third party" is a broader concept than "Outsourcing Agreement". </w:t>
            </w:r>
          </w:p>
          <w:p w14:paraId="01451A7D" w14:textId="58655A95" w:rsidR="00685FB0" w:rsidRDefault="00685FB0" w:rsidP="6BA8B680">
            <w:pPr>
              <w:jc w:val="both"/>
              <w:rPr>
                <w:sz w:val="22"/>
                <w:szCs w:val="22"/>
              </w:rPr>
            </w:pPr>
          </w:p>
          <w:p w14:paraId="3FFCDC81" w14:textId="7A455357" w:rsidR="00685FB0" w:rsidRDefault="00685FB0" w:rsidP="6BA8B680">
            <w:pPr>
              <w:jc w:val="both"/>
              <w:rPr>
                <w:sz w:val="22"/>
                <w:szCs w:val="22"/>
              </w:rPr>
            </w:pPr>
            <w:r w:rsidRPr="6BA8B680">
              <w:rPr>
                <w:sz w:val="22"/>
                <w:szCs w:val="22"/>
              </w:rPr>
              <w:t>The exclusion of the purchase of goods in point 30 of the draft Guidelines raises the question of what kind of contracts can be "Contracts with third parties" and not be "Outsourcing Agreements".</w:t>
            </w:r>
          </w:p>
          <w:p w14:paraId="4A956D24" w14:textId="46A7D408" w:rsidR="00685FB0" w:rsidRDefault="00685FB0" w:rsidP="6BA8B680">
            <w:pPr>
              <w:jc w:val="both"/>
              <w:rPr>
                <w:sz w:val="22"/>
                <w:szCs w:val="22"/>
              </w:rPr>
            </w:pPr>
            <w:r w:rsidRPr="6BA8B680">
              <w:rPr>
                <w:sz w:val="22"/>
                <w:szCs w:val="22"/>
              </w:rPr>
              <w:t xml:space="preserve"> </w:t>
            </w:r>
          </w:p>
          <w:p w14:paraId="5963112E" w14:textId="265AFA89" w:rsidR="00685FB0" w:rsidRDefault="00685FB0" w:rsidP="6BA8B680">
            <w:pPr>
              <w:jc w:val="both"/>
              <w:rPr>
                <w:sz w:val="22"/>
                <w:szCs w:val="22"/>
              </w:rPr>
            </w:pPr>
            <w:r w:rsidRPr="6BA8B680">
              <w:rPr>
                <w:sz w:val="22"/>
                <w:szCs w:val="22"/>
              </w:rPr>
              <w:t>The identification of the above-mentioned difference is important from the perspective of the need to identify the "Agreements with third parties" referred to in point 30. If it is possible to equate "Agreements with third parties" and "Outsourcing Agreement" (at the level of suppliers), then it could be assumed that the identification of EBA outsourcing agreements, performed by financial entities at the time of entry into force of the EBA Guidelines on Outsourcing, addresses the required need for the identification of "Agreements with third parties" referred to in point 30 and saves financial entities a lot of work.</w:t>
            </w:r>
          </w:p>
        </w:tc>
        <w:tc>
          <w:tcPr>
            <w:tcW w:w="3969" w:type="dxa"/>
          </w:tcPr>
          <w:p w14:paraId="5BF202CB" w14:textId="11E7EF1E" w:rsidR="00685FB0" w:rsidRDefault="00685FB0" w:rsidP="6BA8B680">
            <w:pPr>
              <w:jc w:val="both"/>
              <w:rPr>
                <w:sz w:val="22"/>
                <w:szCs w:val="22"/>
              </w:rPr>
            </w:pPr>
            <w:r w:rsidRPr="6BA8B680">
              <w:rPr>
                <w:sz w:val="22"/>
                <w:szCs w:val="22"/>
              </w:rPr>
              <w:lastRenderedPageBreak/>
              <w:t xml:space="preserve">It is suggested to: </w:t>
            </w:r>
          </w:p>
          <w:p w14:paraId="5DB1528B" w14:textId="59987FAA" w:rsidR="00685FB0" w:rsidRDefault="00685FB0" w:rsidP="6BA8B680">
            <w:pPr>
              <w:pStyle w:val="ListParagraph"/>
              <w:numPr>
                <w:ilvl w:val="0"/>
                <w:numId w:val="2"/>
              </w:numPr>
              <w:jc w:val="both"/>
              <w:rPr>
                <w:sz w:val="22"/>
                <w:szCs w:val="22"/>
              </w:rPr>
            </w:pPr>
            <w:r w:rsidRPr="6BA8B680">
              <w:rPr>
                <w:sz w:val="22"/>
                <w:szCs w:val="22"/>
              </w:rPr>
              <w:lastRenderedPageBreak/>
              <w:t xml:space="preserve"> establish ancillary criteria for the assessment of functions within a financial institution's activities, taking into account the extended scope of the guidelines.</w:t>
            </w:r>
          </w:p>
          <w:p w14:paraId="3358EE99" w14:textId="7EEEBD4C" w:rsidR="00685FB0" w:rsidRDefault="00685FB0" w:rsidP="6BA8B680">
            <w:pPr>
              <w:pStyle w:val="ListParagraph"/>
              <w:numPr>
                <w:ilvl w:val="0"/>
                <w:numId w:val="2"/>
              </w:numPr>
              <w:jc w:val="both"/>
            </w:pPr>
            <w:r w:rsidRPr="6BA8B680">
              <w:rPr>
                <w:sz w:val="22"/>
                <w:szCs w:val="22"/>
              </w:rPr>
              <w:t xml:space="preserve">  develop common sector-wide ancillary criteria that would help establish a practice for differentiating between an outsourcing agreement and a third-party arrangement (not being at the same time an outsourcing arrangement.</w:t>
            </w:r>
          </w:p>
        </w:tc>
      </w:tr>
      <w:tr w:rsidR="00685FB0" w14:paraId="2AA60AE3" w14:textId="77777777" w:rsidTr="00685FB0">
        <w:trPr>
          <w:trHeight w:val="300"/>
        </w:trPr>
        <w:tc>
          <w:tcPr>
            <w:tcW w:w="570" w:type="dxa"/>
            <w:shd w:val="clear" w:color="auto" w:fill="E8E8E8" w:themeFill="background2"/>
          </w:tcPr>
          <w:p w14:paraId="4237778A" w14:textId="4AD1694D" w:rsidR="00685FB0" w:rsidRDefault="00685FB0" w:rsidP="6BA8B680">
            <w:pPr>
              <w:jc w:val="both"/>
              <w:rPr>
                <w:sz w:val="22"/>
                <w:szCs w:val="22"/>
              </w:rPr>
            </w:pPr>
            <w:r w:rsidRPr="6BA8B680">
              <w:rPr>
                <w:sz w:val="22"/>
                <w:szCs w:val="22"/>
              </w:rPr>
              <w:lastRenderedPageBreak/>
              <w:t>3.</w:t>
            </w:r>
          </w:p>
        </w:tc>
        <w:tc>
          <w:tcPr>
            <w:tcW w:w="1275" w:type="dxa"/>
          </w:tcPr>
          <w:p w14:paraId="69C74440" w14:textId="2742E823" w:rsidR="00685FB0" w:rsidRDefault="00685FB0" w:rsidP="6BA8B680">
            <w:pPr>
              <w:jc w:val="both"/>
              <w:rPr>
                <w:sz w:val="22"/>
                <w:szCs w:val="22"/>
              </w:rPr>
            </w:pPr>
            <w:r w:rsidRPr="6BA8B680">
              <w:rPr>
                <w:sz w:val="22"/>
                <w:szCs w:val="22"/>
              </w:rPr>
              <w:t>Par. 7</w:t>
            </w:r>
          </w:p>
        </w:tc>
        <w:tc>
          <w:tcPr>
            <w:tcW w:w="11758" w:type="dxa"/>
          </w:tcPr>
          <w:p w14:paraId="03B21345" w14:textId="5094CA7C" w:rsidR="00685FB0" w:rsidRDefault="00685FB0" w:rsidP="6BA8B680">
            <w:pPr>
              <w:jc w:val="both"/>
              <w:rPr>
                <w:sz w:val="22"/>
                <w:szCs w:val="22"/>
              </w:rPr>
            </w:pPr>
            <w:r w:rsidRPr="6BA8B680">
              <w:rPr>
                <w:sz w:val="22"/>
                <w:szCs w:val="22"/>
              </w:rPr>
              <w:t>It is unclear whether in a situation where the contract includes ICT Services and (simultaneously) other functions that would otherwise be undertaken by the  financial entity itself, the DORA regime and the draft Guidelines should be applied, or only DORA.</w:t>
            </w:r>
          </w:p>
        </w:tc>
        <w:tc>
          <w:tcPr>
            <w:tcW w:w="3969" w:type="dxa"/>
          </w:tcPr>
          <w:p w14:paraId="475E734D" w14:textId="53FB99EA" w:rsidR="00685FB0" w:rsidRDefault="00685FB0" w:rsidP="6BA8B680">
            <w:pPr>
              <w:jc w:val="both"/>
              <w:rPr>
                <w:sz w:val="22"/>
                <w:szCs w:val="22"/>
              </w:rPr>
            </w:pPr>
            <w:r w:rsidRPr="6BA8B680">
              <w:rPr>
                <w:sz w:val="22"/>
                <w:szCs w:val="22"/>
              </w:rPr>
              <w:t xml:space="preserve">It is suggested to:  </w:t>
            </w:r>
          </w:p>
          <w:p w14:paraId="49D255F3" w14:textId="4C754D0F" w:rsidR="00685FB0" w:rsidRDefault="00685FB0" w:rsidP="6BA8B680">
            <w:pPr>
              <w:pStyle w:val="ListParagraph"/>
              <w:numPr>
                <w:ilvl w:val="0"/>
                <w:numId w:val="6"/>
              </w:numPr>
              <w:jc w:val="both"/>
            </w:pPr>
            <w:r w:rsidRPr="6BA8B680">
              <w:rPr>
                <w:sz w:val="22"/>
                <w:szCs w:val="22"/>
              </w:rPr>
              <w:t xml:space="preserve">establish precise conflict rules between the scope of the respective regulations,  </w:t>
            </w:r>
          </w:p>
          <w:p w14:paraId="768D15B3" w14:textId="53F8426A" w:rsidR="00685FB0" w:rsidRDefault="00685FB0" w:rsidP="6BA8B680">
            <w:pPr>
              <w:pStyle w:val="ListParagraph"/>
              <w:numPr>
                <w:ilvl w:val="0"/>
                <w:numId w:val="6"/>
              </w:numPr>
              <w:jc w:val="both"/>
              <w:rPr>
                <w:sz w:val="22"/>
                <w:szCs w:val="22"/>
              </w:rPr>
            </w:pPr>
            <w:r w:rsidRPr="6BA8B680">
              <w:rPr>
                <w:sz w:val="22"/>
                <w:szCs w:val="22"/>
              </w:rPr>
              <w:t xml:space="preserve">develop clear principles and requirements for the register of arrangements with third parties, as well as specific guidelines to </w:t>
            </w:r>
            <w:proofErr w:type="spellStart"/>
            <w:r w:rsidRPr="6BA8B680">
              <w:rPr>
                <w:sz w:val="22"/>
                <w:szCs w:val="22"/>
              </w:rPr>
              <w:t>standardise</w:t>
            </w:r>
            <w:proofErr w:type="spellEnd"/>
            <w:r w:rsidRPr="6BA8B680">
              <w:rPr>
                <w:sz w:val="22"/>
                <w:szCs w:val="22"/>
              </w:rPr>
              <w:t xml:space="preserve"> it with the register maintained for the purposes of the DORA Regulation.  </w:t>
            </w:r>
          </w:p>
        </w:tc>
      </w:tr>
      <w:tr w:rsidR="00685FB0" w14:paraId="5159519A" w14:textId="77777777" w:rsidTr="00685FB0">
        <w:trPr>
          <w:trHeight w:val="300"/>
        </w:trPr>
        <w:tc>
          <w:tcPr>
            <w:tcW w:w="570" w:type="dxa"/>
            <w:shd w:val="clear" w:color="auto" w:fill="E8E8E8" w:themeFill="background2"/>
          </w:tcPr>
          <w:p w14:paraId="6EF6269F" w14:textId="400B0DE1" w:rsidR="00685FB0" w:rsidRDefault="00685FB0" w:rsidP="6BA8B680">
            <w:pPr>
              <w:jc w:val="both"/>
              <w:rPr>
                <w:sz w:val="22"/>
                <w:szCs w:val="22"/>
              </w:rPr>
            </w:pPr>
            <w:r w:rsidRPr="6BA8B680">
              <w:rPr>
                <w:sz w:val="22"/>
                <w:szCs w:val="22"/>
              </w:rPr>
              <w:t>4.</w:t>
            </w:r>
          </w:p>
        </w:tc>
        <w:tc>
          <w:tcPr>
            <w:tcW w:w="1275" w:type="dxa"/>
          </w:tcPr>
          <w:p w14:paraId="694AB79E" w14:textId="281A74B1" w:rsidR="00685FB0" w:rsidRDefault="00685FB0" w:rsidP="6BA8B680">
            <w:pPr>
              <w:jc w:val="both"/>
              <w:rPr>
                <w:sz w:val="22"/>
                <w:szCs w:val="22"/>
              </w:rPr>
            </w:pPr>
            <w:r w:rsidRPr="6BA8B680">
              <w:rPr>
                <w:sz w:val="22"/>
                <w:szCs w:val="22"/>
              </w:rPr>
              <w:t>N/A</w:t>
            </w:r>
          </w:p>
        </w:tc>
        <w:tc>
          <w:tcPr>
            <w:tcW w:w="11758" w:type="dxa"/>
          </w:tcPr>
          <w:p w14:paraId="3250D538" w14:textId="2D36C642" w:rsidR="00685FB0" w:rsidRDefault="00685FB0" w:rsidP="6BA8B680">
            <w:pPr>
              <w:jc w:val="both"/>
              <w:rPr>
                <w:sz w:val="22"/>
                <w:szCs w:val="22"/>
              </w:rPr>
            </w:pPr>
            <w:r w:rsidRPr="6BA8B680">
              <w:rPr>
                <w:sz w:val="22"/>
                <w:szCs w:val="22"/>
              </w:rPr>
              <w:t xml:space="preserve">The Polish language version of the draft Guidelines is needed due to the legitimacy of the change of nomenclature resulting from the EBA Guidelines 2019 in the internal documentation for, for example, </w:t>
            </w:r>
            <w:r w:rsidRPr="6BA8B680">
              <w:rPr>
                <w:i/>
                <w:iCs/>
                <w:sz w:val="22"/>
                <w:szCs w:val="22"/>
              </w:rPr>
              <w:t>Third-party arrangement, Third-party service provider</w:t>
            </w:r>
            <w:r w:rsidRPr="6BA8B680">
              <w:rPr>
                <w:sz w:val="22"/>
                <w:szCs w:val="22"/>
              </w:rPr>
              <w:t>.</w:t>
            </w:r>
          </w:p>
        </w:tc>
        <w:tc>
          <w:tcPr>
            <w:tcW w:w="3969" w:type="dxa"/>
          </w:tcPr>
          <w:p w14:paraId="39F79FE3" w14:textId="021BF3D1" w:rsidR="00685FB0" w:rsidRDefault="00685FB0" w:rsidP="6BA8B680">
            <w:pPr>
              <w:jc w:val="both"/>
              <w:rPr>
                <w:sz w:val="22"/>
                <w:szCs w:val="22"/>
              </w:rPr>
            </w:pPr>
            <w:r w:rsidRPr="6BA8B680">
              <w:rPr>
                <w:sz w:val="22"/>
                <w:szCs w:val="22"/>
              </w:rPr>
              <w:t>It is anticipated that EBA:</w:t>
            </w:r>
          </w:p>
          <w:p w14:paraId="3A67BA3E" w14:textId="5EFDE349" w:rsidR="00685FB0" w:rsidRDefault="00685FB0" w:rsidP="6BA8B680">
            <w:pPr>
              <w:pStyle w:val="ListParagraph"/>
              <w:numPr>
                <w:ilvl w:val="0"/>
                <w:numId w:val="5"/>
              </w:numPr>
              <w:jc w:val="both"/>
            </w:pPr>
            <w:r w:rsidRPr="6BA8B680">
              <w:rPr>
                <w:sz w:val="22"/>
                <w:szCs w:val="22"/>
              </w:rPr>
              <w:t>prioritizes publication of officially translated draft and final Guidelines into EU Member States’ languages;</w:t>
            </w:r>
          </w:p>
        </w:tc>
      </w:tr>
      <w:tr w:rsidR="00685FB0" w14:paraId="569EEDEF" w14:textId="77777777" w:rsidTr="00685FB0">
        <w:trPr>
          <w:trHeight w:val="300"/>
        </w:trPr>
        <w:tc>
          <w:tcPr>
            <w:tcW w:w="570" w:type="dxa"/>
            <w:shd w:val="clear" w:color="auto" w:fill="E8E8E8" w:themeFill="background2"/>
          </w:tcPr>
          <w:p w14:paraId="32B884BB" w14:textId="5A5D70A7" w:rsidR="00685FB0" w:rsidRDefault="00685FB0" w:rsidP="6BA8B680">
            <w:pPr>
              <w:jc w:val="both"/>
              <w:rPr>
                <w:sz w:val="22"/>
                <w:szCs w:val="22"/>
              </w:rPr>
            </w:pPr>
            <w:r w:rsidRPr="6BA8B680">
              <w:rPr>
                <w:sz w:val="22"/>
                <w:szCs w:val="22"/>
              </w:rPr>
              <w:t>5.</w:t>
            </w:r>
          </w:p>
        </w:tc>
        <w:tc>
          <w:tcPr>
            <w:tcW w:w="1275" w:type="dxa"/>
          </w:tcPr>
          <w:p w14:paraId="1C7D1856" w14:textId="7DF10E53" w:rsidR="00685FB0" w:rsidRDefault="00685FB0" w:rsidP="6BA8B680">
            <w:pPr>
              <w:jc w:val="both"/>
              <w:rPr>
                <w:sz w:val="22"/>
                <w:szCs w:val="22"/>
              </w:rPr>
            </w:pPr>
            <w:r w:rsidRPr="6BA8B680">
              <w:rPr>
                <w:sz w:val="22"/>
                <w:szCs w:val="22"/>
              </w:rPr>
              <w:t>Par. 7</w:t>
            </w:r>
          </w:p>
        </w:tc>
        <w:tc>
          <w:tcPr>
            <w:tcW w:w="11758" w:type="dxa"/>
          </w:tcPr>
          <w:p w14:paraId="5F2AA472" w14:textId="79ED8E75" w:rsidR="00685FB0" w:rsidRDefault="00685FB0" w:rsidP="6BA8B680">
            <w:pPr>
              <w:jc w:val="both"/>
              <w:rPr>
                <w:sz w:val="22"/>
                <w:szCs w:val="22"/>
              </w:rPr>
            </w:pPr>
            <w:r w:rsidRPr="6BA8B680">
              <w:rPr>
                <w:sz w:val="22"/>
                <w:szCs w:val="22"/>
              </w:rPr>
              <w:t>It is unclear whether, in a situation where there is an ICT Service in the contract, which is simultaneously provided in a repetitive or continuous manner and constitutes a function that would otherwise be undertaken by the financial entity itself, the DORA regime and the draft Guidelines, or only DORA, should be applied.</w:t>
            </w:r>
          </w:p>
          <w:p w14:paraId="66912A46" w14:textId="246AAF5F" w:rsidR="00685FB0" w:rsidRDefault="00685FB0" w:rsidP="6BA8B680">
            <w:pPr>
              <w:jc w:val="both"/>
              <w:rPr>
                <w:sz w:val="22"/>
                <w:szCs w:val="22"/>
              </w:rPr>
            </w:pPr>
          </w:p>
        </w:tc>
        <w:tc>
          <w:tcPr>
            <w:tcW w:w="3969" w:type="dxa"/>
          </w:tcPr>
          <w:p w14:paraId="1BDE2BCB" w14:textId="3E68B6B7" w:rsidR="00685FB0" w:rsidRDefault="00685FB0" w:rsidP="6BA8B680">
            <w:pPr>
              <w:jc w:val="both"/>
              <w:rPr>
                <w:sz w:val="22"/>
                <w:szCs w:val="22"/>
              </w:rPr>
            </w:pPr>
            <w:r w:rsidRPr="6BA8B680">
              <w:rPr>
                <w:sz w:val="22"/>
                <w:szCs w:val="22"/>
              </w:rPr>
              <w:t xml:space="preserve">It is suggested to: </w:t>
            </w:r>
          </w:p>
          <w:p w14:paraId="73B6879F" w14:textId="67E765F4" w:rsidR="00685FB0" w:rsidRDefault="00685FB0" w:rsidP="6BA8B680">
            <w:pPr>
              <w:pStyle w:val="ListParagraph"/>
              <w:numPr>
                <w:ilvl w:val="0"/>
                <w:numId w:val="11"/>
              </w:numPr>
              <w:jc w:val="both"/>
            </w:pPr>
            <w:r w:rsidRPr="6BA8B680">
              <w:rPr>
                <w:sz w:val="22"/>
                <w:szCs w:val="22"/>
              </w:rPr>
              <w:t xml:space="preserve">establish precise conflict rules between the scope of the respective regulations, </w:t>
            </w:r>
          </w:p>
          <w:p w14:paraId="56667495" w14:textId="663C7310" w:rsidR="00685FB0" w:rsidRDefault="00685FB0" w:rsidP="6BA8B680">
            <w:pPr>
              <w:pStyle w:val="ListParagraph"/>
              <w:numPr>
                <w:ilvl w:val="0"/>
                <w:numId w:val="11"/>
              </w:numPr>
              <w:jc w:val="both"/>
            </w:pPr>
            <w:r w:rsidRPr="6BA8B680">
              <w:rPr>
                <w:sz w:val="22"/>
                <w:szCs w:val="22"/>
              </w:rPr>
              <w:lastRenderedPageBreak/>
              <w:t xml:space="preserve">develop clear principles and requirements for the register of arrangements with third parties, as well as specific guidelines to </w:t>
            </w:r>
            <w:proofErr w:type="spellStart"/>
            <w:r w:rsidRPr="6BA8B680">
              <w:rPr>
                <w:sz w:val="22"/>
                <w:szCs w:val="22"/>
              </w:rPr>
              <w:t>standardise</w:t>
            </w:r>
            <w:proofErr w:type="spellEnd"/>
            <w:r w:rsidRPr="6BA8B680">
              <w:rPr>
                <w:sz w:val="22"/>
                <w:szCs w:val="22"/>
              </w:rPr>
              <w:t xml:space="preserve"> it with the register maintained for the purposes of the DORA Regulation.</w:t>
            </w:r>
          </w:p>
          <w:p w14:paraId="344534C3" w14:textId="16D780CC" w:rsidR="00685FB0" w:rsidRDefault="00685FB0" w:rsidP="6BA8B680">
            <w:pPr>
              <w:jc w:val="both"/>
              <w:rPr>
                <w:sz w:val="22"/>
                <w:szCs w:val="22"/>
              </w:rPr>
            </w:pPr>
          </w:p>
        </w:tc>
      </w:tr>
      <w:tr w:rsidR="00685FB0" w14:paraId="188934DB" w14:textId="77777777" w:rsidTr="00685FB0">
        <w:trPr>
          <w:trHeight w:val="300"/>
        </w:trPr>
        <w:tc>
          <w:tcPr>
            <w:tcW w:w="570" w:type="dxa"/>
            <w:shd w:val="clear" w:color="auto" w:fill="E8E8E8" w:themeFill="background2"/>
          </w:tcPr>
          <w:p w14:paraId="4A6694F4" w14:textId="274DD1AE" w:rsidR="00685FB0" w:rsidRDefault="00685FB0" w:rsidP="6BA8B680">
            <w:pPr>
              <w:jc w:val="both"/>
              <w:rPr>
                <w:sz w:val="22"/>
                <w:szCs w:val="22"/>
              </w:rPr>
            </w:pPr>
            <w:r w:rsidRPr="6BA8B680">
              <w:rPr>
                <w:sz w:val="22"/>
                <w:szCs w:val="22"/>
              </w:rPr>
              <w:lastRenderedPageBreak/>
              <w:t xml:space="preserve">6. </w:t>
            </w:r>
          </w:p>
        </w:tc>
        <w:tc>
          <w:tcPr>
            <w:tcW w:w="1275" w:type="dxa"/>
          </w:tcPr>
          <w:p w14:paraId="0CCA1F32" w14:textId="3F42F0E9" w:rsidR="00685FB0" w:rsidRDefault="00685FB0" w:rsidP="6BA8B680">
            <w:pPr>
              <w:jc w:val="both"/>
              <w:rPr>
                <w:sz w:val="22"/>
                <w:szCs w:val="22"/>
              </w:rPr>
            </w:pPr>
            <w:r w:rsidRPr="6BA8B680">
              <w:rPr>
                <w:sz w:val="22"/>
                <w:szCs w:val="22"/>
              </w:rPr>
              <w:t>N/A</w:t>
            </w:r>
          </w:p>
        </w:tc>
        <w:tc>
          <w:tcPr>
            <w:tcW w:w="11758" w:type="dxa"/>
          </w:tcPr>
          <w:p w14:paraId="4027FF6D" w14:textId="624A20D2" w:rsidR="00685FB0" w:rsidRDefault="00685FB0" w:rsidP="6BA8B680">
            <w:pPr>
              <w:jc w:val="both"/>
              <w:rPr>
                <w:sz w:val="22"/>
                <w:szCs w:val="22"/>
              </w:rPr>
            </w:pPr>
            <w:r w:rsidRPr="6BA8B680">
              <w:rPr>
                <w:sz w:val="22"/>
                <w:szCs w:val="22"/>
              </w:rPr>
              <w:t>Given the definition of third-party arrangement: “means an arrangement of any form between a financial entity and a third-party service provider, including intragroup third-party service providers, for the provision of one or more functions to the financial entity”, it remains unclear whether the new provisions of the Guidelines on the classification of a contract with a third-party service provider (TPSP) will continue to take into account the condition whether the activities to be the subject of the Order could be performed by the Bank.</w:t>
            </w:r>
          </w:p>
          <w:p w14:paraId="74295683" w14:textId="1616B8CA" w:rsidR="00685FB0" w:rsidRDefault="00685FB0" w:rsidP="6BA8B680">
            <w:pPr>
              <w:jc w:val="both"/>
              <w:rPr>
                <w:sz w:val="22"/>
                <w:szCs w:val="22"/>
              </w:rPr>
            </w:pPr>
            <w:r w:rsidRPr="6BA8B680">
              <w:rPr>
                <w:sz w:val="22"/>
                <w:szCs w:val="22"/>
              </w:rPr>
              <w:t>Up until present, it has been a decisive condition for whether financial institutions are dealing with outsourcing activities. The real difference between TPA and outsourcing is very difficult to detect.</w:t>
            </w:r>
          </w:p>
        </w:tc>
        <w:tc>
          <w:tcPr>
            <w:tcW w:w="3969" w:type="dxa"/>
          </w:tcPr>
          <w:p w14:paraId="5607A318" w14:textId="4B06B168" w:rsidR="00685FB0" w:rsidRDefault="00685FB0" w:rsidP="6BA8B680">
            <w:pPr>
              <w:jc w:val="both"/>
              <w:rPr>
                <w:sz w:val="22"/>
                <w:szCs w:val="22"/>
              </w:rPr>
            </w:pPr>
            <w:r w:rsidRPr="6BA8B680">
              <w:rPr>
                <w:sz w:val="22"/>
                <w:szCs w:val="22"/>
              </w:rPr>
              <w:t>Either a closed TPA catalog is needed, or a solution that will allow outsourcing agreements to be explicitly distinguished from TPAs, e.g. the high level of risk determined by the bank for this relationship.</w:t>
            </w:r>
          </w:p>
        </w:tc>
      </w:tr>
      <w:tr w:rsidR="00685FB0" w14:paraId="1FB6D2C2" w14:textId="77777777" w:rsidTr="00685FB0">
        <w:trPr>
          <w:trHeight w:val="300"/>
        </w:trPr>
        <w:tc>
          <w:tcPr>
            <w:tcW w:w="570" w:type="dxa"/>
            <w:shd w:val="clear" w:color="auto" w:fill="E8E8E8" w:themeFill="background2"/>
          </w:tcPr>
          <w:p w14:paraId="55030BBD" w14:textId="52457423" w:rsidR="00685FB0" w:rsidRDefault="00685FB0" w:rsidP="6BA8B680">
            <w:pPr>
              <w:jc w:val="both"/>
              <w:rPr>
                <w:sz w:val="22"/>
                <w:szCs w:val="22"/>
              </w:rPr>
            </w:pPr>
            <w:r w:rsidRPr="6BA8B680">
              <w:rPr>
                <w:sz w:val="22"/>
                <w:szCs w:val="22"/>
              </w:rPr>
              <w:t>7.</w:t>
            </w:r>
          </w:p>
        </w:tc>
        <w:tc>
          <w:tcPr>
            <w:tcW w:w="1275" w:type="dxa"/>
          </w:tcPr>
          <w:p w14:paraId="358FB0FE" w14:textId="54E20D26" w:rsidR="00685FB0" w:rsidRDefault="00685FB0" w:rsidP="6BA8B680">
            <w:pPr>
              <w:jc w:val="both"/>
              <w:rPr>
                <w:sz w:val="22"/>
                <w:szCs w:val="22"/>
              </w:rPr>
            </w:pPr>
            <w:r w:rsidRPr="6BA8B680">
              <w:rPr>
                <w:sz w:val="22"/>
                <w:szCs w:val="22"/>
              </w:rPr>
              <w:t>Par. 32b, 32d</w:t>
            </w:r>
          </w:p>
          <w:p w14:paraId="614C2BDD" w14:textId="29D2FF6F" w:rsidR="00685FB0" w:rsidRDefault="00685FB0" w:rsidP="6BA8B680">
            <w:pPr>
              <w:jc w:val="both"/>
              <w:rPr>
                <w:sz w:val="22"/>
                <w:szCs w:val="22"/>
              </w:rPr>
            </w:pPr>
          </w:p>
        </w:tc>
        <w:tc>
          <w:tcPr>
            <w:tcW w:w="11758" w:type="dxa"/>
          </w:tcPr>
          <w:p w14:paraId="0AA5F29B" w14:textId="02700BEF" w:rsidR="00685FB0" w:rsidRDefault="00685FB0" w:rsidP="6BA8B680">
            <w:pPr>
              <w:jc w:val="both"/>
              <w:rPr>
                <w:sz w:val="22"/>
                <w:szCs w:val="22"/>
              </w:rPr>
            </w:pPr>
            <w:r w:rsidRPr="6BA8B680">
              <w:rPr>
                <w:sz w:val="22"/>
                <w:szCs w:val="22"/>
              </w:rPr>
              <w:t>Efforts should be made to restore the scope of the white list to the one currently in the EBA Outsourcing Guidelines of 2019, i.e. in particular;</w:t>
            </w:r>
          </w:p>
          <w:p w14:paraId="0BBF8ACD" w14:textId="281DC44A" w:rsidR="00685FB0" w:rsidRDefault="00685FB0" w:rsidP="6BA8B680">
            <w:pPr>
              <w:jc w:val="both"/>
              <w:rPr>
                <w:sz w:val="22"/>
                <w:szCs w:val="22"/>
              </w:rPr>
            </w:pPr>
            <w:r w:rsidRPr="6BA8B680">
              <w:rPr>
                <w:sz w:val="22"/>
                <w:szCs w:val="22"/>
              </w:rPr>
              <w:t xml:space="preserve"> </w:t>
            </w:r>
          </w:p>
          <w:p w14:paraId="7A1DD7AA" w14:textId="5816F223" w:rsidR="00685FB0" w:rsidRDefault="00685FB0" w:rsidP="6BA8B680">
            <w:pPr>
              <w:jc w:val="both"/>
              <w:rPr>
                <w:sz w:val="22"/>
                <w:szCs w:val="22"/>
              </w:rPr>
            </w:pPr>
            <w:r w:rsidRPr="6BA8B680">
              <w:rPr>
                <w:sz w:val="22"/>
                <w:szCs w:val="22"/>
              </w:rPr>
              <w:t>(a) restore market information services,</w:t>
            </w:r>
          </w:p>
          <w:p w14:paraId="32DE55CD" w14:textId="153BA72F" w:rsidR="00685FB0" w:rsidRDefault="00685FB0" w:rsidP="6BA8B680">
            <w:pPr>
              <w:jc w:val="both"/>
              <w:rPr>
                <w:sz w:val="22"/>
                <w:szCs w:val="22"/>
              </w:rPr>
            </w:pPr>
            <w:r w:rsidRPr="6BA8B680">
              <w:rPr>
                <w:sz w:val="22"/>
                <w:szCs w:val="22"/>
              </w:rPr>
              <w:t xml:space="preserve"> </w:t>
            </w:r>
          </w:p>
          <w:p w14:paraId="4D3C7C2A" w14:textId="4BE0D0E2" w:rsidR="00685FB0" w:rsidRDefault="00685FB0" w:rsidP="6BA8B680">
            <w:pPr>
              <w:jc w:val="both"/>
              <w:rPr>
                <w:sz w:val="22"/>
                <w:szCs w:val="22"/>
              </w:rPr>
            </w:pPr>
            <w:r w:rsidRPr="6BA8B680">
              <w:rPr>
                <w:sz w:val="22"/>
                <w:szCs w:val="22"/>
              </w:rPr>
              <w:t>(b) add local providers of such services, in particular operators of payment schemes (not cards) in addition to "global network infrastructure (e.g. Visa and Mastercard)". The same applies to the exception in point 32 d of 'global financial communications infrastructure subject to the supervision of competent authorities'. There is no reason to discriminate against local payment scheme operators as their activities are subject to appropriate regulations and supervision. Ergo, point 32b should refer to global and local network infrastructure, and from point 32d – the word "global" should be deleted</w:t>
            </w:r>
          </w:p>
          <w:p w14:paraId="12D3C4F7" w14:textId="558DC1C7" w:rsidR="00685FB0" w:rsidRDefault="00685FB0" w:rsidP="6BA8B680">
            <w:pPr>
              <w:jc w:val="both"/>
              <w:rPr>
                <w:sz w:val="22"/>
                <w:szCs w:val="22"/>
              </w:rPr>
            </w:pPr>
            <w:r w:rsidRPr="6BA8B680">
              <w:rPr>
                <w:sz w:val="22"/>
                <w:szCs w:val="22"/>
              </w:rPr>
              <w:t xml:space="preserve"> </w:t>
            </w:r>
          </w:p>
          <w:p w14:paraId="0CCBD799" w14:textId="4C548261" w:rsidR="00685FB0" w:rsidRDefault="00685FB0" w:rsidP="6BA8B680">
            <w:pPr>
              <w:jc w:val="both"/>
              <w:rPr>
                <w:sz w:val="22"/>
                <w:szCs w:val="22"/>
              </w:rPr>
            </w:pPr>
            <w:r w:rsidRPr="6BA8B680">
              <w:rPr>
                <w:sz w:val="22"/>
                <w:szCs w:val="22"/>
              </w:rPr>
              <w:t>(c) maintain the existing exception for "acquisition of services that would not otherwise be provided by an institution or payment institution" in place of point 32f, which provides for an exception for services that do not have a material impact on the institution's risk exposures or operational resilience. The new wording of the exception (with the same catalogue of examples) introduces two new elements of an eminently evaluative (discretionary) nature (impact that is not materially affected by risk or is not materially significant for operational resilience), while the current white list of the 2019 EBA Guidelines accurately described the group of services (in particular point 28g) and allowed for the formation of a certain practice in relation to services</w:t>
            </w:r>
          </w:p>
        </w:tc>
        <w:tc>
          <w:tcPr>
            <w:tcW w:w="3969" w:type="dxa"/>
          </w:tcPr>
          <w:p w14:paraId="1E5EDBBE" w14:textId="05FDBF4A" w:rsidR="00685FB0" w:rsidRDefault="00685FB0" w:rsidP="6BA8B680">
            <w:pPr>
              <w:jc w:val="both"/>
              <w:rPr>
                <w:sz w:val="22"/>
                <w:szCs w:val="22"/>
              </w:rPr>
            </w:pPr>
            <w:r w:rsidRPr="6BA8B680">
              <w:rPr>
                <w:sz w:val="22"/>
                <w:szCs w:val="22"/>
              </w:rPr>
              <w:t xml:space="preserve">We recommend the following amendments to the exclusions listed in paragraph 32 of the draft Guidelines: </w:t>
            </w:r>
          </w:p>
          <w:p w14:paraId="47C21D29" w14:textId="2C18328F" w:rsidR="00685FB0" w:rsidRDefault="00685FB0" w:rsidP="6BA8B680">
            <w:pPr>
              <w:pStyle w:val="ListParagraph"/>
              <w:numPr>
                <w:ilvl w:val="0"/>
                <w:numId w:val="10"/>
              </w:numPr>
              <w:jc w:val="both"/>
            </w:pPr>
            <w:r w:rsidRPr="6BA8B680">
              <w:rPr>
                <w:sz w:val="22"/>
                <w:szCs w:val="22"/>
              </w:rPr>
              <w:t xml:space="preserve">Reinstate the objective, market-established criterion for the exclusion of acquired services as specified in the 2019 Guidelines, namely the financial institution’s inability to provide those services internally; </w:t>
            </w:r>
          </w:p>
          <w:p w14:paraId="7EC72686" w14:textId="1277A058" w:rsidR="00685FB0" w:rsidRDefault="00685FB0" w:rsidP="6BA8B680">
            <w:pPr>
              <w:pStyle w:val="ListParagraph"/>
              <w:numPr>
                <w:ilvl w:val="0"/>
                <w:numId w:val="10"/>
              </w:numPr>
              <w:jc w:val="both"/>
            </w:pPr>
            <w:r w:rsidRPr="6BA8B680">
              <w:rPr>
                <w:sz w:val="22"/>
                <w:szCs w:val="22"/>
              </w:rPr>
              <w:t xml:space="preserve">Expand the list of exclusions within the Guidelines to include local providers of market data services (paragraph 32d) and network infrastructure (paragraph 32b). </w:t>
            </w:r>
          </w:p>
          <w:p w14:paraId="65AA7A98" w14:textId="11C6646B" w:rsidR="00685FB0" w:rsidRDefault="00685FB0" w:rsidP="6BA8B680">
            <w:pPr>
              <w:jc w:val="both"/>
            </w:pPr>
            <w:r w:rsidRPr="6BA8B680">
              <w:rPr>
                <w:i/>
                <w:iCs/>
                <w:sz w:val="22"/>
                <w:szCs w:val="22"/>
              </w:rPr>
              <w:t>Alternatively:</w:t>
            </w:r>
          </w:p>
          <w:p w14:paraId="6610B6C7" w14:textId="397A6BEB" w:rsidR="00685FB0" w:rsidRDefault="00685FB0" w:rsidP="6BA8B680">
            <w:pPr>
              <w:pStyle w:val="ListParagraph"/>
              <w:numPr>
                <w:ilvl w:val="0"/>
                <w:numId w:val="7"/>
              </w:numPr>
              <w:jc w:val="both"/>
              <w:rPr>
                <w:sz w:val="22"/>
                <w:szCs w:val="22"/>
              </w:rPr>
            </w:pPr>
            <w:r w:rsidRPr="6BA8B680">
              <w:rPr>
                <w:sz w:val="22"/>
                <w:szCs w:val="22"/>
              </w:rPr>
              <w:t xml:space="preserve">Aligning exclusion criteria for acquired services with DORA </w:t>
            </w:r>
            <w:r w:rsidRPr="6BA8B680">
              <w:rPr>
                <w:sz w:val="22"/>
                <w:szCs w:val="22"/>
              </w:rPr>
              <w:lastRenderedPageBreak/>
              <w:t xml:space="preserve">Regulation requirements minimizes inconsistent application. </w:t>
            </w:r>
          </w:p>
          <w:p w14:paraId="1BFF9497" w14:textId="54F7AF30" w:rsidR="00685FB0" w:rsidRDefault="00685FB0" w:rsidP="6BA8B680">
            <w:pPr>
              <w:pStyle w:val="ListParagraph"/>
              <w:numPr>
                <w:ilvl w:val="0"/>
                <w:numId w:val="7"/>
              </w:numPr>
              <w:jc w:val="both"/>
            </w:pPr>
            <w:r w:rsidRPr="6BA8B680">
              <w:rPr>
                <w:sz w:val="22"/>
                <w:szCs w:val="22"/>
              </w:rPr>
              <w:t>Removing the global activity criterion from paragraphs 32b and 32d prevents discrimination against local market data or network infrastructure providers by ensuring the Guidelines also apply to those of domestic importance.</w:t>
            </w:r>
          </w:p>
        </w:tc>
      </w:tr>
      <w:tr w:rsidR="00685FB0" w14:paraId="02FFFF68" w14:textId="77777777" w:rsidTr="00685FB0">
        <w:trPr>
          <w:trHeight w:val="300"/>
        </w:trPr>
        <w:tc>
          <w:tcPr>
            <w:tcW w:w="570" w:type="dxa"/>
            <w:shd w:val="clear" w:color="auto" w:fill="E8E8E8" w:themeFill="background2"/>
          </w:tcPr>
          <w:p w14:paraId="38861F9E" w14:textId="22E2498F" w:rsidR="00685FB0" w:rsidRDefault="00685FB0" w:rsidP="6BA8B680">
            <w:pPr>
              <w:jc w:val="both"/>
              <w:rPr>
                <w:sz w:val="22"/>
                <w:szCs w:val="22"/>
              </w:rPr>
            </w:pPr>
            <w:r w:rsidRPr="6BA8B680">
              <w:rPr>
                <w:sz w:val="22"/>
                <w:szCs w:val="22"/>
              </w:rPr>
              <w:lastRenderedPageBreak/>
              <w:t>8.</w:t>
            </w:r>
          </w:p>
        </w:tc>
        <w:tc>
          <w:tcPr>
            <w:tcW w:w="1275" w:type="dxa"/>
          </w:tcPr>
          <w:p w14:paraId="264B5E41" w14:textId="101CA386" w:rsidR="00685FB0" w:rsidRDefault="00685FB0" w:rsidP="6BA8B680">
            <w:pPr>
              <w:jc w:val="both"/>
              <w:rPr>
                <w:sz w:val="22"/>
                <w:szCs w:val="22"/>
              </w:rPr>
            </w:pPr>
            <w:r w:rsidRPr="6BA8B680">
              <w:rPr>
                <w:sz w:val="22"/>
                <w:szCs w:val="22"/>
              </w:rPr>
              <w:t>Par. 31, footnote 42</w:t>
            </w:r>
          </w:p>
          <w:p w14:paraId="0D477D5B" w14:textId="162767CC" w:rsidR="00685FB0" w:rsidRDefault="00685FB0" w:rsidP="6BA8B680">
            <w:pPr>
              <w:jc w:val="both"/>
              <w:rPr>
                <w:sz w:val="22"/>
                <w:szCs w:val="22"/>
              </w:rPr>
            </w:pPr>
          </w:p>
        </w:tc>
        <w:tc>
          <w:tcPr>
            <w:tcW w:w="11758" w:type="dxa"/>
          </w:tcPr>
          <w:p w14:paraId="07B5AC25" w14:textId="50DA1246" w:rsidR="00685FB0" w:rsidRDefault="00685FB0" w:rsidP="6BA8B680">
            <w:pPr>
              <w:jc w:val="both"/>
              <w:rPr>
                <w:sz w:val="22"/>
                <w:szCs w:val="22"/>
              </w:rPr>
            </w:pPr>
            <w:r w:rsidRPr="6BA8B680">
              <w:rPr>
                <w:sz w:val="22"/>
                <w:szCs w:val="22"/>
              </w:rPr>
              <w:t>It is unclear whether, in a situation where ICT Services supporting critical or important functions of the Bank are provided under the agreement, as well as  regulated outsourcing (banking or investment), apart from the DORA regime, the regime of the  draft Guidelines should not be applied.</w:t>
            </w:r>
          </w:p>
          <w:p w14:paraId="6A3CF5B9" w14:textId="33CA7EAD" w:rsidR="00685FB0" w:rsidRDefault="00685FB0" w:rsidP="6BA8B680">
            <w:pPr>
              <w:jc w:val="both"/>
              <w:rPr>
                <w:sz w:val="22"/>
                <w:szCs w:val="22"/>
              </w:rPr>
            </w:pPr>
          </w:p>
        </w:tc>
        <w:tc>
          <w:tcPr>
            <w:tcW w:w="3969" w:type="dxa"/>
          </w:tcPr>
          <w:p w14:paraId="5A8DC97F" w14:textId="3C17EF79" w:rsidR="00685FB0" w:rsidRDefault="00685FB0" w:rsidP="6BA8B680">
            <w:pPr>
              <w:jc w:val="both"/>
              <w:rPr>
                <w:sz w:val="22"/>
                <w:szCs w:val="22"/>
              </w:rPr>
            </w:pPr>
            <w:r w:rsidRPr="6BA8B680">
              <w:rPr>
                <w:sz w:val="22"/>
                <w:szCs w:val="22"/>
              </w:rPr>
              <w:t xml:space="preserve">It is suggested to:  </w:t>
            </w:r>
          </w:p>
          <w:p w14:paraId="6E35F099" w14:textId="4C754D0F" w:rsidR="00685FB0" w:rsidRDefault="00685FB0" w:rsidP="6BA8B680">
            <w:pPr>
              <w:pStyle w:val="ListParagraph"/>
              <w:numPr>
                <w:ilvl w:val="0"/>
                <w:numId w:val="6"/>
              </w:numPr>
              <w:jc w:val="both"/>
            </w:pPr>
            <w:r w:rsidRPr="6BA8B680">
              <w:rPr>
                <w:sz w:val="22"/>
                <w:szCs w:val="22"/>
              </w:rPr>
              <w:t xml:space="preserve">establish precise conflict rules between the scope of the respective regulations,  </w:t>
            </w:r>
          </w:p>
          <w:p w14:paraId="1C58E77F" w14:textId="23BC0534" w:rsidR="00685FB0" w:rsidRDefault="00685FB0" w:rsidP="6BA8B680">
            <w:pPr>
              <w:pStyle w:val="ListParagraph"/>
              <w:numPr>
                <w:ilvl w:val="0"/>
                <w:numId w:val="6"/>
              </w:numPr>
              <w:jc w:val="both"/>
              <w:rPr>
                <w:sz w:val="22"/>
                <w:szCs w:val="22"/>
              </w:rPr>
            </w:pPr>
            <w:r w:rsidRPr="6BA8B680">
              <w:rPr>
                <w:sz w:val="22"/>
                <w:szCs w:val="22"/>
              </w:rPr>
              <w:t xml:space="preserve">develop clear principles and requirements for the register of arrangements with third parties, as well as specific guidelines to </w:t>
            </w:r>
            <w:proofErr w:type="spellStart"/>
            <w:r w:rsidRPr="6BA8B680">
              <w:rPr>
                <w:sz w:val="22"/>
                <w:szCs w:val="22"/>
              </w:rPr>
              <w:t>standardise</w:t>
            </w:r>
            <w:proofErr w:type="spellEnd"/>
            <w:r w:rsidRPr="6BA8B680">
              <w:rPr>
                <w:sz w:val="22"/>
                <w:szCs w:val="22"/>
              </w:rPr>
              <w:t xml:space="preserve"> it with the register maintained for the purposes of the DORA Regulation.  </w:t>
            </w:r>
          </w:p>
        </w:tc>
      </w:tr>
      <w:tr w:rsidR="00685FB0" w14:paraId="0D3DCA24" w14:textId="77777777" w:rsidTr="00685FB0">
        <w:trPr>
          <w:trHeight w:val="300"/>
        </w:trPr>
        <w:tc>
          <w:tcPr>
            <w:tcW w:w="570" w:type="dxa"/>
            <w:shd w:val="clear" w:color="auto" w:fill="E8E8E8" w:themeFill="background2"/>
          </w:tcPr>
          <w:p w14:paraId="7CE1B1C1" w14:textId="4B5CD3C9" w:rsidR="00685FB0" w:rsidRDefault="00685FB0" w:rsidP="6BA8B680">
            <w:pPr>
              <w:jc w:val="both"/>
              <w:rPr>
                <w:sz w:val="22"/>
                <w:szCs w:val="22"/>
              </w:rPr>
            </w:pPr>
            <w:r w:rsidRPr="6BA8B680">
              <w:rPr>
                <w:sz w:val="22"/>
                <w:szCs w:val="22"/>
              </w:rPr>
              <w:t>9.</w:t>
            </w:r>
          </w:p>
        </w:tc>
        <w:tc>
          <w:tcPr>
            <w:tcW w:w="1275" w:type="dxa"/>
          </w:tcPr>
          <w:p w14:paraId="7ABEEEAB" w14:textId="16020217" w:rsidR="00685FB0" w:rsidRDefault="00685FB0" w:rsidP="6BA8B680">
            <w:pPr>
              <w:jc w:val="both"/>
              <w:rPr>
                <w:sz w:val="22"/>
                <w:szCs w:val="22"/>
              </w:rPr>
            </w:pPr>
            <w:r w:rsidRPr="6BA8B680">
              <w:rPr>
                <w:sz w:val="22"/>
                <w:szCs w:val="22"/>
              </w:rPr>
              <w:t>Par. 31, footnote 42</w:t>
            </w:r>
          </w:p>
        </w:tc>
        <w:tc>
          <w:tcPr>
            <w:tcW w:w="11758" w:type="dxa"/>
          </w:tcPr>
          <w:p w14:paraId="56168324" w14:textId="432E7349" w:rsidR="00685FB0" w:rsidRDefault="00685FB0" w:rsidP="6BA8B680">
            <w:pPr>
              <w:jc w:val="both"/>
              <w:rPr>
                <w:sz w:val="22"/>
                <w:szCs w:val="22"/>
              </w:rPr>
            </w:pPr>
            <w:r w:rsidRPr="6BA8B680">
              <w:rPr>
                <w:sz w:val="22"/>
                <w:szCs w:val="22"/>
              </w:rPr>
              <w:t>It is unclear whether, in a situation where the contract provides functions that would otherwise be undertaken by the financial entity itself (EBA outsourcing), which support critical or important functions, and at the same time ICT Services supporting critical or important functions of the Bank are provided, the DORA regime should always be applied and the draft Guidelines regime should not be applied.</w:t>
            </w:r>
          </w:p>
        </w:tc>
        <w:tc>
          <w:tcPr>
            <w:tcW w:w="3969" w:type="dxa"/>
          </w:tcPr>
          <w:p w14:paraId="62A3EF96" w14:textId="56541C00" w:rsidR="00685FB0" w:rsidRDefault="00685FB0" w:rsidP="6BA8B680">
            <w:pPr>
              <w:jc w:val="both"/>
              <w:rPr>
                <w:sz w:val="22"/>
                <w:szCs w:val="22"/>
              </w:rPr>
            </w:pPr>
            <w:r w:rsidRPr="6BA8B680">
              <w:rPr>
                <w:sz w:val="22"/>
                <w:szCs w:val="22"/>
              </w:rPr>
              <w:t xml:space="preserve">It is suggested to:  </w:t>
            </w:r>
          </w:p>
          <w:p w14:paraId="226C60E5" w14:textId="4C754D0F" w:rsidR="00685FB0" w:rsidRDefault="00685FB0" w:rsidP="6BA8B680">
            <w:pPr>
              <w:pStyle w:val="ListParagraph"/>
              <w:numPr>
                <w:ilvl w:val="0"/>
                <w:numId w:val="6"/>
              </w:numPr>
              <w:jc w:val="both"/>
            </w:pPr>
            <w:r w:rsidRPr="6BA8B680">
              <w:rPr>
                <w:sz w:val="22"/>
                <w:szCs w:val="22"/>
              </w:rPr>
              <w:t xml:space="preserve">establish precise conflict rules between the scope of the respective regulations,  </w:t>
            </w:r>
          </w:p>
          <w:p w14:paraId="1AFBCC1B" w14:textId="08358B9A" w:rsidR="00685FB0" w:rsidRDefault="00685FB0" w:rsidP="6BA8B680">
            <w:pPr>
              <w:pStyle w:val="ListParagraph"/>
              <w:numPr>
                <w:ilvl w:val="0"/>
                <w:numId w:val="6"/>
              </w:numPr>
              <w:jc w:val="both"/>
              <w:rPr>
                <w:sz w:val="22"/>
                <w:szCs w:val="22"/>
              </w:rPr>
            </w:pPr>
            <w:r w:rsidRPr="6BA8B680">
              <w:rPr>
                <w:sz w:val="22"/>
                <w:szCs w:val="22"/>
              </w:rPr>
              <w:t xml:space="preserve">develop clear principles and requirements for the register of arrangements with third parties, as well as specific guidelines to </w:t>
            </w:r>
            <w:proofErr w:type="spellStart"/>
            <w:r w:rsidRPr="6BA8B680">
              <w:rPr>
                <w:sz w:val="22"/>
                <w:szCs w:val="22"/>
              </w:rPr>
              <w:t>standardise</w:t>
            </w:r>
            <w:proofErr w:type="spellEnd"/>
            <w:r w:rsidRPr="6BA8B680">
              <w:rPr>
                <w:sz w:val="22"/>
                <w:szCs w:val="22"/>
              </w:rPr>
              <w:t xml:space="preserve"> it with the register maintained for the purposes of the DORA Regulation.  </w:t>
            </w:r>
          </w:p>
        </w:tc>
      </w:tr>
      <w:tr w:rsidR="00685FB0" w14:paraId="17A06890" w14:textId="77777777" w:rsidTr="00685FB0">
        <w:trPr>
          <w:trHeight w:val="300"/>
        </w:trPr>
        <w:tc>
          <w:tcPr>
            <w:tcW w:w="570" w:type="dxa"/>
            <w:shd w:val="clear" w:color="auto" w:fill="E8E8E8" w:themeFill="background2"/>
          </w:tcPr>
          <w:p w14:paraId="41B41320" w14:textId="10535817" w:rsidR="00685FB0" w:rsidRDefault="00685FB0" w:rsidP="6BA8B680">
            <w:pPr>
              <w:jc w:val="both"/>
              <w:rPr>
                <w:sz w:val="22"/>
                <w:szCs w:val="22"/>
              </w:rPr>
            </w:pPr>
            <w:r w:rsidRPr="6BA8B680">
              <w:rPr>
                <w:sz w:val="22"/>
                <w:szCs w:val="22"/>
              </w:rPr>
              <w:t>10.</w:t>
            </w:r>
          </w:p>
        </w:tc>
        <w:tc>
          <w:tcPr>
            <w:tcW w:w="1275" w:type="dxa"/>
          </w:tcPr>
          <w:p w14:paraId="6AB32D2B" w14:textId="43A30C81" w:rsidR="00685FB0" w:rsidRDefault="00685FB0" w:rsidP="6BA8B680">
            <w:pPr>
              <w:jc w:val="both"/>
              <w:rPr>
                <w:sz w:val="22"/>
                <w:szCs w:val="22"/>
              </w:rPr>
            </w:pPr>
            <w:r w:rsidRPr="6BA8B680">
              <w:rPr>
                <w:sz w:val="22"/>
                <w:szCs w:val="22"/>
              </w:rPr>
              <w:t>Par. 38, 39 and 50</w:t>
            </w:r>
          </w:p>
          <w:p w14:paraId="745FB50C" w14:textId="1556F06D" w:rsidR="00685FB0" w:rsidRDefault="00685FB0" w:rsidP="6BA8B680">
            <w:pPr>
              <w:jc w:val="both"/>
              <w:rPr>
                <w:sz w:val="22"/>
                <w:szCs w:val="22"/>
              </w:rPr>
            </w:pPr>
          </w:p>
        </w:tc>
        <w:tc>
          <w:tcPr>
            <w:tcW w:w="11758" w:type="dxa"/>
          </w:tcPr>
          <w:p w14:paraId="56ACB08D" w14:textId="5F486AFC" w:rsidR="00685FB0" w:rsidRDefault="00685FB0" w:rsidP="6BA8B680">
            <w:pPr>
              <w:jc w:val="both"/>
              <w:rPr>
                <w:sz w:val="22"/>
                <w:szCs w:val="22"/>
              </w:rPr>
            </w:pPr>
            <w:r w:rsidRPr="6BA8B680">
              <w:rPr>
                <w:sz w:val="22"/>
                <w:szCs w:val="22"/>
              </w:rPr>
              <w:t>It raises doubts about the manner in which policies and strategies for managing risk related to third parties are implemented and prepared in terms of whether:</w:t>
            </w:r>
          </w:p>
          <w:p w14:paraId="208987DE" w14:textId="6AC8C486" w:rsidR="00685FB0" w:rsidRDefault="00685FB0" w:rsidP="6BA8B680">
            <w:pPr>
              <w:pStyle w:val="ListParagraph"/>
              <w:numPr>
                <w:ilvl w:val="0"/>
                <w:numId w:val="14"/>
              </w:numPr>
              <w:jc w:val="both"/>
              <w:rPr>
                <w:sz w:val="22"/>
                <w:szCs w:val="22"/>
              </w:rPr>
            </w:pPr>
            <w:r w:rsidRPr="6BA8B680">
              <w:rPr>
                <w:sz w:val="22"/>
                <w:szCs w:val="22"/>
              </w:rPr>
              <w:lastRenderedPageBreak/>
              <w:t>in connection with the content of the guidelines, it should be assumed that the Bank should have a single policy for managing external suppliers, both concerning ICT services and other agreements with external entities, and thus the ownership of  such a policy in the Bank's structure should be assigned to one unit in the Bank;</w:t>
            </w:r>
          </w:p>
          <w:p w14:paraId="15466B87" w14:textId="094B4BCD" w:rsidR="00685FB0" w:rsidRDefault="00685FB0" w:rsidP="6BA8B680">
            <w:pPr>
              <w:pStyle w:val="ListParagraph"/>
              <w:numPr>
                <w:ilvl w:val="0"/>
                <w:numId w:val="14"/>
              </w:numPr>
              <w:jc w:val="both"/>
              <w:rPr>
                <w:sz w:val="22"/>
                <w:szCs w:val="22"/>
              </w:rPr>
            </w:pPr>
            <w:r w:rsidRPr="6BA8B680">
              <w:rPr>
                <w:sz w:val="22"/>
                <w:szCs w:val="22"/>
              </w:rPr>
              <w:t>it will be possible, on the basis of the guidelines, for a situation in which various internal units of the Bank, supervised by other members of the Management Board, are responsible for ICT contracts and other agreements.</w:t>
            </w:r>
          </w:p>
          <w:p w14:paraId="42C9B419" w14:textId="5BFB5ED3" w:rsidR="00685FB0" w:rsidRDefault="00685FB0" w:rsidP="6BA8B680">
            <w:pPr>
              <w:jc w:val="both"/>
              <w:rPr>
                <w:sz w:val="22"/>
                <w:szCs w:val="22"/>
              </w:rPr>
            </w:pPr>
          </w:p>
        </w:tc>
        <w:tc>
          <w:tcPr>
            <w:tcW w:w="3969" w:type="dxa"/>
          </w:tcPr>
          <w:p w14:paraId="41FC125B" w14:textId="5048100F" w:rsidR="00685FB0" w:rsidRDefault="00685FB0" w:rsidP="6BA8B680">
            <w:pPr>
              <w:jc w:val="both"/>
            </w:pPr>
            <w:r w:rsidRPr="6BA8B680">
              <w:rPr>
                <w:sz w:val="22"/>
                <w:szCs w:val="22"/>
              </w:rPr>
              <w:lastRenderedPageBreak/>
              <w:t xml:space="preserve">N/A </w:t>
            </w:r>
          </w:p>
        </w:tc>
      </w:tr>
      <w:tr w:rsidR="00685FB0" w14:paraId="3F51909B" w14:textId="77777777" w:rsidTr="00685FB0">
        <w:trPr>
          <w:trHeight w:val="300"/>
        </w:trPr>
        <w:tc>
          <w:tcPr>
            <w:tcW w:w="570" w:type="dxa"/>
            <w:shd w:val="clear" w:color="auto" w:fill="E8E8E8" w:themeFill="background2"/>
          </w:tcPr>
          <w:p w14:paraId="7674A9D3" w14:textId="0E6C27BE" w:rsidR="00685FB0" w:rsidRDefault="00685FB0" w:rsidP="6BA8B680">
            <w:pPr>
              <w:jc w:val="both"/>
              <w:rPr>
                <w:sz w:val="22"/>
                <w:szCs w:val="22"/>
              </w:rPr>
            </w:pPr>
            <w:r w:rsidRPr="6BA8B680">
              <w:rPr>
                <w:sz w:val="22"/>
                <w:szCs w:val="22"/>
              </w:rPr>
              <w:t>11.</w:t>
            </w:r>
          </w:p>
        </w:tc>
        <w:tc>
          <w:tcPr>
            <w:tcW w:w="1275" w:type="dxa"/>
            <w:shd w:val="clear" w:color="auto" w:fill="FFFFFF" w:themeFill="background1"/>
          </w:tcPr>
          <w:p w14:paraId="710E769C" w14:textId="0C76B1D6" w:rsidR="00685FB0" w:rsidRDefault="00685FB0" w:rsidP="6BA8B680">
            <w:pPr>
              <w:jc w:val="both"/>
              <w:rPr>
                <w:sz w:val="22"/>
                <w:szCs w:val="22"/>
              </w:rPr>
            </w:pPr>
            <w:r w:rsidRPr="6BA8B680">
              <w:rPr>
                <w:sz w:val="22"/>
                <w:szCs w:val="22"/>
              </w:rPr>
              <w:t>Par. 48</w:t>
            </w:r>
          </w:p>
        </w:tc>
        <w:tc>
          <w:tcPr>
            <w:tcW w:w="11758" w:type="dxa"/>
          </w:tcPr>
          <w:p w14:paraId="07AB0D30" w14:textId="58FBD62E" w:rsidR="00685FB0" w:rsidRDefault="00685FB0" w:rsidP="6BA8B680">
            <w:pPr>
              <w:jc w:val="both"/>
              <w:rPr>
                <w:sz w:val="22"/>
                <w:szCs w:val="22"/>
              </w:rPr>
            </w:pPr>
            <w:r w:rsidRPr="6BA8B680">
              <w:rPr>
                <w:sz w:val="22"/>
                <w:szCs w:val="22"/>
              </w:rPr>
              <w:t>The obligation to review the policy (third-party risk management) on an annual basis in paragraph 48 is redundant; a frequency of every 3 years or as necessary would be appropriate. It would be advisable to leave the institutions the choice of whether they want to combine the outsourcing policy (introduced according to the EBA guidelines on outsourcing from 2019) with the third-party risk management policy and have one document or two separate ones. Bearing this in mind, both solutions should be acceptable (this is important in the case of countries such as Poland, where national regulations distinguish a group of outsourcing agreements as subject to special supervision).</w:t>
            </w:r>
          </w:p>
        </w:tc>
        <w:tc>
          <w:tcPr>
            <w:tcW w:w="3969" w:type="dxa"/>
          </w:tcPr>
          <w:p w14:paraId="345D6460" w14:textId="7D452A64" w:rsidR="00685FB0" w:rsidRDefault="00685FB0" w:rsidP="6BA8B680">
            <w:pPr>
              <w:jc w:val="both"/>
              <w:rPr>
                <w:sz w:val="22"/>
                <w:szCs w:val="22"/>
              </w:rPr>
            </w:pPr>
            <w:r w:rsidRPr="6BA8B680">
              <w:rPr>
                <w:sz w:val="22"/>
                <w:szCs w:val="22"/>
              </w:rPr>
              <w:t>It is anticipated that:</w:t>
            </w:r>
          </w:p>
          <w:p w14:paraId="140084BF" w14:textId="40694AF8" w:rsidR="00685FB0" w:rsidRDefault="00685FB0" w:rsidP="6BA8B680">
            <w:pPr>
              <w:pStyle w:val="ListParagraph"/>
              <w:numPr>
                <w:ilvl w:val="0"/>
                <w:numId w:val="4"/>
              </w:numPr>
              <w:jc w:val="both"/>
              <w:rPr>
                <w:sz w:val="22"/>
                <w:szCs w:val="22"/>
              </w:rPr>
            </w:pPr>
            <w:r w:rsidRPr="6BA8B680">
              <w:rPr>
                <w:sz w:val="22"/>
                <w:szCs w:val="22"/>
              </w:rPr>
              <w:t>EBA will explicitly reconfirm the approach on the policy as presented in 'Summary of responses to the consultation and of the EBA's analysis', and</w:t>
            </w:r>
          </w:p>
          <w:p w14:paraId="6358B16A" w14:textId="58563E94" w:rsidR="00685FB0" w:rsidRDefault="00685FB0" w:rsidP="6BA8B680">
            <w:pPr>
              <w:pStyle w:val="ListParagraph"/>
              <w:numPr>
                <w:ilvl w:val="0"/>
                <w:numId w:val="4"/>
              </w:numPr>
              <w:jc w:val="both"/>
            </w:pPr>
            <w:r w:rsidRPr="6BA8B680">
              <w:rPr>
                <w:sz w:val="22"/>
                <w:szCs w:val="22"/>
              </w:rPr>
              <w:t>financial institutions can decide whether they want to combine the outsourcing policy (introduced according to the EBA guidelines on outsourcing from 2019) with the third-party risk management policy and have one document or two separate ones</w:t>
            </w:r>
          </w:p>
        </w:tc>
      </w:tr>
      <w:tr w:rsidR="00685FB0" w14:paraId="10C45A9D" w14:textId="77777777" w:rsidTr="00685FB0">
        <w:trPr>
          <w:trHeight w:val="300"/>
        </w:trPr>
        <w:tc>
          <w:tcPr>
            <w:tcW w:w="570" w:type="dxa"/>
            <w:shd w:val="clear" w:color="auto" w:fill="E8E8E8" w:themeFill="background2"/>
          </w:tcPr>
          <w:p w14:paraId="34A3DDCA" w14:textId="1F2A5C8D" w:rsidR="00685FB0" w:rsidRDefault="00685FB0" w:rsidP="6BA8B680">
            <w:pPr>
              <w:jc w:val="both"/>
              <w:rPr>
                <w:sz w:val="22"/>
                <w:szCs w:val="22"/>
              </w:rPr>
            </w:pPr>
            <w:r w:rsidRPr="6BA8B680">
              <w:rPr>
                <w:sz w:val="22"/>
                <w:szCs w:val="22"/>
              </w:rPr>
              <w:t>12.</w:t>
            </w:r>
          </w:p>
        </w:tc>
        <w:tc>
          <w:tcPr>
            <w:tcW w:w="1275" w:type="dxa"/>
          </w:tcPr>
          <w:p w14:paraId="78A419EA" w14:textId="0A6E55A9" w:rsidR="00685FB0" w:rsidRDefault="00685FB0" w:rsidP="6BA8B680">
            <w:pPr>
              <w:jc w:val="both"/>
              <w:rPr>
                <w:sz w:val="22"/>
                <w:szCs w:val="22"/>
              </w:rPr>
            </w:pPr>
            <w:r w:rsidRPr="6BA8B680">
              <w:rPr>
                <w:sz w:val="22"/>
                <w:szCs w:val="22"/>
              </w:rPr>
              <w:t>N/A</w:t>
            </w:r>
          </w:p>
        </w:tc>
        <w:tc>
          <w:tcPr>
            <w:tcW w:w="11758" w:type="dxa"/>
          </w:tcPr>
          <w:p w14:paraId="426AF85E" w14:textId="6061E3AB" w:rsidR="00685FB0" w:rsidRDefault="00685FB0" w:rsidP="6BA8B680">
            <w:pPr>
              <w:jc w:val="both"/>
              <w:rPr>
                <w:sz w:val="22"/>
                <w:szCs w:val="22"/>
              </w:rPr>
            </w:pPr>
            <w:r w:rsidRPr="6BA8B680">
              <w:rPr>
                <w:sz w:val="22"/>
                <w:szCs w:val="22"/>
              </w:rPr>
              <w:t>It is unclear whether only essential subcontractors are to be included in the EBA Register, i.e. when the function to be subcontracted is critical or important as such, and thus whether it is not necessary to identify the entire chain of subcontractors in contracts supporting critical or important functions.</w:t>
            </w:r>
          </w:p>
        </w:tc>
        <w:tc>
          <w:tcPr>
            <w:tcW w:w="3969" w:type="dxa"/>
            <w:shd w:val="clear" w:color="auto" w:fill="FFFFFF" w:themeFill="background1"/>
          </w:tcPr>
          <w:p w14:paraId="335DDB7E" w14:textId="56016FAD" w:rsidR="00685FB0" w:rsidRDefault="00685FB0" w:rsidP="6BA8B680">
            <w:pPr>
              <w:jc w:val="both"/>
              <w:rPr>
                <w:sz w:val="22"/>
                <w:szCs w:val="22"/>
              </w:rPr>
            </w:pPr>
            <w:r w:rsidRPr="6BA8B680">
              <w:rPr>
                <w:sz w:val="22"/>
                <w:szCs w:val="22"/>
              </w:rPr>
              <w:t>Clarified in the Draft Guidelines, paragraph 64.</w:t>
            </w:r>
          </w:p>
          <w:p w14:paraId="70345D2B" w14:textId="30419726" w:rsidR="00685FB0" w:rsidRDefault="00685FB0" w:rsidP="6BA8B680">
            <w:pPr>
              <w:jc w:val="both"/>
              <w:rPr>
                <w:sz w:val="22"/>
                <w:szCs w:val="22"/>
              </w:rPr>
            </w:pPr>
          </w:p>
        </w:tc>
      </w:tr>
      <w:tr w:rsidR="00685FB0" w14:paraId="1208C8AF" w14:textId="77777777" w:rsidTr="00685FB0">
        <w:trPr>
          <w:trHeight w:val="300"/>
        </w:trPr>
        <w:tc>
          <w:tcPr>
            <w:tcW w:w="570" w:type="dxa"/>
            <w:shd w:val="clear" w:color="auto" w:fill="E8E8E8" w:themeFill="background2"/>
          </w:tcPr>
          <w:p w14:paraId="629FDF69" w14:textId="6BFF1C1F" w:rsidR="00685FB0" w:rsidRDefault="00685FB0" w:rsidP="6BA8B680">
            <w:pPr>
              <w:jc w:val="both"/>
              <w:rPr>
                <w:sz w:val="22"/>
                <w:szCs w:val="22"/>
              </w:rPr>
            </w:pPr>
            <w:r w:rsidRPr="6BA8B680">
              <w:rPr>
                <w:sz w:val="22"/>
                <w:szCs w:val="22"/>
              </w:rPr>
              <w:t>13.</w:t>
            </w:r>
          </w:p>
        </w:tc>
        <w:tc>
          <w:tcPr>
            <w:tcW w:w="1275" w:type="dxa"/>
            <w:shd w:val="clear" w:color="auto" w:fill="FFFFFF" w:themeFill="background1"/>
          </w:tcPr>
          <w:p w14:paraId="17C854B0" w14:textId="5B54B1D4" w:rsidR="00685FB0" w:rsidRDefault="00685FB0" w:rsidP="6BA8B680">
            <w:pPr>
              <w:jc w:val="both"/>
              <w:rPr>
                <w:sz w:val="22"/>
                <w:szCs w:val="22"/>
              </w:rPr>
            </w:pPr>
            <w:r w:rsidRPr="6BA8B680">
              <w:rPr>
                <w:sz w:val="22"/>
                <w:szCs w:val="22"/>
              </w:rPr>
              <w:t>N/A</w:t>
            </w:r>
          </w:p>
        </w:tc>
        <w:tc>
          <w:tcPr>
            <w:tcW w:w="11758" w:type="dxa"/>
          </w:tcPr>
          <w:p w14:paraId="48A6F783" w14:textId="23527FEC" w:rsidR="00685FB0" w:rsidRDefault="00685FB0" w:rsidP="6BA8B680">
            <w:pPr>
              <w:jc w:val="both"/>
              <w:rPr>
                <w:sz w:val="22"/>
                <w:szCs w:val="22"/>
              </w:rPr>
            </w:pPr>
            <w:r w:rsidRPr="6BA8B680">
              <w:rPr>
                <w:sz w:val="22"/>
                <w:szCs w:val="22"/>
              </w:rPr>
              <w:t>The need to provide (e.g. by the PFSA) a tool for sending notifications and a register of EBA agreements, as in the case of DORA.</w:t>
            </w:r>
          </w:p>
        </w:tc>
        <w:tc>
          <w:tcPr>
            <w:tcW w:w="3969" w:type="dxa"/>
            <w:shd w:val="clear" w:color="auto" w:fill="FFFFFF" w:themeFill="background1"/>
          </w:tcPr>
          <w:p w14:paraId="4A8C7A8B" w14:textId="47F0BE6F" w:rsidR="00685FB0" w:rsidRDefault="00685FB0" w:rsidP="6BA8B680">
            <w:pPr>
              <w:jc w:val="both"/>
              <w:rPr>
                <w:sz w:val="22"/>
                <w:szCs w:val="22"/>
              </w:rPr>
            </w:pPr>
            <w:r w:rsidRPr="6BA8B680">
              <w:rPr>
                <w:sz w:val="22"/>
                <w:szCs w:val="22"/>
              </w:rPr>
              <w:t>This request is not to be addressed by EBA but by PFSA thus was excluded in the response to EBA public consultations.</w:t>
            </w:r>
          </w:p>
        </w:tc>
      </w:tr>
      <w:tr w:rsidR="00685FB0" w14:paraId="6B8E1430" w14:textId="77777777" w:rsidTr="00685FB0">
        <w:trPr>
          <w:trHeight w:val="300"/>
        </w:trPr>
        <w:tc>
          <w:tcPr>
            <w:tcW w:w="570" w:type="dxa"/>
            <w:shd w:val="clear" w:color="auto" w:fill="E8E8E8" w:themeFill="background2"/>
          </w:tcPr>
          <w:p w14:paraId="6399142F" w14:textId="7ECA91A5" w:rsidR="00685FB0" w:rsidRDefault="00685FB0" w:rsidP="6BA8B680">
            <w:pPr>
              <w:jc w:val="both"/>
              <w:rPr>
                <w:sz w:val="22"/>
                <w:szCs w:val="22"/>
              </w:rPr>
            </w:pPr>
            <w:r w:rsidRPr="6BA8B680">
              <w:rPr>
                <w:sz w:val="22"/>
                <w:szCs w:val="22"/>
              </w:rPr>
              <w:t>14.</w:t>
            </w:r>
          </w:p>
        </w:tc>
        <w:tc>
          <w:tcPr>
            <w:tcW w:w="1275" w:type="dxa"/>
            <w:shd w:val="clear" w:color="auto" w:fill="FFFFFF" w:themeFill="background1"/>
          </w:tcPr>
          <w:p w14:paraId="357331EA" w14:textId="21D66C4F" w:rsidR="00685FB0" w:rsidRDefault="00685FB0" w:rsidP="6BA8B680">
            <w:pPr>
              <w:jc w:val="both"/>
              <w:rPr>
                <w:sz w:val="22"/>
                <w:szCs w:val="22"/>
              </w:rPr>
            </w:pPr>
            <w:r w:rsidRPr="6BA8B680">
              <w:rPr>
                <w:sz w:val="22"/>
                <w:szCs w:val="22"/>
              </w:rPr>
              <w:t>N/A</w:t>
            </w:r>
          </w:p>
        </w:tc>
        <w:tc>
          <w:tcPr>
            <w:tcW w:w="11758" w:type="dxa"/>
          </w:tcPr>
          <w:p w14:paraId="3CC407AF" w14:textId="0EA6E931" w:rsidR="00685FB0" w:rsidRDefault="00685FB0" w:rsidP="6BA8B680">
            <w:pPr>
              <w:jc w:val="both"/>
              <w:rPr>
                <w:sz w:val="22"/>
                <w:szCs w:val="22"/>
              </w:rPr>
            </w:pPr>
            <w:r w:rsidRPr="6BA8B680">
              <w:rPr>
                <w:sz w:val="22"/>
                <w:szCs w:val="22"/>
              </w:rPr>
              <w:t>The need to create market standards – model contractual clauses in the basic version. A standard from an unquestionable body of unquestionable rank, such as EBA, would strengthen the negotiating position of financial entities in the process of implementing these clauses in contracts with suppliers.</w:t>
            </w:r>
          </w:p>
        </w:tc>
        <w:tc>
          <w:tcPr>
            <w:tcW w:w="3969" w:type="dxa"/>
            <w:shd w:val="clear" w:color="auto" w:fill="FFFFFF" w:themeFill="background1"/>
          </w:tcPr>
          <w:p w14:paraId="1CF8755B" w14:textId="58FBB703" w:rsidR="00685FB0" w:rsidRDefault="00685FB0" w:rsidP="6BA8B680">
            <w:pPr>
              <w:jc w:val="both"/>
              <w:rPr>
                <w:sz w:val="22"/>
                <w:szCs w:val="22"/>
              </w:rPr>
            </w:pPr>
            <w:r w:rsidRPr="6BA8B680">
              <w:rPr>
                <w:sz w:val="22"/>
                <w:szCs w:val="22"/>
              </w:rPr>
              <w:t>It is anticipated that EBA publishes a basic standard contractual clauses.</w:t>
            </w:r>
          </w:p>
        </w:tc>
      </w:tr>
      <w:tr w:rsidR="00685FB0" w14:paraId="7B038CF4" w14:textId="77777777" w:rsidTr="00685FB0">
        <w:trPr>
          <w:trHeight w:val="300"/>
        </w:trPr>
        <w:tc>
          <w:tcPr>
            <w:tcW w:w="570" w:type="dxa"/>
            <w:shd w:val="clear" w:color="auto" w:fill="E8E8E8" w:themeFill="background2"/>
          </w:tcPr>
          <w:p w14:paraId="4345FCFE" w14:textId="11AC3B75" w:rsidR="00685FB0" w:rsidRDefault="00685FB0" w:rsidP="6BA8B680">
            <w:pPr>
              <w:jc w:val="both"/>
              <w:rPr>
                <w:sz w:val="22"/>
                <w:szCs w:val="22"/>
              </w:rPr>
            </w:pPr>
            <w:r w:rsidRPr="6BA8B680">
              <w:rPr>
                <w:sz w:val="22"/>
                <w:szCs w:val="22"/>
              </w:rPr>
              <w:t>15.</w:t>
            </w:r>
          </w:p>
        </w:tc>
        <w:tc>
          <w:tcPr>
            <w:tcW w:w="1275" w:type="dxa"/>
          </w:tcPr>
          <w:p w14:paraId="2DE940D8" w14:textId="6558C545" w:rsidR="00685FB0" w:rsidRDefault="00685FB0" w:rsidP="6BA8B680">
            <w:pPr>
              <w:jc w:val="both"/>
              <w:rPr>
                <w:rFonts w:ascii="Aptos" w:eastAsia="Aptos" w:hAnsi="Aptos" w:cs="Aptos"/>
                <w:color w:val="000000" w:themeColor="text1"/>
                <w:sz w:val="22"/>
                <w:szCs w:val="22"/>
              </w:rPr>
            </w:pPr>
            <w:r w:rsidRPr="6BA8B680">
              <w:rPr>
                <w:rFonts w:ascii="Aptos" w:eastAsia="Aptos" w:hAnsi="Aptos" w:cs="Aptos"/>
                <w:color w:val="000000" w:themeColor="text1"/>
                <w:sz w:val="22"/>
                <w:szCs w:val="22"/>
              </w:rPr>
              <w:t>Par. 47</w:t>
            </w:r>
          </w:p>
        </w:tc>
        <w:tc>
          <w:tcPr>
            <w:tcW w:w="11758" w:type="dxa"/>
          </w:tcPr>
          <w:p w14:paraId="326F0755" w14:textId="70F04FAA" w:rsidR="00685FB0" w:rsidRDefault="00685FB0" w:rsidP="6BA8B680">
            <w:pPr>
              <w:jc w:val="both"/>
              <w:rPr>
                <w:rFonts w:ascii="Aptos" w:eastAsia="Aptos" w:hAnsi="Aptos" w:cs="Aptos"/>
                <w:color w:val="000000" w:themeColor="text1"/>
                <w:sz w:val="22"/>
                <w:szCs w:val="22"/>
              </w:rPr>
            </w:pPr>
            <w:r w:rsidRPr="6BA8B680">
              <w:rPr>
                <w:rFonts w:ascii="Aptos" w:eastAsia="Aptos" w:hAnsi="Aptos" w:cs="Aptos"/>
                <w:color w:val="000000" w:themeColor="text1"/>
                <w:sz w:val="22"/>
                <w:szCs w:val="22"/>
              </w:rPr>
              <w:t xml:space="preserve">The clauses that were required in the 2019 EBA Guidelines only for critical function contracts have become mandatory for all contracts with third-party service providers (TPSPs) in the 2025 version . Contracts for critical or essential functions must additionally include an extended set of clauses. </w:t>
            </w:r>
          </w:p>
          <w:p w14:paraId="4F0E4961" w14:textId="17A4BA9F" w:rsidR="00685FB0" w:rsidRDefault="00685FB0" w:rsidP="6BA8B680">
            <w:pPr>
              <w:jc w:val="both"/>
            </w:pPr>
            <w:r w:rsidRPr="6BA8B680">
              <w:rPr>
                <w:rFonts w:ascii="Aptos" w:eastAsia="Aptos" w:hAnsi="Aptos" w:cs="Aptos"/>
                <w:color w:val="000000" w:themeColor="text1"/>
                <w:sz w:val="22"/>
                <w:szCs w:val="22"/>
              </w:rPr>
              <w:t xml:space="preserve"> </w:t>
            </w:r>
          </w:p>
          <w:p w14:paraId="0636B570" w14:textId="117504C2" w:rsidR="00685FB0" w:rsidRDefault="00685FB0" w:rsidP="6BA8B680">
            <w:pPr>
              <w:jc w:val="both"/>
              <w:rPr>
                <w:rFonts w:ascii="Aptos" w:eastAsia="Aptos" w:hAnsi="Aptos" w:cs="Aptos"/>
                <w:color w:val="000000" w:themeColor="text1"/>
                <w:sz w:val="22"/>
                <w:szCs w:val="22"/>
              </w:rPr>
            </w:pPr>
            <w:r w:rsidRPr="6BA8B680">
              <w:rPr>
                <w:rFonts w:ascii="Aptos" w:eastAsia="Aptos" w:hAnsi="Aptos" w:cs="Aptos"/>
                <w:color w:val="000000" w:themeColor="text1"/>
                <w:sz w:val="22"/>
                <w:szCs w:val="22"/>
              </w:rPr>
              <w:lastRenderedPageBreak/>
              <w:t xml:space="preserve">The change in the provisions in the contracts under DORA (from 2025) and under the EBA Outsourcing Guidelines from 2019 was a negotiating challenge and a huge and time-consuming undertaking for banks and ICT service providers. We must not lose sight of the fact that the implementation of this obligation in TPAs, as "lower tier" entities, often abstractly small, may be an unbearable burden for them.  </w:t>
            </w:r>
          </w:p>
        </w:tc>
        <w:tc>
          <w:tcPr>
            <w:tcW w:w="3969" w:type="dxa"/>
          </w:tcPr>
          <w:p w14:paraId="2E727D0C" w14:textId="33FFD333" w:rsidR="00685FB0" w:rsidRDefault="00685FB0" w:rsidP="6BA8B680">
            <w:pPr>
              <w:jc w:val="both"/>
            </w:pPr>
            <w:r w:rsidRPr="6BA8B680">
              <w:rPr>
                <w:rFonts w:ascii="Aptos" w:eastAsia="Aptos" w:hAnsi="Aptos" w:cs="Aptos"/>
                <w:color w:val="000000" w:themeColor="text1"/>
                <w:sz w:val="22"/>
                <w:szCs w:val="22"/>
              </w:rPr>
              <w:lastRenderedPageBreak/>
              <w:t xml:space="preserve">It is suggested to: </w:t>
            </w:r>
          </w:p>
          <w:p w14:paraId="5341FC49" w14:textId="3E083D52" w:rsidR="00685FB0" w:rsidRDefault="00685FB0" w:rsidP="6BA8B680">
            <w:pPr>
              <w:pStyle w:val="ListParagraph"/>
              <w:numPr>
                <w:ilvl w:val="0"/>
                <w:numId w:val="1"/>
              </w:numPr>
              <w:jc w:val="both"/>
              <w:rPr>
                <w:rFonts w:ascii="Aptos" w:eastAsia="Aptos" w:hAnsi="Aptos" w:cs="Aptos"/>
                <w:color w:val="000000" w:themeColor="text1"/>
                <w:sz w:val="22"/>
                <w:szCs w:val="22"/>
              </w:rPr>
            </w:pPr>
            <w:r w:rsidRPr="6BA8B680">
              <w:rPr>
                <w:rFonts w:ascii="Aptos" w:eastAsia="Aptos" w:hAnsi="Aptos" w:cs="Aptos"/>
                <w:color w:val="000000" w:themeColor="text1"/>
                <w:sz w:val="22"/>
                <w:szCs w:val="22"/>
              </w:rPr>
              <w:t xml:space="preserve">allow financial institutions to determine the appropriate set of </w:t>
            </w:r>
            <w:r w:rsidRPr="6BA8B680">
              <w:rPr>
                <w:rFonts w:ascii="Aptos" w:eastAsia="Aptos" w:hAnsi="Aptos" w:cs="Aptos"/>
                <w:color w:val="000000" w:themeColor="text1"/>
                <w:sz w:val="22"/>
                <w:szCs w:val="22"/>
              </w:rPr>
              <w:lastRenderedPageBreak/>
              <w:t>contractual clauses within a specific contractual relationship.</w:t>
            </w:r>
          </w:p>
          <w:p w14:paraId="6A948135" w14:textId="27962AC6" w:rsidR="00685FB0" w:rsidRDefault="00685FB0" w:rsidP="6BA8B680">
            <w:pPr>
              <w:pStyle w:val="ListParagraph"/>
              <w:numPr>
                <w:ilvl w:val="0"/>
                <w:numId w:val="1"/>
              </w:numPr>
              <w:jc w:val="both"/>
              <w:rPr>
                <w:rFonts w:ascii="Aptos" w:eastAsia="Aptos" w:hAnsi="Aptos" w:cs="Aptos"/>
                <w:color w:val="000000" w:themeColor="text1"/>
              </w:rPr>
            </w:pPr>
            <w:r w:rsidRPr="6BA8B680">
              <w:rPr>
                <w:rFonts w:ascii="Aptos" w:eastAsia="Aptos" w:hAnsi="Aptos" w:cs="Aptos"/>
                <w:color w:val="000000" w:themeColor="text1"/>
                <w:sz w:val="22"/>
                <w:szCs w:val="22"/>
              </w:rPr>
              <w:t>focus the renegotiation approach on a risk-based methodology, ensuring proportionality and efficiency in implementation.</w:t>
            </w:r>
          </w:p>
          <w:p w14:paraId="330A92F6" w14:textId="06555DB8" w:rsidR="00685FB0" w:rsidRDefault="00685FB0" w:rsidP="6BA8B680">
            <w:pPr>
              <w:jc w:val="both"/>
              <w:rPr>
                <w:sz w:val="22"/>
                <w:szCs w:val="22"/>
                <w:highlight w:val="yellow"/>
              </w:rPr>
            </w:pPr>
          </w:p>
        </w:tc>
      </w:tr>
      <w:tr w:rsidR="00685FB0" w14:paraId="4AF26214" w14:textId="77777777" w:rsidTr="00685FB0">
        <w:trPr>
          <w:trHeight w:val="300"/>
        </w:trPr>
        <w:tc>
          <w:tcPr>
            <w:tcW w:w="570" w:type="dxa"/>
            <w:shd w:val="clear" w:color="auto" w:fill="E8E8E8" w:themeFill="background2"/>
          </w:tcPr>
          <w:p w14:paraId="72931A90" w14:textId="34B9EA24" w:rsidR="00685FB0" w:rsidRDefault="00685FB0" w:rsidP="6BA8B680">
            <w:pPr>
              <w:jc w:val="both"/>
              <w:rPr>
                <w:sz w:val="22"/>
                <w:szCs w:val="22"/>
              </w:rPr>
            </w:pPr>
            <w:r w:rsidRPr="6BA8B680">
              <w:rPr>
                <w:sz w:val="22"/>
                <w:szCs w:val="22"/>
              </w:rPr>
              <w:lastRenderedPageBreak/>
              <w:t>16.</w:t>
            </w:r>
          </w:p>
        </w:tc>
        <w:tc>
          <w:tcPr>
            <w:tcW w:w="1275" w:type="dxa"/>
          </w:tcPr>
          <w:p w14:paraId="67DA6750" w14:textId="0AE589AB" w:rsidR="00685FB0" w:rsidRDefault="00685FB0" w:rsidP="6BA8B680">
            <w:pPr>
              <w:jc w:val="both"/>
              <w:rPr>
                <w:sz w:val="22"/>
                <w:szCs w:val="22"/>
              </w:rPr>
            </w:pPr>
            <w:r w:rsidRPr="6BA8B680">
              <w:rPr>
                <w:sz w:val="22"/>
                <w:szCs w:val="22"/>
              </w:rPr>
              <w:t>Par. 63</w:t>
            </w:r>
          </w:p>
          <w:p w14:paraId="7B036013" w14:textId="55D0ACA1" w:rsidR="00685FB0" w:rsidRDefault="00685FB0" w:rsidP="6BA8B680">
            <w:pPr>
              <w:jc w:val="both"/>
              <w:rPr>
                <w:rFonts w:ascii="Aptos" w:eastAsia="Aptos" w:hAnsi="Aptos" w:cs="Aptos"/>
                <w:color w:val="000000" w:themeColor="text1"/>
                <w:sz w:val="22"/>
                <w:szCs w:val="22"/>
              </w:rPr>
            </w:pPr>
          </w:p>
        </w:tc>
        <w:tc>
          <w:tcPr>
            <w:tcW w:w="11758" w:type="dxa"/>
          </w:tcPr>
          <w:p w14:paraId="287988A1" w14:textId="34227497" w:rsidR="00685FB0" w:rsidRDefault="00685FB0" w:rsidP="6BA8B680">
            <w:pPr>
              <w:jc w:val="both"/>
              <w:rPr>
                <w:sz w:val="22"/>
                <w:szCs w:val="22"/>
              </w:rPr>
            </w:pPr>
            <w:r w:rsidRPr="6BA8B680">
              <w:rPr>
                <w:sz w:val="22"/>
                <w:szCs w:val="22"/>
              </w:rPr>
              <w:t xml:space="preserve">Since the draft allows the DORA and non-DORA registers (outsourcing in the broad sense) to be separate (this is a good solution), precise guidelines are needed in which register the contract should be placed under both DORA and the project in question.  </w:t>
            </w:r>
          </w:p>
        </w:tc>
        <w:tc>
          <w:tcPr>
            <w:tcW w:w="3969" w:type="dxa"/>
          </w:tcPr>
          <w:p w14:paraId="01621847" w14:textId="4C22B8BF" w:rsidR="00685FB0" w:rsidRDefault="00685FB0" w:rsidP="6BA8B680">
            <w:pPr>
              <w:jc w:val="both"/>
              <w:rPr>
                <w:sz w:val="22"/>
                <w:szCs w:val="22"/>
              </w:rPr>
            </w:pPr>
            <w:r w:rsidRPr="6BA8B680">
              <w:rPr>
                <w:sz w:val="22"/>
                <w:szCs w:val="22"/>
              </w:rPr>
              <w:t>Precise guidelines are essential to clarify the appropriate registration framework for contracts under both DORA and the present project's scope.</w:t>
            </w:r>
          </w:p>
        </w:tc>
      </w:tr>
      <w:tr w:rsidR="00685FB0" w14:paraId="146C2476" w14:textId="77777777" w:rsidTr="00685FB0">
        <w:trPr>
          <w:trHeight w:val="300"/>
        </w:trPr>
        <w:tc>
          <w:tcPr>
            <w:tcW w:w="570" w:type="dxa"/>
            <w:shd w:val="clear" w:color="auto" w:fill="E8E8E8" w:themeFill="background2"/>
          </w:tcPr>
          <w:p w14:paraId="5029CDA7" w14:textId="6B1EE884" w:rsidR="00685FB0" w:rsidRDefault="00685FB0" w:rsidP="6BA8B680">
            <w:pPr>
              <w:jc w:val="both"/>
              <w:rPr>
                <w:sz w:val="22"/>
                <w:szCs w:val="22"/>
              </w:rPr>
            </w:pPr>
            <w:r w:rsidRPr="6BA8B680">
              <w:rPr>
                <w:sz w:val="22"/>
                <w:szCs w:val="22"/>
              </w:rPr>
              <w:t>17.</w:t>
            </w:r>
          </w:p>
        </w:tc>
        <w:tc>
          <w:tcPr>
            <w:tcW w:w="1275" w:type="dxa"/>
            <w:shd w:val="clear" w:color="auto" w:fill="FFFFFF" w:themeFill="background1"/>
          </w:tcPr>
          <w:p w14:paraId="1402477C" w14:textId="32AF2147" w:rsidR="00685FB0" w:rsidRDefault="00685FB0" w:rsidP="6BA8B680">
            <w:pPr>
              <w:jc w:val="both"/>
              <w:rPr>
                <w:sz w:val="22"/>
                <w:szCs w:val="22"/>
              </w:rPr>
            </w:pPr>
            <w:r w:rsidRPr="6BA8B680">
              <w:rPr>
                <w:sz w:val="22"/>
                <w:szCs w:val="22"/>
              </w:rPr>
              <w:t>Par. 67</w:t>
            </w:r>
          </w:p>
        </w:tc>
        <w:tc>
          <w:tcPr>
            <w:tcW w:w="11758" w:type="dxa"/>
          </w:tcPr>
          <w:p w14:paraId="45A74461" w14:textId="329FC909" w:rsidR="00685FB0" w:rsidRDefault="00685FB0" w:rsidP="6BA8B680">
            <w:pPr>
              <w:jc w:val="both"/>
              <w:rPr>
                <w:sz w:val="22"/>
                <w:szCs w:val="22"/>
              </w:rPr>
            </w:pPr>
            <w:r w:rsidRPr="6BA8B680">
              <w:rPr>
                <w:sz w:val="22"/>
                <w:szCs w:val="22"/>
              </w:rPr>
              <w:t>Too extensive scope of information provided to the supervisory authority in the notification of the intention to enter into a material agreement (supporting critical or material information) or when the agreement becomes material. Point 67 refers to the provisions on the scope of data in the register of contracts, i.e. to points 63 and 64. The information about the planned costs of the contract or the date of the criticality/relevance assessment of the function of the alternative entity is too hard to be estimated at the entry into contractual agreement.</w:t>
            </w:r>
          </w:p>
        </w:tc>
        <w:tc>
          <w:tcPr>
            <w:tcW w:w="3969" w:type="dxa"/>
          </w:tcPr>
          <w:p w14:paraId="4C40EC0D" w14:textId="02AA9FFC" w:rsidR="00685FB0" w:rsidRDefault="00685FB0" w:rsidP="6BA8B680">
            <w:pPr>
              <w:jc w:val="both"/>
              <w:rPr>
                <w:sz w:val="22"/>
                <w:szCs w:val="22"/>
              </w:rPr>
            </w:pPr>
            <w:r w:rsidRPr="6BA8B680">
              <w:rPr>
                <w:sz w:val="22"/>
                <w:szCs w:val="22"/>
              </w:rPr>
              <w:t>The scope of information that should be reported to the supervisory authorities should be limited.</w:t>
            </w:r>
          </w:p>
        </w:tc>
      </w:tr>
      <w:tr w:rsidR="00685FB0" w14:paraId="44896E17" w14:textId="77777777" w:rsidTr="00685FB0">
        <w:trPr>
          <w:trHeight w:val="300"/>
        </w:trPr>
        <w:tc>
          <w:tcPr>
            <w:tcW w:w="570" w:type="dxa"/>
            <w:shd w:val="clear" w:color="auto" w:fill="E8E8E8" w:themeFill="background2"/>
          </w:tcPr>
          <w:p w14:paraId="64C66ED1" w14:textId="79E43669" w:rsidR="00685FB0" w:rsidRDefault="00685FB0" w:rsidP="6BA8B680">
            <w:pPr>
              <w:jc w:val="both"/>
              <w:rPr>
                <w:sz w:val="22"/>
                <w:szCs w:val="22"/>
              </w:rPr>
            </w:pPr>
            <w:r w:rsidRPr="6BA8B680">
              <w:rPr>
                <w:sz w:val="22"/>
                <w:szCs w:val="22"/>
              </w:rPr>
              <w:t>18.</w:t>
            </w:r>
          </w:p>
        </w:tc>
        <w:tc>
          <w:tcPr>
            <w:tcW w:w="1275" w:type="dxa"/>
            <w:shd w:val="clear" w:color="auto" w:fill="FFFFFF" w:themeFill="background1"/>
          </w:tcPr>
          <w:p w14:paraId="26F8CD2E" w14:textId="19570D5D" w:rsidR="00685FB0" w:rsidRDefault="00685FB0" w:rsidP="6BA8B680">
            <w:pPr>
              <w:jc w:val="both"/>
              <w:rPr>
                <w:sz w:val="22"/>
                <w:szCs w:val="22"/>
              </w:rPr>
            </w:pPr>
            <w:r w:rsidRPr="6BA8B680">
              <w:rPr>
                <w:sz w:val="22"/>
                <w:szCs w:val="22"/>
              </w:rPr>
              <w:t>Annex I</w:t>
            </w:r>
          </w:p>
        </w:tc>
        <w:tc>
          <w:tcPr>
            <w:tcW w:w="11758" w:type="dxa"/>
          </w:tcPr>
          <w:p w14:paraId="7F414AB0" w14:textId="213F0F5B" w:rsidR="00685FB0" w:rsidRDefault="00685FB0" w:rsidP="6BA8B680">
            <w:pPr>
              <w:jc w:val="both"/>
              <w:rPr>
                <w:sz w:val="22"/>
                <w:szCs w:val="22"/>
              </w:rPr>
            </w:pPr>
            <w:r w:rsidRPr="6BA8B680">
              <w:rPr>
                <w:sz w:val="22"/>
                <w:szCs w:val="22"/>
              </w:rPr>
              <w:t xml:space="preserve"> The catalogue of functions contained in Appendix I partially coincides with the list of exemptions from point 32 of the draft Guidelines (for example, correspondent banking services are excluded from the scope of the Guidelines, but listed as examples of interbank payment services), which may lead to a contradiction in which a service </w:t>
            </w:r>
            <w:proofErr w:type="spellStart"/>
            <w:r w:rsidRPr="6BA8B680">
              <w:rPr>
                <w:sz w:val="22"/>
                <w:szCs w:val="22"/>
              </w:rPr>
              <w:t>categorised</w:t>
            </w:r>
            <w:proofErr w:type="spellEnd"/>
            <w:r w:rsidRPr="6BA8B680">
              <w:rPr>
                <w:sz w:val="22"/>
                <w:szCs w:val="22"/>
              </w:rPr>
              <w:t xml:space="preserve"> as provided by an external provider will also be excluded from the scope of the Guidelines.  The catalogue of exemptions in point 32 should be aligned with the example list of functions provided by external providers in Annex I so that they represent the disjoint scopes.</w:t>
            </w:r>
          </w:p>
        </w:tc>
        <w:tc>
          <w:tcPr>
            <w:tcW w:w="3969" w:type="dxa"/>
          </w:tcPr>
          <w:p w14:paraId="54C168CF" w14:textId="57295B0C" w:rsidR="00685FB0" w:rsidRDefault="00685FB0" w:rsidP="6BA8B680">
            <w:pPr>
              <w:jc w:val="both"/>
              <w:rPr>
                <w:sz w:val="22"/>
                <w:szCs w:val="22"/>
              </w:rPr>
            </w:pPr>
            <w:r w:rsidRPr="6BA8B680">
              <w:rPr>
                <w:sz w:val="22"/>
                <w:szCs w:val="22"/>
              </w:rPr>
              <w:t>It is necessary to ensure alignment of the exclusions in paragraph 32 with the external supplier functions listed in Annex I. In particular, following amendments to the exclusions listed in paragraph 32 of the draft Guidelines are recommended:</w:t>
            </w:r>
          </w:p>
          <w:p w14:paraId="181F7DBD" w14:textId="07BBF21C" w:rsidR="00685FB0" w:rsidRDefault="00685FB0" w:rsidP="6BA8B680">
            <w:pPr>
              <w:pStyle w:val="ListParagraph"/>
              <w:numPr>
                <w:ilvl w:val="0"/>
                <w:numId w:val="9"/>
              </w:numPr>
              <w:jc w:val="both"/>
            </w:pPr>
            <w:r w:rsidRPr="6BA8B680">
              <w:rPr>
                <w:sz w:val="22"/>
                <w:szCs w:val="22"/>
              </w:rPr>
              <w:t>Clarification that the exclusion regarding correspondent banking services under the Guidelines does not encompass interbank payments</w:t>
            </w:r>
          </w:p>
          <w:p w14:paraId="0C2BE4B9" w14:textId="71BBBAEF" w:rsidR="00685FB0" w:rsidRDefault="00685FB0" w:rsidP="6BA8B680">
            <w:pPr>
              <w:jc w:val="both"/>
              <w:rPr>
                <w:i/>
                <w:iCs/>
                <w:sz w:val="22"/>
                <w:szCs w:val="22"/>
              </w:rPr>
            </w:pPr>
            <w:r w:rsidRPr="6BA8B680">
              <w:rPr>
                <w:i/>
                <w:iCs/>
                <w:sz w:val="22"/>
                <w:szCs w:val="22"/>
              </w:rPr>
              <w:t>Alternatively:</w:t>
            </w:r>
          </w:p>
          <w:p w14:paraId="60E9B563" w14:textId="14756140" w:rsidR="00685FB0" w:rsidRDefault="00685FB0" w:rsidP="6BA8B680">
            <w:pPr>
              <w:pStyle w:val="ListParagraph"/>
              <w:numPr>
                <w:ilvl w:val="0"/>
                <w:numId w:val="8"/>
              </w:numPr>
              <w:jc w:val="both"/>
            </w:pPr>
            <w:r w:rsidRPr="6BA8B680">
              <w:rPr>
                <w:sz w:val="22"/>
                <w:szCs w:val="22"/>
              </w:rPr>
              <w:t>Clarification in Annex I that interbank payment services are included only when not considered correspondent banking services.</w:t>
            </w:r>
          </w:p>
        </w:tc>
      </w:tr>
    </w:tbl>
    <w:p w14:paraId="12993C6C" w14:textId="04C5B6DB" w:rsidR="3FF342CA" w:rsidRDefault="3FF342CA" w:rsidP="00C70FA4">
      <w:pPr>
        <w:jc w:val="both"/>
      </w:pPr>
    </w:p>
    <w:sectPr w:rsidR="3FF342CA">
      <w:pgSz w:w="2016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kub Derulski" w:date="2025-10-02T21:59:00Z" w:initials="JD">
    <w:p w14:paraId="3E6DC367" w14:textId="77777777" w:rsidR="00E72264" w:rsidRDefault="00E72264" w:rsidP="00E72264">
      <w:pPr>
        <w:pStyle w:val="CommentText"/>
      </w:pPr>
      <w:r>
        <w:rPr>
          <w:rStyle w:val="CommentReference"/>
        </w:rPr>
        <w:annotationRef/>
      </w:r>
      <w:r>
        <w:t xml:space="preserve">Dokument zawiera listę wszystkich uwag zgłoszonych do ZBP w trakcie prac grupy roboczej. </w:t>
      </w:r>
    </w:p>
    <w:p w14:paraId="13EE25E1" w14:textId="77777777" w:rsidR="00E72264" w:rsidRDefault="00E72264" w:rsidP="00E72264">
      <w:pPr>
        <w:pStyle w:val="CommentText"/>
      </w:pPr>
    </w:p>
    <w:p w14:paraId="69060FFF" w14:textId="77777777" w:rsidR="00E72264" w:rsidRDefault="00E72264" w:rsidP="00E72264">
      <w:pPr>
        <w:pStyle w:val="CommentText"/>
      </w:pPr>
      <w:r>
        <w:t>Na ostatnim etapie prac przed wysyłką, uwagi mogą zostać zmodyfikowana edycyjnie i językowo. Na początkowym etapie prac uwagi zostały pozostawione po tłumaczeniu w formie możliwie najbliższej oryginalnemu brzmieniu, aby każdy z uczestników konsultacji mógł bez problemu odnaleźć swoje uwagi i ewentualnie, w razie zidentyfikowanej potrzeby, je uzupełnić.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060F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C170A" w16cex:dateUtc="2025-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60FFF" w16cid:durableId="67FC17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BA6D" w14:textId="77777777" w:rsidR="00171734" w:rsidRDefault="00171734">
      <w:pPr>
        <w:spacing w:after="0" w:line="240" w:lineRule="auto"/>
      </w:pPr>
      <w:r>
        <w:separator/>
      </w:r>
    </w:p>
  </w:endnote>
  <w:endnote w:type="continuationSeparator" w:id="0">
    <w:p w14:paraId="4EF9771A" w14:textId="77777777" w:rsidR="00171734" w:rsidRDefault="0017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EE"/>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2EC2" w14:textId="77777777" w:rsidR="00171734" w:rsidRDefault="00171734">
      <w:pPr>
        <w:spacing w:after="0" w:line="240" w:lineRule="auto"/>
      </w:pPr>
      <w:r>
        <w:separator/>
      </w:r>
    </w:p>
  </w:footnote>
  <w:footnote w:type="continuationSeparator" w:id="0">
    <w:p w14:paraId="4E3D4528" w14:textId="77777777" w:rsidR="00171734" w:rsidRDefault="00171734">
      <w:pPr>
        <w:spacing w:after="0" w:line="240" w:lineRule="auto"/>
      </w:pPr>
      <w:r>
        <w:continuationSeparator/>
      </w:r>
    </w:p>
  </w:footnote>
  <w:footnote w:id="1">
    <w:p w14:paraId="1D947B7F" w14:textId="45A7E2DD" w:rsidR="00685FB0" w:rsidRDefault="00685FB0" w:rsidP="7D1AA107">
      <w:pPr>
        <w:pStyle w:val="FootnoteText"/>
      </w:pPr>
      <w:r w:rsidRPr="7D1AA107">
        <w:rPr>
          <w:rStyle w:val="FootnoteReference"/>
        </w:rPr>
        <w:footnoteRef/>
      </w:r>
      <w:r>
        <w:t xml:space="preserve"> https://www.eba.europa.eu/sites/default/files/2025-07/33a0ee15-9601-4c2b-828e-1b09201a6e9f/CP%20on%20Draft%20Guidelines%20on%20sound%20management%20of%20third%20party%20risk.pdf</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F7A"/>
    <w:multiLevelType w:val="hybridMultilevel"/>
    <w:tmpl w:val="420E80E0"/>
    <w:lvl w:ilvl="0" w:tplc="82B85078">
      <w:start w:val="1"/>
      <w:numFmt w:val="bullet"/>
      <w:lvlText w:val=""/>
      <w:lvlJc w:val="left"/>
      <w:pPr>
        <w:ind w:left="360" w:hanging="360"/>
      </w:pPr>
      <w:rPr>
        <w:rFonts w:ascii="Symbol" w:hAnsi="Symbol" w:hint="default"/>
      </w:rPr>
    </w:lvl>
    <w:lvl w:ilvl="1" w:tplc="601A5B9E">
      <w:start w:val="1"/>
      <w:numFmt w:val="bullet"/>
      <w:lvlText w:val="o"/>
      <w:lvlJc w:val="left"/>
      <w:pPr>
        <w:ind w:left="1080" w:hanging="360"/>
      </w:pPr>
      <w:rPr>
        <w:rFonts w:ascii="Courier New" w:hAnsi="Courier New" w:hint="default"/>
      </w:rPr>
    </w:lvl>
    <w:lvl w:ilvl="2" w:tplc="0F7EB2DC">
      <w:start w:val="1"/>
      <w:numFmt w:val="bullet"/>
      <w:lvlText w:val=""/>
      <w:lvlJc w:val="left"/>
      <w:pPr>
        <w:ind w:left="1800" w:hanging="360"/>
      </w:pPr>
      <w:rPr>
        <w:rFonts w:ascii="Wingdings" w:hAnsi="Wingdings" w:hint="default"/>
      </w:rPr>
    </w:lvl>
    <w:lvl w:ilvl="3" w:tplc="14FEAE9A">
      <w:start w:val="1"/>
      <w:numFmt w:val="bullet"/>
      <w:lvlText w:val=""/>
      <w:lvlJc w:val="left"/>
      <w:pPr>
        <w:ind w:left="2520" w:hanging="360"/>
      </w:pPr>
      <w:rPr>
        <w:rFonts w:ascii="Symbol" w:hAnsi="Symbol" w:hint="default"/>
      </w:rPr>
    </w:lvl>
    <w:lvl w:ilvl="4" w:tplc="D6C49442">
      <w:start w:val="1"/>
      <w:numFmt w:val="bullet"/>
      <w:lvlText w:val="o"/>
      <w:lvlJc w:val="left"/>
      <w:pPr>
        <w:ind w:left="3240" w:hanging="360"/>
      </w:pPr>
      <w:rPr>
        <w:rFonts w:ascii="Courier New" w:hAnsi="Courier New" w:hint="default"/>
      </w:rPr>
    </w:lvl>
    <w:lvl w:ilvl="5" w:tplc="45ECDC96">
      <w:start w:val="1"/>
      <w:numFmt w:val="bullet"/>
      <w:lvlText w:val=""/>
      <w:lvlJc w:val="left"/>
      <w:pPr>
        <w:ind w:left="3960" w:hanging="360"/>
      </w:pPr>
      <w:rPr>
        <w:rFonts w:ascii="Wingdings" w:hAnsi="Wingdings" w:hint="default"/>
      </w:rPr>
    </w:lvl>
    <w:lvl w:ilvl="6" w:tplc="E3DAC62A">
      <w:start w:val="1"/>
      <w:numFmt w:val="bullet"/>
      <w:lvlText w:val=""/>
      <w:lvlJc w:val="left"/>
      <w:pPr>
        <w:ind w:left="4680" w:hanging="360"/>
      </w:pPr>
      <w:rPr>
        <w:rFonts w:ascii="Symbol" w:hAnsi="Symbol" w:hint="default"/>
      </w:rPr>
    </w:lvl>
    <w:lvl w:ilvl="7" w:tplc="E934EEDE">
      <w:start w:val="1"/>
      <w:numFmt w:val="bullet"/>
      <w:lvlText w:val="o"/>
      <w:lvlJc w:val="left"/>
      <w:pPr>
        <w:ind w:left="5400" w:hanging="360"/>
      </w:pPr>
      <w:rPr>
        <w:rFonts w:ascii="Courier New" w:hAnsi="Courier New" w:hint="default"/>
      </w:rPr>
    </w:lvl>
    <w:lvl w:ilvl="8" w:tplc="6B88A7B8">
      <w:start w:val="1"/>
      <w:numFmt w:val="bullet"/>
      <w:lvlText w:val=""/>
      <w:lvlJc w:val="left"/>
      <w:pPr>
        <w:ind w:left="6120" w:hanging="360"/>
      </w:pPr>
      <w:rPr>
        <w:rFonts w:ascii="Wingdings" w:hAnsi="Wingdings" w:hint="default"/>
      </w:rPr>
    </w:lvl>
  </w:abstractNum>
  <w:abstractNum w:abstractNumId="1" w15:restartNumberingAfterBreak="0">
    <w:nsid w:val="08EF022F"/>
    <w:multiLevelType w:val="hybridMultilevel"/>
    <w:tmpl w:val="22A2EEB6"/>
    <w:lvl w:ilvl="0" w:tplc="59F0E450">
      <w:start w:val="1"/>
      <w:numFmt w:val="bullet"/>
      <w:lvlText w:val=""/>
      <w:lvlJc w:val="left"/>
      <w:pPr>
        <w:ind w:left="360" w:hanging="360"/>
      </w:pPr>
      <w:rPr>
        <w:rFonts w:ascii="Symbol" w:hAnsi="Symbol" w:hint="default"/>
      </w:rPr>
    </w:lvl>
    <w:lvl w:ilvl="1" w:tplc="77DA43C6">
      <w:start w:val="1"/>
      <w:numFmt w:val="bullet"/>
      <w:lvlText w:val="o"/>
      <w:lvlJc w:val="left"/>
      <w:pPr>
        <w:ind w:left="1080" w:hanging="360"/>
      </w:pPr>
      <w:rPr>
        <w:rFonts w:ascii="Courier New" w:hAnsi="Courier New" w:hint="default"/>
      </w:rPr>
    </w:lvl>
    <w:lvl w:ilvl="2" w:tplc="8CF2B780">
      <w:start w:val="1"/>
      <w:numFmt w:val="bullet"/>
      <w:lvlText w:val=""/>
      <w:lvlJc w:val="left"/>
      <w:pPr>
        <w:ind w:left="1800" w:hanging="360"/>
      </w:pPr>
      <w:rPr>
        <w:rFonts w:ascii="Wingdings" w:hAnsi="Wingdings" w:hint="default"/>
      </w:rPr>
    </w:lvl>
    <w:lvl w:ilvl="3" w:tplc="363AA746">
      <w:start w:val="1"/>
      <w:numFmt w:val="bullet"/>
      <w:lvlText w:val=""/>
      <w:lvlJc w:val="left"/>
      <w:pPr>
        <w:ind w:left="2520" w:hanging="360"/>
      </w:pPr>
      <w:rPr>
        <w:rFonts w:ascii="Symbol" w:hAnsi="Symbol" w:hint="default"/>
      </w:rPr>
    </w:lvl>
    <w:lvl w:ilvl="4" w:tplc="C8BEDDAC">
      <w:start w:val="1"/>
      <w:numFmt w:val="bullet"/>
      <w:lvlText w:val="o"/>
      <w:lvlJc w:val="left"/>
      <w:pPr>
        <w:ind w:left="3240" w:hanging="360"/>
      </w:pPr>
      <w:rPr>
        <w:rFonts w:ascii="Courier New" w:hAnsi="Courier New" w:hint="default"/>
      </w:rPr>
    </w:lvl>
    <w:lvl w:ilvl="5" w:tplc="D0087820">
      <w:start w:val="1"/>
      <w:numFmt w:val="bullet"/>
      <w:lvlText w:val=""/>
      <w:lvlJc w:val="left"/>
      <w:pPr>
        <w:ind w:left="3960" w:hanging="360"/>
      </w:pPr>
      <w:rPr>
        <w:rFonts w:ascii="Wingdings" w:hAnsi="Wingdings" w:hint="default"/>
      </w:rPr>
    </w:lvl>
    <w:lvl w:ilvl="6" w:tplc="FAC887C0">
      <w:start w:val="1"/>
      <w:numFmt w:val="bullet"/>
      <w:lvlText w:val=""/>
      <w:lvlJc w:val="left"/>
      <w:pPr>
        <w:ind w:left="4680" w:hanging="360"/>
      </w:pPr>
      <w:rPr>
        <w:rFonts w:ascii="Symbol" w:hAnsi="Symbol" w:hint="default"/>
      </w:rPr>
    </w:lvl>
    <w:lvl w:ilvl="7" w:tplc="5FF0F440">
      <w:start w:val="1"/>
      <w:numFmt w:val="bullet"/>
      <w:lvlText w:val="o"/>
      <w:lvlJc w:val="left"/>
      <w:pPr>
        <w:ind w:left="5400" w:hanging="360"/>
      </w:pPr>
      <w:rPr>
        <w:rFonts w:ascii="Courier New" w:hAnsi="Courier New" w:hint="default"/>
      </w:rPr>
    </w:lvl>
    <w:lvl w:ilvl="8" w:tplc="FC260824">
      <w:start w:val="1"/>
      <w:numFmt w:val="bullet"/>
      <w:lvlText w:val=""/>
      <w:lvlJc w:val="left"/>
      <w:pPr>
        <w:ind w:left="6120" w:hanging="360"/>
      </w:pPr>
      <w:rPr>
        <w:rFonts w:ascii="Wingdings" w:hAnsi="Wingdings" w:hint="default"/>
      </w:rPr>
    </w:lvl>
  </w:abstractNum>
  <w:abstractNum w:abstractNumId="2" w15:restartNumberingAfterBreak="0">
    <w:nsid w:val="1DD0CE83"/>
    <w:multiLevelType w:val="hybridMultilevel"/>
    <w:tmpl w:val="C434AD44"/>
    <w:lvl w:ilvl="0" w:tplc="8B884D16">
      <w:start w:val="1"/>
      <w:numFmt w:val="bullet"/>
      <w:lvlText w:val=""/>
      <w:lvlJc w:val="left"/>
      <w:pPr>
        <w:ind w:left="360" w:hanging="360"/>
      </w:pPr>
      <w:rPr>
        <w:rFonts w:ascii="Symbol" w:hAnsi="Symbol" w:hint="default"/>
      </w:rPr>
    </w:lvl>
    <w:lvl w:ilvl="1" w:tplc="9CA6267E">
      <w:start w:val="1"/>
      <w:numFmt w:val="bullet"/>
      <w:lvlText w:val="o"/>
      <w:lvlJc w:val="left"/>
      <w:pPr>
        <w:ind w:left="1080" w:hanging="360"/>
      </w:pPr>
      <w:rPr>
        <w:rFonts w:ascii="Courier New" w:hAnsi="Courier New" w:hint="default"/>
      </w:rPr>
    </w:lvl>
    <w:lvl w:ilvl="2" w:tplc="39389D12">
      <w:start w:val="1"/>
      <w:numFmt w:val="bullet"/>
      <w:lvlText w:val=""/>
      <w:lvlJc w:val="left"/>
      <w:pPr>
        <w:ind w:left="1800" w:hanging="360"/>
      </w:pPr>
      <w:rPr>
        <w:rFonts w:ascii="Wingdings" w:hAnsi="Wingdings" w:hint="default"/>
      </w:rPr>
    </w:lvl>
    <w:lvl w:ilvl="3" w:tplc="6A5A8DA0">
      <w:start w:val="1"/>
      <w:numFmt w:val="bullet"/>
      <w:lvlText w:val=""/>
      <w:lvlJc w:val="left"/>
      <w:pPr>
        <w:ind w:left="2520" w:hanging="360"/>
      </w:pPr>
      <w:rPr>
        <w:rFonts w:ascii="Symbol" w:hAnsi="Symbol" w:hint="default"/>
      </w:rPr>
    </w:lvl>
    <w:lvl w:ilvl="4" w:tplc="9A02E3F6">
      <w:start w:val="1"/>
      <w:numFmt w:val="bullet"/>
      <w:lvlText w:val="o"/>
      <w:lvlJc w:val="left"/>
      <w:pPr>
        <w:ind w:left="3240" w:hanging="360"/>
      </w:pPr>
      <w:rPr>
        <w:rFonts w:ascii="Courier New" w:hAnsi="Courier New" w:hint="default"/>
      </w:rPr>
    </w:lvl>
    <w:lvl w:ilvl="5" w:tplc="E09EC16C">
      <w:start w:val="1"/>
      <w:numFmt w:val="bullet"/>
      <w:lvlText w:val=""/>
      <w:lvlJc w:val="left"/>
      <w:pPr>
        <w:ind w:left="3960" w:hanging="360"/>
      </w:pPr>
      <w:rPr>
        <w:rFonts w:ascii="Wingdings" w:hAnsi="Wingdings" w:hint="default"/>
      </w:rPr>
    </w:lvl>
    <w:lvl w:ilvl="6" w:tplc="D716F28E">
      <w:start w:val="1"/>
      <w:numFmt w:val="bullet"/>
      <w:lvlText w:val=""/>
      <w:lvlJc w:val="left"/>
      <w:pPr>
        <w:ind w:left="4680" w:hanging="360"/>
      </w:pPr>
      <w:rPr>
        <w:rFonts w:ascii="Symbol" w:hAnsi="Symbol" w:hint="default"/>
      </w:rPr>
    </w:lvl>
    <w:lvl w:ilvl="7" w:tplc="E1E6D068">
      <w:start w:val="1"/>
      <w:numFmt w:val="bullet"/>
      <w:lvlText w:val="o"/>
      <w:lvlJc w:val="left"/>
      <w:pPr>
        <w:ind w:left="5400" w:hanging="360"/>
      </w:pPr>
      <w:rPr>
        <w:rFonts w:ascii="Courier New" w:hAnsi="Courier New" w:hint="default"/>
      </w:rPr>
    </w:lvl>
    <w:lvl w:ilvl="8" w:tplc="D50CB20C">
      <w:start w:val="1"/>
      <w:numFmt w:val="bullet"/>
      <w:lvlText w:val=""/>
      <w:lvlJc w:val="left"/>
      <w:pPr>
        <w:ind w:left="6120" w:hanging="360"/>
      </w:pPr>
      <w:rPr>
        <w:rFonts w:ascii="Wingdings" w:hAnsi="Wingdings" w:hint="default"/>
      </w:rPr>
    </w:lvl>
  </w:abstractNum>
  <w:abstractNum w:abstractNumId="3" w15:restartNumberingAfterBreak="0">
    <w:nsid w:val="2CC4E1CA"/>
    <w:multiLevelType w:val="hybridMultilevel"/>
    <w:tmpl w:val="846ED444"/>
    <w:lvl w:ilvl="0" w:tplc="DC3A51C0">
      <w:start w:val="1"/>
      <w:numFmt w:val="bullet"/>
      <w:lvlText w:val=""/>
      <w:lvlJc w:val="left"/>
      <w:pPr>
        <w:ind w:left="360" w:hanging="360"/>
      </w:pPr>
      <w:rPr>
        <w:rFonts w:ascii="Symbol" w:hAnsi="Symbol" w:hint="default"/>
      </w:rPr>
    </w:lvl>
    <w:lvl w:ilvl="1" w:tplc="B6BE2614">
      <w:start w:val="1"/>
      <w:numFmt w:val="bullet"/>
      <w:lvlText w:val="o"/>
      <w:lvlJc w:val="left"/>
      <w:pPr>
        <w:ind w:left="1080" w:hanging="360"/>
      </w:pPr>
      <w:rPr>
        <w:rFonts w:ascii="Courier New" w:hAnsi="Courier New" w:hint="default"/>
      </w:rPr>
    </w:lvl>
    <w:lvl w:ilvl="2" w:tplc="25020AB8">
      <w:start w:val="1"/>
      <w:numFmt w:val="bullet"/>
      <w:lvlText w:val=""/>
      <w:lvlJc w:val="left"/>
      <w:pPr>
        <w:ind w:left="1800" w:hanging="360"/>
      </w:pPr>
      <w:rPr>
        <w:rFonts w:ascii="Wingdings" w:hAnsi="Wingdings" w:hint="default"/>
      </w:rPr>
    </w:lvl>
    <w:lvl w:ilvl="3" w:tplc="A190C19C">
      <w:start w:val="1"/>
      <w:numFmt w:val="bullet"/>
      <w:lvlText w:val=""/>
      <w:lvlJc w:val="left"/>
      <w:pPr>
        <w:ind w:left="2520" w:hanging="360"/>
      </w:pPr>
      <w:rPr>
        <w:rFonts w:ascii="Symbol" w:hAnsi="Symbol" w:hint="default"/>
      </w:rPr>
    </w:lvl>
    <w:lvl w:ilvl="4" w:tplc="FB2A3D72">
      <w:start w:val="1"/>
      <w:numFmt w:val="bullet"/>
      <w:lvlText w:val="o"/>
      <w:lvlJc w:val="left"/>
      <w:pPr>
        <w:ind w:left="3240" w:hanging="360"/>
      </w:pPr>
      <w:rPr>
        <w:rFonts w:ascii="Courier New" w:hAnsi="Courier New" w:hint="default"/>
      </w:rPr>
    </w:lvl>
    <w:lvl w:ilvl="5" w:tplc="9E3CD742">
      <w:start w:val="1"/>
      <w:numFmt w:val="bullet"/>
      <w:lvlText w:val=""/>
      <w:lvlJc w:val="left"/>
      <w:pPr>
        <w:ind w:left="3960" w:hanging="360"/>
      </w:pPr>
      <w:rPr>
        <w:rFonts w:ascii="Wingdings" w:hAnsi="Wingdings" w:hint="default"/>
      </w:rPr>
    </w:lvl>
    <w:lvl w:ilvl="6" w:tplc="A1D26AA2">
      <w:start w:val="1"/>
      <w:numFmt w:val="bullet"/>
      <w:lvlText w:val=""/>
      <w:lvlJc w:val="left"/>
      <w:pPr>
        <w:ind w:left="4680" w:hanging="360"/>
      </w:pPr>
      <w:rPr>
        <w:rFonts w:ascii="Symbol" w:hAnsi="Symbol" w:hint="default"/>
      </w:rPr>
    </w:lvl>
    <w:lvl w:ilvl="7" w:tplc="3D38EC1A">
      <w:start w:val="1"/>
      <w:numFmt w:val="bullet"/>
      <w:lvlText w:val="o"/>
      <w:lvlJc w:val="left"/>
      <w:pPr>
        <w:ind w:left="5400" w:hanging="360"/>
      </w:pPr>
      <w:rPr>
        <w:rFonts w:ascii="Courier New" w:hAnsi="Courier New" w:hint="default"/>
      </w:rPr>
    </w:lvl>
    <w:lvl w:ilvl="8" w:tplc="4238EB66">
      <w:start w:val="1"/>
      <w:numFmt w:val="bullet"/>
      <w:lvlText w:val=""/>
      <w:lvlJc w:val="left"/>
      <w:pPr>
        <w:ind w:left="6120" w:hanging="360"/>
      </w:pPr>
      <w:rPr>
        <w:rFonts w:ascii="Wingdings" w:hAnsi="Wingdings" w:hint="default"/>
      </w:rPr>
    </w:lvl>
  </w:abstractNum>
  <w:abstractNum w:abstractNumId="4" w15:restartNumberingAfterBreak="0">
    <w:nsid w:val="2EB29E02"/>
    <w:multiLevelType w:val="hybridMultilevel"/>
    <w:tmpl w:val="C16CE50A"/>
    <w:lvl w:ilvl="0" w:tplc="3F528ACC">
      <w:start w:val="1"/>
      <w:numFmt w:val="bullet"/>
      <w:lvlText w:val=""/>
      <w:lvlJc w:val="left"/>
      <w:pPr>
        <w:ind w:left="360" w:hanging="360"/>
      </w:pPr>
      <w:rPr>
        <w:rFonts w:ascii="Symbol" w:hAnsi="Symbol" w:hint="default"/>
      </w:rPr>
    </w:lvl>
    <w:lvl w:ilvl="1" w:tplc="2F9A7D18">
      <w:start w:val="1"/>
      <w:numFmt w:val="bullet"/>
      <w:lvlText w:val="o"/>
      <w:lvlJc w:val="left"/>
      <w:pPr>
        <w:ind w:left="1080" w:hanging="360"/>
      </w:pPr>
      <w:rPr>
        <w:rFonts w:ascii="Courier New" w:hAnsi="Courier New" w:hint="default"/>
      </w:rPr>
    </w:lvl>
    <w:lvl w:ilvl="2" w:tplc="82BABAAE">
      <w:start w:val="1"/>
      <w:numFmt w:val="bullet"/>
      <w:lvlText w:val=""/>
      <w:lvlJc w:val="left"/>
      <w:pPr>
        <w:ind w:left="1800" w:hanging="360"/>
      </w:pPr>
      <w:rPr>
        <w:rFonts w:ascii="Wingdings" w:hAnsi="Wingdings" w:hint="default"/>
      </w:rPr>
    </w:lvl>
    <w:lvl w:ilvl="3" w:tplc="4D6EC4FA">
      <w:start w:val="1"/>
      <w:numFmt w:val="bullet"/>
      <w:lvlText w:val=""/>
      <w:lvlJc w:val="left"/>
      <w:pPr>
        <w:ind w:left="2520" w:hanging="360"/>
      </w:pPr>
      <w:rPr>
        <w:rFonts w:ascii="Symbol" w:hAnsi="Symbol" w:hint="default"/>
      </w:rPr>
    </w:lvl>
    <w:lvl w:ilvl="4" w:tplc="43FA646E">
      <w:start w:val="1"/>
      <w:numFmt w:val="bullet"/>
      <w:lvlText w:val="o"/>
      <w:lvlJc w:val="left"/>
      <w:pPr>
        <w:ind w:left="3240" w:hanging="360"/>
      </w:pPr>
      <w:rPr>
        <w:rFonts w:ascii="Courier New" w:hAnsi="Courier New" w:hint="default"/>
      </w:rPr>
    </w:lvl>
    <w:lvl w:ilvl="5" w:tplc="5FFCD28E">
      <w:start w:val="1"/>
      <w:numFmt w:val="bullet"/>
      <w:lvlText w:val=""/>
      <w:lvlJc w:val="left"/>
      <w:pPr>
        <w:ind w:left="3960" w:hanging="360"/>
      </w:pPr>
      <w:rPr>
        <w:rFonts w:ascii="Wingdings" w:hAnsi="Wingdings" w:hint="default"/>
      </w:rPr>
    </w:lvl>
    <w:lvl w:ilvl="6" w:tplc="08D65E16">
      <w:start w:val="1"/>
      <w:numFmt w:val="bullet"/>
      <w:lvlText w:val=""/>
      <w:lvlJc w:val="left"/>
      <w:pPr>
        <w:ind w:left="4680" w:hanging="360"/>
      </w:pPr>
      <w:rPr>
        <w:rFonts w:ascii="Symbol" w:hAnsi="Symbol" w:hint="default"/>
      </w:rPr>
    </w:lvl>
    <w:lvl w:ilvl="7" w:tplc="D7DA78BE">
      <w:start w:val="1"/>
      <w:numFmt w:val="bullet"/>
      <w:lvlText w:val="o"/>
      <w:lvlJc w:val="left"/>
      <w:pPr>
        <w:ind w:left="5400" w:hanging="360"/>
      </w:pPr>
      <w:rPr>
        <w:rFonts w:ascii="Courier New" w:hAnsi="Courier New" w:hint="default"/>
      </w:rPr>
    </w:lvl>
    <w:lvl w:ilvl="8" w:tplc="7B364E30">
      <w:start w:val="1"/>
      <w:numFmt w:val="bullet"/>
      <w:lvlText w:val=""/>
      <w:lvlJc w:val="left"/>
      <w:pPr>
        <w:ind w:left="6120" w:hanging="360"/>
      </w:pPr>
      <w:rPr>
        <w:rFonts w:ascii="Wingdings" w:hAnsi="Wingdings" w:hint="default"/>
      </w:rPr>
    </w:lvl>
  </w:abstractNum>
  <w:abstractNum w:abstractNumId="5" w15:restartNumberingAfterBreak="0">
    <w:nsid w:val="381906B0"/>
    <w:multiLevelType w:val="hybridMultilevel"/>
    <w:tmpl w:val="E6F2738C"/>
    <w:lvl w:ilvl="0" w:tplc="4344E97E">
      <w:start w:val="1"/>
      <w:numFmt w:val="bullet"/>
      <w:lvlText w:val=""/>
      <w:lvlJc w:val="left"/>
      <w:pPr>
        <w:ind w:left="360" w:hanging="360"/>
      </w:pPr>
      <w:rPr>
        <w:rFonts w:ascii="Symbol" w:hAnsi="Symbol" w:hint="default"/>
      </w:rPr>
    </w:lvl>
    <w:lvl w:ilvl="1" w:tplc="30CEB40C">
      <w:start w:val="1"/>
      <w:numFmt w:val="bullet"/>
      <w:lvlText w:val="o"/>
      <w:lvlJc w:val="left"/>
      <w:pPr>
        <w:ind w:left="1080" w:hanging="360"/>
      </w:pPr>
      <w:rPr>
        <w:rFonts w:ascii="Courier New" w:hAnsi="Courier New" w:hint="default"/>
      </w:rPr>
    </w:lvl>
    <w:lvl w:ilvl="2" w:tplc="B3DA3E3A">
      <w:start w:val="1"/>
      <w:numFmt w:val="bullet"/>
      <w:lvlText w:val=""/>
      <w:lvlJc w:val="left"/>
      <w:pPr>
        <w:ind w:left="1800" w:hanging="360"/>
      </w:pPr>
      <w:rPr>
        <w:rFonts w:ascii="Wingdings" w:hAnsi="Wingdings" w:hint="default"/>
      </w:rPr>
    </w:lvl>
    <w:lvl w:ilvl="3" w:tplc="9AD44286">
      <w:start w:val="1"/>
      <w:numFmt w:val="bullet"/>
      <w:lvlText w:val=""/>
      <w:lvlJc w:val="left"/>
      <w:pPr>
        <w:ind w:left="2520" w:hanging="360"/>
      </w:pPr>
      <w:rPr>
        <w:rFonts w:ascii="Symbol" w:hAnsi="Symbol" w:hint="default"/>
      </w:rPr>
    </w:lvl>
    <w:lvl w:ilvl="4" w:tplc="5FA0FA6C">
      <w:start w:val="1"/>
      <w:numFmt w:val="bullet"/>
      <w:lvlText w:val="o"/>
      <w:lvlJc w:val="left"/>
      <w:pPr>
        <w:ind w:left="3240" w:hanging="360"/>
      </w:pPr>
      <w:rPr>
        <w:rFonts w:ascii="Courier New" w:hAnsi="Courier New" w:hint="default"/>
      </w:rPr>
    </w:lvl>
    <w:lvl w:ilvl="5" w:tplc="B3542656">
      <w:start w:val="1"/>
      <w:numFmt w:val="bullet"/>
      <w:lvlText w:val=""/>
      <w:lvlJc w:val="left"/>
      <w:pPr>
        <w:ind w:left="3960" w:hanging="360"/>
      </w:pPr>
      <w:rPr>
        <w:rFonts w:ascii="Wingdings" w:hAnsi="Wingdings" w:hint="default"/>
      </w:rPr>
    </w:lvl>
    <w:lvl w:ilvl="6" w:tplc="029C5D20">
      <w:start w:val="1"/>
      <w:numFmt w:val="bullet"/>
      <w:lvlText w:val=""/>
      <w:lvlJc w:val="left"/>
      <w:pPr>
        <w:ind w:left="4680" w:hanging="360"/>
      </w:pPr>
      <w:rPr>
        <w:rFonts w:ascii="Symbol" w:hAnsi="Symbol" w:hint="default"/>
      </w:rPr>
    </w:lvl>
    <w:lvl w:ilvl="7" w:tplc="29921D2E">
      <w:start w:val="1"/>
      <w:numFmt w:val="bullet"/>
      <w:lvlText w:val="o"/>
      <w:lvlJc w:val="left"/>
      <w:pPr>
        <w:ind w:left="5400" w:hanging="360"/>
      </w:pPr>
      <w:rPr>
        <w:rFonts w:ascii="Courier New" w:hAnsi="Courier New" w:hint="default"/>
      </w:rPr>
    </w:lvl>
    <w:lvl w:ilvl="8" w:tplc="DA00B2AC">
      <w:start w:val="1"/>
      <w:numFmt w:val="bullet"/>
      <w:lvlText w:val=""/>
      <w:lvlJc w:val="left"/>
      <w:pPr>
        <w:ind w:left="6120" w:hanging="360"/>
      </w:pPr>
      <w:rPr>
        <w:rFonts w:ascii="Wingdings" w:hAnsi="Wingdings" w:hint="default"/>
      </w:rPr>
    </w:lvl>
  </w:abstractNum>
  <w:abstractNum w:abstractNumId="6" w15:restartNumberingAfterBreak="0">
    <w:nsid w:val="4947DD3B"/>
    <w:multiLevelType w:val="hybridMultilevel"/>
    <w:tmpl w:val="2F16EE06"/>
    <w:lvl w:ilvl="0" w:tplc="1500E3F4">
      <w:start w:val="2"/>
      <w:numFmt w:val="decimal"/>
      <w:lvlText w:val="%1."/>
      <w:lvlJc w:val="left"/>
      <w:pPr>
        <w:ind w:left="720" w:hanging="360"/>
      </w:pPr>
    </w:lvl>
    <w:lvl w:ilvl="1" w:tplc="91CA9878">
      <w:start w:val="1"/>
      <w:numFmt w:val="lowerLetter"/>
      <w:lvlText w:val="%2."/>
      <w:lvlJc w:val="left"/>
      <w:pPr>
        <w:ind w:left="1440" w:hanging="360"/>
      </w:pPr>
    </w:lvl>
    <w:lvl w:ilvl="2" w:tplc="D9D2DD6C">
      <w:start w:val="1"/>
      <w:numFmt w:val="lowerRoman"/>
      <w:lvlText w:val="%3."/>
      <w:lvlJc w:val="right"/>
      <w:pPr>
        <w:ind w:left="2160" w:hanging="180"/>
      </w:pPr>
    </w:lvl>
    <w:lvl w:ilvl="3" w:tplc="0C86C37E">
      <w:start w:val="1"/>
      <w:numFmt w:val="decimal"/>
      <w:lvlText w:val="%4."/>
      <w:lvlJc w:val="left"/>
      <w:pPr>
        <w:ind w:left="2880" w:hanging="360"/>
      </w:pPr>
    </w:lvl>
    <w:lvl w:ilvl="4" w:tplc="449EDCA2">
      <w:start w:val="1"/>
      <w:numFmt w:val="lowerLetter"/>
      <w:lvlText w:val="%5."/>
      <w:lvlJc w:val="left"/>
      <w:pPr>
        <w:ind w:left="3600" w:hanging="360"/>
      </w:pPr>
    </w:lvl>
    <w:lvl w:ilvl="5" w:tplc="BFF24288">
      <w:start w:val="1"/>
      <w:numFmt w:val="lowerRoman"/>
      <w:lvlText w:val="%6."/>
      <w:lvlJc w:val="right"/>
      <w:pPr>
        <w:ind w:left="4320" w:hanging="180"/>
      </w:pPr>
    </w:lvl>
    <w:lvl w:ilvl="6" w:tplc="DDFA80BC">
      <w:start w:val="1"/>
      <w:numFmt w:val="decimal"/>
      <w:lvlText w:val="%7."/>
      <w:lvlJc w:val="left"/>
      <w:pPr>
        <w:ind w:left="5040" w:hanging="360"/>
      </w:pPr>
    </w:lvl>
    <w:lvl w:ilvl="7" w:tplc="0E5C3366">
      <w:start w:val="1"/>
      <w:numFmt w:val="lowerLetter"/>
      <w:lvlText w:val="%8."/>
      <w:lvlJc w:val="left"/>
      <w:pPr>
        <w:ind w:left="5760" w:hanging="360"/>
      </w:pPr>
    </w:lvl>
    <w:lvl w:ilvl="8" w:tplc="2DAC9A12">
      <w:start w:val="1"/>
      <w:numFmt w:val="lowerRoman"/>
      <w:lvlText w:val="%9."/>
      <w:lvlJc w:val="right"/>
      <w:pPr>
        <w:ind w:left="6480" w:hanging="180"/>
      </w:pPr>
    </w:lvl>
  </w:abstractNum>
  <w:abstractNum w:abstractNumId="7" w15:restartNumberingAfterBreak="0">
    <w:nsid w:val="57C68AE9"/>
    <w:multiLevelType w:val="hybridMultilevel"/>
    <w:tmpl w:val="FFFFFFFF"/>
    <w:lvl w:ilvl="0" w:tplc="D9426428">
      <w:start w:val="1"/>
      <w:numFmt w:val="bullet"/>
      <w:lvlText w:val="-"/>
      <w:lvlJc w:val="left"/>
      <w:pPr>
        <w:ind w:left="720" w:hanging="360"/>
      </w:pPr>
      <w:rPr>
        <w:rFonts w:ascii="Aptos" w:hAnsi="Aptos" w:hint="default"/>
      </w:rPr>
    </w:lvl>
    <w:lvl w:ilvl="1" w:tplc="A888FFC8">
      <w:start w:val="1"/>
      <w:numFmt w:val="bullet"/>
      <w:lvlText w:val="o"/>
      <w:lvlJc w:val="left"/>
      <w:pPr>
        <w:ind w:left="1440" w:hanging="360"/>
      </w:pPr>
      <w:rPr>
        <w:rFonts w:ascii="Courier New" w:hAnsi="Courier New" w:hint="default"/>
      </w:rPr>
    </w:lvl>
    <w:lvl w:ilvl="2" w:tplc="2E72382C">
      <w:start w:val="1"/>
      <w:numFmt w:val="bullet"/>
      <w:lvlText w:val=""/>
      <w:lvlJc w:val="left"/>
      <w:pPr>
        <w:ind w:left="2160" w:hanging="360"/>
      </w:pPr>
      <w:rPr>
        <w:rFonts w:ascii="Wingdings" w:hAnsi="Wingdings" w:hint="default"/>
      </w:rPr>
    </w:lvl>
    <w:lvl w:ilvl="3" w:tplc="6D0E447C">
      <w:start w:val="1"/>
      <w:numFmt w:val="bullet"/>
      <w:lvlText w:val=""/>
      <w:lvlJc w:val="left"/>
      <w:pPr>
        <w:ind w:left="2880" w:hanging="360"/>
      </w:pPr>
      <w:rPr>
        <w:rFonts w:ascii="Symbol" w:hAnsi="Symbol" w:hint="default"/>
      </w:rPr>
    </w:lvl>
    <w:lvl w:ilvl="4" w:tplc="A336C936">
      <w:start w:val="1"/>
      <w:numFmt w:val="bullet"/>
      <w:lvlText w:val="o"/>
      <w:lvlJc w:val="left"/>
      <w:pPr>
        <w:ind w:left="3600" w:hanging="360"/>
      </w:pPr>
      <w:rPr>
        <w:rFonts w:ascii="Courier New" w:hAnsi="Courier New" w:hint="default"/>
      </w:rPr>
    </w:lvl>
    <w:lvl w:ilvl="5" w:tplc="C5FE21B2">
      <w:start w:val="1"/>
      <w:numFmt w:val="bullet"/>
      <w:lvlText w:val=""/>
      <w:lvlJc w:val="left"/>
      <w:pPr>
        <w:ind w:left="4320" w:hanging="360"/>
      </w:pPr>
      <w:rPr>
        <w:rFonts w:ascii="Wingdings" w:hAnsi="Wingdings" w:hint="default"/>
      </w:rPr>
    </w:lvl>
    <w:lvl w:ilvl="6" w:tplc="F35475C2">
      <w:start w:val="1"/>
      <w:numFmt w:val="bullet"/>
      <w:lvlText w:val=""/>
      <w:lvlJc w:val="left"/>
      <w:pPr>
        <w:ind w:left="5040" w:hanging="360"/>
      </w:pPr>
      <w:rPr>
        <w:rFonts w:ascii="Symbol" w:hAnsi="Symbol" w:hint="default"/>
      </w:rPr>
    </w:lvl>
    <w:lvl w:ilvl="7" w:tplc="FA80C168">
      <w:start w:val="1"/>
      <w:numFmt w:val="bullet"/>
      <w:lvlText w:val="o"/>
      <w:lvlJc w:val="left"/>
      <w:pPr>
        <w:ind w:left="5760" w:hanging="360"/>
      </w:pPr>
      <w:rPr>
        <w:rFonts w:ascii="Courier New" w:hAnsi="Courier New" w:hint="default"/>
      </w:rPr>
    </w:lvl>
    <w:lvl w:ilvl="8" w:tplc="3A064D40">
      <w:start w:val="1"/>
      <w:numFmt w:val="bullet"/>
      <w:lvlText w:val=""/>
      <w:lvlJc w:val="left"/>
      <w:pPr>
        <w:ind w:left="6480" w:hanging="360"/>
      </w:pPr>
      <w:rPr>
        <w:rFonts w:ascii="Wingdings" w:hAnsi="Wingdings" w:hint="default"/>
      </w:rPr>
    </w:lvl>
  </w:abstractNum>
  <w:abstractNum w:abstractNumId="8" w15:restartNumberingAfterBreak="0">
    <w:nsid w:val="5B726097"/>
    <w:multiLevelType w:val="hybridMultilevel"/>
    <w:tmpl w:val="5E5EC38C"/>
    <w:lvl w:ilvl="0" w:tplc="81087A54">
      <w:start w:val="1"/>
      <w:numFmt w:val="bullet"/>
      <w:lvlText w:val=""/>
      <w:lvlJc w:val="left"/>
      <w:pPr>
        <w:ind w:left="360" w:hanging="360"/>
      </w:pPr>
      <w:rPr>
        <w:rFonts w:ascii="Symbol" w:hAnsi="Symbol" w:hint="default"/>
      </w:rPr>
    </w:lvl>
    <w:lvl w:ilvl="1" w:tplc="5CDE0AF2">
      <w:start w:val="1"/>
      <w:numFmt w:val="bullet"/>
      <w:lvlText w:val="o"/>
      <w:lvlJc w:val="left"/>
      <w:pPr>
        <w:ind w:left="1080" w:hanging="360"/>
      </w:pPr>
      <w:rPr>
        <w:rFonts w:ascii="Courier New" w:hAnsi="Courier New" w:hint="default"/>
      </w:rPr>
    </w:lvl>
    <w:lvl w:ilvl="2" w:tplc="645A2944">
      <w:start w:val="1"/>
      <w:numFmt w:val="bullet"/>
      <w:lvlText w:val=""/>
      <w:lvlJc w:val="left"/>
      <w:pPr>
        <w:ind w:left="1800" w:hanging="360"/>
      </w:pPr>
      <w:rPr>
        <w:rFonts w:ascii="Wingdings" w:hAnsi="Wingdings" w:hint="default"/>
      </w:rPr>
    </w:lvl>
    <w:lvl w:ilvl="3" w:tplc="7000092E">
      <w:start w:val="1"/>
      <w:numFmt w:val="bullet"/>
      <w:lvlText w:val=""/>
      <w:lvlJc w:val="left"/>
      <w:pPr>
        <w:ind w:left="2520" w:hanging="360"/>
      </w:pPr>
      <w:rPr>
        <w:rFonts w:ascii="Symbol" w:hAnsi="Symbol" w:hint="default"/>
      </w:rPr>
    </w:lvl>
    <w:lvl w:ilvl="4" w:tplc="92A09A2E">
      <w:start w:val="1"/>
      <w:numFmt w:val="bullet"/>
      <w:lvlText w:val="o"/>
      <w:lvlJc w:val="left"/>
      <w:pPr>
        <w:ind w:left="3240" w:hanging="360"/>
      </w:pPr>
      <w:rPr>
        <w:rFonts w:ascii="Courier New" w:hAnsi="Courier New" w:hint="default"/>
      </w:rPr>
    </w:lvl>
    <w:lvl w:ilvl="5" w:tplc="42F40B30">
      <w:start w:val="1"/>
      <w:numFmt w:val="bullet"/>
      <w:lvlText w:val=""/>
      <w:lvlJc w:val="left"/>
      <w:pPr>
        <w:ind w:left="3960" w:hanging="360"/>
      </w:pPr>
      <w:rPr>
        <w:rFonts w:ascii="Wingdings" w:hAnsi="Wingdings" w:hint="default"/>
      </w:rPr>
    </w:lvl>
    <w:lvl w:ilvl="6" w:tplc="999801F0">
      <w:start w:val="1"/>
      <w:numFmt w:val="bullet"/>
      <w:lvlText w:val=""/>
      <w:lvlJc w:val="left"/>
      <w:pPr>
        <w:ind w:left="4680" w:hanging="360"/>
      </w:pPr>
      <w:rPr>
        <w:rFonts w:ascii="Symbol" w:hAnsi="Symbol" w:hint="default"/>
      </w:rPr>
    </w:lvl>
    <w:lvl w:ilvl="7" w:tplc="A4F27EA2">
      <w:start w:val="1"/>
      <w:numFmt w:val="bullet"/>
      <w:lvlText w:val="o"/>
      <w:lvlJc w:val="left"/>
      <w:pPr>
        <w:ind w:left="5400" w:hanging="360"/>
      </w:pPr>
      <w:rPr>
        <w:rFonts w:ascii="Courier New" w:hAnsi="Courier New" w:hint="default"/>
      </w:rPr>
    </w:lvl>
    <w:lvl w:ilvl="8" w:tplc="AB28CDAE">
      <w:start w:val="1"/>
      <w:numFmt w:val="bullet"/>
      <w:lvlText w:val=""/>
      <w:lvlJc w:val="left"/>
      <w:pPr>
        <w:ind w:left="6120" w:hanging="360"/>
      </w:pPr>
      <w:rPr>
        <w:rFonts w:ascii="Wingdings" w:hAnsi="Wingdings" w:hint="default"/>
      </w:rPr>
    </w:lvl>
  </w:abstractNum>
  <w:abstractNum w:abstractNumId="9" w15:restartNumberingAfterBreak="0">
    <w:nsid w:val="5E9494B4"/>
    <w:multiLevelType w:val="hybridMultilevel"/>
    <w:tmpl w:val="6D88878E"/>
    <w:lvl w:ilvl="0" w:tplc="C58281FC">
      <w:start w:val="1"/>
      <w:numFmt w:val="decimal"/>
      <w:lvlText w:val="%1."/>
      <w:lvlJc w:val="left"/>
      <w:pPr>
        <w:ind w:left="720" w:hanging="360"/>
      </w:pPr>
    </w:lvl>
    <w:lvl w:ilvl="1" w:tplc="27C2AD5E">
      <w:start w:val="1"/>
      <w:numFmt w:val="lowerLetter"/>
      <w:lvlText w:val="%2."/>
      <w:lvlJc w:val="left"/>
      <w:pPr>
        <w:ind w:left="1440" w:hanging="360"/>
      </w:pPr>
    </w:lvl>
    <w:lvl w:ilvl="2" w:tplc="9A949BC2">
      <w:start w:val="1"/>
      <w:numFmt w:val="lowerRoman"/>
      <w:lvlText w:val="%3."/>
      <w:lvlJc w:val="right"/>
      <w:pPr>
        <w:ind w:left="2160" w:hanging="180"/>
      </w:pPr>
    </w:lvl>
    <w:lvl w:ilvl="3" w:tplc="FAC28DD8">
      <w:start w:val="1"/>
      <w:numFmt w:val="decimal"/>
      <w:lvlText w:val="%4."/>
      <w:lvlJc w:val="left"/>
      <w:pPr>
        <w:ind w:left="2880" w:hanging="360"/>
      </w:pPr>
    </w:lvl>
    <w:lvl w:ilvl="4" w:tplc="415CB370">
      <w:start w:val="1"/>
      <w:numFmt w:val="lowerLetter"/>
      <w:lvlText w:val="%5."/>
      <w:lvlJc w:val="left"/>
      <w:pPr>
        <w:ind w:left="3600" w:hanging="360"/>
      </w:pPr>
    </w:lvl>
    <w:lvl w:ilvl="5" w:tplc="8220697E">
      <w:start w:val="1"/>
      <w:numFmt w:val="lowerRoman"/>
      <w:lvlText w:val="%6."/>
      <w:lvlJc w:val="right"/>
      <w:pPr>
        <w:ind w:left="4320" w:hanging="180"/>
      </w:pPr>
    </w:lvl>
    <w:lvl w:ilvl="6" w:tplc="6C461908">
      <w:start w:val="1"/>
      <w:numFmt w:val="decimal"/>
      <w:lvlText w:val="%7."/>
      <w:lvlJc w:val="left"/>
      <w:pPr>
        <w:ind w:left="5040" w:hanging="360"/>
      </w:pPr>
    </w:lvl>
    <w:lvl w:ilvl="7" w:tplc="CFC2C184">
      <w:start w:val="1"/>
      <w:numFmt w:val="lowerLetter"/>
      <w:lvlText w:val="%8."/>
      <w:lvlJc w:val="left"/>
      <w:pPr>
        <w:ind w:left="5760" w:hanging="360"/>
      </w:pPr>
    </w:lvl>
    <w:lvl w:ilvl="8" w:tplc="65D06E6A">
      <w:start w:val="1"/>
      <w:numFmt w:val="lowerRoman"/>
      <w:lvlText w:val="%9."/>
      <w:lvlJc w:val="right"/>
      <w:pPr>
        <w:ind w:left="6480" w:hanging="180"/>
      </w:pPr>
    </w:lvl>
  </w:abstractNum>
  <w:abstractNum w:abstractNumId="10" w15:restartNumberingAfterBreak="0">
    <w:nsid w:val="5F0FC4FD"/>
    <w:multiLevelType w:val="hybridMultilevel"/>
    <w:tmpl w:val="2C400C06"/>
    <w:lvl w:ilvl="0" w:tplc="8764A734">
      <w:start w:val="1"/>
      <w:numFmt w:val="bullet"/>
      <w:lvlText w:val=""/>
      <w:lvlJc w:val="left"/>
      <w:pPr>
        <w:ind w:left="360" w:hanging="360"/>
      </w:pPr>
      <w:rPr>
        <w:rFonts w:ascii="Symbol" w:hAnsi="Symbol" w:hint="default"/>
      </w:rPr>
    </w:lvl>
    <w:lvl w:ilvl="1" w:tplc="21A28A82">
      <w:start w:val="1"/>
      <w:numFmt w:val="bullet"/>
      <w:lvlText w:val="o"/>
      <w:lvlJc w:val="left"/>
      <w:pPr>
        <w:ind w:left="1080" w:hanging="360"/>
      </w:pPr>
      <w:rPr>
        <w:rFonts w:ascii="Courier New" w:hAnsi="Courier New" w:hint="default"/>
      </w:rPr>
    </w:lvl>
    <w:lvl w:ilvl="2" w:tplc="3932C456">
      <w:start w:val="1"/>
      <w:numFmt w:val="bullet"/>
      <w:lvlText w:val=""/>
      <w:lvlJc w:val="left"/>
      <w:pPr>
        <w:ind w:left="1800" w:hanging="360"/>
      </w:pPr>
      <w:rPr>
        <w:rFonts w:ascii="Wingdings" w:hAnsi="Wingdings" w:hint="default"/>
      </w:rPr>
    </w:lvl>
    <w:lvl w:ilvl="3" w:tplc="A8569F0A">
      <w:start w:val="1"/>
      <w:numFmt w:val="bullet"/>
      <w:lvlText w:val=""/>
      <w:lvlJc w:val="left"/>
      <w:pPr>
        <w:ind w:left="2520" w:hanging="360"/>
      </w:pPr>
      <w:rPr>
        <w:rFonts w:ascii="Symbol" w:hAnsi="Symbol" w:hint="default"/>
      </w:rPr>
    </w:lvl>
    <w:lvl w:ilvl="4" w:tplc="B1B63F8C">
      <w:start w:val="1"/>
      <w:numFmt w:val="bullet"/>
      <w:lvlText w:val="o"/>
      <w:lvlJc w:val="left"/>
      <w:pPr>
        <w:ind w:left="3240" w:hanging="360"/>
      </w:pPr>
      <w:rPr>
        <w:rFonts w:ascii="Courier New" w:hAnsi="Courier New" w:hint="default"/>
      </w:rPr>
    </w:lvl>
    <w:lvl w:ilvl="5" w:tplc="4538FE44">
      <w:start w:val="1"/>
      <w:numFmt w:val="bullet"/>
      <w:lvlText w:val=""/>
      <w:lvlJc w:val="left"/>
      <w:pPr>
        <w:ind w:left="3960" w:hanging="360"/>
      </w:pPr>
      <w:rPr>
        <w:rFonts w:ascii="Wingdings" w:hAnsi="Wingdings" w:hint="default"/>
      </w:rPr>
    </w:lvl>
    <w:lvl w:ilvl="6" w:tplc="1DE6869E">
      <w:start w:val="1"/>
      <w:numFmt w:val="bullet"/>
      <w:lvlText w:val=""/>
      <w:lvlJc w:val="left"/>
      <w:pPr>
        <w:ind w:left="4680" w:hanging="360"/>
      </w:pPr>
      <w:rPr>
        <w:rFonts w:ascii="Symbol" w:hAnsi="Symbol" w:hint="default"/>
      </w:rPr>
    </w:lvl>
    <w:lvl w:ilvl="7" w:tplc="EC168BCE">
      <w:start w:val="1"/>
      <w:numFmt w:val="bullet"/>
      <w:lvlText w:val="o"/>
      <w:lvlJc w:val="left"/>
      <w:pPr>
        <w:ind w:left="5400" w:hanging="360"/>
      </w:pPr>
      <w:rPr>
        <w:rFonts w:ascii="Courier New" w:hAnsi="Courier New" w:hint="default"/>
      </w:rPr>
    </w:lvl>
    <w:lvl w:ilvl="8" w:tplc="BFF80806">
      <w:start w:val="1"/>
      <w:numFmt w:val="bullet"/>
      <w:lvlText w:val=""/>
      <w:lvlJc w:val="left"/>
      <w:pPr>
        <w:ind w:left="6120" w:hanging="360"/>
      </w:pPr>
      <w:rPr>
        <w:rFonts w:ascii="Wingdings" w:hAnsi="Wingdings" w:hint="default"/>
      </w:rPr>
    </w:lvl>
  </w:abstractNum>
  <w:abstractNum w:abstractNumId="11" w15:restartNumberingAfterBreak="0">
    <w:nsid w:val="65042743"/>
    <w:multiLevelType w:val="hybridMultilevel"/>
    <w:tmpl w:val="D00044CE"/>
    <w:lvl w:ilvl="0" w:tplc="0F966362">
      <w:start w:val="1"/>
      <w:numFmt w:val="bullet"/>
      <w:lvlText w:val="-"/>
      <w:lvlJc w:val="left"/>
      <w:pPr>
        <w:ind w:left="720" w:hanging="360"/>
      </w:pPr>
      <w:rPr>
        <w:rFonts w:ascii="Aptos" w:hAnsi="Aptos" w:hint="default"/>
      </w:rPr>
    </w:lvl>
    <w:lvl w:ilvl="1" w:tplc="0CD232F2">
      <w:start w:val="1"/>
      <w:numFmt w:val="bullet"/>
      <w:lvlText w:val="o"/>
      <w:lvlJc w:val="left"/>
      <w:pPr>
        <w:ind w:left="1440" w:hanging="360"/>
      </w:pPr>
      <w:rPr>
        <w:rFonts w:ascii="Courier New" w:hAnsi="Courier New" w:hint="default"/>
      </w:rPr>
    </w:lvl>
    <w:lvl w:ilvl="2" w:tplc="D7707E9E">
      <w:start w:val="1"/>
      <w:numFmt w:val="bullet"/>
      <w:lvlText w:val=""/>
      <w:lvlJc w:val="left"/>
      <w:pPr>
        <w:ind w:left="2160" w:hanging="360"/>
      </w:pPr>
      <w:rPr>
        <w:rFonts w:ascii="Wingdings" w:hAnsi="Wingdings" w:hint="default"/>
      </w:rPr>
    </w:lvl>
    <w:lvl w:ilvl="3" w:tplc="F3CA3548">
      <w:start w:val="1"/>
      <w:numFmt w:val="bullet"/>
      <w:lvlText w:val=""/>
      <w:lvlJc w:val="left"/>
      <w:pPr>
        <w:ind w:left="2880" w:hanging="360"/>
      </w:pPr>
      <w:rPr>
        <w:rFonts w:ascii="Symbol" w:hAnsi="Symbol" w:hint="default"/>
      </w:rPr>
    </w:lvl>
    <w:lvl w:ilvl="4" w:tplc="57943560">
      <w:start w:val="1"/>
      <w:numFmt w:val="bullet"/>
      <w:lvlText w:val="o"/>
      <w:lvlJc w:val="left"/>
      <w:pPr>
        <w:ind w:left="3600" w:hanging="360"/>
      </w:pPr>
      <w:rPr>
        <w:rFonts w:ascii="Courier New" w:hAnsi="Courier New" w:hint="default"/>
      </w:rPr>
    </w:lvl>
    <w:lvl w:ilvl="5" w:tplc="1110DA80">
      <w:start w:val="1"/>
      <w:numFmt w:val="bullet"/>
      <w:lvlText w:val=""/>
      <w:lvlJc w:val="left"/>
      <w:pPr>
        <w:ind w:left="4320" w:hanging="360"/>
      </w:pPr>
      <w:rPr>
        <w:rFonts w:ascii="Wingdings" w:hAnsi="Wingdings" w:hint="default"/>
      </w:rPr>
    </w:lvl>
    <w:lvl w:ilvl="6" w:tplc="07B2A5A2">
      <w:start w:val="1"/>
      <w:numFmt w:val="bullet"/>
      <w:lvlText w:val=""/>
      <w:lvlJc w:val="left"/>
      <w:pPr>
        <w:ind w:left="5040" w:hanging="360"/>
      </w:pPr>
      <w:rPr>
        <w:rFonts w:ascii="Symbol" w:hAnsi="Symbol" w:hint="default"/>
      </w:rPr>
    </w:lvl>
    <w:lvl w:ilvl="7" w:tplc="AF04B39E">
      <w:start w:val="1"/>
      <w:numFmt w:val="bullet"/>
      <w:lvlText w:val="o"/>
      <w:lvlJc w:val="left"/>
      <w:pPr>
        <w:ind w:left="5760" w:hanging="360"/>
      </w:pPr>
      <w:rPr>
        <w:rFonts w:ascii="Courier New" w:hAnsi="Courier New" w:hint="default"/>
      </w:rPr>
    </w:lvl>
    <w:lvl w:ilvl="8" w:tplc="29D06DE0">
      <w:start w:val="1"/>
      <w:numFmt w:val="bullet"/>
      <w:lvlText w:val=""/>
      <w:lvlJc w:val="left"/>
      <w:pPr>
        <w:ind w:left="6480" w:hanging="360"/>
      </w:pPr>
      <w:rPr>
        <w:rFonts w:ascii="Wingdings" w:hAnsi="Wingdings" w:hint="default"/>
      </w:rPr>
    </w:lvl>
  </w:abstractNum>
  <w:abstractNum w:abstractNumId="12" w15:restartNumberingAfterBreak="0">
    <w:nsid w:val="669A5C1A"/>
    <w:multiLevelType w:val="hybridMultilevel"/>
    <w:tmpl w:val="0F6E29B8"/>
    <w:lvl w:ilvl="0" w:tplc="FB4646A6">
      <w:start w:val="1"/>
      <w:numFmt w:val="bullet"/>
      <w:lvlText w:val=""/>
      <w:lvlJc w:val="left"/>
      <w:pPr>
        <w:ind w:left="360" w:hanging="360"/>
      </w:pPr>
      <w:rPr>
        <w:rFonts w:ascii="Symbol" w:hAnsi="Symbol" w:hint="default"/>
      </w:rPr>
    </w:lvl>
    <w:lvl w:ilvl="1" w:tplc="BACA8ADE">
      <w:start w:val="1"/>
      <w:numFmt w:val="bullet"/>
      <w:lvlText w:val="o"/>
      <w:lvlJc w:val="left"/>
      <w:pPr>
        <w:ind w:left="1080" w:hanging="360"/>
      </w:pPr>
      <w:rPr>
        <w:rFonts w:ascii="Courier New" w:hAnsi="Courier New" w:hint="default"/>
      </w:rPr>
    </w:lvl>
    <w:lvl w:ilvl="2" w:tplc="F41C9458">
      <w:start w:val="1"/>
      <w:numFmt w:val="bullet"/>
      <w:lvlText w:val=""/>
      <w:lvlJc w:val="left"/>
      <w:pPr>
        <w:ind w:left="1800" w:hanging="360"/>
      </w:pPr>
      <w:rPr>
        <w:rFonts w:ascii="Wingdings" w:hAnsi="Wingdings" w:hint="default"/>
      </w:rPr>
    </w:lvl>
    <w:lvl w:ilvl="3" w:tplc="87D46392">
      <w:start w:val="1"/>
      <w:numFmt w:val="bullet"/>
      <w:lvlText w:val=""/>
      <w:lvlJc w:val="left"/>
      <w:pPr>
        <w:ind w:left="2520" w:hanging="360"/>
      </w:pPr>
      <w:rPr>
        <w:rFonts w:ascii="Symbol" w:hAnsi="Symbol" w:hint="default"/>
      </w:rPr>
    </w:lvl>
    <w:lvl w:ilvl="4" w:tplc="74FEBC50">
      <w:start w:val="1"/>
      <w:numFmt w:val="bullet"/>
      <w:lvlText w:val="o"/>
      <w:lvlJc w:val="left"/>
      <w:pPr>
        <w:ind w:left="3240" w:hanging="360"/>
      </w:pPr>
      <w:rPr>
        <w:rFonts w:ascii="Courier New" w:hAnsi="Courier New" w:hint="default"/>
      </w:rPr>
    </w:lvl>
    <w:lvl w:ilvl="5" w:tplc="E23802BE">
      <w:start w:val="1"/>
      <w:numFmt w:val="bullet"/>
      <w:lvlText w:val=""/>
      <w:lvlJc w:val="left"/>
      <w:pPr>
        <w:ind w:left="3960" w:hanging="360"/>
      </w:pPr>
      <w:rPr>
        <w:rFonts w:ascii="Wingdings" w:hAnsi="Wingdings" w:hint="default"/>
      </w:rPr>
    </w:lvl>
    <w:lvl w:ilvl="6" w:tplc="B286744C">
      <w:start w:val="1"/>
      <w:numFmt w:val="bullet"/>
      <w:lvlText w:val=""/>
      <w:lvlJc w:val="left"/>
      <w:pPr>
        <w:ind w:left="4680" w:hanging="360"/>
      </w:pPr>
      <w:rPr>
        <w:rFonts w:ascii="Symbol" w:hAnsi="Symbol" w:hint="default"/>
      </w:rPr>
    </w:lvl>
    <w:lvl w:ilvl="7" w:tplc="E578BE30">
      <w:start w:val="1"/>
      <w:numFmt w:val="bullet"/>
      <w:lvlText w:val="o"/>
      <w:lvlJc w:val="left"/>
      <w:pPr>
        <w:ind w:left="5400" w:hanging="360"/>
      </w:pPr>
      <w:rPr>
        <w:rFonts w:ascii="Courier New" w:hAnsi="Courier New" w:hint="default"/>
      </w:rPr>
    </w:lvl>
    <w:lvl w:ilvl="8" w:tplc="C11E135A">
      <w:start w:val="1"/>
      <w:numFmt w:val="bullet"/>
      <w:lvlText w:val=""/>
      <w:lvlJc w:val="left"/>
      <w:pPr>
        <w:ind w:left="6120" w:hanging="360"/>
      </w:pPr>
      <w:rPr>
        <w:rFonts w:ascii="Wingdings" w:hAnsi="Wingdings" w:hint="default"/>
      </w:rPr>
    </w:lvl>
  </w:abstractNum>
  <w:abstractNum w:abstractNumId="13" w15:restartNumberingAfterBreak="0">
    <w:nsid w:val="6958694B"/>
    <w:multiLevelType w:val="hybridMultilevel"/>
    <w:tmpl w:val="FFFFFFFF"/>
    <w:lvl w:ilvl="0" w:tplc="397A4D5E">
      <w:start w:val="1"/>
      <w:numFmt w:val="bullet"/>
      <w:lvlText w:val=""/>
      <w:lvlJc w:val="left"/>
      <w:pPr>
        <w:ind w:left="360" w:hanging="360"/>
      </w:pPr>
      <w:rPr>
        <w:rFonts w:ascii="Symbol" w:hAnsi="Symbol" w:hint="default"/>
      </w:rPr>
    </w:lvl>
    <w:lvl w:ilvl="1" w:tplc="8B4EBC3C">
      <w:start w:val="1"/>
      <w:numFmt w:val="bullet"/>
      <w:lvlText w:val="o"/>
      <w:lvlJc w:val="left"/>
      <w:pPr>
        <w:ind w:left="1080" w:hanging="360"/>
      </w:pPr>
      <w:rPr>
        <w:rFonts w:ascii="Courier New" w:hAnsi="Courier New" w:hint="default"/>
      </w:rPr>
    </w:lvl>
    <w:lvl w:ilvl="2" w:tplc="C5BAFBBE">
      <w:start w:val="1"/>
      <w:numFmt w:val="bullet"/>
      <w:lvlText w:val=""/>
      <w:lvlJc w:val="left"/>
      <w:pPr>
        <w:ind w:left="1800" w:hanging="360"/>
      </w:pPr>
      <w:rPr>
        <w:rFonts w:ascii="Wingdings" w:hAnsi="Wingdings" w:hint="default"/>
      </w:rPr>
    </w:lvl>
    <w:lvl w:ilvl="3" w:tplc="649ADF3A">
      <w:start w:val="1"/>
      <w:numFmt w:val="bullet"/>
      <w:lvlText w:val=""/>
      <w:lvlJc w:val="left"/>
      <w:pPr>
        <w:ind w:left="2520" w:hanging="360"/>
      </w:pPr>
      <w:rPr>
        <w:rFonts w:ascii="Symbol" w:hAnsi="Symbol" w:hint="default"/>
      </w:rPr>
    </w:lvl>
    <w:lvl w:ilvl="4" w:tplc="50EE1C78">
      <w:start w:val="1"/>
      <w:numFmt w:val="bullet"/>
      <w:lvlText w:val="o"/>
      <w:lvlJc w:val="left"/>
      <w:pPr>
        <w:ind w:left="3240" w:hanging="360"/>
      </w:pPr>
      <w:rPr>
        <w:rFonts w:ascii="Courier New" w:hAnsi="Courier New" w:hint="default"/>
      </w:rPr>
    </w:lvl>
    <w:lvl w:ilvl="5" w:tplc="82CE8370">
      <w:start w:val="1"/>
      <w:numFmt w:val="bullet"/>
      <w:lvlText w:val=""/>
      <w:lvlJc w:val="left"/>
      <w:pPr>
        <w:ind w:left="3960" w:hanging="360"/>
      </w:pPr>
      <w:rPr>
        <w:rFonts w:ascii="Wingdings" w:hAnsi="Wingdings" w:hint="default"/>
      </w:rPr>
    </w:lvl>
    <w:lvl w:ilvl="6" w:tplc="C234FB7E">
      <w:start w:val="1"/>
      <w:numFmt w:val="bullet"/>
      <w:lvlText w:val=""/>
      <w:lvlJc w:val="left"/>
      <w:pPr>
        <w:ind w:left="4680" w:hanging="360"/>
      </w:pPr>
      <w:rPr>
        <w:rFonts w:ascii="Symbol" w:hAnsi="Symbol" w:hint="default"/>
      </w:rPr>
    </w:lvl>
    <w:lvl w:ilvl="7" w:tplc="D20257D6">
      <w:start w:val="1"/>
      <w:numFmt w:val="bullet"/>
      <w:lvlText w:val="o"/>
      <w:lvlJc w:val="left"/>
      <w:pPr>
        <w:ind w:left="5400" w:hanging="360"/>
      </w:pPr>
      <w:rPr>
        <w:rFonts w:ascii="Courier New" w:hAnsi="Courier New" w:hint="default"/>
      </w:rPr>
    </w:lvl>
    <w:lvl w:ilvl="8" w:tplc="FE84AC0C">
      <w:start w:val="1"/>
      <w:numFmt w:val="bullet"/>
      <w:lvlText w:val=""/>
      <w:lvlJc w:val="left"/>
      <w:pPr>
        <w:ind w:left="6120" w:hanging="360"/>
      </w:pPr>
      <w:rPr>
        <w:rFonts w:ascii="Wingdings" w:hAnsi="Wingdings" w:hint="default"/>
      </w:rPr>
    </w:lvl>
  </w:abstractNum>
  <w:num w:numId="1" w16cid:durableId="162938695">
    <w:abstractNumId w:val="13"/>
  </w:num>
  <w:num w:numId="2" w16cid:durableId="642350493">
    <w:abstractNumId w:val="0"/>
  </w:num>
  <w:num w:numId="3" w16cid:durableId="1705060424">
    <w:abstractNumId w:val="11"/>
  </w:num>
  <w:num w:numId="4" w16cid:durableId="338895209">
    <w:abstractNumId w:val="8"/>
  </w:num>
  <w:num w:numId="5" w16cid:durableId="81415182">
    <w:abstractNumId w:val="4"/>
  </w:num>
  <w:num w:numId="6" w16cid:durableId="920872236">
    <w:abstractNumId w:val="2"/>
  </w:num>
  <w:num w:numId="7" w16cid:durableId="42801722">
    <w:abstractNumId w:val="3"/>
  </w:num>
  <w:num w:numId="8" w16cid:durableId="545801323">
    <w:abstractNumId w:val="10"/>
  </w:num>
  <w:num w:numId="9" w16cid:durableId="1883127351">
    <w:abstractNumId w:val="5"/>
  </w:num>
  <w:num w:numId="10" w16cid:durableId="2025397124">
    <w:abstractNumId w:val="12"/>
  </w:num>
  <w:num w:numId="11" w16cid:durableId="735052058">
    <w:abstractNumId w:val="1"/>
  </w:num>
  <w:num w:numId="12" w16cid:durableId="290677307">
    <w:abstractNumId w:val="9"/>
  </w:num>
  <w:num w:numId="13" w16cid:durableId="1938556679">
    <w:abstractNumId w:val="6"/>
  </w:num>
  <w:num w:numId="14" w16cid:durableId="15762091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ub Derulski">
    <w15:presenceInfo w15:providerId="None" w15:userId="Jakub Derul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785057"/>
    <w:rsid w:val="0000220C"/>
    <w:rsid w:val="00005231"/>
    <w:rsid w:val="0001758B"/>
    <w:rsid w:val="00022150"/>
    <w:rsid w:val="00025A53"/>
    <w:rsid w:val="00027122"/>
    <w:rsid w:val="00030353"/>
    <w:rsid w:val="00031CD2"/>
    <w:rsid w:val="0004389D"/>
    <w:rsid w:val="00056020"/>
    <w:rsid w:val="00067723"/>
    <w:rsid w:val="0007236B"/>
    <w:rsid w:val="0007631D"/>
    <w:rsid w:val="0008622A"/>
    <w:rsid w:val="000B5FBF"/>
    <w:rsid w:val="000B6003"/>
    <w:rsid w:val="000C4248"/>
    <w:rsid w:val="000D1D04"/>
    <w:rsid w:val="000D610E"/>
    <w:rsid w:val="000E4901"/>
    <w:rsid w:val="000E6E5F"/>
    <w:rsid w:val="000F4C20"/>
    <w:rsid w:val="000F54D9"/>
    <w:rsid w:val="000F5786"/>
    <w:rsid w:val="00100706"/>
    <w:rsid w:val="001013B1"/>
    <w:rsid w:val="00103E36"/>
    <w:rsid w:val="001148F6"/>
    <w:rsid w:val="00123158"/>
    <w:rsid w:val="00124F51"/>
    <w:rsid w:val="00127F5B"/>
    <w:rsid w:val="00133F13"/>
    <w:rsid w:val="00142D2F"/>
    <w:rsid w:val="00142DB3"/>
    <w:rsid w:val="00154937"/>
    <w:rsid w:val="001560CE"/>
    <w:rsid w:val="0015632C"/>
    <w:rsid w:val="001660A7"/>
    <w:rsid w:val="00166A39"/>
    <w:rsid w:val="00171734"/>
    <w:rsid w:val="001800CF"/>
    <w:rsid w:val="00180ED4"/>
    <w:rsid w:val="00184DBC"/>
    <w:rsid w:val="00185072"/>
    <w:rsid w:val="00192572"/>
    <w:rsid w:val="001946E5"/>
    <w:rsid w:val="00195015"/>
    <w:rsid w:val="00196681"/>
    <w:rsid w:val="001A4AD5"/>
    <w:rsid w:val="001A5923"/>
    <w:rsid w:val="001A5F4E"/>
    <w:rsid w:val="001A6937"/>
    <w:rsid w:val="001A79FC"/>
    <w:rsid w:val="001C07E7"/>
    <w:rsid w:val="001C498C"/>
    <w:rsid w:val="001D2B85"/>
    <w:rsid w:val="001D4199"/>
    <w:rsid w:val="001D6203"/>
    <w:rsid w:val="001E0761"/>
    <w:rsid w:val="002046FA"/>
    <w:rsid w:val="0020569F"/>
    <w:rsid w:val="002179C4"/>
    <w:rsid w:val="00226E25"/>
    <w:rsid w:val="00230F2C"/>
    <w:rsid w:val="00233482"/>
    <w:rsid w:val="00236054"/>
    <w:rsid w:val="00237881"/>
    <w:rsid w:val="00237E9A"/>
    <w:rsid w:val="002502BF"/>
    <w:rsid w:val="00252D07"/>
    <w:rsid w:val="00262004"/>
    <w:rsid w:val="00267524"/>
    <w:rsid w:val="002723A9"/>
    <w:rsid w:val="002747C5"/>
    <w:rsid w:val="00276FC3"/>
    <w:rsid w:val="0028118D"/>
    <w:rsid w:val="00286C9B"/>
    <w:rsid w:val="0029517D"/>
    <w:rsid w:val="002C072F"/>
    <w:rsid w:val="002C15C4"/>
    <w:rsid w:val="002C4719"/>
    <w:rsid w:val="002C540F"/>
    <w:rsid w:val="002D0199"/>
    <w:rsid w:val="002E300D"/>
    <w:rsid w:val="002E3866"/>
    <w:rsid w:val="002E3B74"/>
    <w:rsid w:val="002E6C2E"/>
    <w:rsid w:val="002F125F"/>
    <w:rsid w:val="002F3BC1"/>
    <w:rsid w:val="00303F59"/>
    <w:rsid w:val="003145E0"/>
    <w:rsid w:val="00323635"/>
    <w:rsid w:val="00327F91"/>
    <w:rsid w:val="0033315E"/>
    <w:rsid w:val="00334F99"/>
    <w:rsid w:val="00335F22"/>
    <w:rsid w:val="0034199D"/>
    <w:rsid w:val="00343D06"/>
    <w:rsid w:val="00343D28"/>
    <w:rsid w:val="00344668"/>
    <w:rsid w:val="0034F243"/>
    <w:rsid w:val="003513B5"/>
    <w:rsid w:val="003524F5"/>
    <w:rsid w:val="003548EC"/>
    <w:rsid w:val="00354E61"/>
    <w:rsid w:val="003566CD"/>
    <w:rsid w:val="00360B3B"/>
    <w:rsid w:val="00361A08"/>
    <w:rsid w:val="00366A12"/>
    <w:rsid w:val="0037355C"/>
    <w:rsid w:val="0037765D"/>
    <w:rsid w:val="00380334"/>
    <w:rsid w:val="00385137"/>
    <w:rsid w:val="003956DB"/>
    <w:rsid w:val="003A412E"/>
    <w:rsid w:val="003B6D42"/>
    <w:rsid w:val="003B72E0"/>
    <w:rsid w:val="003C2337"/>
    <w:rsid w:val="003D142D"/>
    <w:rsid w:val="003D1ABD"/>
    <w:rsid w:val="003D26AA"/>
    <w:rsid w:val="003E1A8E"/>
    <w:rsid w:val="003E3B63"/>
    <w:rsid w:val="003E52DC"/>
    <w:rsid w:val="003F6382"/>
    <w:rsid w:val="004020FA"/>
    <w:rsid w:val="0040676A"/>
    <w:rsid w:val="0041057C"/>
    <w:rsid w:val="004158B5"/>
    <w:rsid w:val="00422D73"/>
    <w:rsid w:val="00423E5F"/>
    <w:rsid w:val="00424B29"/>
    <w:rsid w:val="00426E48"/>
    <w:rsid w:val="00430504"/>
    <w:rsid w:val="00433F86"/>
    <w:rsid w:val="00440C43"/>
    <w:rsid w:val="00446894"/>
    <w:rsid w:val="0045005B"/>
    <w:rsid w:val="00453BB9"/>
    <w:rsid w:val="00455757"/>
    <w:rsid w:val="00466860"/>
    <w:rsid w:val="00476834"/>
    <w:rsid w:val="0047702D"/>
    <w:rsid w:val="0048199D"/>
    <w:rsid w:val="00484552"/>
    <w:rsid w:val="0048548C"/>
    <w:rsid w:val="004870D8"/>
    <w:rsid w:val="00492B20"/>
    <w:rsid w:val="004A583F"/>
    <w:rsid w:val="004B2736"/>
    <w:rsid w:val="004B5A7C"/>
    <w:rsid w:val="004C0D19"/>
    <w:rsid w:val="004C7E88"/>
    <w:rsid w:val="004D12B8"/>
    <w:rsid w:val="004D1FE1"/>
    <w:rsid w:val="004E4250"/>
    <w:rsid w:val="004E528F"/>
    <w:rsid w:val="004F62CD"/>
    <w:rsid w:val="005006EE"/>
    <w:rsid w:val="00503A77"/>
    <w:rsid w:val="0051311E"/>
    <w:rsid w:val="005202FC"/>
    <w:rsid w:val="00520923"/>
    <w:rsid w:val="00523FB3"/>
    <w:rsid w:val="00532300"/>
    <w:rsid w:val="005328CE"/>
    <w:rsid w:val="00533CE4"/>
    <w:rsid w:val="00534D17"/>
    <w:rsid w:val="00536816"/>
    <w:rsid w:val="0054545E"/>
    <w:rsid w:val="0054597A"/>
    <w:rsid w:val="0056065B"/>
    <w:rsid w:val="00561432"/>
    <w:rsid w:val="00561A6E"/>
    <w:rsid w:val="00563A34"/>
    <w:rsid w:val="00574B14"/>
    <w:rsid w:val="0058447D"/>
    <w:rsid w:val="0059004A"/>
    <w:rsid w:val="0059491E"/>
    <w:rsid w:val="00594B4A"/>
    <w:rsid w:val="005A16E9"/>
    <w:rsid w:val="005A7B3D"/>
    <w:rsid w:val="005B0DA2"/>
    <w:rsid w:val="005B338D"/>
    <w:rsid w:val="005C0A41"/>
    <w:rsid w:val="005C29CD"/>
    <w:rsid w:val="005C631F"/>
    <w:rsid w:val="005D5693"/>
    <w:rsid w:val="006018A4"/>
    <w:rsid w:val="006079C7"/>
    <w:rsid w:val="00607A4B"/>
    <w:rsid w:val="00612A45"/>
    <w:rsid w:val="00614F20"/>
    <w:rsid w:val="0065554D"/>
    <w:rsid w:val="00657C03"/>
    <w:rsid w:val="00660285"/>
    <w:rsid w:val="00660EB8"/>
    <w:rsid w:val="00662436"/>
    <w:rsid w:val="006644DF"/>
    <w:rsid w:val="00666B6D"/>
    <w:rsid w:val="00666F11"/>
    <w:rsid w:val="00670D80"/>
    <w:rsid w:val="00685FB0"/>
    <w:rsid w:val="0068719F"/>
    <w:rsid w:val="006912BE"/>
    <w:rsid w:val="0069250F"/>
    <w:rsid w:val="00693FB1"/>
    <w:rsid w:val="00694BCA"/>
    <w:rsid w:val="006A0400"/>
    <w:rsid w:val="006A7E9D"/>
    <w:rsid w:val="006B35A1"/>
    <w:rsid w:val="006C26B8"/>
    <w:rsid w:val="006D1765"/>
    <w:rsid w:val="006E1D93"/>
    <w:rsid w:val="006E2E64"/>
    <w:rsid w:val="006F2B3A"/>
    <w:rsid w:val="006F5E0D"/>
    <w:rsid w:val="006F6526"/>
    <w:rsid w:val="00700F8B"/>
    <w:rsid w:val="00713AAE"/>
    <w:rsid w:val="00715352"/>
    <w:rsid w:val="007155F7"/>
    <w:rsid w:val="00722E40"/>
    <w:rsid w:val="00734819"/>
    <w:rsid w:val="007422CD"/>
    <w:rsid w:val="00767A75"/>
    <w:rsid w:val="00777635"/>
    <w:rsid w:val="0078013C"/>
    <w:rsid w:val="00781DD7"/>
    <w:rsid w:val="00792889"/>
    <w:rsid w:val="00792B2F"/>
    <w:rsid w:val="00795E3C"/>
    <w:rsid w:val="007B28F4"/>
    <w:rsid w:val="007C1152"/>
    <w:rsid w:val="007C1C5E"/>
    <w:rsid w:val="007C2470"/>
    <w:rsid w:val="007D0E1A"/>
    <w:rsid w:val="007D4D8D"/>
    <w:rsid w:val="007D5E7F"/>
    <w:rsid w:val="007E2FED"/>
    <w:rsid w:val="007E5D5C"/>
    <w:rsid w:val="007F0F05"/>
    <w:rsid w:val="007F6DE7"/>
    <w:rsid w:val="007F7788"/>
    <w:rsid w:val="008064AE"/>
    <w:rsid w:val="00811031"/>
    <w:rsid w:val="008138B5"/>
    <w:rsid w:val="008173F9"/>
    <w:rsid w:val="00826A21"/>
    <w:rsid w:val="0082788E"/>
    <w:rsid w:val="00831EEF"/>
    <w:rsid w:val="0083711A"/>
    <w:rsid w:val="00837395"/>
    <w:rsid w:val="00840934"/>
    <w:rsid w:val="00841018"/>
    <w:rsid w:val="00842D23"/>
    <w:rsid w:val="008510C8"/>
    <w:rsid w:val="00890126"/>
    <w:rsid w:val="00894070"/>
    <w:rsid w:val="00894BDC"/>
    <w:rsid w:val="008A3078"/>
    <w:rsid w:val="008A65D7"/>
    <w:rsid w:val="008A6D16"/>
    <w:rsid w:val="008A7547"/>
    <w:rsid w:val="008B66B1"/>
    <w:rsid w:val="008C2284"/>
    <w:rsid w:val="008C3550"/>
    <w:rsid w:val="008D3E65"/>
    <w:rsid w:val="008F03E1"/>
    <w:rsid w:val="00907C01"/>
    <w:rsid w:val="0091085A"/>
    <w:rsid w:val="00912088"/>
    <w:rsid w:val="00930413"/>
    <w:rsid w:val="00930E97"/>
    <w:rsid w:val="00933131"/>
    <w:rsid w:val="00951D35"/>
    <w:rsid w:val="009522C3"/>
    <w:rsid w:val="00952615"/>
    <w:rsid w:val="009538B4"/>
    <w:rsid w:val="009572B1"/>
    <w:rsid w:val="00963332"/>
    <w:rsid w:val="0097543F"/>
    <w:rsid w:val="0097564E"/>
    <w:rsid w:val="00981D66"/>
    <w:rsid w:val="00986366"/>
    <w:rsid w:val="009947E8"/>
    <w:rsid w:val="009A0031"/>
    <w:rsid w:val="009A3C94"/>
    <w:rsid w:val="009A5776"/>
    <w:rsid w:val="009B70CF"/>
    <w:rsid w:val="009C1E30"/>
    <w:rsid w:val="009D61C1"/>
    <w:rsid w:val="009E49A6"/>
    <w:rsid w:val="009F2C09"/>
    <w:rsid w:val="009F2E8A"/>
    <w:rsid w:val="009F6B03"/>
    <w:rsid w:val="00A05856"/>
    <w:rsid w:val="00A10B7B"/>
    <w:rsid w:val="00A15F2D"/>
    <w:rsid w:val="00A221A2"/>
    <w:rsid w:val="00A25747"/>
    <w:rsid w:val="00A31BDD"/>
    <w:rsid w:val="00A32951"/>
    <w:rsid w:val="00A348B7"/>
    <w:rsid w:val="00A35188"/>
    <w:rsid w:val="00A3653A"/>
    <w:rsid w:val="00A45DC5"/>
    <w:rsid w:val="00A469E8"/>
    <w:rsid w:val="00A604C4"/>
    <w:rsid w:val="00A60847"/>
    <w:rsid w:val="00A64368"/>
    <w:rsid w:val="00A66FE1"/>
    <w:rsid w:val="00A76096"/>
    <w:rsid w:val="00AA0FD5"/>
    <w:rsid w:val="00AA1DED"/>
    <w:rsid w:val="00AA4E8F"/>
    <w:rsid w:val="00AB2C57"/>
    <w:rsid w:val="00AB735E"/>
    <w:rsid w:val="00AC0B3E"/>
    <w:rsid w:val="00AC24B6"/>
    <w:rsid w:val="00AC6AE2"/>
    <w:rsid w:val="00AD1062"/>
    <w:rsid w:val="00AD2E4D"/>
    <w:rsid w:val="00AD6268"/>
    <w:rsid w:val="00AE373F"/>
    <w:rsid w:val="00AF0141"/>
    <w:rsid w:val="00AF470B"/>
    <w:rsid w:val="00AF4ACD"/>
    <w:rsid w:val="00B02D2D"/>
    <w:rsid w:val="00B060D1"/>
    <w:rsid w:val="00B06301"/>
    <w:rsid w:val="00B10887"/>
    <w:rsid w:val="00B12DF8"/>
    <w:rsid w:val="00B13D96"/>
    <w:rsid w:val="00B17E8C"/>
    <w:rsid w:val="00B21111"/>
    <w:rsid w:val="00B235AF"/>
    <w:rsid w:val="00B24FFE"/>
    <w:rsid w:val="00B26C4C"/>
    <w:rsid w:val="00B3396F"/>
    <w:rsid w:val="00B369D2"/>
    <w:rsid w:val="00B375BE"/>
    <w:rsid w:val="00B41EAB"/>
    <w:rsid w:val="00B4364F"/>
    <w:rsid w:val="00B511D8"/>
    <w:rsid w:val="00B53C07"/>
    <w:rsid w:val="00B70335"/>
    <w:rsid w:val="00B8017E"/>
    <w:rsid w:val="00B937DA"/>
    <w:rsid w:val="00B95C0C"/>
    <w:rsid w:val="00BA1928"/>
    <w:rsid w:val="00BA1A53"/>
    <w:rsid w:val="00BA2D7B"/>
    <w:rsid w:val="00BA2EA0"/>
    <w:rsid w:val="00BA3ADB"/>
    <w:rsid w:val="00BA501E"/>
    <w:rsid w:val="00BA5656"/>
    <w:rsid w:val="00BA6316"/>
    <w:rsid w:val="00BC2243"/>
    <w:rsid w:val="00BD1D14"/>
    <w:rsid w:val="00BF2BDC"/>
    <w:rsid w:val="00C0131F"/>
    <w:rsid w:val="00C0134E"/>
    <w:rsid w:val="00C03DC0"/>
    <w:rsid w:val="00C049E3"/>
    <w:rsid w:val="00C058E8"/>
    <w:rsid w:val="00C11BB7"/>
    <w:rsid w:val="00C21F34"/>
    <w:rsid w:val="00C27226"/>
    <w:rsid w:val="00C3633A"/>
    <w:rsid w:val="00C4096A"/>
    <w:rsid w:val="00C4396C"/>
    <w:rsid w:val="00C54CE0"/>
    <w:rsid w:val="00C64553"/>
    <w:rsid w:val="00C704CD"/>
    <w:rsid w:val="00C708FC"/>
    <w:rsid w:val="00C70FA4"/>
    <w:rsid w:val="00C72976"/>
    <w:rsid w:val="00C743B5"/>
    <w:rsid w:val="00C75A08"/>
    <w:rsid w:val="00C77941"/>
    <w:rsid w:val="00C808B6"/>
    <w:rsid w:val="00C82C64"/>
    <w:rsid w:val="00C83302"/>
    <w:rsid w:val="00C96AA7"/>
    <w:rsid w:val="00CA55F5"/>
    <w:rsid w:val="00CA728F"/>
    <w:rsid w:val="00CB26B9"/>
    <w:rsid w:val="00CC5D5F"/>
    <w:rsid w:val="00CD27C3"/>
    <w:rsid w:val="00CD2CA6"/>
    <w:rsid w:val="00CD4ECE"/>
    <w:rsid w:val="00CD5A78"/>
    <w:rsid w:val="00CF1DC2"/>
    <w:rsid w:val="00CF2ED6"/>
    <w:rsid w:val="00CF5A99"/>
    <w:rsid w:val="00D00C94"/>
    <w:rsid w:val="00D022B6"/>
    <w:rsid w:val="00D11AB9"/>
    <w:rsid w:val="00D1653E"/>
    <w:rsid w:val="00D25CCF"/>
    <w:rsid w:val="00D2664D"/>
    <w:rsid w:val="00D26E5F"/>
    <w:rsid w:val="00D31342"/>
    <w:rsid w:val="00D3180C"/>
    <w:rsid w:val="00D33CDD"/>
    <w:rsid w:val="00D34735"/>
    <w:rsid w:val="00D55BA4"/>
    <w:rsid w:val="00D57871"/>
    <w:rsid w:val="00D7298F"/>
    <w:rsid w:val="00D75506"/>
    <w:rsid w:val="00D84E4D"/>
    <w:rsid w:val="00D87D91"/>
    <w:rsid w:val="00D92B57"/>
    <w:rsid w:val="00D93F45"/>
    <w:rsid w:val="00D95440"/>
    <w:rsid w:val="00DA2FDE"/>
    <w:rsid w:val="00DA7607"/>
    <w:rsid w:val="00DB3CD4"/>
    <w:rsid w:val="00DB5A49"/>
    <w:rsid w:val="00DB648E"/>
    <w:rsid w:val="00DC6284"/>
    <w:rsid w:val="00DCADBF"/>
    <w:rsid w:val="00DD188D"/>
    <w:rsid w:val="00DD2124"/>
    <w:rsid w:val="00DD21B4"/>
    <w:rsid w:val="00DD72A8"/>
    <w:rsid w:val="00DE166C"/>
    <w:rsid w:val="00DE49A5"/>
    <w:rsid w:val="00DF2063"/>
    <w:rsid w:val="00DF43D2"/>
    <w:rsid w:val="00DF5B4A"/>
    <w:rsid w:val="00E004A7"/>
    <w:rsid w:val="00E05473"/>
    <w:rsid w:val="00E066C3"/>
    <w:rsid w:val="00E11E27"/>
    <w:rsid w:val="00E1665B"/>
    <w:rsid w:val="00E1787E"/>
    <w:rsid w:val="00E21BA1"/>
    <w:rsid w:val="00E301F9"/>
    <w:rsid w:val="00E41AD3"/>
    <w:rsid w:val="00E47B58"/>
    <w:rsid w:val="00E52633"/>
    <w:rsid w:val="00E56710"/>
    <w:rsid w:val="00E56EED"/>
    <w:rsid w:val="00E57AEF"/>
    <w:rsid w:val="00E57FD5"/>
    <w:rsid w:val="00E61D4A"/>
    <w:rsid w:val="00E622C0"/>
    <w:rsid w:val="00E62C42"/>
    <w:rsid w:val="00E64CF8"/>
    <w:rsid w:val="00E72264"/>
    <w:rsid w:val="00E7699A"/>
    <w:rsid w:val="00E76F6C"/>
    <w:rsid w:val="00E77FA5"/>
    <w:rsid w:val="00E80C6F"/>
    <w:rsid w:val="00E911EA"/>
    <w:rsid w:val="00E92645"/>
    <w:rsid w:val="00E959AE"/>
    <w:rsid w:val="00E97205"/>
    <w:rsid w:val="00E97E6A"/>
    <w:rsid w:val="00EA1C3D"/>
    <w:rsid w:val="00EA78E3"/>
    <w:rsid w:val="00EB1100"/>
    <w:rsid w:val="00EB3B48"/>
    <w:rsid w:val="00EC3765"/>
    <w:rsid w:val="00EC6EDB"/>
    <w:rsid w:val="00ED0F13"/>
    <w:rsid w:val="00ED78F3"/>
    <w:rsid w:val="00EE08F2"/>
    <w:rsid w:val="00EE2AB1"/>
    <w:rsid w:val="00EF7722"/>
    <w:rsid w:val="00F027FC"/>
    <w:rsid w:val="00F038AE"/>
    <w:rsid w:val="00F17946"/>
    <w:rsid w:val="00F22E7E"/>
    <w:rsid w:val="00F231C9"/>
    <w:rsid w:val="00F25F2D"/>
    <w:rsid w:val="00F263D7"/>
    <w:rsid w:val="00F30D7C"/>
    <w:rsid w:val="00F40F05"/>
    <w:rsid w:val="00F43101"/>
    <w:rsid w:val="00F50923"/>
    <w:rsid w:val="00F514CF"/>
    <w:rsid w:val="00F534FA"/>
    <w:rsid w:val="00F605E8"/>
    <w:rsid w:val="00F61395"/>
    <w:rsid w:val="00F6158A"/>
    <w:rsid w:val="00F63712"/>
    <w:rsid w:val="00F654DA"/>
    <w:rsid w:val="00F65C89"/>
    <w:rsid w:val="00F70271"/>
    <w:rsid w:val="00F73307"/>
    <w:rsid w:val="00F74F84"/>
    <w:rsid w:val="00F77087"/>
    <w:rsid w:val="00F77C84"/>
    <w:rsid w:val="00F81E46"/>
    <w:rsid w:val="00F83C98"/>
    <w:rsid w:val="00F84FD9"/>
    <w:rsid w:val="00F92548"/>
    <w:rsid w:val="00F96C9F"/>
    <w:rsid w:val="00FA5DE7"/>
    <w:rsid w:val="00FB0684"/>
    <w:rsid w:val="00FB3A1F"/>
    <w:rsid w:val="00FD3617"/>
    <w:rsid w:val="00FD3E3A"/>
    <w:rsid w:val="00FD4FD5"/>
    <w:rsid w:val="00FD73E3"/>
    <w:rsid w:val="00FE3B76"/>
    <w:rsid w:val="00FE48E3"/>
    <w:rsid w:val="00FF13D3"/>
    <w:rsid w:val="00FF5528"/>
    <w:rsid w:val="00FF72A2"/>
    <w:rsid w:val="01045326"/>
    <w:rsid w:val="0104B932"/>
    <w:rsid w:val="0107EBFC"/>
    <w:rsid w:val="01162602"/>
    <w:rsid w:val="01217E68"/>
    <w:rsid w:val="013951DC"/>
    <w:rsid w:val="0144DBD1"/>
    <w:rsid w:val="017C1485"/>
    <w:rsid w:val="01BBD4C2"/>
    <w:rsid w:val="020A988A"/>
    <w:rsid w:val="022FD200"/>
    <w:rsid w:val="02343689"/>
    <w:rsid w:val="02545811"/>
    <w:rsid w:val="0267C160"/>
    <w:rsid w:val="026B8C3E"/>
    <w:rsid w:val="02848A0E"/>
    <w:rsid w:val="029E79AD"/>
    <w:rsid w:val="02AA325F"/>
    <w:rsid w:val="02BD11B9"/>
    <w:rsid w:val="02E90810"/>
    <w:rsid w:val="031C1E42"/>
    <w:rsid w:val="032B7C32"/>
    <w:rsid w:val="03C6166E"/>
    <w:rsid w:val="03E83EF5"/>
    <w:rsid w:val="03EA056E"/>
    <w:rsid w:val="04013B7C"/>
    <w:rsid w:val="043CE9F1"/>
    <w:rsid w:val="0476A317"/>
    <w:rsid w:val="0476AAB3"/>
    <w:rsid w:val="048C4915"/>
    <w:rsid w:val="04B15865"/>
    <w:rsid w:val="04B86216"/>
    <w:rsid w:val="04CFACB2"/>
    <w:rsid w:val="0510A95D"/>
    <w:rsid w:val="0535925D"/>
    <w:rsid w:val="053847D6"/>
    <w:rsid w:val="056F2FAF"/>
    <w:rsid w:val="058F66A2"/>
    <w:rsid w:val="05AB8B99"/>
    <w:rsid w:val="05B22A54"/>
    <w:rsid w:val="05BCFB98"/>
    <w:rsid w:val="05CDDF70"/>
    <w:rsid w:val="05E999F3"/>
    <w:rsid w:val="05F71E29"/>
    <w:rsid w:val="06082178"/>
    <w:rsid w:val="06105451"/>
    <w:rsid w:val="0610E787"/>
    <w:rsid w:val="06121E25"/>
    <w:rsid w:val="0644ADD4"/>
    <w:rsid w:val="0651B360"/>
    <w:rsid w:val="06526F37"/>
    <w:rsid w:val="06AFF150"/>
    <w:rsid w:val="06E302A4"/>
    <w:rsid w:val="06F58740"/>
    <w:rsid w:val="06FC0DC6"/>
    <w:rsid w:val="0735E177"/>
    <w:rsid w:val="073D5D95"/>
    <w:rsid w:val="077BCC9B"/>
    <w:rsid w:val="07BC8D5A"/>
    <w:rsid w:val="07FEE3E2"/>
    <w:rsid w:val="080E7BDE"/>
    <w:rsid w:val="0818296B"/>
    <w:rsid w:val="086F2E0E"/>
    <w:rsid w:val="08C42ADA"/>
    <w:rsid w:val="08D86449"/>
    <w:rsid w:val="08E25B97"/>
    <w:rsid w:val="08EF14D4"/>
    <w:rsid w:val="08F820CD"/>
    <w:rsid w:val="09582ED6"/>
    <w:rsid w:val="0989884B"/>
    <w:rsid w:val="098A3DF2"/>
    <w:rsid w:val="09CFE36B"/>
    <w:rsid w:val="09DBFD88"/>
    <w:rsid w:val="0A13B57A"/>
    <w:rsid w:val="0A1580B4"/>
    <w:rsid w:val="0A1D4196"/>
    <w:rsid w:val="0A3794B4"/>
    <w:rsid w:val="0A5C6C6E"/>
    <w:rsid w:val="0AE4BE70"/>
    <w:rsid w:val="0B0A0366"/>
    <w:rsid w:val="0B10A499"/>
    <w:rsid w:val="0B1E8B85"/>
    <w:rsid w:val="0B2B2299"/>
    <w:rsid w:val="0B452289"/>
    <w:rsid w:val="0B575B4A"/>
    <w:rsid w:val="0B645FF5"/>
    <w:rsid w:val="0B707F68"/>
    <w:rsid w:val="0B7A328E"/>
    <w:rsid w:val="0B8BE42B"/>
    <w:rsid w:val="0BE67E84"/>
    <w:rsid w:val="0BFEE905"/>
    <w:rsid w:val="0C1F2096"/>
    <w:rsid w:val="0C381AE7"/>
    <w:rsid w:val="0CA1F1A6"/>
    <w:rsid w:val="0CE7B743"/>
    <w:rsid w:val="0CFA776C"/>
    <w:rsid w:val="0D0BA96D"/>
    <w:rsid w:val="0D188551"/>
    <w:rsid w:val="0D4BC959"/>
    <w:rsid w:val="0D598FD1"/>
    <w:rsid w:val="0D8D6806"/>
    <w:rsid w:val="0DE1970D"/>
    <w:rsid w:val="0DE6666A"/>
    <w:rsid w:val="0E2BBCDC"/>
    <w:rsid w:val="0E46D33B"/>
    <w:rsid w:val="0EA13684"/>
    <w:rsid w:val="0EC518CD"/>
    <w:rsid w:val="0ECBB3AA"/>
    <w:rsid w:val="0ED042FB"/>
    <w:rsid w:val="0F024F5C"/>
    <w:rsid w:val="0F39B5E3"/>
    <w:rsid w:val="0F7B3420"/>
    <w:rsid w:val="0FBA8906"/>
    <w:rsid w:val="0FE6F8F0"/>
    <w:rsid w:val="0FFD47E4"/>
    <w:rsid w:val="100628EF"/>
    <w:rsid w:val="1063499D"/>
    <w:rsid w:val="106FE42B"/>
    <w:rsid w:val="108F7C6A"/>
    <w:rsid w:val="10A46620"/>
    <w:rsid w:val="10A730A6"/>
    <w:rsid w:val="10C1D714"/>
    <w:rsid w:val="10C8B8FC"/>
    <w:rsid w:val="110949F2"/>
    <w:rsid w:val="1116D316"/>
    <w:rsid w:val="114CA73E"/>
    <w:rsid w:val="115A8585"/>
    <w:rsid w:val="117850F4"/>
    <w:rsid w:val="117BFFEA"/>
    <w:rsid w:val="11850846"/>
    <w:rsid w:val="11B64A82"/>
    <w:rsid w:val="11C89B08"/>
    <w:rsid w:val="12342448"/>
    <w:rsid w:val="1238927F"/>
    <w:rsid w:val="126F04BC"/>
    <w:rsid w:val="1270DCE6"/>
    <w:rsid w:val="12CC4BD1"/>
    <w:rsid w:val="12D8F03B"/>
    <w:rsid w:val="12ECC128"/>
    <w:rsid w:val="13338682"/>
    <w:rsid w:val="1336C0EE"/>
    <w:rsid w:val="13568F03"/>
    <w:rsid w:val="1359AB56"/>
    <w:rsid w:val="13A0A0F1"/>
    <w:rsid w:val="13B1E2F9"/>
    <w:rsid w:val="13B8C388"/>
    <w:rsid w:val="13C56711"/>
    <w:rsid w:val="13CA562C"/>
    <w:rsid w:val="13EE2B19"/>
    <w:rsid w:val="13F41D8F"/>
    <w:rsid w:val="13FAD361"/>
    <w:rsid w:val="144052EF"/>
    <w:rsid w:val="144494B3"/>
    <w:rsid w:val="148A346A"/>
    <w:rsid w:val="14C66884"/>
    <w:rsid w:val="14E05E7B"/>
    <w:rsid w:val="152567D7"/>
    <w:rsid w:val="1587FF2B"/>
    <w:rsid w:val="158967E1"/>
    <w:rsid w:val="15A57801"/>
    <w:rsid w:val="15CDE0CC"/>
    <w:rsid w:val="15F47E08"/>
    <w:rsid w:val="16045DF9"/>
    <w:rsid w:val="162727C9"/>
    <w:rsid w:val="162BAF18"/>
    <w:rsid w:val="163663F7"/>
    <w:rsid w:val="167FDE63"/>
    <w:rsid w:val="1694E975"/>
    <w:rsid w:val="169655AA"/>
    <w:rsid w:val="16BC98D4"/>
    <w:rsid w:val="17012B77"/>
    <w:rsid w:val="172DE914"/>
    <w:rsid w:val="176D0C39"/>
    <w:rsid w:val="1778D540"/>
    <w:rsid w:val="17B2E0BD"/>
    <w:rsid w:val="17B7C892"/>
    <w:rsid w:val="17E934EB"/>
    <w:rsid w:val="17F73589"/>
    <w:rsid w:val="184AA2D3"/>
    <w:rsid w:val="185B9B51"/>
    <w:rsid w:val="18F4CF59"/>
    <w:rsid w:val="19137319"/>
    <w:rsid w:val="1941C0C9"/>
    <w:rsid w:val="197D7E1A"/>
    <w:rsid w:val="19DC5D44"/>
    <w:rsid w:val="1ABEA4FF"/>
    <w:rsid w:val="1AD35E03"/>
    <w:rsid w:val="1AE0C265"/>
    <w:rsid w:val="1AF391CF"/>
    <w:rsid w:val="1AF56DD0"/>
    <w:rsid w:val="1B16293A"/>
    <w:rsid w:val="1B481AF0"/>
    <w:rsid w:val="1B752060"/>
    <w:rsid w:val="1BA3C08B"/>
    <w:rsid w:val="1BD190A5"/>
    <w:rsid w:val="1BD1BC18"/>
    <w:rsid w:val="1BE980DC"/>
    <w:rsid w:val="1C10EAF1"/>
    <w:rsid w:val="1C18FD6B"/>
    <w:rsid w:val="1C2BAE78"/>
    <w:rsid w:val="1C5FC5D4"/>
    <w:rsid w:val="1C66A9DB"/>
    <w:rsid w:val="1C9D21FD"/>
    <w:rsid w:val="1CADFDF8"/>
    <w:rsid w:val="1CB64BBA"/>
    <w:rsid w:val="1CCC596D"/>
    <w:rsid w:val="1CCF9AB2"/>
    <w:rsid w:val="1D33B7CF"/>
    <w:rsid w:val="1D7984AB"/>
    <w:rsid w:val="1D8E29A0"/>
    <w:rsid w:val="1DD7B363"/>
    <w:rsid w:val="1DE642B6"/>
    <w:rsid w:val="1DEE837D"/>
    <w:rsid w:val="1E09EE92"/>
    <w:rsid w:val="1E2C90B5"/>
    <w:rsid w:val="1E6594EE"/>
    <w:rsid w:val="1E9A9362"/>
    <w:rsid w:val="1EDE4AD2"/>
    <w:rsid w:val="1EDECCF5"/>
    <w:rsid w:val="1EE72DBB"/>
    <w:rsid w:val="1EFAE1CA"/>
    <w:rsid w:val="1EFEC033"/>
    <w:rsid w:val="1F3F6CFD"/>
    <w:rsid w:val="1F4DAC93"/>
    <w:rsid w:val="1F6D837A"/>
    <w:rsid w:val="1F7AF280"/>
    <w:rsid w:val="1FBFEFE5"/>
    <w:rsid w:val="1FC1822D"/>
    <w:rsid w:val="1FE232AA"/>
    <w:rsid w:val="1FF580EA"/>
    <w:rsid w:val="203D0936"/>
    <w:rsid w:val="2041932B"/>
    <w:rsid w:val="204AFEA7"/>
    <w:rsid w:val="20887A56"/>
    <w:rsid w:val="2092636C"/>
    <w:rsid w:val="20AF3B51"/>
    <w:rsid w:val="20B9E9C6"/>
    <w:rsid w:val="20D714DC"/>
    <w:rsid w:val="20F41027"/>
    <w:rsid w:val="2122D0AC"/>
    <w:rsid w:val="2156A1FF"/>
    <w:rsid w:val="215D42B4"/>
    <w:rsid w:val="215ED6A7"/>
    <w:rsid w:val="216F80D1"/>
    <w:rsid w:val="21783DB0"/>
    <w:rsid w:val="21BE0979"/>
    <w:rsid w:val="21C2AAEA"/>
    <w:rsid w:val="21CA3FC8"/>
    <w:rsid w:val="21CD9311"/>
    <w:rsid w:val="21E6B153"/>
    <w:rsid w:val="21F0A4A4"/>
    <w:rsid w:val="21FE0D03"/>
    <w:rsid w:val="221A6F5D"/>
    <w:rsid w:val="22385F10"/>
    <w:rsid w:val="225F6615"/>
    <w:rsid w:val="22670AFC"/>
    <w:rsid w:val="22804A69"/>
    <w:rsid w:val="228E119F"/>
    <w:rsid w:val="22A82D9F"/>
    <w:rsid w:val="22CD43DB"/>
    <w:rsid w:val="22E02C1E"/>
    <w:rsid w:val="22E9033B"/>
    <w:rsid w:val="22F8064B"/>
    <w:rsid w:val="23530FF7"/>
    <w:rsid w:val="235F6C11"/>
    <w:rsid w:val="2376587D"/>
    <w:rsid w:val="23B03540"/>
    <w:rsid w:val="23B417B2"/>
    <w:rsid w:val="23D02AA8"/>
    <w:rsid w:val="23E2038B"/>
    <w:rsid w:val="23F770B4"/>
    <w:rsid w:val="23F8E74C"/>
    <w:rsid w:val="240B7768"/>
    <w:rsid w:val="24103E95"/>
    <w:rsid w:val="243E5383"/>
    <w:rsid w:val="24466747"/>
    <w:rsid w:val="24537B9E"/>
    <w:rsid w:val="2478B230"/>
    <w:rsid w:val="24A550C9"/>
    <w:rsid w:val="24B75F5A"/>
    <w:rsid w:val="24C8055B"/>
    <w:rsid w:val="25344F76"/>
    <w:rsid w:val="253EA204"/>
    <w:rsid w:val="25767D65"/>
    <w:rsid w:val="259F661E"/>
    <w:rsid w:val="25B3FBEF"/>
    <w:rsid w:val="25E134A0"/>
    <w:rsid w:val="262F4A80"/>
    <w:rsid w:val="26824B52"/>
    <w:rsid w:val="268A7675"/>
    <w:rsid w:val="2694244B"/>
    <w:rsid w:val="269C95BB"/>
    <w:rsid w:val="26B1F89B"/>
    <w:rsid w:val="26C7A63B"/>
    <w:rsid w:val="26FA33A2"/>
    <w:rsid w:val="270E6752"/>
    <w:rsid w:val="2732904F"/>
    <w:rsid w:val="2748D0E2"/>
    <w:rsid w:val="27638F44"/>
    <w:rsid w:val="2799C7AD"/>
    <w:rsid w:val="279EEC7F"/>
    <w:rsid w:val="27C9FD3A"/>
    <w:rsid w:val="2811EEAC"/>
    <w:rsid w:val="281DE2CC"/>
    <w:rsid w:val="2841E491"/>
    <w:rsid w:val="2853217A"/>
    <w:rsid w:val="28609955"/>
    <w:rsid w:val="286DFFA3"/>
    <w:rsid w:val="28831C2E"/>
    <w:rsid w:val="2896A1D4"/>
    <w:rsid w:val="28FB52A3"/>
    <w:rsid w:val="291904C4"/>
    <w:rsid w:val="29320D38"/>
    <w:rsid w:val="29521156"/>
    <w:rsid w:val="2988C21D"/>
    <w:rsid w:val="29A4EF8F"/>
    <w:rsid w:val="29C2C57B"/>
    <w:rsid w:val="29C4BCCF"/>
    <w:rsid w:val="29FFA40F"/>
    <w:rsid w:val="2AA9BE9E"/>
    <w:rsid w:val="2AB73F46"/>
    <w:rsid w:val="2AC06D06"/>
    <w:rsid w:val="2B1E60FC"/>
    <w:rsid w:val="2B2E9C75"/>
    <w:rsid w:val="2B4710E6"/>
    <w:rsid w:val="2B4C2F40"/>
    <w:rsid w:val="2B6C7BFA"/>
    <w:rsid w:val="2B76098D"/>
    <w:rsid w:val="2B80F68E"/>
    <w:rsid w:val="2BA8BECC"/>
    <w:rsid w:val="2BAC289B"/>
    <w:rsid w:val="2BC56060"/>
    <w:rsid w:val="2BF190C9"/>
    <w:rsid w:val="2BF938CB"/>
    <w:rsid w:val="2C234953"/>
    <w:rsid w:val="2C5CC9EB"/>
    <w:rsid w:val="2C6356C1"/>
    <w:rsid w:val="2C78E0C0"/>
    <w:rsid w:val="2C7DD05C"/>
    <w:rsid w:val="2C86DD97"/>
    <w:rsid w:val="2CA41A6E"/>
    <w:rsid w:val="2CB022A5"/>
    <w:rsid w:val="2CB44000"/>
    <w:rsid w:val="2CB69E22"/>
    <w:rsid w:val="2CB6ECA1"/>
    <w:rsid w:val="2CD9FCAF"/>
    <w:rsid w:val="2CE40320"/>
    <w:rsid w:val="2D147922"/>
    <w:rsid w:val="2D15657D"/>
    <w:rsid w:val="2D2AC575"/>
    <w:rsid w:val="2D3A4E7B"/>
    <w:rsid w:val="2D40A506"/>
    <w:rsid w:val="2DD931FA"/>
    <w:rsid w:val="2E098200"/>
    <w:rsid w:val="2E09A83D"/>
    <w:rsid w:val="2E11F631"/>
    <w:rsid w:val="2E4D96BD"/>
    <w:rsid w:val="2E5044D1"/>
    <w:rsid w:val="2E56F035"/>
    <w:rsid w:val="2E7A6F1C"/>
    <w:rsid w:val="2E9DBB8A"/>
    <w:rsid w:val="2EBEBC9E"/>
    <w:rsid w:val="2EC28137"/>
    <w:rsid w:val="2ECA7BDC"/>
    <w:rsid w:val="2EEB87B4"/>
    <w:rsid w:val="2EFD9FF1"/>
    <w:rsid w:val="2F07A4F7"/>
    <w:rsid w:val="2F169AD4"/>
    <w:rsid w:val="2F4580C8"/>
    <w:rsid w:val="2F9D990B"/>
    <w:rsid w:val="2FCD495E"/>
    <w:rsid w:val="2FCDCEAE"/>
    <w:rsid w:val="2FD05DE5"/>
    <w:rsid w:val="3003F187"/>
    <w:rsid w:val="300E09F2"/>
    <w:rsid w:val="3014FD23"/>
    <w:rsid w:val="30163E0F"/>
    <w:rsid w:val="304C90D6"/>
    <w:rsid w:val="30864359"/>
    <w:rsid w:val="30A69290"/>
    <w:rsid w:val="30B422B3"/>
    <w:rsid w:val="30C4502E"/>
    <w:rsid w:val="3152E02D"/>
    <w:rsid w:val="315F86ED"/>
    <w:rsid w:val="316058DF"/>
    <w:rsid w:val="317E7493"/>
    <w:rsid w:val="3183BD6E"/>
    <w:rsid w:val="31A6D54E"/>
    <w:rsid w:val="31B7B74E"/>
    <w:rsid w:val="31C4934F"/>
    <w:rsid w:val="31D1DE3B"/>
    <w:rsid w:val="320CF40E"/>
    <w:rsid w:val="320E7AF4"/>
    <w:rsid w:val="323F72CC"/>
    <w:rsid w:val="3245757A"/>
    <w:rsid w:val="32688EED"/>
    <w:rsid w:val="326FEC1B"/>
    <w:rsid w:val="32A416CF"/>
    <w:rsid w:val="32D68F5B"/>
    <w:rsid w:val="33360377"/>
    <w:rsid w:val="33648F5B"/>
    <w:rsid w:val="3374C507"/>
    <w:rsid w:val="33879136"/>
    <w:rsid w:val="33B18CA7"/>
    <w:rsid w:val="33E27A30"/>
    <w:rsid w:val="33E4296F"/>
    <w:rsid w:val="33F70F7B"/>
    <w:rsid w:val="34273A4E"/>
    <w:rsid w:val="34292DBC"/>
    <w:rsid w:val="344EDD61"/>
    <w:rsid w:val="3483D235"/>
    <w:rsid w:val="34C26530"/>
    <w:rsid w:val="34CA284B"/>
    <w:rsid w:val="34D90D2F"/>
    <w:rsid w:val="34E12CE4"/>
    <w:rsid w:val="35060B99"/>
    <w:rsid w:val="350DBE71"/>
    <w:rsid w:val="35298C46"/>
    <w:rsid w:val="35406074"/>
    <w:rsid w:val="35664FFB"/>
    <w:rsid w:val="35762911"/>
    <w:rsid w:val="359EA52D"/>
    <w:rsid w:val="35A6CD00"/>
    <w:rsid w:val="35AD21AC"/>
    <w:rsid w:val="35B00ECB"/>
    <w:rsid w:val="35B0C914"/>
    <w:rsid w:val="35B846EB"/>
    <w:rsid w:val="35C21ABB"/>
    <w:rsid w:val="35D83C0D"/>
    <w:rsid w:val="35F5F5CA"/>
    <w:rsid w:val="35FF0FD2"/>
    <w:rsid w:val="360C3A5A"/>
    <w:rsid w:val="3639CA63"/>
    <w:rsid w:val="363BB597"/>
    <w:rsid w:val="3648C787"/>
    <w:rsid w:val="365244C3"/>
    <w:rsid w:val="36E95F15"/>
    <w:rsid w:val="370C8BD8"/>
    <w:rsid w:val="37179163"/>
    <w:rsid w:val="3753C24E"/>
    <w:rsid w:val="3846A8F0"/>
    <w:rsid w:val="3848CB52"/>
    <w:rsid w:val="387AD4FC"/>
    <w:rsid w:val="38836438"/>
    <w:rsid w:val="3886B0D8"/>
    <w:rsid w:val="38B18E3E"/>
    <w:rsid w:val="38BEABBF"/>
    <w:rsid w:val="38F5C68C"/>
    <w:rsid w:val="3916F1DA"/>
    <w:rsid w:val="391898BE"/>
    <w:rsid w:val="394003E6"/>
    <w:rsid w:val="39590E67"/>
    <w:rsid w:val="396A93B5"/>
    <w:rsid w:val="39756A45"/>
    <w:rsid w:val="39C3A532"/>
    <w:rsid w:val="3A07B937"/>
    <w:rsid w:val="3A0D7A4B"/>
    <w:rsid w:val="3A2A9F61"/>
    <w:rsid w:val="3A55B3F2"/>
    <w:rsid w:val="3A5BB0E4"/>
    <w:rsid w:val="3A80633E"/>
    <w:rsid w:val="3A9BBDFB"/>
    <w:rsid w:val="3A9F0358"/>
    <w:rsid w:val="3AAE8592"/>
    <w:rsid w:val="3AAF2706"/>
    <w:rsid w:val="3AC02384"/>
    <w:rsid w:val="3AC85729"/>
    <w:rsid w:val="3AFD74CB"/>
    <w:rsid w:val="3B0EC304"/>
    <w:rsid w:val="3B5A7C63"/>
    <w:rsid w:val="3B5D5492"/>
    <w:rsid w:val="3B69E104"/>
    <w:rsid w:val="3B8CF91F"/>
    <w:rsid w:val="3BD727EB"/>
    <w:rsid w:val="3BF9177E"/>
    <w:rsid w:val="3C0127AE"/>
    <w:rsid w:val="3C036008"/>
    <w:rsid w:val="3C18F297"/>
    <w:rsid w:val="3C1B25E9"/>
    <w:rsid w:val="3C25AD41"/>
    <w:rsid w:val="3C46079A"/>
    <w:rsid w:val="3C50A8B7"/>
    <w:rsid w:val="3C5D8A00"/>
    <w:rsid w:val="3C76EB36"/>
    <w:rsid w:val="3C9B7E93"/>
    <w:rsid w:val="3CD2D70C"/>
    <w:rsid w:val="3CFE4E3E"/>
    <w:rsid w:val="3D372104"/>
    <w:rsid w:val="3D3CB4FB"/>
    <w:rsid w:val="3D4AE4C3"/>
    <w:rsid w:val="3D80D68C"/>
    <w:rsid w:val="3D8117C9"/>
    <w:rsid w:val="3D85F7B0"/>
    <w:rsid w:val="3D8D876F"/>
    <w:rsid w:val="3D935204"/>
    <w:rsid w:val="3DC114E5"/>
    <w:rsid w:val="3DEDD0FA"/>
    <w:rsid w:val="3E19C116"/>
    <w:rsid w:val="3E367E72"/>
    <w:rsid w:val="3E493C79"/>
    <w:rsid w:val="3E60DA9E"/>
    <w:rsid w:val="3E7D4861"/>
    <w:rsid w:val="3E88A1BB"/>
    <w:rsid w:val="3EAE6E07"/>
    <w:rsid w:val="3ECA7431"/>
    <w:rsid w:val="3EEBDE28"/>
    <w:rsid w:val="3F0338F2"/>
    <w:rsid w:val="3F12B13C"/>
    <w:rsid w:val="3F2D9EBD"/>
    <w:rsid w:val="3F453DB2"/>
    <w:rsid w:val="3F54E1F4"/>
    <w:rsid w:val="3F7DA5D3"/>
    <w:rsid w:val="3FAF5170"/>
    <w:rsid w:val="3FB7FFCD"/>
    <w:rsid w:val="3FD0187D"/>
    <w:rsid w:val="3FD4C3C3"/>
    <w:rsid w:val="3FF342CA"/>
    <w:rsid w:val="3FFD5F96"/>
    <w:rsid w:val="4020F95C"/>
    <w:rsid w:val="40461ED0"/>
    <w:rsid w:val="4074A2C7"/>
    <w:rsid w:val="40798C35"/>
    <w:rsid w:val="407C9FC4"/>
    <w:rsid w:val="40B20FBC"/>
    <w:rsid w:val="40C03232"/>
    <w:rsid w:val="40CA680A"/>
    <w:rsid w:val="40CF36E9"/>
    <w:rsid w:val="40D3CBDD"/>
    <w:rsid w:val="40E06A53"/>
    <w:rsid w:val="4118DE4C"/>
    <w:rsid w:val="417640B6"/>
    <w:rsid w:val="41AA9B83"/>
    <w:rsid w:val="41C60577"/>
    <w:rsid w:val="42071F3D"/>
    <w:rsid w:val="4210DF9B"/>
    <w:rsid w:val="4219B74C"/>
    <w:rsid w:val="42587498"/>
    <w:rsid w:val="42EFBD99"/>
    <w:rsid w:val="43326337"/>
    <w:rsid w:val="4346D4BE"/>
    <w:rsid w:val="435585DE"/>
    <w:rsid w:val="4358A829"/>
    <w:rsid w:val="4389D94C"/>
    <w:rsid w:val="438BE5B0"/>
    <w:rsid w:val="438F7421"/>
    <w:rsid w:val="43B74BC8"/>
    <w:rsid w:val="44015CFA"/>
    <w:rsid w:val="443BF397"/>
    <w:rsid w:val="445F3FA6"/>
    <w:rsid w:val="44603778"/>
    <w:rsid w:val="4467661A"/>
    <w:rsid w:val="4480B249"/>
    <w:rsid w:val="448B2097"/>
    <w:rsid w:val="449663E9"/>
    <w:rsid w:val="44AD2115"/>
    <w:rsid w:val="44DF4FDB"/>
    <w:rsid w:val="45106B21"/>
    <w:rsid w:val="4523E63D"/>
    <w:rsid w:val="45308A8E"/>
    <w:rsid w:val="4546D7CD"/>
    <w:rsid w:val="45734CBC"/>
    <w:rsid w:val="457EA8F0"/>
    <w:rsid w:val="459A51D7"/>
    <w:rsid w:val="45A36077"/>
    <w:rsid w:val="45FF75BD"/>
    <w:rsid w:val="45FFF1BD"/>
    <w:rsid w:val="46187558"/>
    <w:rsid w:val="461B543E"/>
    <w:rsid w:val="462285F7"/>
    <w:rsid w:val="462D66D3"/>
    <w:rsid w:val="46373DCF"/>
    <w:rsid w:val="466F7DD4"/>
    <w:rsid w:val="468352B9"/>
    <w:rsid w:val="46DE89F0"/>
    <w:rsid w:val="4724D9A9"/>
    <w:rsid w:val="479E3040"/>
    <w:rsid w:val="479FAC4D"/>
    <w:rsid w:val="47C4BBAE"/>
    <w:rsid w:val="47CB762F"/>
    <w:rsid w:val="47EA3968"/>
    <w:rsid w:val="48040C55"/>
    <w:rsid w:val="4820A501"/>
    <w:rsid w:val="4851F419"/>
    <w:rsid w:val="48D0A2EC"/>
    <w:rsid w:val="48F372D6"/>
    <w:rsid w:val="494E51C0"/>
    <w:rsid w:val="4954B4C4"/>
    <w:rsid w:val="49735772"/>
    <w:rsid w:val="498E3ADD"/>
    <w:rsid w:val="49B05AE9"/>
    <w:rsid w:val="49DDF807"/>
    <w:rsid w:val="4A13373A"/>
    <w:rsid w:val="4A48F3E8"/>
    <w:rsid w:val="4A7332CB"/>
    <w:rsid w:val="4A7DA1E0"/>
    <w:rsid w:val="4A8115CF"/>
    <w:rsid w:val="4AA21193"/>
    <w:rsid w:val="4AAD9E22"/>
    <w:rsid w:val="4AC35791"/>
    <w:rsid w:val="4AE7A7AA"/>
    <w:rsid w:val="4B10CABE"/>
    <w:rsid w:val="4B86305D"/>
    <w:rsid w:val="4B94DE3E"/>
    <w:rsid w:val="4BBC9ABA"/>
    <w:rsid w:val="4BF0CD37"/>
    <w:rsid w:val="4C147360"/>
    <w:rsid w:val="4C484196"/>
    <w:rsid w:val="4C67394B"/>
    <w:rsid w:val="4CB75537"/>
    <w:rsid w:val="4CB9FAFC"/>
    <w:rsid w:val="4CD89D6B"/>
    <w:rsid w:val="4D0E99CF"/>
    <w:rsid w:val="4D36A0F7"/>
    <w:rsid w:val="4D4FEDA9"/>
    <w:rsid w:val="4D56E776"/>
    <w:rsid w:val="4D62AADA"/>
    <w:rsid w:val="4D924B13"/>
    <w:rsid w:val="4D93F68F"/>
    <w:rsid w:val="4DAC56E3"/>
    <w:rsid w:val="4DFF6F36"/>
    <w:rsid w:val="4E11B368"/>
    <w:rsid w:val="4E233B8B"/>
    <w:rsid w:val="4E2DCE01"/>
    <w:rsid w:val="4E3B8DE2"/>
    <w:rsid w:val="4E404CBE"/>
    <w:rsid w:val="4E56B554"/>
    <w:rsid w:val="4E62AE19"/>
    <w:rsid w:val="4E6556BE"/>
    <w:rsid w:val="4E9434CF"/>
    <w:rsid w:val="4E9D3D25"/>
    <w:rsid w:val="4EBDD15F"/>
    <w:rsid w:val="4ED296C0"/>
    <w:rsid w:val="4EFA3243"/>
    <w:rsid w:val="4F1173A3"/>
    <w:rsid w:val="4F150B10"/>
    <w:rsid w:val="4F5DE801"/>
    <w:rsid w:val="4F6E7287"/>
    <w:rsid w:val="4F6F1CB4"/>
    <w:rsid w:val="4F98D594"/>
    <w:rsid w:val="4FA41F3C"/>
    <w:rsid w:val="4FD2B6C6"/>
    <w:rsid w:val="4FF07476"/>
    <w:rsid w:val="4FF24504"/>
    <w:rsid w:val="4FF7CAA1"/>
    <w:rsid w:val="4FFF9FD4"/>
    <w:rsid w:val="50122AF0"/>
    <w:rsid w:val="5070FE5F"/>
    <w:rsid w:val="508CA7C8"/>
    <w:rsid w:val="50931093"/>
    <w:rsid w:val="509EA2F9"/>
    <w:rsid w:val="50B98D6D"/>
    <w:rsid w:val="50CBE9DD"/>
    <w:rsid w:val="50EC8780"/>
    <w:rsid w:val="511E487A"/>
    <w:rsid w:val="5127F8EF"/>
    <w:rsid w:val="5143E31B"/>
    <w:rsid w:val="5168717F"/>
    <w:rsid w:val="517362C6"/>
    <w:rsid w:val="51A393F1"/>
    <w:rsid w:val="51A5B589"/>
    <w:rsid w:val="51BD6520"/>
    <w:rsid w:val="51D0966B"/>
    <w:rsid w:val="51D6413C"/>
    <w:rsid w:val="51F9FCFC"/>
    <w:rsid w:val="52009B69"/>
    <w:rsid w:val="522BDB31"/>
    <w:rsid w:val="5230587C"/>
    <w:rsid w:val="527342EA"/>
    <w:rsid w:val="5275CCAF"/>
    <w:rsid w:val="52983DC9"/>
    <w:rsid w:val="52AFA90A"/>
    <w:rsid w:val="52B5CDF4"/>
    <w:rsid w:val="52DE133D"/>
    <w:rsid w:val="53051AD2"/>
    <w:rsid w:val="53108B4F"/>
    <w:rsid w:val="5321D918"/>
    <w:rsid w:val="532DF9D4"/>
    <w:rsid w:val="53320E86"/>
    <w:rsid w:val="53550541"/>
    <w:rsid w:val="535BA8B9"/>
    <w:rsid w:val="53B008E5"/>
    <w:rsid w:val="53CC1236"/>
    <w:rsid w:val="53CC91D7"/>
    <w:rsid w:val="53D48130"/>
    <w:rsid w:val="53D4BE90"/>
    <w:rsid w:val="53E0C43C"/>
    <w:rsid w:val="53F26623"/>
    <w:rsid w:val="53FF6C17"/>
    <w:rsid w:val="540CCD9D"/>
    <w:rsid w:val="541BD172"/>
    <w:rsid w:val="54583939"/>
    <w:rsid w:val="54B3D8B4"/>
    <w:rsid w:val="54D33E9C"/>
    <w:rsid w:val="55389EED"/>
    <w:rsid w:val="5561AD76"/>
    <w:rsid w:val="5566F141"/>
    <w:rsid w:val="5575D435"/>
    <w:rsid w:val="55785057"/>
    <w:rsid w:val="558AF500"/>
    <w:rsid w:val="55B9B99B"/>
    <w:rsid w:val="55FE059E"/>
    <w:rsid w:val="560F2DFF"/>
    <w:rsid w:val="562427DA"/>
    <w:rsid w:val="564D3C53"/>
    <w:rsid w:val="5654ACCE"/>
    <w:rsid w:val="5669E57D"/>
    <w:rsid w:val="56D02813"/>
    <w:rsid w:val="571DBB61"/>
    <w:rsid w:val="572478FA"/>
    <w:rsid w:val="573D1162"/>
    <w:rsid w:val="57B0E0FC"/>
    <w:rsid w:val="57C3B470"/>
    <w:rsid w:val="58352F19"/>
    <w:rsid w:val="585B48F8"/>
    <w:rsid w:val="588E074E"/>
    <w:rsid w:val="58A7686C"/>
    <w:rsid w:val="58C0A9B9"/>
    <w:rsid w:val="58CB802E"/>
    <w:rsid w:val="58DBBE74"/>
    <w:rsid w:val="59017E81"/>
    <w:rsid w:val="5909E0A4"/>
    <w:rsid w:val="5924FA94"/>
    <w:rsid w:val="5946C03D"/>
    <w:rsid w:val="594B65B7"/>
    <w:rsid w:val="596EEC24"/>
    <w:rsid w:val="596FE426"/>
    <w:rsid w:val="5971F9E1"/>
    <w:rsid w:val="59888AFD"/>
    <w:rsid w:val="5994948E"/>
    <w:rsid w:val="59979818"/>
    <w:rsid w:val="59C634A9"/>
    <w:rsid w:val="59D2A616"/>
    <w:rsid w:val="59D615A4"/>
    <w:rsid w:val="59DB5F2C"/>
    <w:rsid w:val="5A8120EA"/>
    <w:rsid w:val="5A8C636F"/>
    <w:rsid w:val="5A926C84"/>
    <w:rsid w:val="5A9CA307"/>
    <w:rsid w:val="5A9F32D6"/>
    <w:rsid w:val="5AEBCE08"/>
    <w:rsid w:val="5B48863A"/>
    <w:rsid w:val="5B771ABA"/>
    <w:rsid w:val="5B874E22"/>
    <w:rsid w:val="5B8D6291"/>
    <w:rsid w:val="5BB1D7C1"/>
    <w:rsid w:val="5BD42E40"/>
    <w:rsid w:val="5BEA09D2"/>
    <w:rsid w:val="5C64BB65"/>
    <w:rsid w:val="5CB3813F"/>
    <w:rsid w:val="5CB9AF33"/>
    <w:rsid w:val="5CC3ACA6"/>
    <w:rsid w:val="5CD9E555"/>
    <w:rsid w:val="5D5CA20D"/>
    <w:rsid w:val="5D7D5C09"/>
    <w:rsid w:val="5D8BE1EC"/>
    <w:rsid w:val="5D9D767C"/>
    <w:rsid w:val="5DA5A018"/>
    <w:rsid w:val="5E3BCE7A"/>
    <w:rsid w:val="5E3C62E9"/>
    <w:rsid w:val="5E4212E6"/>
    <w:rsid w:val="5E50DA6C"/>
    <w:rsid w:val="5E671B87"/>
    <w:rsid w:val="5E8988F1"/>
    <w:rsid w:val="5EB86587"/>
    <w:rsid w:val="5EC93036"/>
    <w:rsid w:val="5ED0E3D5"/>
    <w:rsid w:val="5EE3481C"/>
    <w:rsid w:val="5F3EE35F"/>
    <w:rsid w:val="5F7DE739"/>
    <w:rsid w:val="5F8525A1"/>
    <w:rsid w:val="5FB00A7F"/>
    <w:rsid w:val="5FB841E3"/>
    <w:rsid w:val="5FBFDD33"/>
    <w:rsid w:val="5FD9A704"/>
    <w:rsid w:val="605C9D55"/>
    <w:rsid w:val="606B68ED"/>
    <w:rsid w:val="60AA4118"/>
    <w:rsid w:val="60C3C05B"/>
    <w:rsid w:val="60CAC41C"/>
    <w:rsid w:val="60CF364D"/>
    <w:rsid w:val="60D0BE56"/>
    <w:rsid w:val="60F81C94"/>
    <w:rsid w:val="613266AD"/>
    <w:rsid w:val="618C8251"/>
    <w:rsid w:val="61A19D46"/>
    <w:rsid w:val="61AF37F8"/>
    <w:rsid w:val="61C45387"/>
    <w:rsid w:val="61CF537A"/>
    <w:rsid w:val="62054ED1"/>
    <w:rsid w:val="621CF0C6"/>
    <w:rsid w:val="623758A0"/>
    <w:rsid w:val="6273D08F"/>
    <w:rsid w:val="628ABBED"/>
    <w:rsid w:val="6295C72A"/>
    <w:rsid w:val="629ED2A0"/>
    <w:rsid w:val="62A43600"/>
    <w:rsid w:val="62C2C5A6"/>
    <w:rsid w:val="62D6AC9C"/>
    <w:rsid w:val="62E1A078"/>
    <w:rsid w:val="62E6A256"/>
    <w:rsid w:val="63022E21"/>
    <w:rsid w:val="6308E4C8"/>
    <w:rsid w:val="63277196"/>
    <w:rsid w:val="63313798"/>
    <w:rsid w:val="63A65740"/>
    <w:rsid w:val="63B71FCC"/>
    <w:rsid w:val="63C9BA51"/>
    <w:rsid w:val="63CBF330"/>
    <w:rsid w:val="6405A89F"/>
    <w:rsid w:val="64190FB6"/>
    <w:rsid w:val="6421BD97"/>
    <w:rsid w:val="643AA8CA"/>
    <w:rsid w:val="64521CF3"/>
    <w:rsid w:val="647E9909"/>
    <w:rsid w:val="6480A746"/>
    <w:rsid w:val="64EA6112"/>
    <w:rsid w:val="64F8054B"/>
    <w:rsid w:val="6534B5E6"/>
    <w:rsid w:val="6578D4C8"/>
    <w:rsid w:val="657D8C06"/>
    <w:rsid w:val="6582FBCC"/>
    <w:rsid w:val="65954054"/>
    <w:rsid w:val="6596A186"/>
    <w:rsid w:val="65B8A8AA"/>
    <w:rsid w:val="65BE4CAB"/>
    <w:rsid w:val="65DFF4D2"/>
    <w:rsid w:val="65FD5368"/>
    <w:rsid w:val="662C3AD2"/>
    <w:rsid w:val="663C1C08"/>
    <w:rsid w:val="66CBFCDF"/>
    <w:rsid w:val="67040B04"/>
    <w:rsid w:val="670B1A75"/>
    <w:rsid w:val="673847A6"/>
    <w:rsid w:val="674F13A9"/>
    <w:rsid w:val="67591436"/>
    <w:rsid w:val="67C31141"/>
    <w:rsid w:val="67C35D05"/>
    <w:rsid w:val="6802477A"/>
    <w:rsid w:val="681040E2"/>
    <w:rsid w:val="6816A72D"/>
    <w:rsid w:val="682B01ED"/>
    <w:rsid w:val="687F9E30"/>
    <w:rsid w:val="6882F11C"/>
    <w:rsid w:val="68AD15CA"/>
    <w:rsid w:val="6980202F"/>
    <w:rsid w:val="69BFF46F"/>
    <w:rsid w:val="69D7F90D"/>
    <w:rsid w:val="6A1D7ADF"/>
    <w:rsid w:val="6A3E293A"/>
    <w:rsid w:val="6A8EF630"/>
    <w:rsid w:val="6AB411A4"/>
    <w:rsid w:val="6AF092E6"/>
    <w:rsid w:val="6B11413E"/>
    <w:rsid w:val="6B116F2E"/>
    <w:rsid w:val="6B1E2010"/>
    <w:rsid w:val="6B5771EF"/>
    <w:rsid w:val="6B943E3E"/>
    <w:rsid w:val="6BA8B680"/>
    <w:rsid w:val="6BB03833"/>
    <w:rsid w:val="6C47A0A0"/>
    <w:rsid w:val="6C4A843B"/>
    <w:rsid w:val="6C529BCD"/>
    <w:rsid w:val="6C52D455"/>
    <w:rsid w:val="6C738218"/>
    <w:rsid w:val="6C78D771"/>
    <w:rsid w:val="6C8D6E95"/>
    <w:rsid w:val="6C9E6D1E"/>
    <w:rsid w:val="6CB0364A"/>
    <w:rsid w:val="6CCF44DB"/>
    <w:rsid w:val="6CF41270"/>
    <w:rsid w:val="6CF54766"/>
    <w:rsid w:val="6D4EE0C1"/>
    <w:rsid w:val="6D5DA31A"/>
    <w:rsid w:val="6DA2F615"/>
    <w:rsid w:val="6DC14D37"/>
    <w:rsid w:val="6DE4E55D"/>
    <w:rsid w:val="6DFCF0BC"/>
    <w:rsid w:val="6E52EF5A"/>
    <w:rsid w:val="6E6CEC3E"/>
    <w:rsid w:val="6E8619B9"/>
    <w:rsid w:val="6EAD968D"/>
    <w:rsid w:val="6ED59206"/>
    <w:rsid w:val="6F8DE0B4"/>
    <w:rsid w:val="6FDBA140"/>
    <w:rsid w:val="6FE36491"/>
    <w:rsid w:val="6FF9AC58"/>
    <w:rsid w:val="700112C8"/>
    <w:rsid w:val="702E444A"/>
    <w:rsid w:val="7032D9DB"/>
    <w:rsid w:val="70789E71"/>
    <w:rsid w:val="70852689"/>
    <w:rsid w:val="70959ED7"/>
    <w:rsid w:val="70A76424"/>
    <w:rsid w:val="71060077"/>
    <w:rsid w:val="71145E31"/>
    <w:rsid w:val="7179BC98"/>
    <w:rsid w:val="718782BF"/>
    <w:rsid w:val="7188663B"/>
    <w:rsid w:val="71F54F6C"/>
    <w:rsid w:val="71FCC58B"/>
    <w:rsid w:val="7212BF6D"/>
    <w:rsid w:val="721D61D0"/>
    <w:rsid w:val="7225FCA3"/>
    <w:rsid w:val="7230C335"/>
    <w:rsid w:val="724E9E86"/>
    <w:rsid w:val="72631D88"/>
    <w:rsid w:val="726F8E89"/>
    <w:rsid w:val="72CFCB18"/>
    <w:rsid w:val="72F2C80A"/>
    <w:rsid w:val="72F327A4"/>
    <w:rsid w:val="730C02B1"/>
    <w:rsid w:val="7322E6FA"/>
    <w:rsid w:val="7351751A"/>
    <w:rsid w:val="735D25CB"/>
    <w:rsid w:val="73698AB4"/>
    <w:rsid w:val="7386B95B"/>
    <w:rsid w:val="73A5789F"/>
    <w:rsid w:val="73BEB012"/>
    <w:rsid w:val="74275FB1"/>
    <w:rsid w:val="74336651"/>
    <w:rsid w:val="743EAD65"/>
    <w:rsid w:val="74541F36"/>
    <w:rsid w:val="74576E81"/>
    <w:rsid w:val="74A9A643"/>
    <w:rsid w:val="74AB4EFA"/>
    <w:rsid w:val="74BB61C2"/>
    <w:rsid w:val="74BF2CEF"/>
    <w:rsid w:val="74DC94CC"/>
    <w:rsid w:val="7536C783"/>
    <w:rsid w:val="75419FE7"/>
    <w:rsid w:val="754D03D3"/>
    <w:rsid w:val="75A58526"/>
    <w:rsid w:val="75AE329F"/>
    <w:rsid w:val="75AF7AC5"/>
    <w:rsid w:val="75BAEADD"/>
    <w:rsid w:val="75DAF23E"/>
    <w:rsid w:val="75ED846D"/>
    <w:rsid w:val="7626DA9B"/>
    <w:rsid w:val="7631B1B1"/>
    <w:rsid w:val="764AB4F0"/>
    <w:rsid w:val="7651CB26"/>
    <w:rsid w:val="7661165D"/>
    <w:rsid w:val="7678E645"/>
    <w:rsid w:val="767D0EED"/>
    <w:rsid w:val="76E65A8C"/>
    <w:rsid w:val="77146092"/>
    <w:rsid w:val="7735E863"/>
    <w:rsid w:val="7764289F"/>
    <w:rsid w:val="7796AEA9"/>
    <w:rsid w:val="77A0F720"/>
    <w:rsid w:val="77C24C18"/>
    <w:rsid w:val="77D8D4F5"/>
    <w:rsid w:val="78048F4B"/>
    <w:rsid w:val="78762FB5"/>
    <w:rsid w:val="78DD4798"/>
    <w:rsid w:val="78E3D130"/>
    <w:rsid w:val="78E4536E"/>
    <w:rsid w:val="78FC3F10"/>
    <w:rsid w:val="7926DAC4"/>
    <w:rsid w:val="794E22B8"/>
    <w:rsid w:val="795BA41A"/>
    <w:rsid w:val="798675D6"/>
    <w:rsid w:val="7A043FD7"/>
    <w:rsid w:val="7A070C48"/>
    <w:rsid w:val="7A0EBE88"/>
    <w:rsid w:val="7A2D0673"/>
    <w:rsid w:val="7A329AF5"/>
    <w:rsid w:val="7A4E61CE"/>
    <w:rsid w:val="7A57D339"/>
    <w:rsid w:val="7A5DDFD0"/>
    <w:rsid w:val="7A711EED"/>
    <w:rsid w:val="7AA2C9A8"/>
    <w:rsid w:val="7AC80BAE"/>
    <w:rsid w:val="7AD60E62"/>
    <w:rsid w:val="7ADA334C"/>
    <w:rsid w:val="7AE06071"/>
    <w:rsid w:val="7AF76A76"/>
    <w:rsid w:val="7AF7913E"/>
    <w:rsid w:val="7B16F896"/>
    <w:rsid w:val="7B1E8FE7"/>
    <w:rsid w:val="7B3D2201"/>
    <w:rsid w:val="7B46E54F"/>
    <w:rsid w:val="7B4E5E94"/>
    <w:rsid w:val="7B5C0DB4"/>
    <w:rsid w:val="7B5E956F"/>
    <w:rsid w:val="7B696EB3"/>
    <w:rsid w:val="7B7047CA"/>
    <w:rsid w:val="7B72E63D"/>
    <w:rsid w:val="7B7C198C"/>
    <w:rsid w:val="7B84D6A9"/>
    <w:rsid w:val="7BC2B618"/>
    <w:rsid w:val="7BC75DC9"/>
    <w:rsid w:val="7BCAF9BF"/>
    <w:rsid w:val="7BFC4A53"/>
    <w:rsid w:val="7C009EBA"/>
    <w:rsid w:val="7C2D3F5C"/>
    <w:rsid w:val="7C385894"/>
    <w:rsid w:val="7C4620D6"/>
    <w:rsid w:val="7C6DE07F"/>
    <w:rsid w:val="7CDF3E6C"/>
    <w:rsid w:val="7CF85A95"/>
    <w:rsid w:val="7D1AA107"/>
    <w:rsid w:val="7D282748"/>
    <w:rsid w:val="7D75AD2A"/>
    <w:rsid w:val="7D84BBF1"/>
    <w:rsid w:val="7D9601E2"/>
    <w:rsid w:val="7DC44E32"/>
    <w:rsid w:val="7DFC636B"/>
    <w:rsid w:val="7E0550D3"/>
    <w:rsid w:val="7E32AE03"/>
    <w:rsid w:val="7E630F65"/>
    <w:rsid w:val="7EBAFB24"/>
    <w:rsid w:val="7EC0DBF1"/>
    <w:rsid w:val="7ED5370C"/>
    <w:rsid w:val="7ED7E7D4"/>
    <w:rsid w:val="7EF194F7"/>
    <w:rsid w:val="7EF8069C"/>
    <w:rsid w:val="7EFAC585"/>
    <w:rsid w:val="7EFD2800"/>
    <w:rsid w:val="7F0693FE"/>
    <w:rsid w:val="7F0D76D5"/>
    <w:rsid w:val="7F11BB6D"/>
    <w:rsid w:val="7F13BAF1"/>
    <w:rsid w:val="7F27D4CC"/>
    <w:rsid w:val="7F500C1E"/>
    <w:rsid w:val="7F6C806D"/>
    <w:rsid w:val="7F7CFFDE"/>
    <w:rsid w:val="7F7E91F9"/>
    <w:rsid w:val="7FA0E748"/>
    <w:rsid w:val="7FA3854F"/>
    <w:rsid w:val="7FB75832"/>
    <w:rsid w:val="7FD5C051"/>
    <w:rsid w:val="7FE36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5057"/>
  <w15:chartTrackingRefBased/>
  <w15:docId w15:val="{61742D2B-BAC4-4DFE-AA8E-FD0658A1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8609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860995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28609955"/>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D27C3"/>
    <w:rPr>
      <w:b/>
      <w:bCs/>
    </w:rPr>
  </w:style>
  <w:style w:type="character" w:customStyle="1" w:styleId="CommentSubjectChar">
    <w:name w:val="Comment Subject Char"/>
    <w:basedOn w:val="CommentTextChar"/>
    <w:link w:val="CommentSubject"/>
    <w:uiPriority w:val="99"/>
    <w:semiHidden/>
    <w:rsid w:val="00CD27C3"/>
    <w:rPr>
      <w:b/>
      <w:bCs/>
      <w:sz w:val="20"/>
      <w:szCs w:val="20"/>
      <w:lang w:val="pl-PL"/>
    </w:rPr>
  </w:style>
  <w:style w:type="paragraph" w:styleId="Header">
    <w:name w:val="header"/>
    <w:basedOn w:val="Normal"/>
    <w:link w:val="HeaderChar"/>
    <w:uiPriority w:val="99"/>
    <w:unhideWhenUsed/>
    <w:rsid w:val="286099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1F34"/>
    <w:rPr>
      <w:lang w:val="pl-PL"/>
    </w:rPr>
  </w:style>
  <w:style w:type="paragraph" w:styleId="Footer">
    <w:name w:val="footer"/>
    <w:basedOn w:val="Normal"/>
    <w:link w:val="FooterChar"/>
    <w:uiPriority w:val="99"/>
    <w:unhideWhenUsed/>
    <w:rsid w:val="286099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1F34"/>
    <w:rPr>
      <w:lang w:val="pl-PL"/>
    </w:rPr>
  </w:style>
  <w:style w:type="paragraph" w:styleId="FootnoteText">
    <w:name w:val="footnote text"/>
    <w:basedOn w:val="Normal"/>
    <w:link w:val="FootnoteTextChar"/>
    <w:uiPriority w:val="99"/>
    <w:semiHidden/>
    <w:unhideWhenUsed/>
    <w:rsid w:val="28609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28"/>
    <w:rPr>
      <w:sz w:val="20"/>
      <w:szCs w:val="20"/>
      <w:lang w:val="pl-PL"/>
    </w:rPr>
  </w:style>
  <w:style w:type="character" w:styleId="FootnoteReference">
    <w:name w:val="footnote reference"/>
    <w:basedOn w:val="DefaultParagraphFont"/>
    <w:uiPriority w:val="99"/>
    <w:semiHidden/>
    <w:unhideWhenUsed/>
    <w:rsid w:val="00C21F34"/>
    <w:rPr>
      <w:vertAlign w:val="superscript"/>
    </w:rPr>
  </w:style>
  <w:style w:type="character" w:styleId="Hyperlink">
    <w:name w:val="Hyperlink"/>
    <w:basedOn w:val="DefaultParagraphFont"/>
    <w:uiPriority w:val="99"/>
    <w:unhideWhenUsed/>
    <w:rsid w:val="06105451"/>
    <w:rPr>
      <w:color w:val="467886"/>
      <w:u w:val="single"/>
    </w:rPr>
  </w:style>
  <w:style w:type="character" w:styleId="Mention">
    <w:name w:val="Mention"/>
    <w:basedOn w:val="DefaultParagraphFont"/>
    <w:uiPriority w:val="99"/>
    <w:unhideWhenUsed/>
    <w:rsid w:val="00226E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20/10/relationships/intelligence" Target="intelligence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A253B8B-5735-478B-AABD-C6EA47457804}">
    <t:Anchor>
      <t:Comment id="1316147024"/>
    </t:Anchor>
    <t:History>
      <t:Event id="{6F6BE58B-4CBD-46B5-964E-F48C2804413D}" time="2025-10-01T10:05:36.664Z">
        <t:Attribution userId="S::alicja.wojcik@pwc.com::4aa0e8fd-91b4-40b5-9045-6bbdb7e5c983" userProvider="AD" userName="Alicja Wojcik (PL)"/>
        <t:Anchor>
          <t:Comment id="1316147024"/>
        </t:Anchor>
        <t:Create/>
      </t:Event>
      <t:Event id="{A406F652-428A-4864-AD46-5E60A3D44B9D}" time="2025-10-01T10:05:36.664Z">
        <t:Attribution userId="S::alicja.wojcik@pwc.com::4aa0e8fd-91b4-40b5-9045-6bbdb7e5c983" userProvider="AD" userName="Alicja Wojcik (PL)"/>
        <t:Anchor>
          <t:Comment id="1316147024"/>
        </t:Anchor>
        <t:Assign userId="S::paulina.zboinska@pwc.com::fd67cc5b-62f4-46ee-8c71-0513160300bb" userProvider="AD" userName="Paulina Zboinska (PL)"/>
      </t:Event>
      <t:Event id="{D4F951FA-7BDB-4A0C-87D1-41C51AAEB7D2}" time="2025-10-01T10:05:36.664Z">
        <t:Attribution userId="S::alicja.wojcik@pwc.com::4aa0e8fd-91b4-40b5-9045-6bbdb7e5c983" userProvider="AD" userName="Alicja Wojcik (PL)"/>
        <t:Anchor>
          <t:Comment id="1316147024"/>
        </t:Anchor>
        <t:SetTitle title="@Paulina Zboinska (PL)"/>
      </t:Event>
    </t:History>
  </t:Task>
  <t:Task id="{A668E4FB-3042-4417-B26B-8F494FFCF2A8}">
    <t:Anchor>
      <t:Comment id="851527022"/>
    </t:Anchor>
    <t:History>
      <t:Event id="{A1390F91-F3DF-42AE-B724-AF59B0518B9A}" time="2025-09-29T13:29:29.364Z">
        <t:Attribution userId="S::alicja.wojcik@pwc.com::4aa0e8fd-91b4-40b5-9045-6bbdb7e5c983" userProvider="AD" userName="Alicja Wojcik (PL)"/>
        <t:Create/>
      </t:Event>
      <t:Event id="{DDCCA547-4235-4F23-9CE6-284D73DD05B5}" time="2025-09-29T13:29:29.364Z">
        <t:Attribution userId="S::alicja.wojcik@pwc.com::4aa0e8fd-91b4-40b5-9045-6bbdb7e5c983" userProvider="AD" userName="Alicja Wojcik (PL)"/>
        <t:Assign userId="S::paulina.zboinska@pwc.com::fd67cc5b-62f4-46ee-8c71-0513160300bb" userProvider="AD" userName="Paulina Zboinska (PL)"/>
      </t:Event>
      <t:Event id="{D8EAE1AD-B50C-4BBB-8710-3CA3947E0602}" time="2025-09-29T13:29:29.364Z">
        <t:Attribution userId="S::alicja.wojcik@pwc.com::4aa0e8fd-91b4-40b5-9045-6bbdb7e5c983" userProvider="AD" userName="Alicja Wojcik (PL)"/>
        <t:SetTitle title="@Paulina Zboinska (PL) gdybyś mogła zerknąć czy mimo to ma się znaleźć pod pyt. 1"/>
      </t:Event>
    </t:History>
  </t:Task>
  <t:Task id="{22F4C5A9-CBB7-4D85-B431-EA9771CDBBF0}">
    <t:Anchor>
      <t:Comment id="154961434"/>
    </t:Anchor>
    <t:History>
      <t:Event id="{52B0E22C-8CBB-4355-B872-FC5ECF954E1E}" time="2025-09-29T13:29:29.364Z">
        <t:Attribution userId="S::alicja.wojcik@pwc.com::4aa0e8fd-91b4-40b5-9045-6bbdb7e5c983" userProvider="AD" userName="Alicja Wojcik (PL)"/>
        <t:Anchor>
          <t:Comment id="767293070"/>
        </t:Anchor>
        <t:Create/>
      </t:Event>
      <t:Event id="{34C12D2F-C4FF-4BAE-8C17-6C22652C4E87}" time="2025-09-29T13:29:29.364Z">
        <t:Attribution userId="S::alicja.wojcik@pwc.com::4aa0e8fd-91b4-40b5-9045-6bbdb7e5c983" userProvider="AD" userName="Alicja Wojcik (PL)"/>
        <t:Anchor>
          <t:Comment id="767293070"/>
        </t:Anchor>
        <t:Assign userId="S::paulina.zboinska@pwc.com::fd67cc5b-62f4-46ee-8c71-0513160300bb" userProvider="AD" userName="Paulina Zboinska (PL)"/>
      </t:Event>
      <t:Event id="{1C616AEB-981D-4B07-A5F4-25569F308ACB}" time="2025-09-29T13:29:29.364Z">
        <t:Attribution userId="S::alicja.wojcik@pwc.com::4aa0e8fd-91b4-40b5-9045-6bbdb7e5c983" userProvider="AD" userName="Alicja Wojcik (PL)"/>
        <t:Anchor>
          <t:Comment id="767293070"/>
        </t:Anchor>
        <t:SetTitle title="@Paulina Zboinska (PL) gdybyś mogła zerknąć czy mimo to ma się znaleźć pod pyt. 1"/>
      </t:Event>
    </t:History>
  </t:Task>
  <t:Task id="{ECCD993F-0509-4357-B7EB-61613B34698C}">
    <t:Anchor>
      <t:Comment id="256943960"/>
    </t:Anchor>
    <t:History>
      <t:Event id="{096D349C-7B61-4661-875B-9441BDA7E671}" time="2025-09-29T13:28:43.853Z">
        <t:Attribution userId="S::alicja.wojcik@pwc.com::4aa0e8fd-91b4-40b5-9045-6bbdb7e5c983" userProvider="AD" userName="Alicja Wojcik (PL)"/>
        <t:Anchor>
          <t:Comment id="313032900"/>
        </t:Anchor>
        <t:Create/>
      </t:Event>
      <t:Event id="{94CDB6F9-7B03-40C1-87C3-0BB2F09613F7}" time="2025-09-29T13:28:43.853Z">
        <t:Attribution userId="S::alicja.wojcik@pwc.com::4aa0e8fd-91b4-40b5-9045-6bbdb7e5c983" userProvider="AD" userName="Alicja Wojcik (PL)"/>
        <t:Anchor>
          <t:Comment id="313032900"/>
        </t:Anchor>
        <t:Assign userId="S::paulina.zboinska@pwc.com::fd67cc5b-62f4-46ee-8c71-0513160300bb" userProvider="AD" userName="Paulina Zboinska (PL)"/>
      </t:Event>
      <t:Event id="{2DA21B45-7CF8-43B6-9510-D1B68F389A40}" time="2025-09-29T13:28:43.853Z">
        <t:Attribution userId="S::alicja.wojcik@pwc.com::4aa0e8fd-91b4-40b5-9045-6bbdb7e5c983" userProvider="AD" userName="Alicja Wojcik (PL)"/>
        <t:Anchor>
          <t:Comment id="313032900"/>
        </t:Anchor>
        <t:SetTitle title="@Paulina Zboinska (PL)"/>
      </t:Event>
    </t:History>
  </t:Task>
  <t:Task id="{89A4AD15-012A-4155-8D73-BA6598BF9805}">
    <t:Anchor>
      <t:Comment id="1277759215"/>
    </t:Anchor>
    <t:History>
      <t:Event id="{2A9DB9FB-B89E-4B46-8E60-78A7F6AAA0AE}" time="2025-09-30T10:28:42.122Z">
        <t:Attribution userId="S::paulina.zboinska@pwc.com::fd67cc5b-62f4-46ee-8c71-0513160300bb" userProvider="AD" userName="Paulina Zboinska (PL)"/>
        <t:Anchor>
          <t:Comment id="1277759215"/>
        </t:Anchor>
        <t:Create/>
      </t:Event>
      <t:Event id="{D052E912-EBCB-4BDD-B5D0-43D8EF4D239A}" time="2025-09-30T10:28:42.122Z">
        <t:Attribution userId="S::paulina.zboinska@pwc.com::fd67cc5b-62f4-46ee-8c71-0513160300bb" userProvider="AD" userName="Paulina Zboinska (PL)"/>
        <t:Anchor>
          <t:Comment id="1277759215"/>
        </t:Anchor>
        <t:Assign userId="S::alicja.wojcik@pwc.com::4aa0e8fd-91b4-40b5-9045-6bbdb7e5c983" userProvider="AD" userName="Alicja Wojcik (PL)"/>
      </t:Event>
      <t:Event id="{F45E9B34-35CF-4300-9E80-4A258A8429DA}" time="2025-09-30T10:28:42.122Z">
        <t:Attribution userId="S::paulina.zboinska@pwc.com::fd67cc5b-62f4-46ee-8c71-0513160300bb" userProvider="AD" userName="Paulina Zboinska (PL)"/>
        <t:Anchor>
          <t:Comment id="1277759215"/>
        </t:Anchor>
        <t:SetTitle title="@Alicja Wojcik (PL) @Jakub Derulski (PL) nie ma żadnych uwag do pytania 4?"/>
      </t:Event>
    </t:History>
  </t:Task>
  <t:Task id="{A46CF293-B468-4AE5-AA19-0EDCE0087D27}">
    <t:Anchor>
      <t:Comment id="2002402306"/>
    </t:Anchor>
    <t:History>
      <t:Event id="{D13A4343-65DC-4E1B-B17F-95BB9FA77329}" time="2025-10-02T06:44:27.244Z">
        <t:Attribution userId="S::jakub.derulski@pwc.com::d351a462-d8b4-43fa-8589-ffbe27e422f4" userProvider="AD" userName="Jakub Derulski (PL)"/>
        <t:Anchor>
          <t:Comment id="656376360"/>
        </t:Anchor>
        <t:Create/>
      </t:Event>
      <t:Event id="{8FE430C2-353C-4408-9663-9EA7DFF9F08F}" time="2025-10-02T06:44:27.244Z">
        <t:Attribution userId="S::jakub.derulski@pwc.com::d351a462-d8b4-43fa-8589-ffbe27e422f4" userProvider="AD" userName="Jakub Derulski (PL)"/>
        <t:Anchor>
          <t:Comment id="656376360"/>
        </t:Anchor>
        <t:Assign userId="S::alicja.wojcik@pwc.com::4aa0e8fd-91b4-40b5-9045-6bbdb7e5c983" userProvider="AD" userName="Alicja Wojcik (PL)"/>
      </t:Event>
      <t:Event id="{955AA8CC-866C-4D2B-BD6C-34B8ADB09F21}" time="2025-10-02T06:44:27.244Z">
        <t:Attribution userId="S::jakub.derulski@pwc.com::d351a462-d8b4-43fa-8589-ffbe27e422f4" userProvider="AD" userName="Jakub Derulski (PL)"/>
        <t:Anchor>
          <t:Comment id="656376360"/>
        </t:Anchor>
        <t:SetTitle title="Dobry pomysł, @Alicja Wojcik (PL) uwzlgędnij pls w całości."/>
      </t:Event>
      <t:Event id="{9E1EDA14-2C77-4AF2-95D9-EAB26C25206C}" time="2025-10-02T07:11:06.443Z">
        <t:Attribution userId="S::alicja.wojcik@pwc.com::4aa0e8fd-91b4-40b5-9045-6bbdb7e5c983" userProvider="AD" userName="Alicja Wojcik (PL)"/>
        <t:Progress percentComplete="100"/>
      </t:Event>
    </t:History>
  </t:Task>
  <t:Task id="{7D5B716D-E01D-4285-BA63-C8E5D7DFC87F}">
    <t:Anchor>
      <t:Comment id="912938746"/>
    </t:Anchor>
    <t:History>
      <t:Event id="{0A0B45CF-BFD7-446D-9696-166B5A6B8910}" time="2025-10-02T07:04:01.754Z">
        <t:Attribution userId="S::jakub.derulski@pwc.com::d351a462-d8b4-43fa-8589-ffbe27e422f4" userProvider="AD" userName="Jakub Derulski (PL)"/>
        <t:Anchor>
          <t:Comment id="1975417744"/>
        </t:Anchor>
        <t:Create/>
      </t:Event>
      <t:Event id="{B91138D5-CB9C-4656-B195-935DB75ED9C2}" time="2025-10-02T07:04:01.754Z">
        <t:Attribution userId="S::jakub.derulski@pwc.com::d351a462-d8b4-43fa-8589-ffbe27e422f4" userProvider="AD" userName="Jakub Derulski (PL)"/>
        <t:Anchor>
          <t:Comment id="1975417744"/>
        </t:Anchor>
        <t:Assign userId="S::paulina.zboinska@pwc.com::fd67cc5b-62f4-46ee-8c71-0513160300bb" userProvider="AD" userName="Paulina Zboinska (PL)"/>
      </t:Event>
      <t:Event id="{406273A2-8CA7-488A-8F18-5C53434AAE63}" time="2025-10-02T07:04:01.754Z">
        <t:Attribution userId="S::jakub.derulski@pwc.com::d351a462-d8b4-43fa-8589-ffbe27e422f4" userProvider="AD" userName="Jakub Derulski (PL)"/>
        <t:Anchor>
          <t:Comment id="1975417744"/>
        </t:Anchor>
        <t:SetTitle title="@Paulina Zboinska (PL) "/>
      </t:Event>
    </t:History>
  </t:Task>
  <t:Task id="{B1B195AE-086A-4AE7-AA23-B4E6EC329989}">
    <t:Anchor>
      <t:Comment id="38034626"/>
    </t:Anchor>
    <t:History>
      <t:Event id="{A91CA5E8-D298-4F85-B244-B312F685E4C6}" time="2025-10-02T06:44:27.244Z">
        <t:Attribution userId="S::jakub.derulski@pwc.com::d351a462-d8b4-43fa-8589-ffbe27e422f4" userProvider="AD" userName="Jakub Derulski (PL)"/>
        <t:Create/>
      </t:Event>
      <t:Event id="{E4197CEC-FF53-40BC-9DDD-1AEBBA2A33CE}" time="2025-10-02T06:44:27.244Z">
        <t:Attribution userId="S::jakub.derulski@pwc.com::d351a462-d8b4-43fa-8589-ffbe27e422f4" userProvider="AD" userName="Jakub Derulski (PL)"/>
        <t:Assign userId="S::alicja.wojcik@pwc.com::4aa0e8fd-91b4-40b5-9045-6bbdb7e5c983" userProvider="AD" userName="Alicja Wojcik (PL)"/>
      </t:Event>
      <t:Event id="{9022B5D6-5D82-4051-B23B-264CD9C9F08A}" time="2025-10-02T06:44:27.244Z">
        <t:Attribution userId="S::jakub.derulski@pwc.com::d351a462-d8b4-43fa-8589-ffbe27e422f4" userProvider="AD" userName="Jakub Derulski (PL)"/>
        <t:SetTitle title="Dobry pomysł, @Alicja Wojcik (PL) uwzlgędnij pls w całości."/>
      </t:Event>
      <t:Event id="{4BB89539-1979-4209-9A0A-69596ED0969E}" time="2025-10-02T07:11:06.443Z">
        <t:Attribution userId="S::alicja.wojcik@pwc.com::4aa0e8fd-91b4-40b5-9045-6bbdb7e5c983" userProvider="AD" userName="Alicja Wojcik (PL)"/>
        <t:Progress percentComplete="100"/>
      </t:Event>
    </t:History>
  </t:Task>
  <t:Task id="{D10B1613-0B59-4245-8BF5-5A1CF79AC6E1}">
    <t:Anchor>
      <t:Comment id="1735254033"/>
    </t:Anchor>
    <t:History>
      <t:Event id="{A9B1E05C-14EA-40F7-BB2A-0A123B596067}" time="2025-10-02T06:44:27.244Z">
        <t:Attribution userId="S::jakub.derulski@pwc.com::d351a462-d8b4-43fa-8589-ffbe27e422f4" userProvider="AD" userName="Jakub Derulski (PL)"/>
        <t:Create/>
      </t:Event>
      <t:Event id="{3768F1D2-9AFD-4603-BA66-F574AC2AD6B3}" time="2025-10-02T06:44:27.244Z">
        <t:Attribution userId="S::jakub.derulski@pwc.com::d351a462-d8b4-43fa-8589-ffbe27e422f4" userProvider="AD" userName="Jakub Derulski (PL)"/>
        <t:Assign userId="S::alicja.wojcik@pwc.com::4aa0e8fd-91b4-40b5-9045-6bbdb7e5c983" userProvider="AD" userName="Alicja Wojcik (PL)"/>
      </t:Event>
      <t:Event id="{D74B4397-12C2-4E4B-AB63-39263E9C7EC6}" time="2025-10-02T06:44:27.244Z">
        <t:Attribution userId="S::jakub.derulski@pwc.com::d351a462-d8b4-43fa-8589-ffbe27e422f4" userProvider="AD" userName="Jakub Derulski (PL)"/>
        <t:SetTitle title="Dobry pomysł, @Alicja Wojcik (PL) uwzlgędnij pls w całości."/>
      </t:Event>
      <t:Event id="{F771C7AC-C37D-4707-BA84-88E07DDF5C3A}" time="2025-10-02T07:11:06.443Z">
        <t:Attribution userId="S::alicja.wojcik@pwc.com::4aa0e8fd-91b4-40b5-9045-6bbdb7e5c983" userProvider="AD" userName="Alicja Wojcik (P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2380</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Wojcik (PL)</dc:creator>
  <cp:keywords/>
  <dc:description/>
  <cp:lastModifiedBy>Jakub Derulski</cp:lastModifiedBy>
  <cp:revision>5</cp:revision>
  <dcterms:created xsi:type="dcterms:W3CDTF">2025-09-30T14:23:00Z</dcterms:created>
  <dcterms:modified xsi:type="dcterms:W3CDTF">2025-10-02T19:59:00Z</dcterms:modified>
</cp:coreProperties>
</file>