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8AB0" w14:textId="3F919067" w:rsidR="002F0431" w:rsidRPr="003656B1" w:rsidRDefault="00C0720E" w:rsidP="00BB0A0D">
      <w:pPr>
        <w:spacing w:after="100" w:line="259" w:lineRule="auto"/>
        <w:jc w:val="right"/>
        <w:rPr>
          <w:rFonts w:asciiTheme="majorHAnsi" w:hAnsiTheme="majorHAnsi"/>
          <w:szCs w:val="22"/>
          <w:lang w:val="en-US"/>
        </w:rPr>
      </w:pPr>
      <w:r>
        <w:rPr>
          <w:rFonts w:asciiTheme="majorHAnsi" w:hAnsiTheme="majorHAnsi"/>
          <w:szCs w:val="22"/>
          <w:lang w:val="en-US"/>
        </w:rPr>
        <w:t>3</w:t>
      </w:r>
      <w:r w:rsidR="00BA51E2" w:rsidRPr="003656B1">
        <w:rPr>
          <w:rFonts w:asciiTheme="majorHAnsi" w:hAnsiTheme="majorHAnsi"/>
          <w:szCs w:val="22"/>
          <w:lang w:val="en-US"/>
        </w:rPr>
        <w:t>.</w:t>
      </w:r>
      <w:r>
        <w:rPr>
          <w:rFonts w:asciiTheme="majorHAnsi" w:hAnsiTheme="majorHAnsi"/>
          <w:szCs w:val="22"/>
          <w:lang w:val="en-US"/>
        </w:rPr>
        <w:t>10</w:t>
      </w:r>
      <w:r w:rsidR="00BA51E2" w:rsidRPr="003656B1">
        <w:rPr>
          <w:rFonts w:asciiTheme="majorHAnsi" w:hAnsiTheme="majorHAnsi"/>
          <w:szCs w:val="22"/>
          <w:lang w:val="en-US"/>
        </w:rPr>
        <w:t>.</w:t>
      </w:r>
      <w:r w:rsidR="007F4462" w:rsidRPr="003656B1">
        <w:rPr>
          <w:rFonts w:asciiTheme="majorHAnsi" w:hAnsiTheme="majorHAnsi"/>
          <w:szCs w:val="22"/>
          <w:lang w:val="en-US"/>
        </w:rPr>
        <w:t>202</w:t>
      </w:r>
      <w:r w:rsidR="007F07FE" w:rsidRPr="003656B1">
        <w:rPr>
          <w:rFonts w:asciiTheme="majorHAnsi" w:hAnsiTheme="majorHAnsi"/>
          <w:szCs w:val="22"/>
          <w:lang w:val="en-US"/>
        </w:rPr>
        <w:t>5</w:t>
      </w:r>
    </w:p>
    <w:p w14:paraId="7E49BF71" w14:textId="7D7A0108" w:rsidR="00880C78" w:rsidRPr="003656B1" w:rsidRDefault="00C25406" w:rsidP="00BB0A0D">
      <w:pPr>
        <w:jc w:val="center"/>
        <w:rPr>
          <w:rFonts w:asciiTheme="majorHAnsi" w:hAnsiTheme="majorHAnsi"/>
          <w:b/>
          <w:bCs/>
          <w:sz w:val="28"/>
          <w:szCs w:val="28"/>
          <w:lang w:val="en-GB"/>
        </w:rPr>
      </w:pPr>
      <w:r w:rsidRPr="003656B1">
        <w:rPr>
          <w:rFonts w:asciiTheme="majorHAnsi" w:hAnsiTheme="majorHAnsi"/>
          <w:b/>
          <w:bCs/>
          <w:sz w:val="28"/>
          <w:szCs w:val="28"/>
          <w:lang w:val="en-US"/>
        </w:rPr>
        <w:t xml:space="preserve">EBA consultation </w:t>
      </w:r>
      <w:r w:rsidRPr="003656B1">
        <w:rPr>
          <w:rFonts w:asciiTheme="majorHAnsi" w:hAnsiTheme="majorHAnsi"/>
          <w:b/>
          <w:bCs/>
          <w:sz w:val="28"/>
          <w:szCs w:val="28"/>
          <w:lang w:val="en-US"/>
        </w:rPr>
        <w:br/>
      </w:r>
      <w:r w:rsidR="00880C78" w:rsidRPr="003656B1">
        <w:rPr>
          <w:rFonts w:asciiTheme="majorHAnsi" w:hAnsiTheme="majorHAnsi"/>
          <w:b/>
          <w:bCs/>
          <w:sz w:val="28"/>
          <w:szCs w:val="28"/>
          <w:lang w:val="en-GB"/>
        </w:rPr>
        <w:t>Draft Guidelines on the sound management of third-party risk</w:t>
      </w:r>
    </w:p>
    <w:p w14:paraId="2A3645D6" w14:textId="77777777" w:rsidR="00396922" w:rsidRPr="003656B1" w:rsidRDefault="00396922" w:rsidP="00BB0A0D">
      <w:pPr>
        <w:jc w:val="center"/>
        <w:rPr>
          <w:rFonts w:asciiTheme="majorHAnsi" w:hAnsiTheme="majorHAnsi" w:cstheme="minorHAnsi"/>
          <w:b/>
          <w:bCs/>
          <w:lang w:val="en-US"/>
        </w:rPr>
      </w:pPr>
      <w:r w:rsidRPr="003656B1">
        <w:rPr>
          <w:rFonts w:asciiTheme="majorHAnsi" w:hAnsiTheme="majorHAnsi" w:cstheme="minorHAnsi"/>
          <w:b/>
          <w:bCs/>
          <w:lang w:val="en-US"/>
        </w:rPr>
        <w:t>Comments of the Austrian Banking Industry</w:t>
      </w:r>
    </w:p>
    <w:p w14:paraId="4071ED39" w14:textId="77777777" w:rsidR="00B16E44" w:rsidRPr="003656B1" w:rsidRDefault="00B16E44" w:rsidP="00831806">
      <w:pPr>
        <w:rPr>
          <w:rFonts w:asciiTheme="majorHAnsi" w:hAnsiTheme="majorHAnsi" w:cstheme="minorHAnsi"/>
          <w:b/>
          <w:bCs/>
          <w:u w:val="single"/>
          <w:lang w:val="en-US"/>
        </w:rPr>
      </w:pPr>
    </w:p>
    <w:p w14:paraId="6DA6888F" w14:textId="355DD44B" w:rsidR="00B16E44" w:rsidRPr="003656B1" w:rsidRDefault="00B93C42" w:rsidP="00831806">
      <w:pPr>
        <w:pBdr>
          <w:top w:val="single" w:sz="4" w:space="1" w:color="auto"/>
          <w:left w:val="single" w:sz="4" w:space="4" w:color="auto"/>
          <w:bottom w:val="single" w:sz="4" w:space="1" w:color="auto"/>
          <w:right w:val="single" w:sz="4" w:space="4" w:color="auto"/>
        </w:pBdr>
        <w:rPr>
          <w:rFonts w:asciiTheme="majorHAnsi" w:hAnsiTheme="majorHAnsi" w:cs="Calibri"/>
          <w:b/>
          <w:bCs/>
          <w:szCs w:val="22"/>
          <w:lang w:val="en-GB"/>
        </w:rPr>
      </w:pPr>
      <w:r w:rsidRPr="003656B1">
        <w:rPr>
          <w:rFonts w:asciiTheme="majorHAnsi" w:hAnsiTheme="majorHAnsi" w:cs="Calibri"/>
          <w:b/>
          <w:bCs/>
          <w:szCs w:val="22"/>
          <w:lang w:val="en-GB"/>
        </w:rPr>
        <w:t>Q1:</w:t>
      </w:r>
      <w:r w:rsidR="00B16E44" w:rsidRPr="003656B1">
        <w:rPr>
          <w:rFonts w:asciiTheme="majorHAnsi" w:hAnsiTheme="majorHAnsi" w:cs="Calibri"/>
          <w:b/>
          <w:bCs/>
          <w:szCs w:val="22"/>
          <w:lang w:val="en-GB"/>
        </w:rPr>
        <w:t xml:space="preserve"> </w:t>
      </w:r>
      <w:proofErr w:type="gramStart"/>
      <w:r w:rsidR="00B16E44" w:rsidRPr="003656B1">
        <w:rPr>
          <w:rFonts w:asciiTheme="majorHAnsi" w:hAnsiTheme="majorHAnsi" w:cs="Calibri"/>
          <w:b/>
          <w:bCs/>
          <w:szCs w:val="22"/>
          <w:lang w:val="en-GB"/>
        </w:rPr>
        <w:t>Are</w:t>
      </w:r>
      <w:proofErr w:type="gramEnd"/>
      <w:r w:rsidR="00B16E44" w:rsidRPr="003656B1">
        <w:rPr>
          <w:rFonts w:asciiTheme="majorHAnsi" w:hAnsiTheme="majorHAnsi" w:cs="Calibri"/>
          <w:b/>
          <w:bCs/>
          <w:szCs w:val="22"/>
          <w:lang w:val="en-GB"/>
        </w:rPr>
        <w:t xml:space="preserve"> subject matter, scope of application, definitions and transitional arrangements appropriate and sufficiently clear?</w:t>
      </w:r>
    </w:p>
    <w:p w14:paraId="28D1C286"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It should be clarified:</w:t>
      </w:r>
    </w:p>
    <w:p w14:paraId="122049CD" w14:textId="77777777" w:rsidR="00B16E44" w:rsidRPr="003656B1" w:rsidRDefault="00B16E44" w:rsidP="00831806">
      <w:pPr>
        <w:pStyle w:val="Listenabsatz"/>
        <w:numPr>
          <w:ilvl w:val="0"/>
          <w:numId w:val="38"/>
        </w:numPr>
        <w:spacing w:after="160" w:line="259" w:lineRule="auto"/>
        <w:rPr>
          <w:rFonts w:asciiTheme="majorHAnsi" w:hAnsiTheme="majorHAnsi" w:cs="Calibri"/>
          <w:szCs w:val="22"/>
          <w:lang w:val="en-GB"/>
        </w:rPr>
      </w:pPr>
      <w:r w:rsidRPr="003656B1">
        <w:rPr>
          <w:rFonts w:asciiTheme="majorHAnsi" w:hAnsiTheme="majorHAnsi" w:cs="Calibri"/>
          <w:szCs w:val="22"/>
          <w:lang w:val="en-GB"/>
        </w:rPr>
        <w:t>Which agreements fall under the EBA Draft Guidelines on the sound management of third-party risk (EBA GL)?</w:t>
      </w:r>
    </w:p>
    <w:p w14:paraId="7BBBFD02" w14:textId="77777777" w:rsidR="00B16E44" w:rsidRPr="003656B1" w:rsidRDefault="00B16E44" w:rsidP="00831806">
      <w:pPr>
        <w:pStyle w:val="Listenabsatz"/>
        <w:numPr>
          <w:ilvl w:val="0"/>
          <w:numId w:val="38"/>
        </w:numPr>
        <w:spacing w:after="160" w:line="259" w:lineRule="auto"/>
        <w:rPr>
          <w:rFonts w:asciiTheme="majorHAnsi" w:hAnsiTheme="majorHAnsi" w:cs="Calibri"/>
          <w:szCs w:val="22"/>
          <w:lang w:val="en-GB"/>
        </w:rPr>
      </w:pPr>
      <w:r w:rsidRPr="003656B1">
        <w:rPr>
          <w:rFonts w:asciiTheme="majorHAnsi" w:hAnsiTheme="majorHAnsi" w:cs="Calibri"/>
          <w:szCs w:val="22"/>
          <w:lang w:val="en-GB"/>
        </w:rPr>
        <w:t>How are non-ICT services treated that meet the definition of a third-party agreement but do not constitute outsourcing agreements?</w:t>
      </w:r>
    </w:p>
    <w:p w14:paraId="75E63720" w14:textId="77777777" w:rsidR="00B16E44" w:rsidRPr="003656B1" w:rsidRDefault="00B16E44" w:rsidP="00831806">
      <w:pPr>
        <w:pStyle w:val="Listenabsatz"/>
        <w:numPr>
          <w:ilvl w:val="0"/>
          <w:numId w:val="38"/>
        </w:numPr>
        <w:spacing w:after="160" w:line="259" w:lineRule="auto"/>
        <w:rPr>
          <w:rFonts w:asciiTheme="majorHAnsi" w:hAnsiTheme="majorHAnsi" w:cs="Calibri"/>
          <w:szCs w:val="22"/>
          <w:lang w:val="en-GB"/>
        </w:rPr>
      </w:pPr>
      <w:r w:rsidRPr="003656B1">
        <w:rPr>
          <w:rFonts w:asciiTheme="majorHAnsi" w:hAnsiTheme="majorHAnsi" w:cs="Calibri"/>
          <w:szCs w:val="22"/>
          <w:lang w:val="en-GB"/>
        </w:rPr>
        <w:t>What consequences will the classification "outsourcing" have in the future and what are the associated implications?</w:t>
      </w:r>
    </w:p>
    <w:p w14:paraId="246118F0" w14:textId="455F315F"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Our understanding is that the new EBA GL will separate ICT and non-ICT services in future.</w:t>
      </w:r>
      <w:r w:rsidR="00436280" w:rsidRPr="003656B1">
        <w:rPr>
          <w:rFonts w:asciiTheme="majorHAnsi" w:hAnsiTheme="majorHAnsi" w:cs="Calibri"/>
          <w:szCs w:val="22"/>
          <w:lang w:val="en-GB"/>
        </w:rPr>
        <w:t xml:space="preserve"> </w:t>
      </w:r>
      <w:r w:rsidRPr="003656B1">
        <w:rPr>
          <w:rFonts w:asciiTheme="majorHAnsi" w:hAnsiTheme="majorHAnsi" w:cs="Calibri"/>
          <w:szCs w:val="22"/>
          <w:lang w:val="en-GB"/>
        </w:rPr>
        <w:t>The EBA GL therefore only cover permanent/recurring services that</w:t>
      </w:r>
    </w:p>
    <w:p w14:paraId="3C068641" w14:textId="69EC15A2" w:rsidR="00B16E44" w:rsidRPr="003656B1" w:rsidRDefault="00B16E44" w:rsidP="00AB478A">
      <w:pPr>
        <w:pStyle w:val="Listenabsatz"/>
        <w:numPr>
          <w:ilvl w:val="0"/>
          <w:numId w:val="39"/>
        </w:numPr>
        <w:spacing w:after="160" w:line="259" w:lineRule="auto"/>
        <w:rPr>
          <w:rFonts w:asciiTheme="majorHAnsi" w:hAnsiTheme="majorHAnsi" w:cs="Calibri"/>
          <w:szCs w:val="22"/>
          <w:lang w:val="en-GB"/>
        </w:rPr>
      </w:pPr>
      <w:r w:rsidRPr="003656B1">
        <w:rPr>
          <w:rFonts w:asciiTheme="majorHAnsi" w:hAnsiTheme="majorHAnsi" w:cs="Calibri"/>
          <w:szCs w:val="22"/>
          <w:lang w:val="en-GB"/>
        </w:rPr>
        <w:t>are not qualified as ICT services under DORA ("these Guidelines only cover the use of TPSPs providing or supporting functions that are not qualified as ICT services under DORA" (</w:t>
      </w:r>
      <w:r w:rsidR="00AB478A" w:rsidRPr="003656B1">
        <w:rPr>
          <w:rFonts w:asciiTheme="majorHAnsi" w:hAnsiTheme="majorHAnsi" w:cs="Calibri"/>
          <w:szCs w:val="22"/>
          <w:lang w:val="en-GB"/>
        </w:rPr>
        <w:t>recital</w:t>
      </w:r>
      <w:r w:rsidRPr="003656B1">
        <w:rPr>
          <w:rFonts w:asciiTheme="majorHAnsi" w:hAnsiTheme="majorHAnsi" w:cs="Calibri"/>
          <w:szCs w:val="22"/>
          <w:lang w:val="en-GB"/>
        </w:rPr>
        <w:t xml:space="preserve"> 7) and </w:t>
      </w:r>
    </w:p>
    <w:p w14:paraId="61594800" w14:textId="4687708C" w:rsidR="00B16E44" w:rsidRPr="003656B1" w:rsidRDefault="00B16E44" w:rsidP="00831806">
      <w:pPr>
        <w:pStyle w:val="Listenabsatz"/>
        <w:numPr>
          <w:ilvl w:val="0"/>
          <w:numId w:val="39"/>
        </w:numPr>
        <w:spacing w:after="160" w:line="259" w:lineRule="auto"/>
        <w:rPr>
          <w:rFonts w:asciiTheme="majorHAnsi" w:hAnsiTheme="majorHAnsi" w:cs="Calibri"/>
          <w:szCs w:val="22"/>
          <w:lang w:val="en-GB"/>
        </w:rPr>
      </w:pPr>
      <w:r w:rsidRPr="003656B1">
        <w:rPr>
          <w:rFonts w:asciiTheme="majorHAnsi" w:hAnsiTheme="majorHAnsi" w:cs="Calibri"/>
          <w:szCs w:val="22"/>
          <w:lang w:val="en-GB"/>
        </w:rPr>
        <w:t xml:space="preserve">are not covered by the exemptions under </w:t>
      </w:r>
      <w:r w:rsidR="00AB478A" w:rsidRPr="003656B1">
        <w:rPr>
          <w:rFonts w:asciiTheme="majorHAnsi" w:hAnsiTheme="majorHAnsi" w:cs="Calibri"/>
          <w:szCs w:val="22"/>
          <w:lang w:val="en-GB"/>
        </w:rPr>
        <w:t>recital</w:t>
      </w:r>
      <w:r w:rsidRPr="003656B1">
        <w:rPr>
          <w:rFonts w:asciiTheme="majorHAnsi" w:hAnsiTheme="majorHAnsi" w:cs="Calibri"/>
          <w:szCs w:val="22"/>
          <w:lang w:val="en-GB"/>
        </w:rPr>
        <w:t xml:space="preserve"> 32. </w:t>
      </w:r>
    </w:p>
    <w:p w14:paraId="392C006B"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 xml:space="preserve">As a result, the outsourcing register should no longer contain any ICT-relevant, outsourcing-relevant third-party agreements in future. In our opinion, the outsourcing register and the information register are not identical in terms of requirements. </w:t>
      </w:r>
    </w:p>
    <w:p w14:paraId="6818C93B"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This distinction is currently supported by established processes and would lead to legal ambiguities and uncertainties because of the new requirements of the draft guidelines.</w:t>
      </w:r>
    </w:p>
    <w:p w14:paraId="19ECDDC3"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In future, outsourcing should also be recorded in the outsourcing register, regardless of whether it is ICT-relevant or not. This is subject to the two registers being compatible and matching. The scope of application should be clarified to exclude Austrian leasing companies, as this is not always clear from the draft.</w:t>
      </w:r>
    </w:p>
    <w:p w14:paraId="27A56623" w14:textId="6A695220" w:rsidR="00831806" w:rsidRPr="003656B1" w:rsidRDefault="00831806" w:rsidP="00831806">
      <w:pPr>
        <w:rPr>
          <w:rFonts w:asciiTheme="majorHAnsi" w:hAnsiTheme="majorHAnsi" w:cs="Calibri"/>
          <w:szCs w:val="22"/>
          <w:lang w:val="en-US"/>
        </w:rPr>
      </w:pPr>
      <w:r w:rsidRPr="003656B1">
        <w:rPr>
          <w:rFonts w:asciiTheme="majorHAnsi" w:hAnsiTheme="majorHAnsi" w:cs="Calibri"/>
          <w:szCs w:val="22"/>
          <w:lang w:val="en-US"/>
        </w:rPr>
        <w:t>According to our understanding, the application of the guidelines is limited to “run-the-Bank”-services</w:t>
      </w:r>
      <w:r w:rsidR="00D85EF2">
        <w:rPr>
          <w:rFonts w:asciiTheme="majorHAnsi" w:hAnsiTheme="majorHAnsi" w:cs="Calibri"/>
          <w:szCs w:val="22"/>
          <w:lang w:val="en-US"/>
        </w:rPr>
        <w:t xml:space="preserve">. </w:t>
      </w:r>
      <w:r w:rsidR="00D85EF2" w:rsidRPr="00D85EF2">
        <w:rPr>
          <w:rFonts w:asciiTheme="majorHAnsi" w:hAnsiTheme="majorHAnsi" w:cs="Calibri"/>
          <w:szCs w:val="22"/>
          <w:lang w:val="en-US"/>
        </w:rPr>
        <w:t>However, this is not entirely clear from the current wording.</w:t>
      </w:r>
      <w:r w:rsidRPr="003656B1">
        <w:rPr>
          <w:rFonts w:asciiTheme="majorHAnsi" w:hAnsiTheme="majorHAnsi" w:cs="Calibri"/>
          <w:szCs w:val="22"/>
          <w:lang w:val="en-US"/>
        </w:rPr>
        <w:t xml:space="preserve"> </w:t>
      </w:r>
      <w:r w:rsidR="00AB4EC0" w:rsidRPr="00AB4EC0">
        <w:rPr>
          <w:rFonts w:asciiTheme="majorHAnsi" w:hAnsiTheme="majorHAnsi" w:cs="Calibri"/>
          <w:szCs w:val="22"/>
          <w:lang w:val="en-US"/>
        </w:rPr>
        <w:t>We therefore propose the following amendment (see also below under Title II) to include an explicit exemption for “change-the-bank” services in Recital 32</w:t>
      </w:r>
      <w:r w:rsidR="009034FE" w:rsidRPr="003656B1">
        <w:rPr>
          <w:rFonts w:asciiTheme="majorHAnsi" w:hAnsiTheme="majorHAnsi" w:cs="Calibri"/>
          <w:szCs w:val="22"/>
          <w:lang w:val="en-US"/>
        </w:rPr>
        <w:t>.</w:t>
      </w:r>
    </w:p>
    <w:p w14:paraId="2F0448F3"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 xml:space="preserve">Further it should be clarified </w:t>
      </w:r>
    </w:p>
    <w:p w14:paraId="526F5437" w14:textId="77777777" w:rsidR="00B16E44" w:rsidRPr="003656B1" w:rsidRDefault="00B16E44" w:rsidP="00831806">
      <w:pPr>
        <w:pStyle w:val="Listenabsatz"/>
        <w:numPr>
          <w:ilvl w:val="0"/>
          <w:numId w:val="40"/>
        </w:numPr>
        <w:spacing w:after="160" w:line="259" w:lineRule="auto"/>
        <w:rPr>
          <w:rFonts w:asciiTheme="majorHAnsi" w:hAnsiTheme="majorHAnsi" w:cs="Calibri"/>
          <w:szCs w:val="22"/>
          <w:lang w:val="en-GB"/>
        </w:rPr>
      </w:pPr>
      <w:r w:rsidRPr="003656B1">
        <w:rPr>
          <w:rFonts w:asciiTheme="majorHAnsi" w:hAnsiTheme="majorHAnsi" w:cs="Calibri"/>
          <w:szCs w:val="22"/>
          <w:lang w:val="en-GB"/>
        </w:rPr>
        <w:t xml:space="preserve">that the introduction of a </w:t>
      </w:r>
      <w:r w:rsidRPr="003656B1">
        <w:rPr>
          <w:rFonts w:asciiTheme="majorHAnsi" w:hAnsiTheme="majorHAnsi" w:cs="Calibri"/>
          <w:b/>
          <w:bCs/>
          <w:szCs w:val="22"/>
          <w:lang w:val="en-GB"/>
        </w:rPr>
        <w:t>centralised outsourcing register between members of the same IPS is possible</w:t>
      </w:r>
      <w:r w:rsidRPr="003656B1">
        <w:rPr>
          <w:rFonts w:asciiTheme="majorHAnsi" w:hAnsiTheme="majorHAnsi" w:cs="Calibri"/>
          <w:szCs w:val="22"/>
          <w:lang w:val="en-GB"/>
        </w:rPr>
        <w:t xml:space="preserve">, thus eliminating the need for each bank to maintain its own outsourcing register. This ensures that administrative costs are </w:t>
      </w:r>
      <w:proofErr w:type="gramStart"/>
      <w:r w:rsidRPr="003656B1">
        <w:rPr>
          <w:rFonts w:asciiTheme="majorHAnsi" w:hAnsiTheme="majorHAnsi" w:cs="Calibri"/>
          <w:szCs w:val="22"/>
          <w:lang w:val="en-GB"/>
        </w:rPr>
        <w:t>reduced</w:t>
      </w:r>
      <w:proofErr w:type="gramEnd"/>
      <w:r w:rsidRPr="003656B1">
        <w:rPr>
          <w:rFonts w:asciiTheme="majorHAnsi" w:hAnsiTheme="majorHAnsi" w:cs="Calibri"/>
          <w:szCs w:val="22"/>
          <w:lang w:val="en-GB"/>
        </w:rPr>
        <w:t xml:space="preserve"> and joint outsourcing arrangements are only recorded once.</w:t>
      </w:r>
    </w:p>
    <w:p w14:paraId="13FE95D4" w14:textId="77777777" w:rsidR="00B16E44" w:rsidRPr="003656B1" w:rsidRDefault="00B16E44" w:rsidP="00831806">
      <w:pPr>
        <w:pStyle w:val="Listenabsatz"/>
        <w:numPr>
          <w:ilvl w:val="0"/>
          <w:numId w:val="40"/>
        </w:numPr>
        <w:spacing w:after="160" w:line="259" w:lineRule="auto"/>
        <w:rPr>
          <w:rFonts w:asciiTheme="majorHAnsi" w:hAnsiTheme="majorHAnsi" w:cs="Calibri"/>
          <w:szCs w:val="22"/>
          <w:lang w:val="en-GB"/>
        </w:rPr>
      </w:pPr>
      <w:r w:rsidRPr="003656B1">
        <w:rPr>
          <w:rFonts w:asciiTheme="majorHAnsi" w:hAnsiTheme="majorHAnsi" w:cs="Calibri"/>
          <w:szCs w:val="22"/>
          <w:lang w:val="en-GB"/>
        </w:rPr>
        <w:t xml:space="preserve">that </w:t>
      </w:r>
      <w:r w:rsidRPr="003656B1">
        <w:rPr>
          <w:rFonts w:asciiTheme="majorHAnsi" w:hAnsiTheme="majorHAnsi" w:cs="Calibri"/>
          <w:b/>
          <w:bCs/>
          <w:szCs w:val="22"/>
          <w:lang w:val="en-GB"/>
        </w:rPr>
        <w:t>group-wide exit plans between members of the same IPS are possible</w:t>
      </w:r>
      <w:r w:rsidRPr="003656B1">
        <w:rPr>
          <w:rFonts w:asciiTheme="majorHAnsi" w:hAnsiTheme="majorHAnsi" w:cs="Calibri"/>
          <w:szCs w:val="22"/>
          <w:lang w:val="en-GB"/>
        </w:rPr>
        <w:t xml:space="preserve">, thus eliminating the need for each banking institution to have its own exit plan. This ensures that administrative costs are reduced. </w:t>
      </w:r>
    </w:p>
    <w:p w14:paraId="28C6A34F"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lastRenderedPageBreak/>
        <w:t>The above points would simplify organisational and administrative procedures. In addition, the default risk for intra-group service providers is minimal due to consolidation with the parent companies.</w:t>
      </w:r>
    </w:p>
    <w:p w14:paraId="6773D780"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Finally, the questions remains if there will still be a distinction between significant and non-significant outsourcing?</w:t>
      </w:r>
    </w:p>
    <w:p w14:paraId="621F467B"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Moreover, it should be clarified that there’s a still a distinction to be made between critical and non-critical outsourcing, regardless of whether ICT relevance is involved or not. This distinction should be kept.</w:t>
      </w:r>
    </w:p>
    <w:p w14:paraId="418DF239" w14:textId="77777777" w:rsidR="00436280" w:rsidRPr="003656B1" w:rsidRDefault="00436280" w:rsidP="00831806">
      <w:pPr>
        <w:rPr>
          <w:rFonts w:asciiTheme="majorHAnsi" w:hAnsiTheme="majorHAnsi" w:cs="Calibri"/>
          <w:szCs w:val="22"/>
          <w:u w:val="single"/>
          <w:lang w:val="en-US"/>
        </w:rPr>
      </w:pPr>
      <w:r w:rsidRPr="003656B1">
        <w:rPr>
          <w:rFonts w:asciiTheme="majorHAnsi" w:hAnsiTheme="majorHAnsi" w:cs="Calibri"/>
          <w:szCs w:val="22"/>
          <w:u w:val="single"/>
          <w:lang w:val="en-US"/>
        </w:rPr>
        <w:t xml:space="preserve">Ad definitions: </w:t>
      </w:r>
    </w:p>
    <w:p w14:paraId="37909E6F" w14:textId="06644567" w:rsidR="009003C4" w:rsidRPr="007A1787" w:rsidRDefault="009003C4" w:rsidP="00831806">
      <w:pPr>
        <w:rPr>
          <w:rFonts w:asciiTheme="majorHAnsi" w:hAnsiTheme="majorHAnsi" w:cs="Calibri"/>
          <w:szCs w:val="22"/>
          <w:lang w:val="en-US"/>
        </w:rPr>
      </w:pPr>
      <w:r w:rsidRPr="009003C4">
        <w:rPr>
          <w:rFonts w:asciiTheme="majorHAnsi" w:hAnsiTheme="majorHAnsi" w:cs="Calibri"/>
          <w:szCs w:val="22"/>
          <w:lang w:val="en-US"/>
        </w:rPr>
        <w:t xml:space="preserve">In Section 3 (Background and rationale), Recital 17 states that the “definition of ‘critical or important function’ is in line with the definition in Article 3(22) of DORA.” While we do not dispute this statement, the use of the term throughout the document is not consistent with the approach under DORA. </w:t>
      </w:r>
      <w:proofErr w:type="spellStart"/>
      <w:r w:rsidR="007F0CCF">
        <w:rPr>
          <w:rFonts w:asciiTheme="majorHAnsi" w:hAnsiTheme="majorHAnsi" w:cs="Calibri"/>
          <w:szCs w:val="22"/>
          <w:lang w:val="en-US"/>
        </w:rPr>
        <w:t>Accoarding</w:t>
      </w:r>
      <w:proofErr w:type="spellEnd"/>
      <w:r w:rsidR="007F0CCF">
        <w:rPr>
          <w:rFonts w:asciiTheme="majorHAnsi" w:hAnsiTheme="majorHAnsi" w:cs="Calibri"/>
          <w:szCs w:val="22"/>
          <w:lang w:val="en-US"/>
        </w:rPr>
        <w:t xml:space="preserve"> the </w:t>
      </w:r>
      <w:r w:rsidRPr="009003C4">
        <w:rPr>
          <w:rFonts w:asciiTheme="majorHAnsi" w:hAnsiTheme="majorHAnsi" w:cs="Calibri"/>
          <w:szCs w:val="22"/>
          <w:lang w:val="en-US"/>
        </w:rPr>
        <w:t xml:space="preserve">DORA, an arrangement with a third-party provider may </w:t>
      </w:r>
      <w:r w:rsidR="007F0CCF">
        <w:rPr>
          <w:rFonts w:asciiTheme="majorHAnsi" w:hAnsiTheme="majorHAnsi" w:cs="Calibri"/>
          <w:szCs w:val="22"/>
          <w:lang w:val="en-US"/>
        </w:rPr>
        <w:t>“</w:t>
      </w:r>
      <w:proofErr w:type="spellStart"/>
      <w:r w:rsidR="007F0CCF">
        <w:rPr>
          <w:rFonts w:asciiTheme="majorHAnsi" w:hAnsiTheme="majorHAnsi" w:cs="Calibri"/>
          <w:i/>
          <w:iCs/>
          <w:szCs w:val="22"/>
          <w:lang w:val="en-US"/>
        </w:rPr>
        <w:t>support”</w:t>
      </w:r>
      <w:r w:rsidRPr="009003C4">
        <w:rPr>
          <w:rFonts w:asciiTheme="majorHAnsi" w:hAnsiTheme="majorHAnsi" w:cs="Calibri"/>
          <w:i/>
          <w:iCs/>
          <w:szCs w:val="22"/>
          <w:lang w:val="en-US"/>
        </w:rPr>
        <w:t>t</w:t>
      </w:r>
      <w:proofErr w:type="spellEnd"/>
      <w:r w:rsidRPr="009003C4">
        <w:rPr>
          <w:rFonts w:asciiTheme="majorHAnsi" w:hAnsiTheme="majorHAnsi" w:cs="Calibri"/>
          <w:szCs w:val="22"/>
          <w:lang w:val="en-US"/>
        </w:rPr>
        <w:t xml:space="preserve"> or </w:t>
      </w:r>
      <w:r w:rsidR="007F0CCF">
        <w:rPr>
          <w:rFonts w:asciiTheme="majorHAnsi" w:hAnsiTheme="majorHAnsi" w:cs="Calibri"/>
          <w:szCs w:val="22"/>
          <w:lang w:val="en-US"/>
        </w:rPr>
        <w:t>“</w:t>
      </w:r>
      <w:r w:rsidRPr="009003C4">
        <w:rPr>
          <w:rFonts w:asciiTheme="majorHAnsi" w:hAnsiTheme="majorHAnsi" w:cs="Calibri"/>
          <w:i/>
          <w:iCs/>
          <w:szCs w:val="22"/>
          <w:lang w:val="en-US"/>
        </w:rPr>
        <w:t>concern</w:t>
      </w:r>
      <w:r w:rsidR="007F0CCF">
        <w:rPr>
          <w:rFonts w:asciiTheme="majorHAnsi" w:hAnsiTheme="majorHAnsi" w:cs="Calibri"/>
          <w:i/>
          <w:iCs/>
          <w:szCs w:val="22"/>
          <w:lang w:val="en-US"/>
        </w:rPr>
        <w:t>”</w:t>
      </w:r>
      <w:r w:rsidRPr="009003C4">
        <w:rPr>
          <w:rFonts w:asciiTheme="majorHAnsi" w:hAnsiTheme="majorHAnsi" w:cs="Calibri"/>
          <w:szCs w:val="22"/>
          <w:lang w:val="en-US"/>
        </w:rPr>
        <w:t xml:space="preserve"> a critical or important function of the financial entity,</w:t>
      </w:r>
      <w:r w:rsidR="007A1787" w:rsidRPr="007A1787">
        <w:rPr>
          <w:lang w:val="en-US"/>
        </w:rPr>
        <w:t xml:space="preserve"> </w:t>
      </w:r>
      <w:r w:rsidR="007A1787" w:rsidRPr="007A1787">
        <w:rPr>
          <w:rFonts w:asciiTheme="majorHAnsi" w:hAnsiTheme="majorHAnsi" w:cs="Calibri"/>
          <w:szCs w:val="22"/>
          <w:lang w:val="en-US"/>
        </w:rPr>
        <w:t xml:space="preserve">but it does not establish such a function </w:t>
      </w:r>
      <w:r w:rsidR="007A1787">
        <w:rPr>
          <w:rFonts w:asciiTheme="majorHAnsi" w:hAnsiTheme="majorHAnsi" w:cs="Calibri"/>
          <w:szCs w:val="22"/>
          <w:lang w:val="en-US"/>
        </w:rPr>
        <w:t xml:space="preserve">by </w:t>
      </w:r>
      <w:r w:rsidR="007A1787" w:rsidRPr="007A1787">
        <w:rPr>
          <w:rFonts w:asciiTheme="majorHAnsi" w:hAnsiTheme="majorHAnsi" w:cs="Calibri"/>
          <w:szCs w:val="22"/>
          <w:lang w:val="en-US"/>
        </w:rPr>
        <w:t>itself.</w:t>
      </w:r>
    </w:p>
    <w:p w14:paraId="6DB466DF" w14:textId="73BF0676" w:rsidR="00436280" w:rsidRPr="003656B1" w:rsidRDefault="009E5E25" w:rsidP="00831806">
      <w:pPr>
        <w:rPr>
          <w:rFonts w:asciiTheme="majorHAnsi" w:hAnsiTheme="majorHAnsi" w:cs="Calibri"/>
          <w:szCs w:val="22"/>
          <w:lang w:val="en-GB"/>
        </w:rPr>
      </w:pPr>
      <w:r w:rsidRPr="003656B1">
        <w:rPr>
          <w:rFonts w:asciiTheme="majorHAnsi" w:hAnsiTheme="majorHAnsi" w:cs="Calibri"/>
          <w:szCs w:val="22"/>
          <w:lang w:val="en-GB"/>
        </w:rPr>
        <w:t>Section 3</w:t>
      </w:r>
      <w:r w:rsidR="00F86939" w:rsidRPr="003656B1">
        <w:rPr>
          <w:rFonts w:asciiTheme="majorHAnsi" w:hAnsiTheme="majorHAnsi" w:cs="Calibri"/>
          <w:szCs w:val="22"/>
          <w:lang w:val="en-GB"/>
        </w:rPr>
        <w:t>,</w:t>
      </w:r>
      <w:r w:rsidRPr="003656B1">
        <w:rPr>
          <w:rFonts w:asciiTheme="majorHAnsi" w:hAnsiTheme="majorHAnsi" w:cs="Calibri"/>
          <w:szCs w:val="22"/>
          <w:lang w:val="en-GB"/>
        </w:rPr>
        <w:t xml:space="preserve"> </w:t>
      </w:r>
      <w:r w:rsidR="00F152D4" w:rsidRPr="003656B1">
        <w:rPr>
          <w:rFonts w:asciiTheme="majorHAnsi" w:hAnsiTheme="majorHAnsi" w:cs="Calibri"/>
          <w:szCs w:val="22"/>
          <w:lang w:val="en-GB"/>
        </w:rPr>
        <w:t>R</w:t>
      </w:r>
      <w:proofErr w:type="spellStart"/>
      <w:r w:rsidR="00F152D4" w:rsidRPr="003656B1">
        <w:rPr>
          <w:rFonts w:asciiTheme="majorHAnsi" w:hAnsiTheme="majorHAnsi" w:cs="Calibri"/>
          <w:szCs w:val="22"/>
          <w:lang w:val="en-US"/>
        </w:rPr>
        <w:t>ecital</w:t>
      </w:r>
      <w:proofErr w:type="spellEnd"/>
      <w:r w:rsidR="00F152D4" w:rsidRPr="003656B1">
        <w:rPr>
          <w:rFonts w:asciiTheme="majorHAnsi" w:hAnsiTheme="majorHAnsi" w:cs="Calibri"/>
          <w:szCs w:val="22"/>
          <w:lang w:val="en-US"/>
        </w:rPr>
        <w:t xml:space="preserve"> </w:t>
      </w:r>
      <w:r w:rsidR="00436280" w:rsidRPr="003656B1">
        <w:rPr>
          <w:rFonts w:asciiTheme="majorHAnsi" w:hAnsiTheme="majorHAnsi" w:cs="Calibri"/>
          <w:szCs w:val="22"/>
          <w:lang w:val="en-GB"/>
        </w:rPr>
        <w:t>20 requires financial entities to determine “whether the function to be provided by a TPSP is considered critical or important”.  In our understanding, the term “function” is used here as a synonym to “service”.</w:t>
      </w:r>
      <w:r w:rsidR="00831806" w:rsidRPr="003656B1">
        <w:rPr>
          <w:rFonts w:asciiTheme="majorHAnsi" w:hAnsiTheme="majorHAnsi" w:cs="Calibri"/>
          <w:szCs w:val="22"/>
          <w:lang w:val="en-GB"/>
        </w:rPr>
        <w:t xml:space="preserve"> </w:t>
      </w:r>
      <w:r w:rsidR="00436280" w:rsidRPr="003656B1">
        <w:rPr>
          <w:rFonts w:asciiTheme="majorHAnsi" w:hAnsiTheme="majorHAnsi" w:cs="Calibri"/>
          <w:szCs w:val="22"/>
          <w:lang w:val="en-GB"/>
        </w:rPr>
        <w:t>This broader function definition, covering third-party services and financial entities processes will not be manageable in the context of the register of information (</w:t>
      </w:r>
      <w:proofErr w:type="spellStart"/>
      <w:r w:rsidR="00436280" w:rsidRPr="003656B1">
        <w:rPr>
          <w:rFonts w:asciiTheme="majorHAnsi" w:hAnsiTheme="majorHAnsi" w:cs="Calibri"/>
          <w:szCs w:val="22"/>
          <w:lang w:val="en-GB"/>
        </w:rPr>
        <w:t>RoI</w:t>
      </w:r>
      <w:proofErr w:type="spellEnd"/>
      <w:r w:rsidR="00436280" w:rsidRPr="003656B1">
        <w:rPr>
          <w:rFonts w:asciiTheme="majorHAnsi" w:hAnsiTheme="majorHAnsi" w:cs="Calibri"/>
          <w:szCs w:val="22"/>
          <w:lang w:val="en-GB"/>
        </w:rPr>
        <w:t xml:space="preserve">) under DORA and the register of third-party arrangements in Section 10 – as DORA requires in the </w:t>
      </w:r>
      <w:proofErr w:type="spellStart"/>
      <w:r w:rsidR="00436280" w:rsidRPr="003656B1">
        <w:rPr>
          <w:rFonts w:asciiTheme="majorHAnsi" w:hAnsiTheme="majorHAnsi" w:cs="Calibri"/>
          <w:szCs w:val="22"/>
          <w:lang w:val="en-GB"/>
        </w:rPr>
        <w:t>RoI</w:t>
      </w:r>
      <w:proofErr w:type="spellEnd"/>
      <w:r w:rsidR="00436280" w:rsidRPr="003656B1">
        <w:rPr>
          <w:rFonts w:asciiTheme="majorHAnsi" w:hAnsiTheme="majorHAnsi" w:cs="Calibri"/>
          <w:szCs w:val="22"/>
          <w:lang w:val="en-GB"/>
        </w:rPr>
        <w:t xml:space="preserve"> a full list of functions and information how these functions are supported by third party (ICT-)Services, whereas this guideline would classify the Third-Party engagements being critical and important functions.</w:t>
      </w:r>
    </w:p>
    <w:p w14:paraId="3C20CE42" w14:textId="7CEF28C5" w:rsidR="0025272B" w:rsidRDefault="0025272B" w:rsidP="00831806">
      <w:pPr>
        <w:rPr>
          <w:rFonts w:asciiTheme="majorHAnsi" w:hAnsiTheme="majorHAnsi" w:cs="Calibri"/>
          <w:szCs w:val="22"/>
          <w:lang w:val="en-US"/>
        </w:rPr>
      </w:pPr>
      <w:r w:rsidRPr="0025272B">
        <w:rPr>
          <w:rFonts w:asciiTheme="majorHAnsi" w:hAnsiTheme="majorHAnsi" w:cs="Calibri"/>
          <w:szCs w:val="22"/>
          <w:lang w:val="en-US"/>
        </w:rPr>
        <w:t xml:space="preserve">We propose a closer alignment with the DORA framework by </w:t>
      </w:r>
      <w:proofErr w:type="spellStart"/>
      <w:r w:rsidRPr="0025272B">
        <w:rPr>
          <w:rFonts w:asciiTheme="majorHAnsi" w:hAnsiTheme="majorHAnsi" w:cs="Calibri"/>
          <w:szCs w:val="22"/>
          <w:lang w:val="en-US"/>
        </w:rPr>
        <w:t>categorising</w:t>
      </w:r>
      <w:proofErr w:type="spellEnd"/>
      <w:r w:rsidRPr="0025272B">
        <w:rPr>
          <w:rFonts w:asciiTheme="majorHAnsi" w:hAnsiTheme="majorHAnsi" w:cs="Calibri"/>
          <w:szCs w:val="22"/>
          <w:lang w:val="en-US"/>
        </w:rPr>
        <w:t xml:space="preserve"> third-party arrangements as “supporting critical and important functions,”</w:t>
      </w:r>
      <w:r w:rsidR="000D5AA6">
        <w:rPr>
          <w:rFonts w:asciiTheme="majorHAnsi" w:hAnsiTheme="majorHAnsi" w:cs="Calibri"/>
          <w:szCs w:val="22"/>
          <w:lang w:val="en-US"/>
        </w:rPr>
        <w:t>. T</w:t>
      </w:r>
      <w:r w:rsidRPr="0025272B">
        <w:rPr>
          <w:rFonts w:asciiTheme="majorHAnsi" w:hAnsiTheme="majorHAnsi" w:cs="Calibri"/>
          <w:szCs w:val="22"/>
          <w:lang w:val="en-US"/>
        </w:rPr>
        <w:t xml:space="preserve">he </w:t>
      </w:r>
      <w:r w:rsidR="000B796C">
        <w:rPr>
          <w:rFonts w:asciiTheme="majorHAnsi" w:hAnsiTheme="majorHAnsi" w:cs="Calibri"/>
          <w:szCs w:val="22"/>
          <w:lang w:val="en-US"/>
        </w:rPr>
        <w:t>classification</w:t>
      </w:r>
      <w:r w:rsidRPr="0025272B">
        <w:rPr>
          <w:rFonts w:asciiTheme="majorHAnsi" w:hAnsiTheme="majorHAnsi" w:cs="Calibri"/>
          <w:szCs w:val="22"/>
          <w:lang w:val="en-US"/>
        </w:rPr>
        <w:t xml:space="preserve"> of “functions” should remain reserved to financial entities, which retain full accountability for their proper execution, even where certain elements are performed by third-party service providers.</w:t>
      </w:r>
    </w:p>
    <w:p w14:paraId="619DA611" w14:textId="6AA7A2E3" w:rsidR="00436280" w:rsidRPr="003656B1" w:rsidRDefault="00436280" w:rsidP="00831806">
      <w:pPr>
        <w:rPr>
          <w:rFonts w:asciiTheme="majorHAnsi" w:hAnsiTheme="majorHAnsi" w:cs="Calibri"/>
          <w:szCs w:val="22"/>
          <w:u w:val="single"/>
          <w:lang w:val="en-US"/>
        </w:rPr>
      </w:pPr>
      <w:r w:rsidRPr="003656B1">
        <w:rPr>
          <w:rFonts w:asciiTheme="majorHAnsi" w:hAnsiTheme="majorHAnsi" w:cs="Calibri"/>
          <w:szCs w:val="22"/>
          <w:u w:val="single"/>
          <w:lang w:val="en-US"/>
        </w:rPr>
        <w:t xml:space="preserve">Ad Transitional arrangements (see </w:t>
      </w:r>
      <w:r w:rsidR="005D081B" w:rsidRPr="003656B1">
        <w:rPr>
          <w:rFonts w:asciiTheme="majorHAnsi" w:hAnsiTheme="majorHAnsi" w:cs="Calibri"/>
          <w:szCs w:val="22"/>
          <w:u w:val="single"/>
          <w:lang w:val="en-US"/>
        </w:rPr>
        <w:t xml:space="preserve">Recital </w:t>
      </w:r>
      <w:r w:rsidRPr="003656B1">
        <w:rPr>
          <w:rFonts w:asciiTheme="majorHAnsi" w:hAnsiTheme="majorHAnsi" w:cs="Calibri"/>
          <w:szCs w:val="22"/>
          <w:u w:val="single"/>
          <w:lang w:val="en-US"/>
        </w:rPr>
        <w:t>19 and 20):</w:t>
      </w:r>
    </w:p>
    <w:p w14:paraId="5CCA43C8" w14:textId="5883F74E" w:rsidR="00436280" w:rsidRPr="003656B1" w:rsidRDefault="00436280" w:rsidP="00831806">
      <w:pPr>
        <w:rPr>
          <w:rFonts w:asciiTheme="majorHAnsi" w:hAnsiTheme="majorHAnsi" w:cs="Calibri"/>
          <w:szCs w:val="22"/>
          <w:lang w:val="en-GB"/>
        </w:rPr>
      </w:pPr>
      <w:r w:rsidRPr="003656B1">
        <w:rPr>
          <w:rFonts w:asciiTheme="majorHAnsi" w:hAnsiTheme="majorHAnsi" w:cs="Calibri"/>
          <w:szCs w:val="22"/>
          <w:lang w:val="en-US"/>
        </w:rPr>
        <w:t xml:space="preserve">While </w:t>
      </w:r>
      <w:r w:rsidR="005D081B" w:rsidRPr="003656B1">
        <w:rPr>
          <w:rFonts w:asciiTheme="majorHAnsi" w:hAnsiTheme="majorHAnsi" w:cs="Calibri"/>
          <w:szCs w:val="22"/>
          <w:lang w:val="en-US"/>
        </w:rPr>
        <w:t xml:space="preserve">Recital </w:t>
      </w:r>
      <w:r w:rsidRPr="003656B1">
        <w:rPr>
          <w:rFonts w:asciiTheme="majorHAnsi" w:hAnsiTheme="majorHAnsi" w:cs="Calibri"/>
          <w:szCs w:val="22"/>
          <w:lang w:val="en-US"/>
        </w:rPr>
        <w:t xml:space="preserve">19 refers to “third-party arrangements of critical or important functions” with regard to the proposed </w:t>
      </w:r>
      <w:proofErr w:type="gramStart"/>
      <w:r w:rsidRPr="003656B1">
        <w:rPr>
          <w:rFonts w:asciiTheme="majorHAnsi" w:hAnsiTheme="majorHAnsi" w:cs="Calibri"/>
          <w:szCs w:val="22"/>
          <w:lang w:val="en-US"/>
        </w:rPr>
        <w:t>2 year</w:t>
      </w:r>
      <w:proofErr w:type="gramEnd"/>
      <w:r w:rsidRPr="003656B1">
        <w:rPr>
          <w:rFonts w:asciiTheme="majorHAnsi" w:hAnsiTheme="majorHAnsi" w:cs="Calibri"/>
          <w:szCs w:val="22"/>
          <w:lang w:val="en-US"/>
        </w:rPr>
        <w:t xml:space="preserve"> transitional period, </w:t>
      </w:r>
      <w:r w:rsidR="009F7CAE" w:rsidRPr="003656B1">
        <w:rPr>
          <w:rFonts w:asciiTheme="majorHAnsi" w:hAnsiTheme="majorHAnsi" w:cs="Calibri"/>
          <w:szCs w:val="22"/>
          <w:lang w:val="en-US"/>
        </w:rPr>
        <w:t xml:space="preserve">recital </w:t>
      </w:r>
      <w:r w:rsidRPr="003656B1">
        <w:rPr>
          <w:rFonts w:asciiTheme="majorHAnsi" w:hAnsiTheme="majorHAnsi" w:cs="Calibri"/>
          <w:szCs w:val="22"/>
          <w:lang w:val="en-US"/>
        </w:rPr>
        <w:t xml:space="preserve">20 refers to “all existing third-party arrangements”. Experience from DORA and the BRRD related changes of documentation show that negotiations with vendors can be rather tedious, especially </w:t>
      </w:r>
      <w:proofErr w:type="gramStart"/>
      <w:r w:rsidRPr="003656B1">
        <w:rPr>
          <w:rFonts w:asciiTheme="majorHAnsi" w:hAnsiTheme="majorHAnsi" w:cs="Calibri"/>
          <w:szCs w:val="22"/>
          <w:lang w:val="en-US"/>
        </w:rPr>
        <w:t>with regard to</w:t>
      </w:r>
      <w:proofErr w:type="gramEnd"/>
      <w:r w:rsidRPr="003656B1">
        <w:rPr>
          <w:rFonts w:asciiTheme="majorHAnsi" w:hAnsiTheme="majorHAnsi" w:cs="Calibri"/>
          <w:szCs w:val="22"/>
          <w:lang w:val="en-US"/>
        </w:rPr>
        <w:t xml:space="preserve"> (pre-)existing documentation. We therefore would appreciate an alignment of these two provisions with a fixed transitional period applying only to third-party arrangements of critical or important functions while stipulating a “best-efforts”-clause </w:t>
      </w:r>
      <w:proofErr w:type="gramStart"/>
      <w:r w:rsidRPr="003656B1">
        <w:rPr>
          <w:rFonts w:asciiTheme="majorHAnsi" w:hAnsiTheme="majorHAnsi" w:cs="Calibri"/>
          <w:szCs w:val="22"/>
          <w:lang w:val="en-US"/>
        </w:rPr>
        <w:t>with regard to</w:t>
      </w:r>
      <w:proofErr w:type="gramEnd"/>
      <w:r w:rsidRPr="003656B1">
        <w:rPr>
          <w:rFonts w:asciiTheme="majorHAnsi" w:hAnsiTheme="majorHAnsi" w:cs="Calibri"/>
          <w:szCs w:val="22"/>
          <w:lang w:val="en-US"/>
        </w:rPr>
        <w:t xml:space="preserve"> the remaining services (based on a respective prioritization/adaption plan).</w:t>
      </w:r>
    </w:p>
    <w:p w14:paraId="64DFB59F" w14:textId="77777777" w:rsidR="00B16E44" w:rsidRPr="003656B1" w:rsidRDefault="00B16E44" w:rsidP="00831806">
      <w:pPr>
        <w:rPr>
          <w:rFonts w:asciiTheme="majorHAnsi" w:hAnsiTheme="majorHAnsi" w:cs="Calibri"/>
          <w:szCs w:val="22"/>
          <w:lang w:val="en-GB"/>
        </w:rPr>
      </w:pPr>
    </w:p>
    <w:p w14:paraId="754785E7" w14:textId="1936C75F" w:rsidR="00B16E44" w:rsidRPr="003656B1" w:rsidRDefault="00B93C42" w:rsidP="00831806">
      <w:pPr>
        <w:pBdr>
          <w:top w:val="single" w:sz="4" w:space="1" w:color="auto"/>
          <w:left w:val="single" w:sz="4" w:space="4" w:color="auto"/>
          <w:bottom w:val="single" w:sz="4" w:space="1" w:color="auto"/>
          <w:right w:val="single" w:sz="4" w:space="4" w:color="auto"/>
        </w:pBdr>
        <w:rPr>
          <w:rFonts w:asciiTheme="majorHAnsi" w:hAnsiTheme="majorHAnsi" w:cs="Calibri"/>
          <w:b/>
          <w:bCs/>
          <w:szCs w:val="22"/>
          <w:lang w:val="en-GB"/>
        </w:rPr>
      </w:pPr>
      <w:r w:rsidRPr="003656B1">
        <w:rPr>
          <w:rFonts w:asciiTheme="majorHAnsi" w:hAnsiTheme="majorHAnsi" w:cs="Calibri"/>
          <w:b/>
          <w:bCs/>
          <w:szCs w:val="22"/>
          <w:lang w:val="en-GB"/>
        </w:rPr>
        <w:t>Q2:</w:t>
      </w:r>
      <w:r w:rsidR="00B16E44" w:rsidRPr="003656B1">
        <w:rPr>
          <w:rFonts w:asciiTheme="majorHAnsi" w:hAnsiTheme="majorHAnsi" w:cs="Calibri"/>
          <w:b/>
          <w:bCs/>
          <w:szCs w:val="22"/>
          <w:lang w:val="en-GB"/>
        </w:rPr>
        <w:t xml:space="preserve"> Is Title II appropriate and sufficiently clear?</w:t>
      </w:r>
    </w:p>
    <w:p w14:paraId="3F64E1EA" w14:textId="151FEAF8" w:rsidR="00A77A9E" w:rsidRPr="003656B1" w:rsidRDefault="00A77A9E" w:rsidP="00831806">
      <w:pPr>
        <w:rPr>
          <w:rFonts w:asciiTheme="majorHAnsi" w:hAnsiTheme="majorHAnsi" w:cs="Calibri"/>
          <w:szCs w:val="22"/>
          <w:u w:val="single"/>
          <w:lang w:val="en-US"/>
        </w:rPr>
      </w:pPr>
      <w:r w:rsidRPr="003656B1">
        <w:rPr>
          <w:rFonts w:asciiTheme="majorHAnsi" w:hAnsiTheme="majorHAnsi" w:cs="Calibri"/>
          <w:szCs w:val="22"/>
          <w:u w:val="single"/>
          <w:lang w:val="en-US"/>
        </w:rPr>
        <w:t xml:space="preserve">Ad </w:t>
      </w:r>
      <w:r w:rsidR="005D081B" w:rsidRPr="003656B1">
        <w:rPr>
          <w:rFonts w:asciiTheme="majorHAnsi" w:hAnsiTheme="majorHAnsi" w:cs="Calibri"/>
          <w:szCs w:val="22"/>
          <w:u w:val="single"/>
          <w:lang w:val="en-US"/>
        </w:rPr>
        <w:t xml:space="preserve">Recital </w:t>
      </w:r>
      <w:r w:rsidRPr="003656B1">
        <w:rPr>
          <w:rFonts w:asciiTheme="majorHAnsi" w:hAnsiTheme="majorHAnsi" w:cs="Calibri"/>
          <w:szCs w:val="22"/>
          <w:u w:val="single"/>
          <w:lang w:val="en-US"/>
        </w:rPr>
        <w:t xml:space="preserve">32 – listed exemptions: </w:t>
      </w:r>
    </w:p>
    <w:p w14:paraId="5EC7AE08" w14:textId="1FB8A2DB" w:rsidR="001B5026" w:rsidRPr="001B5026" w:rsidRDefault="00A77A9E" w:rsidP="00831806">
      <w:pPr>
        <w:rPr>
          <w:rFonts w:asciiTheme="majorHAnsi" w:hAnsiTheme="majorHAnsi" w:cs="Calibri"/>
          <w:szCs w:val="22"/>
          <w:lang w:val="en-US"/>
        </w:rPr>
      </w:pPr>
      <w:r w:rsidRPr="003656B1">
        <w:rPr>
          <w:rFonts w:asciiTheme="majorHAnsi" w:hAnsiTheme="majorHAnsi" w:cs="Calibri"/>
          <w:szCs w:val="22"/>
          <w:lang w:val="en-US"/>
        </w:rPr>
        <w:t xml:space="preserve">While it is shortly mentioned in </w:t>
      </w:r>
      <w:r w:rsidR="005D081B" w:rsidRPr="003656B1">
        <w:rPr>
          <w:rFonts w:asciiTheme="majorHAnsi" w:hAnsiTheme="majorHAnsi" w:cs="Calibri"/>
          <w:szCs w:val="22"/>
          <w:lang w:val="en-US"/>
        </w:rPr>
        <w:t xml:space="preserve">Recital </w:t>
      </w:r>
      <w:r w:rsidRPr="003656B1">
        <w:rPr>
          <w:rFonts w:asciiTheme="majorHAnsi" w:hAnsiTheme="majorHAnsi" w:cs="Calibri"/>
          <w:szCs w:val="22"/>
          <w:lang w:val="en-US"/>
        </w:rPr>
        <w:t xml:space="preserve">30 that “consideration should be given to whether the function is provided or planned to be provided by a TPSP at least on a recurrent or </w:t>
      </w:r>
      <w:r w:rsidRPr="003656B1">
        <w:rPr>
          <w:rFonts w:asciiTheme="majorHAnsi" w:hAnsiTheme="majorHAnsi" w:cs="Calibri"/>
          <w:szCs w:val="22"/>
          <w:lang w:val="en-US"/>
        </w:rPr>
        <w:lastRenderedPageBreak/>
        <w:t xml:space="preserve">ongoing basis”, this aspect is then not expressly mentioned in </w:t>
      </w:r>
      <w:r w:rsidR="005D081B" w:rsidRPr="003656B1">
        <w:rPr>
          <w:rFonts w:asciiTheme="majorHAnsi" w:hAnsiTheme="majorHAnsi" w:cs="Calibri"/>
          <w:szCs w:val="22"/>
          <w:lang w:val="en-US"/>
        </w:rPr>
        <w:t xml:space="preserve">recital </w:t>
      </w:r>
      <w:r w:rsidRPr="003656B1">
        <w:rPr>
          <w:rFonts w:asciiTheme="majorHAnsi" w:hAnsiTheme="majorHAnsi" w:cs="Calibri"/>
          <w:szCs w:val="22"/>
          <w:lang w:val="en-US"/>
        </w:rPr>
        <w:t xml:space="preserve">32. </w:t>
      </w:r>
      <w:r w:rsidR="001B5026" w:rsidRPr="001B5026">
        <w:rPr>
          <w:rFonts w:asciiTheme="majorHAnsi" w:hAnsiTheme="majorHAnsi" w:cs="Calibri"/>
          <w:szCs w:val="22"/>
          <w:lang w:val="en-US"/>
        </w:rPr>
        <w:t>As we understand it, the guideline is clearly intended to apply to recurrent or ongoing “run-the-bank” services only, and not to one-</w:t>
      </w:r>
      <w:r w:rsidR="001B5026">
        <w:rPr>
          <w:rFonts w:asciiTheme="majorHAnsi" w:hAnsiTheme="majorHAnsi" w:cs="Calibri"/>
          <w:szCs w:val="22"/>
          <w:lang w:val="en-US"/>
        </w:rPr>
        <w:t>time</w:t>
      </w:r>
      <w:r w:rsidR="001B5026" w:rsidRPr="001B5026">
        <w:rPr>
          <w:rFonts w:asciiTheme="majorHAnsi" w:hAnsiTheme="majorHAnsi" w:cs="Calibri"/>
          <w:szCs w:val="22"/>
          <w:lang w:val="en-US"/>
        </w:rPr>
        <w:t>, project-based “change-the-bank” services (such as business or strategic consultancy provided during a specific project). For the sake of legal clarity and consistency, we would therefore welcome the inclusion of an explicit exemption for “change-the-bank” services in Recital 32.</w:t>
      </w:r>
    </w:p>
    <w:p w14:paraId="22A67AEB" w14:textId="77777777" w:rsidR="00A77A9E" w:rsidRPr="003656B1" w:rsidRDefault="00A77A9E" w:rsidP="00831806">
      <w:pPr>
        <w:rPr>
          <w:rFonts w:asciiTheme="majorHAnsi" w:hAnsiTheme="majorHAnsi" w:cs="Calibri"/>
          <w:szCs w:val="22"/>
          <w:lang w:val="en-US"/>
        </w:rPr>
      </w:pPr>
      <w:r w:rsidRPr="003656B1">
        <w:rPr>
          <w:rFonts w:asciiTheme="majorHAnsi" w:hAnsiTheme="majorHAnsi" w:cs="Calibri"/>
          <w:szCs w:val="22"/>
          <w:lang w:val="en-US"/>
        </w:rPr>
        <w:t xml:space="preserve">In addition, the list includes various </w:t>
      </w:r>
      <w:r w:rsidRPr="003656B1">
        <w:rPr>
          <w:rFonts w:asciiTheme="majorHAnsi" w:hAnsiTheme="majorHAnsi" w:cs="Calibri"/>
          <w:szCs w:val="22"/>
          <w:lang w:val="en-GB"/>
        </w:rPr>
        <w:t xml:space="preserve">office services and mailrooms, post-room services etc. </w:t>
      </w:r>
      <w:r w:rsidRPr="003656B1">
        <w:rPr>
          <w:rFonts w:asciiTheme="majorHAnsi" w:hAnsiTheme="majorHAnsi" w:cs="Calibri"/>
          <w:szCs w:val="22"/>
          <w:lang w:val="en-US"/>
        </w:rPr>
        <w:t>In this context, we suggest clarifying whether print activities also fall under these exemptions. If so, it would be helpful to explicitly mention them within the guidelines.</w:t>
      </w:r>
    </w:p>
    <w:p w14:paraId="3E0D207E" w14:textId="52C76AFD" w:rsidR="00A77A9E" w:rsidRPr="003656B1" w:rsidRDefault="00A77A9E" w:rsidP="00831806">
      <w:pPr>
        <w:rPr>
          <w:rFonts w:asciiTheme="majorHAnsi" w:hAnsiTheme="majorHAnsi" w:cs="Calibri"/>
          <w:szCs w:val="22"/>
          <w:u w:val="single"/>
          <w:lang w:val="en-US"/>
        </w:rPr>
      </w:pPr>
      <w:r w:rsidRPr="003656B1">
        <w:rPr>
          <w:rFonts w:asciiTheme="majorHAnsi" w:hAnsiTheme="majorHAnsi" w:cs="Calibri"/>
          <w:szCs w:val="22"/>
          <w:u w:val="single"/>
          <w:lang w:val="en-US"/>
        </w:rPr>
        <w:t xml:space="preserve">Ad </w:t>
      </w:r>
      <w:bookmarkStart w:id="0" w:name="_Hlk209453638"/>
      <w:r w:rsidR="00D833E7" w:rsidRPr="003656B1">
        <w:rPr>
          <w:rFonts w:asciiTheme="majorHAnsi" w:hAnsiTheme="majorHAnsi" w:cs="Calibri"/>
          <w:szCs w:val="22"/>
          <w:u w:val="single"/>
          <w:lang w:val="en-US"/>
        </w:rPr>
        <w:t>Recital</w:t>
      </w:r>
      <w:r w:rsidRPr="003656B1">
        <w:rPr>
          <w:rFonts w:asciiTheme="majorHAnsi" w:hAnsiTheme="majorHAnsi" w:cs="Calibri"/>
          <w:szCs w:val="22"/>
          <w:u w:val="single"/>
          <w:lang w:val="en-US"/>
        </w:rPr>
        <w:t xml:space="preserve"> </w:t>
      </w:r>
      <w:bookmarkEnd w:id="0"/>
      <w:r w:rsidRPr="003656B1">
        <w:rPr>
          <w:rFonts w:asciiTheme="majorHAnsi" w:hAnsiTheme="majorHAnsi" w:cs="Calibri"/>
          <w:szCs w:val="22"/>
          <w:u w:val="single"/>
          <w:lang w:val="en-US"/>
        </w:rPr>
        <w:t>37 – “…function performed by financial entities…”</w:t>
      </w:r>
    </w:p>
    <w:p w14:paraId="18A45180" w14:textId="77777777" w:rsidR="00A77A9E" w:rsidRPr="003656B1" w:rsidRDefault="00A77A9E" w:rsidP="00831806">
      <w:pPr>
        <w:rPr>
          <w:rFonts w:asciiTheme="majorHAnsi" w:hAnsiTheme="majorHAnsi" w:cs="Calibri"/>
          <w:szCs w:val="22"/>
          <w:lang w:val="en-US"/>
        </w:rPr>
      </w:pPr>
      <w:r w:rsidRPr="003656B1">
        <w:rPr>
          <w:rFonts w:asciiTheme="majorHAnsi" w:hAnsiTheme="majorHAnsi" w:cs="Calibri"/>
          <w:szCs w:val="22"/>
          <w:lang w:val="en-US"/>
        </w:rPr>
        <w:t>The term “function performed by financial entity” in the first sentence in combination with a) and b) would indicate that a new arrangement with a third-party could:</w:t>
      </w:r>
    </w:p>
    <w:p w14:paraId="72D7592A" w14:textId="77777777" w:rsidR="00A77A9E" w:rsidRPr="003656B1" w:rsidRDefault="00A77A9E" w:rsidP="00831806">
      <w:pPr>
        <w:numPr>
          <w:ilvl w:val="0"/>
          <w:numId w:val="41"/>
        </w:numPr>
        <w:rPr>
          <w:rFonts w:asciiTheme="majorHAnsi" w:hAnsiTheme="majorHAnsi" w:cs="Calibri"/>
          <w:szCs w:val="22"/>
          <w:lang w:val="en-US"/>
        </w:rPr>
      </w:pPr>
      <w:r w:rsidRPr="003656B1">
        <w:rPr>
          <w:rFonts w:asciiTheme="majorHAnsi" w:hAnsiTheme="majorHAnsi" w:cs="Calibri"/>
          <w:szCs w:val="22"/>
          <w:lang w:val="en-US"/>
        </w:rPr>
        <w:t>create a new function for the financial entity</w:t>
      </w:r>
    </w:p>
    <w:p w14:paraId="4A848CE7" w14:textId="77777777" w:rsidR="00A77A9E" w:rsidRPr="003656B1" w:rsidRDefault="00A77A9E" w:rsidP="00831806">
      <w:pPr>
        <w:numPr>
          <w:ilvl w:val="0"/>
          <w:numId w:val="41"/>
        </w:numPr>
        <w:rPr>
          <w:rFonts w:asciiTheme="majorHAnsi" w:hAnsiTheme="majorHAnsi" w:cs="Calibri"/>
          <w:szCs w:val="22"/>
          <w:lang w:val="en-US"/>
        </w:rPr>
      </w:pPr>
      <w:r w:rsidRPr="003656B1">
        <w:rPr>
          <w:rFonts w:asciiTheme="majorHAnsi" w:hAnsiTheme="majorHAnsi" w:cs="Calibri"/>
          <w:szCs w:val="22"/>
          <w:lang w:val="en-US"/>
        </w:rPr>
        <w:t>change an already existing, non-critical function into critical function when it is not executed by the bank, but by a third-party</w:t>
      </w:r>
    </w:p>
    <w:p w14:paraId="5A1E6271" w14:textId="77777777" w:rsidR="00A77A9E" w:rsidRPr="003656B1" w:rsidRDefault="00A77A9E" w:rsidP="00831806">
      <w:pPr>
        <w:numPr>
          <w:ilvl w:val="0"/>
          <w:numId w:val="41"/>
        </w:numPr>
        <w:rPr>
          <w:rFonts w:asciiTheme="majorHAnsi" w:hAnsiTheme="majorHAnsi" w:cs="Calibri"/>
          <w:szCs w:val="22"/>
          <w:lang w:val="en-US"/>
        </w:rPr>
      </w:pPr>
      <w:r w:rsidRPr="003656B1">
        <w:rPr>
          <w:rFonts w:asciiTheme="majorHAnsi" w:hAnsiTheme="majorHAnsi" w:cs="Calibri"/>
          <w:szCs w:val="22"/>
          <w:lang w:val="en-US"/>
        </w:rPr>
        <w:t xml:space="preserve">require a splitting of an existing function - or creation of a “sub-function” if only a part of an existing function is subject to a service provided by a third party </w:t>
      </w:r>
      <w:r w:rsidRPr="003656B1">
        <w:rPr>
          <w:rFonts w:asciiTheme="majorHAnsi" w:hAnsiTheme="majorHAnsi" w:cs="Calibri"/>
          <w:szCs w:val="22"/>
          <w:lang w:val="en-US"/>
        </w:rPr>
        <w:br/>
        <w:t xml:space="preserve">(e.g. the function of the bank is “Ensuring Anti Money Laundering for transactions” and only some scanning is received through a third-party service) </w:t>
      </w:r>
    </w:p>
    <w:p w14:paraId="2602B9DC" w14:textId="6532A33B" w:rsidR="00B16E44" w:rsidRPr="003656B1" w:rsidRDefault="00A77A9E" w:rsidP="00831806">
      <w:pPr>
        <w:rPr>
          <w:rFonts w:asciiTheme="majorHAnsi" w:hAnsiTheme="majorHAnsi" w:cs="Calibri"/>
          <w:szCs w:val="22"/>
          <w:lang w:val="en-US"/>
        </w:rPr>
      </w:pPr>
      <w:r w:rsidRPr="003656B1">
        <w:rPr>
          <w:rFonts w:asciiTheme="majorHAnsi" w:hAnsiTheme="majorHAnsi" w:cs="Calibri"/>
          <w:szCs w:val="22"/>
          <w:lang w:val="en-US"/>
        </w:rPr>
        <w:t>We therefore ask for a clarification whether this is really the intention of this section. Underlying issue maybe the point mentioned above related to definitions</w:t>
      </w:r>
      <w:r w:rsidR="00723C3F" w:rsidRPr="003656B1">
        <w:rPr>
          <w:rFonts w:asciiTheme="majorHAnsi" w:hAnsiTheme="majorHAnsi" w:cs="Calibri"/>
          <w:szCs w:val="22"/>
          <w:lang w:val="en-US"/>
        </w:rPr>
        <w:t>.</w:t>
      </w:r>
    </w:p>
    <w:p w14:paraId="6D40318B" w14:textId="77777777" w:rsidR="00723C3F" w:rsidRPr="003656B1" w:rsidRDefault="00723C3F" w:rsidP="00831806">
      <w:pPr>
        <w:rPr>
          <w:rFonts w:asciiTheme="majorHAnsi" w:hAnsiTheme="majorHAnsi" w:cs="Calibri"/>
          <w:szCs w:val="22"/>
          <w:lang w:val="en-GB"/>
        </w:rPr>
      </w:pPr>
    </w:p>
    <w:p w14:paraId="51A1038A" w14:textId="3FA92405" w:rsidR="00B16E44" w:rsidRPr="003656B1" w:rsidRDefault="00B93C42" w:rsidP="00831806">
      <w:pPr>
        <w:pBdr>
          <w:top w:val="single" w:sz="4" w:space="1" w:color="auto"/>
          <w:left w:val="single" w:sz="4" w:space="4" w:color="auto"/>
          <w:bottom w:val="single" w:sz="4" w:space="1" w:color="auto"/>
          <w:right w:val="single" w:sz="4" w:space="4" w:color="auto"/>
        </w:pBdr>
        <w:rPr>
          <w:rFonts w:asciiTheme="majorHAnsi" w:hAnsiTheme="majorHAnsi" w:cs="Calibri"/>
          <w:b/>
          <w:bCs/>
          <w:szCs w:val="22"/>
          <w:lang w:val="en-GB"/>
        </w:rPr>
      </w:pPr>
      <w:r w:rsidRPr="003656B1">
        <w:rPr>
          <w:rFonts w:asciiTheme="majorHAnsi" w:hAnsiTheme="majorHAnsi" w:cs="Calibri"/>
          <w:b/>
          <w:bCs/>
          <w:szCs w:val="22"/>
          <w:lang w:val="en-GB"/>
        </w:rPr>
        <w:t>Q3:</w:t>
      </w:r>
      <w:r w:rsidR="00B16E44" w:rsidRPr="003656B1">
        <w:rPr>
          <w:rFonts w:asciiTheme="majorHAnsi" w:hAnsiTheme="majorHAnsi" w:cs="Calibri"/>
          <w:b/>
          <w:bCs/>
          <w:szCs w:val="22"/>
          <w:lang w:val="en-GB"/>
        </w:rPr>
        <w:t xml:space="preserve"> Are Sections 5 to 10 (Title III) of the Guidelines sufficiently clear and appropriate?</w:t>
      </w:r>
    </w:p>
    <w:p w14:paraId="23EA09AF"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It should be clarified if only non-ICT-relevant contracts be listed in the outsourcing register in future.</w:t>
      </w:r>
    </w:p>
    <w:p w14:paraId="64823CB0"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In addition, clarification is needed that non-ICT services and ICT services will be listed in the register in accordance with the new EBA GL.</w:t>
      </w:r>
    </w:p>
    <w:p w14:paraId="735F1C07"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In future, the outsourcing register will continue to be based on outsourcing, regardless of whether it is relevant to ICT or not. This is subject to the two registers being compatible and matching each other.</w:t>
      </w:r>
    </w:p>
    <w:p w14:paraId="22C32E8F"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The scope of application should be changed in such a way that there will continue to be two registers in future, in which the relevant contracts are to be maintained separately in the register.</w:t>
      </w:r>
    </w:p>
    <w:p w14:paraId="34DDDAB9"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The established processes would be complicated by the separation into ICT and non-ICT. If there is a focus on ICT-relevant third-party agreements, there is a risk that outsourcing-relevant agreements will no longer be adequately monitored.</w:t>
      </w:r>
    </w:p>
    <w:p w14:paraId="3E1CBC94"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If information is removed from the outsourcing register because it is transferred to the information register, information will be lost for third-party risk management for non-ICT-related outsourcing contracts.</w:t>
      </w:r>
    </w:p>
    <w:p w14:paraId="6F7B5DA4"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lastRenderedPageBreak/>
        <w:t>Additionally, the questions remain what does it mean that the outsourcing register should be compatible with the DORA information register and which information/data points does the reference in the draft EBA GL regarding discrepancies refer?</w:t>
      </w:r>
    </w:p>
    <w:p w14:paraId="6AC461A6"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In our view, it should be explicitly laid down that two separate registers are to be maintained.</w:t>
      </w:r>
    </w:p>
    <w:p w14:paraId="4399F0E0"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No new mandatory fields should be introduced, as this would lead to increased administrative costs and make third-party management more complex and expensive overall, without any apparent improvement in the management of third-party risk.</w:t>
      </w:r>
    </w:p>
    <w:p w14:paraId="03BA8890"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It should be clearly explained how the discrepancy between the two different registers is to be understood, as the information register contains much more extensive ICT obligations and more mandatory fields.</w:t>
      </w:r>
    </w:p>
    <w:p w14:paraId="26159EDB"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The question remains if the reference to the discrepancy does relate to the information that must be included in the register according to the draft EBA guidelines or does the reference relate to the information that DORA provides for the information register.</w:t>
      </w:r>
    </w:p>
    <w:p w14:paraId="267C0749" w14:textId="77777777" w:rsidR="00B16E44" w:rsidRPr="003656B1" w:rsidRDefault="00B16E44" w:rsidP="00831806">
      <w:pPr>
        <w:rPr>
          <w:rFonts w:asciiTheme="majorHAnsi" w:hAnsiTheme="majorHAnsi" w:cs="Calibri"/>
          <w:szCs w:val="22"/>
          <w:lang w:val="en-GB"/>
        </w:rPr>
      </w:pPr>
      <w:r w:rsidRPr="003656B1">
        <w:rPr>
          <w:rFonts w:asciiTheme="majorHAnsi" w:hAnsiTheme="majorHAnsi" w:cs="Calibri"/>
          <w:szCs w:val="22"/>
          <w:lang w:val="en-GB"/>
        </w:rPr>
        <w:t>In our view, the two registers should remain in their current form.</w:t>
      </w:r>
    </w:p>
    <w:p w14:paraId="0C174C30" w14:textId="4EB61A35" w:rsidR="00B93C42" w:rsidRPr="003656B1" w:rsidRDefault="00B93C42" w:rsidP="00831806">
      <w:pPr>
        <w:rPr>
          <w:rFonts w:asciiTheme="majorHAnsi" w:hAnsiTheme="majorHAnsi" w:cs="Calibri"/>
          <w:szCs w:val="22"/>
          <w:u w:val="single"/>
          <w:lang w:val="en-US"/>
        </w:rPr>
      </w:pPr>
      <w:r w:rsidRPr="003656B1">
        <w:rPr>
          <w:rFonts w:asciiTheme="majorHAnsi" w:hAnsiTheme="majorHAnsi" w:cs="Calibri"/>
          <w:szCs w:val="22"/>
          <w:u w:val="single"/>
          <w:lang w:val="en-US"/>
        </w:rPr>
        <w:t xml:space="preserve">Ad </w:t>
      </w:r>
      <w:r w:rsidR="005D081B" w:rsidRPr="003656B1">
        <w:rPr>
          <w:rFonts w:asciiTheme="majorHAnsi" w:hAnsiTheme="majorHAnsi" w:cs="Calibri"/>
          <w:szCs w:val="22"/>
          <w:u w:val="single"/>
          <w:lang w:val="en-US"/>
        </w:rPr>
        <w:t xml:space="preserve">Recital </w:t>
      </w:r>
      <w:r w:rsidRPr="003656B1">
        <w:rPr>
          <w:rFonts w:asciiTheme="majorHAnsi" w:hAnsiTheme="majorHAnsi" w:cs="Calibri"/>
          <w:szCs w:val="22"/>
          <w:u w:val="single"/>
          <w:lang w:val="en-US"/>
        </w:rPr>
        <w:t>63</w:t>
      </w:r>
      <w:r w:rsidR="00A422CD" w:rsidRPr="003656B1">
        <w:rPr>
          <w:rFonts w:asciiTheme="majorHAnsi" w:hAnsiTheme="majorHAnsi" w:cs="Calibri"/>
          <w:szCs w:val="22"/>
          <w:u w:val="single"/>
          <w:lang w:val="en-US"/>
        </w:rPr>
        <w:t xml:space="preserve"> lit </w:t>
      </w:r>
      <w:r w:rsidR="007A523A" w:rsidRPr="003656B1">
        <w:rPr>
          <w:rFonts w:asciiTheme="majorHAnsi" w:hAnsiTheme="majorHAnsi" w:cs="Calibri"/>
          <w:szCs w:val="22"/>
          <w:u w:val="single"/>
          <w:lang w:val="en-US"/>
        </w:rPr>
        <w:t>g</w:t>
      </w:r>
      <w:r w:rsidRPr="003656B1">
        <w:rPr>
          <w:rFonts w:asciiTheme="majorHAnsi" w:hAnsiTheme="majorHAnsi" w:cs="Calibri"/>
          <w:szCs w:val="22"/>
          <w:u w:val="single"/>
          <w:lang w:val="en-US"/>
        </w:rPr>
        <w:t>, Register of arrangements</w:t>
      </w:r>
    </w:p>
    <w:p w14:paraId="74D2834F" w14:textId="289DFF0F" w:rsidR="00B93C42" w:rsidRPr="003656B1" w:rsidRDefault="007A523A" w:rsidP="00831806">
      <w:pPr>
        <w:rPr>
          <w:rFonts w:asciiTheme="majorHAnsi" w:hAnsiTheme="majorHAnsi" w:cs="Calibri"/>
          <w:szCs w:val="22"/>
          <w:lang w:val="en-US"/>
        </w:rPr>
      </w:pPr>
      <w:r w:rsidRPr="003656B1">
        <w:rPr>
          <w:rFonts w:asciiTheme="majorHAnsi" w:hAnsiTheme="majorHAnsi" w:cs="Calibri"/>
          <w:szCs w:val="22"/>
          <w:lang w:val="en-US"/>
        </w:rPr>
        <w:t>It</w:t>
      </w:r>
      <w:r w:rsidR="00B93C42" w:rsidRPr="003656B1">
        <w:rPr>
          <w:rFonts w:asciiTheme="majorHAnsi" w:hAnsiTheme="majorHAnsi" w:cs="Calibri"/>
          <w:szCs w:val="22"/>
          <w:lang w:val="en-US"/>
        </w:rPr>
        <w:t xml:space="preserve"> require</w:t>
      </w:r>
      <w:r w:rsidRPr="003656B1">
        <w:rPr>
          <w:rFonts w:asciiTheme="majorHAnsi" w:hAnsiTheme="majorHAnsi" w:cs="Calibri"/>
          <w:szCs w:val="22"/>
          <w:lang w:val="en-US"/>
        </w:rPr>
        <w:t xml:space="preserve">d </w:t>
      </w:r>
      <w:r w:rsidR="00B93C42" w:rsidRPr="003656B1">
        <w:rPr>
          <w:rFonts w:asciiTheme="majorHAnsi" w:hAnsiTheme="majorHAnsi" w:cs="Calibri"/>
          <w:szCs w:val="22"/>
          <w:lang w:val="en-US"/>
        </w:rPr>
        <w:t xml:space="preserve">to provide the LEI Code or EU-ID of an identified Alternative Service Provider. </w:t>
      </w:r>
      <w:proofErr w:type="gramStart"/>
      <w:r w:rsidR="00B93C42" w:rsidRPr="003656B1">
        <w:rPr>
          <w:rFonts w:asciiTheme="majorHAnsi" w:hAnsiTheme="majorHAnsi" w:cs="Calibri"/>
          <w:szCs w:val="22"/>
          <w:lang w:val="en-US"/>
        </w:rPr>
        <w:t>Taking into account</w:t>
      </w:r>
      <w:proofErr w:type="gramEnd"/>
      <w:r w:rsidR="00B93C42" w:rsidRPr="003656B1">
        <w:rPr>
          <w:rFonts w:asciiTheme="majorHAnsi" w:hAnsiTheme="majorHAnsi" w:cs="Calibri"/>
          <w:szCs w:val="22"/>
          <w:lang w:val="en-US"/>
        </w:rPr>
        <w:t xml:space="preserve"> that there might not be an existing business relationship with the potential alternative supplier, the financial entity might not be in the position to negotiate a supplier outside of the European Union to get a LEI and also an EU-ID does not exist. </w:t>
      </w:r>
      <w:r w:rsidR="00B93C42" w:rsidRPr="003656B1">
        <w:rPr>
          <w:rFonts w:asciiTheme="majorHAnsi" w:hAnsiTheme="majorHAnsi" w:cs="Calibri"/>
          <w:szCs w:val="22"/>
          <w:lang w:val="en-US"/>
        </w:rPr>
        <w:br/>
        <w:t xml:space="preserve">We therefore suggest </w:t>
      </w:r>
      <w:proofErr w:type="gramStart"/>
      <w:r w:rsidR="00B93C42" w:rsidRPr="003656B1">
        <w:rPr>
          <w:rFonts w:asciiTheme="majorHAnsi" w:hAnsiTheme="majorHAnsi" w:cs="Calibri"/>
          <w:szCs w:val="22"/>
          <w:lang w:val="en-US"/>
        </w:rPr>
        <w:t>to be</w:t>
      </w:r>
      <w:proofErr w:type="gramEnd"/>
      <w:r w:rsidR="00B93C42" w:rsidRPr="003656B1">
        <w:rPr>
          <w:rFonts w:asciiTheme="majorHAnsi" w:hAnsiTheme="majorHAnsi" w:cs="Calibri"/>
          <w:szCs w:val="22"/>
          <w:lang w:val="en-US"/>
        </w:rPr>
        <w:t xml:space="preserve"> less restrictive with this information and allow the company name – or at least a more general identifier like the company register number.</w:t>
      </w:r>
    </w:p>
    <w:p w14:paraId="7F3C35BC" w14:textId="77777777" w:rsidR="00CB663D" w:rsidRPr="003656B1" w:rsidRDefault="00CB663D" w:rsidP="00831806">
      <w:pPr>
        <w:rPr>
          <w:rFonts w:asciiTheme="majorHAnsi" w:hAnsiTheme="majorHAnsi" w:cs="Calibri"/>
          <w:szCs w:val="22"/>
          <w:lang w:val="en-US"/>
        </w:rPr>
      </w:pPr>
    </w:p>
    <w:p w14:paraId="780EACB8" w14:textId="686187DF" w:rsidR="00B16E44" w:rsidRPr="003656B1" w:rsidRDefault="00B93C42" w:rsidP="00831806">
      <w:pPr>
        <w:pBdr>
          <w:top w:val="single" w:sz="4" w:space="1" w:color="auto"/>
          <w:left w:val="single" w:sz="4" w:space="4" w:color="auto"/>
          <w:bottom w:val="single" w:sz="4" w:space="1" w:color="auto"/>
          <w:right w:val="single" w:sz="4" w:space="4" w:color="auto"/>
        </w:pBdr>
        <w:rPr>
          <w:rFonts w:asciiTheme="majorHAnsi" w:hAnsiTheme="majorHAnsi" w:cs="Calibri"/>
          <w:b/>
          <w:bCs/>
          <w:szCs w:val="22"/>
          <w:lang w:val="en-GB"/>
        </w:rPr>
      </w:pPr>
      <w:r w:rsidRPr="003656B1">
        <w:rPr>
          <w:rFonts w:asciiTheme="majorHAnsi" w:hAnsiTheme="majorHAnsi" w:cs="Calibri"/>
          <w:b/>
          <w:bCs/>
          <w:szCs w:val="22"/>
          <w:lang w:val="en-GB"/>
        </w:rPr>
        <w:t>Q4:</w:t>
      </w:r>
      <w:r w:rsidR="00B16E44" w:rsidRPr="003656B1">
        <w:rPr>
          <w:rFonts w:asciiTheme="majorHAnsi" w:hAnsiTheme="majorHAnsi" w:cs="Calibri"/>
          <w:b/>
          <w:bCs/>
          <w:szCs w:val="22"/>
          <w:lang w:val="en-GB"/>
        </w:rPr>
        <w:t xml:space="preserve"> Is Title IV of the Guidelines appropriate and sufficiently clear?</w:t>
      </w:r>
    </w:p>
    <w:p w14:paraId="228F6955" w14:textId="487ED750" w:rsidR="00874726" w:rsidRPr="003656B1" w:rsidRDefault="00874726" w:rsidP="00831806">
      <w:pPr>
        <w:rPr>
          <w:rFonts w:asciiTheme="majorHAnsi" w:hAnsiTheme="majorHAnsi" w:cs="Calibri"/>
          <w:szCs w:val="22"/>
          <w:u w:val="single"/>
          <w:lang w:val="en-US"/>
        </w:rPr>
      </w:pPr>
      <w:r w:rsidRPr="003656B1">
        <w:rPr>
          <w:rFonts w:asciiTheme="majorHAnsi" w:hAnsiTheme="majorHAnsi" w:cs="Calibri"/>
          <w:szCs w:val="22"/>
          <w:u w:val="single"/>
          <w:lang w:val="en-US"/>
        </w:rPr>
        <w:t xml:space="preserve">Ad </w:t>
      </w:r>
      <w:r w:rsidR="005D081B" w:rsidRPr="003656B1">
        <w:rPr>
          <w:rFonts w:asciiTheme="majorHAnsi" w:hAnsiTheme="majorHAnsi" w:cs="Calibri"/>
          <w:szCs w:val="22"/>
          <w:u w:val="single"/>
          <w:lang w:val="en-US"/>
        </w:rPr>
        <w:t xml:space="preserve">Recital </w:t>
      </w:r>
      <w:r w:rsidRPr="003656B1">
        <w:rPr>
          <w:rFonts w:asciiTheme="majorHAnsi" w:hAnsiTheme="majorHAnsi" w:cs="Calibri"/>
          <w:szCs w:val="22"/>
          <w:u w:val="single"/>
          <w:lang w:val="en-US"/>
        </w:rPr>
        <w:t>72</w:t>
      </w:r>
      <w:r w:rsidR="00A422CD" w:rsidRPr="003656B1">
        <w:rPr>
          <w:rFonts w:asciiTheme="majorHAnsi" w:hAnsiTheme="majorHAnsi" w:cs="Calibri"/>
          <w:szCs w:val="22"/>
          <w:u w:val="single"/>
          <w:lang w:val="en-US"/>
        </w:rPr>
        <w:t xml:space="preserve"> lit </w:t>
      </w:r>
      <w:r w:rsidRPr="003656B1">
        <w:rPr>
          <w:rFonts w:asciiTheme="majorHAnsi" w:hAnsiTheme="majorHAnsi" w:cs="Calibri"/>
          <w:szCs w:val="22"/>
          <w:u w:val="single"/>
          <w:lang w:val="en-US"/>
        </w:rPr>
        <w:t>b and</w:t>
      </w:r>
      <w:r w:rsidR="00A422CD" w:rsidRPr="003656B1">
        <w:rPr>
          <w:rFonts w:asciiTheme="majorHAnsi" w:hAnsiTheme="majorHAnsi" w:cs="Calibri"/>
          <w:szCs w:val="22"/>
          <w:u w:val="single"/>
          <w:lang w:val="en-US"/>
        </w:rPr>
        <w:t xml:space="preserve"> lit</w:t>
      </w:r>
      <w:r w:rsidRPr="003656B1">
        <w:rPr>
          <w:rFonts w:asciiTheme="majorHAnsi" w:hAnsiTheme="majorHAnsi" w:cs="Calibri"/>
          <w:szCs w:val="22"/>
          <w:u w:val="single"/>
          <w:lang w:val="en-US"/>
        </w:rPr>
        <w:t xml:space="preserve"> c: </w:t>
      </w:r>
    </w:p>
    <w:p w14:paraId="72C8AB3B" w14:textId="77777777" w:rsidR="00874726" w:rsidRPr="003656B1" w:rsidRDefault="00874726" w:rsidP="00831806">
      <w:pPr>
        <w:rPr>
          <w:rFonts w:asciiTheme="majorHAnsi" w:hAnsiTheme="majorHAnsi" w:cs="Calibri"/>
          <w:szCs w:val="22"/>
          <w:lang w:val="en-US"/>
        </w:rPr>
      </w:pPr>
      <w:proofErr w:type="gramStart"/>
      <w:r w:rsidRPr="003656B1">
        <w:rPr>
          <w:rFonts w:asciiTheme="majorHAnsi" w:hAnsiTheme="majorHAnsi" w:cs="Calibri"/>
          <w:szCs w:val="22"/>
          <w:lang w:val="en-US"/>
        </w:rPr>
        <w:t>With regard to</w:t>
      </w:r>
      <w:proofErr w:type="gramEnd"/>
      <w:r w:rsidRPr="003656B1">
        <w:rPr>
          <w:rFonts w:asciiTheme="majorHAnsi" w:hAnsiTheme="majorHAnsi" w:cs="Calibri"/>
          <w:szCs w:val="22"/>
          <w:lang w:val="en-US"/>
        </w:rPr>
        <w:t xml:space="preserve"> TPSPs that are situated outside of the European Union (which are targeted by such provision), it seems unlikely that respective cooperation agreements are in place between all respective supervisory authorities. Further, it seems unlikely that even if such agreements </w:t>
      </w:r>
      <w:proofErr w:type="gramStart"/>
      <w:r w:rsidRPr="003656B1">
        <w:rPr>
          <w:rFonts w:asciiTheme="majorHAnsi" w:hAnsiTheme="majorHAnsi" w:cs="Calibri"/>
          <w:szCs w:val="22"/>
          <w:lang w:val="en-US"/>
        </w:rPr>
        <w:t>are in place,</w:t>
      </w:r>
      <w:proofErr w:type="gramEnd"/>
      <w:r w:rsidRPr="003656B1">
        <w:rPr>
          <w:rFonts w:asciiTheme="majorHAnsi" w:hAnsiTheme="majorHAnsi" w:cs="Calibri"/>
          <w:szCs w:val="22"/>
          <w:lang w:val="en-US"/>
        </w:rPr>
        <w:t xml:space="preserve"> that details of such agreements will be disclosed upon a mere request of a customer of a TPSP or that supervisory authorities will be prepared to amend such agreements on a respective request. Since these are thus requirements that will not be fulfillable in all circumstances, we would appreciate if they </w:t>
      </w:r>
      <w:proofErr w:type="gramStart"/>
      <w:r w:rsidRPr="003656B1">
        <w:rPr>
          <w:rFonts w:asciiTheme="majorHAnsi" w:hAnsiTheme="majorHAnsi" w:cs="Calibri"/>
          <w:szCs w:val="22"/>
          <w:lang w:val="en-US"/>
        </w:rPr>
        <w:t>are</w:t>
      </w:r>
      <w:proofErr w:type="gramEnd"/>
      <w:r w:rsidRPr="003656B1">
        <w:rPr>
          <w:rFonts w:asciiTheme="majorHAnsi" w:hAnsiTheme="majorHAnsi" w:cs="Calibri"/>
          <w:szCs w:val="22"/>
          <w:lang w:val="en-US"/>
        </w:rPr>
        <w:t xml:space="preserve"> either taken out or if at least it is clarified how financial entities may proceed absent strict compliance with such requirements.</w:t>
      </w:r>
    </w:p>
    <w:p w14:paraId="09CBC88D" w14:textId="6FC82D78" w:rsidR="00874726" w:rsidRPr="003656B1" w:rsidRDefault="00874726" w:rsidP="00831806">
      <w:pPr>
        <w:rPr>
          <w:rFonts w:asciiTheme="majorHAnsi" w:hAnsiTheme="majorHAnsi" w:cs="Calibri"/>
          <w:szCs w:val="22"/>
          <w:u w:val="single"/>
          <w:lang w:val="en-US"/>
        </w:rPr>
      </w:pPr>
      <w:r w:rsidRPr="003656B1">
        <w:rPr>
          <w:rFonts w:asciiTheme="majorHAnsi" w:hAnsiTheme="majorHAnsi" w:cs="Calibri"/>
          <w:szCs w:val="22"/>
          <w:u w:val="single"/>
          <w:lang w:val="en-US"/>
        </w:rPr>
        <w:t xml:space="preserve">Ad </w:t>
      </w:r>
      <w:r w:rsidR="005D081B" w:rsidRPr="003656B1">
        <w:rPr>
          <w:rFonts w:asciiTheme="majorHAnsi" w:hAnsiTheme="majorHAnsi" w:cs="Calibri"/>
          <w:szCs w:val="22"/>
          <w:u w:val="single"/>
          <w:lang w:val="en-US"/>
        </w:rPr>
        <w:t xml:space="preserve">Recital </w:t>
      </w:r>
      <w:r w:rsidRPr="003656B1">
        <w:rPr>
          <w:rFonts w:asciiTheme="majorHAnsi" w:hAnsiTheme="majorHAnsi" w:cs="Calibri"/>
          <w:szCs w:val="22"/>
          <w:u w:val="single"/>
          <w:lang w:val="en-US"/>
        </w:rPr>
        <w:t xml:space="preserve">74: </w:t>
      </w:r>
    </w:p>
    <w:p w14:paraId="69D97953" w14:textId="7625F10F" w:rsidR="00874726" w:rsidRPr="003656B1" w:rsidRDefault="00874726" w:rsidP="00831806">
      <w:pPr>
        <w:rPr>
          <w:rFonts w:asciiTheme="majorHAnsi" w:hAnsiTheme="majorHAnsi" w:cs="Calibri"/>
          <w:szCs w:val="22"/>
          <w:lang w:val="en-US"/>
        </w:rPr>
      </w:pPr>
      <w:r w:rsidRPr="003656B1">
        <w:rPr>
          <w:rFonts w:asciiTheme="majorHAnsi" w:hAnsiTheme="majorHAnsi" w:cs="Calibri"/>
          <w:szCs w:val="22"/>
          <w:lang w:val="en-US"/>
        </w:rPr>
        <w:t xml:space="preserve">The assessment seems not to differentiate between critical/important functions and others (compare in this context </w:t>
      </w:r>
      <w:r w:rsidR="00320BF5" w:rsidRPr="003656B1">
        <w:rPr>
          <w:rFonts w:asciiTheme="majorHAnsi" w:hAnsiTheme="majorHAnsi" w:cs="Calibri"/>
          <w:szCs w:val="22"/>
          <w:lang w:val="en-US"/>
        </w:rPr>
        <w:t xml:space="preserve">section </w:t>
      </w:r>
      <w:r w:rsidR="00577E9A" w:rsidRPr="003656B1">
        <w:rPr>
          <w:rFonts w:asciiTheme="majorHAnsi" w:hAnsiTheme="majorHAnsi" w:cs="Calibri"/>
          <w:szCs w:val="22"/>
          <w:lang w:val="en-US"/>
        </w:rPr>
        <w:t xml:space="preserve">11.3 </w:t>
      </w:r>
      <w:r w:rsidRPr="003656B1">
        <w:rPr>
          <w:rFonts w:asciiTheme="majorHAnsi" w:hAnsiTheme="majorHAnsi" w:cs="Calibri"/>
          <w:szCs w:val="22"/>
          <w:lang w:val="en-US"/>
        </w:rPr>
        <w:t xml:space="preserve">which clearly distinguishes between the respective functions). Since certain requirements only apply to critical/important functions (e.g., enhanced business continuity and exit plan requirements – again see also </w:t>
      </w:r>
      <w:r w:rsidR="000B72F1" w:rsidRPr="003656B1">
        <w:rPr>
          <w:rFonts w:asciiTheme="majorHAnsi" w:hAnsiTheme="majorHAnsi" w:cs="Calibri"/>
          <w:szCs w:val="22"/>
          <w:lang w:val="en-US"/>
        </w:rPr>
        <w:t xml:space="preserve">in </w:t>
      </w:r>
      <w:r w:rsidR="00320BF5" w:rsidRPr="003656B1">
        <w:rPr>
          <w:rFonts w:asciiTheme="majorHAnsi" w:hAnsiTheme="majorHAnsi" w:cs="Calibri"/>
          <w:szCs w:val="22"/>
          <w:lang w:val="en-US"/>
        </w:rPr>
        <w:t xml:space="preserve">section </w:t>
      </w:r>
      <w:r w:rsidRPr="003656B1">
        <w:rPr>
          <w:rFonts w:asciiTheme="majorHAnsi" w:hAnsiTheme="majorHAnsi" w:cs="Calibri"/>
          <w:szCs w:val="22"/>
          <w:lang w:val="en-US"/>
        </w:rPr>
        <w:t xml:space="preserve">11.3), we would appreciate a differentiation also at such stage. </w:t>
      </w:r>
    </w:p>
    <w:p w14:paraId="17BE84C8" w14:textId="77777777" w:rsidR="00A50569" w:rsidRDefault="00A50569" w:rsidP="00831806">
      <w:pPr>
        <w:rPr>
          <w:rFonts w:asciiTheme="majorHAnsi" w:hAnsiTheme="majorHAnsi" w:cs="Calibri"/>
          <w:szCs w:val="22"/>
          <w:u w:val="single"/>
          <w:lang w:val="en-US"/>
        </w:rPr>
      </w:pPr>
    </w:p>
    <w:p w14:paraId="0DF817EF" w14:textId="501A305F" w:rsidR="00874726" w:rsidRPr="003656B1" w:rsidRDefault="00874726" w:rsidP="00831806">
      <w:pPr>
        <w:rPr>
          <w:rFonts w:asciiTheme="majorHAnsi" w:hAnsiTheme="majorHAnsi" w:cs="Calibri"/>
          <w:szCs w:val="22"/>
          <w:u w:val="single"/>
          <w:lang w:val="en-US"/>
        </w:rPr>
      </w:pPr>
      <w:r w:rsidRPr="003656B1">
        <w:rPr>
          <w:rFonts w:asciiTheme="majorHAnsi" w:hAnsiTheme="majorHAnsi" w:cs="Calibri"/>
          <w:szCs w:val="22"/>
          <w:u w:val="single"/>
          <w:lang w:val="en-US"/>
        </w:rPr>
        <w:lastRenderedPageBreak/>
        <w:t xml:space="preserve">Ad </w:t>
      </w:r>
      <w:r w:rsidR="005D081B" w:rsidRPr="003656B1">
        <w:rPr>
          <w:rFonts w:asciiTheme="majorHAnsi" w:hAnsiTheme="majorHAnsi" w:cs="Calibri"/>
          <w:szCs w:val="22"/>
          <w:u w:val="single"/>
          <w:lang w:val="en-US"/>
        </w:rPr>
        <w:t xml:space="preserve">Recital </w:t>
      </w:r>
      <w:r w:rsidRPr="003656B1">
        <w:rPr>
          <w:rFonts w:asciiTheme="majorHAnsi" w:hAnsiTheme="majorHAnsi" w:cs="Calibri"/>
          <w:szCs w:val="22"/>
          <w:u w:val="single"/>
          <w:lang w:val="en-US"/>
        </w:rPr>
        <w:t>81</w:t>
      </w:r>
      <w:r w:rsidR="00A422CD" w:rsidRPr="003656B1">
        <w:rPr>
          <w:rFonts w:asciiTheme="majorHAnsi" w:hAnsiTheme="majorHAnsi" w:cs="Calibri"/>
          <w:szCs w:val="22"/>
          <w:u w:val="single"/>
          <w:lang w:val="en-US"/>
        </w:rPr>
        <w:t xml:space="preserve"> lit </w:t>
      </w:r>
      <w:r w:rsidRPr="003656B1">
        <w:rPr>
          <w:rFonts w:asciiTheme="majorHAnsi" w:hAnsiTheme="majorHAnsi" w:cs="Calibri"/>
          <w:szCs w:val="22"/>
          <w:u w:val="single"/>
          <w:lang w:val="en-US"/>
        </w:rPr>
        <w:t>c:</w:t>
      </w:r>
    </w:p>
    <w:p w14:paraId="01BADEC8" w14:textId="5148B4CA" w:rsidR="00874726" w:rsidRPr="003656B1" w:rsidRDefault="00874726" w:rsidP="00831806">
      <w:pPr>
        <w:rPr>
          <w:rFonts w:asciiTheme="majorHAnsi" w:hAnsiTheme="majorHAnsi" w:cs="Calibri"/>
          <w:szCs w:val="22"/>
          <w:lang w:val="en-US"/>
        </w:rPr>
      </w:pPr>
      <w:r w:rsidRPr="003656B1">
        <w:rPr>
          <w:rFonts w:asciiTheme="majorHAnsi" w:hAnsiTheme="majorHAnsi" w:cs="Calibri"/>
          <w:szCs w:val="22"/>
          <w:lang w:val="en-US"/>
        </w:rPr>
        <w:t xml:space="preserve">The reference to geographic dependencies seems like an outlier in this context since the remaining </w:t>
      </w:r>
      <w:proofErr w:type="spellStart"/>
      <w:r w:rsidR="00AE7D08" w:rsidRPr="003656B1">
        <w:rPr>
          <w:rFonts w:asciiTheme="majorHAnsi" w:hAnsiTheme="majorHAnsi" w:cs="Calibri"/>
          <w:szCs w:val="22"/>
          <w:lang w:val="en-US"/>
        </w:rPr>
        <w:t>lits</w:t>
      </w:r>
      <w:proofErr w:type="spellEnd"/>
      <w:r w:rsidRPr="003656B1">
        <w:rPr>
          <w:rFonts w:asciiTheme="majorHAnsi" w:hAnsiTheme="majorHAnsi" w:cs="Calibri"/>
          <w:szCs w:val="22"/>
          <w:lang w:val="en-US"/>
        </w:rPr>
        <w:t xml:space="preserve"> of </w:t>
      </w:r>
      <w:r w:rsidR="009F7CAE" w:rsidRPr="003656B1">
        <w:rPr>
          <w:rFonts w:asciiTheme="majorHAnsi" w:hAnsiTheme="majorHAnsi" w:cs="Calibri"/>
          <w:szCs w:val="22"/>
          <w:lang w:val="en-US"/>
        </w:rPr>
        <w:t xml:space="preserve">recital </w:t>
      </w:r>
      <w:r w:rsidRPr="003656B1">
        <w:rPr>
          <w:rFonts w:asciiTheme="majorHAnsi" w:hAnsiTheme="majorHAnsi" w:cs="Calibri"/>
          <w:szCs w:val="22"/>
          <w:lang w:val="en-US"/>
        </w:rPr>
        <w:t xml:space="preserve">81 stipulate “positive” requirements that can be checked whereas </w:t>
      </w:r>
      <w:r w:rsidR="00AE7D08" w:rsidRPr="003656B1">
        <w:rPr>
          <w:rFonts w:asciiTheme="majorHAnsi" w:hAnsiTheme="majorHAnsi" w:cs="Calibri"/>
          <w:szCs w:val="22"/>
          <w:lang w:val="en-US"/>
        </w:rPr>
        <w:t>lit</w:t>
      </w:r>
      <w:r w:rsidRPr="003656B1">
        <w:rPr>
          <w:rFonts w:asciiTheme="majorHAnsi" w:hAnsiTheme="majorHAnsi" w:cs="Calibri"/>
          <w:szCs w:val="22"/>
          <w:lang w:val="en-US"/>
        </w:rPr>
        <w:t xml:space="preserve"> c seems to be a reference to a “negative” requirement (i.e. these should not be present or if they are they should be mitigated). We would therefore recommend </w:t>
      </w:r>
      <w:proofErr w:type="gramStart"/>
      <w:r w:rsidRPr="003656B1">
        <w:rPr>
          <w:rFonts w:asciiTheme="majorHAnsi" w:hAnsiTheme="majorHAnsi" w:cs="Calibri"/>
          <w:szCs w:val="22"/>
          <w:lang w:val="en-US"/>
        </w:rPr>
        <w:t>to separate</w:t>
      </w:r>
      <w:proofErr w:type="gramEnd"/>
      <w:r w:rsidRPr="003656B1">
        <w:rPr>
          <w:rFonts w:asciiTheme="majorHAnsi" w:hAnsiTheme="majorHAnsi" w:cs="Calibri"/>
          <w:szCs w:val="22"/>
          <w:lang w:val="en-US"/>
        </w:rPr>
        <w:t xml:space="preserve"> </w:t>
      </w:r>
      <w:r w:rsidR="00AE7D08" w:rsidRPr="003656B1">
        <w:rPr>
          <w:rFonts w:asciiTheme="majorHAnsi" w:hAnsiTheme="majorHAnsi" w:cs="Calibri"/>
          <w:szCs w:val="22"/>
          <w:lang w:val="en-US"/>
        </w:rPr>
        <w:t>lit c</w:t>
      </w:r>
      <w:r w:rsidRPr="003656B1">
        <w:rPr>
          <w:rFonts w:asciiTheme="majorHAnsi" w:hAnsiTheme="majorHAnsi" w:cs="Calibri"/>
          <w:szCs w:val="22"/>
          <w:lang w:val="en-US"/>
        </w:rPr>
        <w:t xml:space="preserve"> and make i</w:t>
      </w:r>
      <w:r w:rsidR="00F152D4" w:rsidRPr="003656B1">
        <w:rPr>
          <w:rFonts w:asciiTheme="majorHAnsi" w:hAnsiTheme="majorHAnsi" w:cs="Calibri"/>
          <w:szCs w:val="22"/>
          <w:lang w:val="en-US"/>
        </w:rPr>
        <w:t>t</w:t>
      </w:r>
      <w:r w:rsidRPr="003656B1">
        <w:rPr>
          <w:rFonts w:asciiTheme="majorHAnsi" w:hAnsiTheme="majorHAnsi" w:cs="Calibri"/>
          <w:szCs w:val="22"/>
          <w:lang w:val="en-US"/>
        </w:rPr>
        <w:t xml:space="preserve"> a separate </w:t>
      </w:r>
      <w:r w:rsidR="00F152D4" w:rsidRPr="003656B1">
        <w:rPr>
          <w:rFonts w:asciiTheme="majorHAnsi" w:hAnsiTheme="majorHAnsi" w:cs="Calibri"/>
          <w:szCs w:val="22"/>
          <w:lang w:val="en-US"/>
        </w:rPr>
        <w:t>recital</w:t>
      </w:r>
      <w:r w:rsidRPr="003656B1">
        <w:rPr>
          <w:rFonts w:asciiTheme="majorHAnsi" w:hAnsiTheme="majorHAnsi" w:cs="Calibri"/>
          <w:szCs w:val="22"/>
          <w:lang w:val="en-US"/>
        </w:rPr>
        <w:t>.</w:t>
      </w:r>
    </w:p>
    <w:p w14:paraId="7E0D71EA" w14:textId="599E6A8F" w:rsidR="004B3B53" w:rsidRPr="003656B1" w:rsidRDefault="004B3B53" w:rsidP="004B3B53">
      <w:pPr>
        <w:rPr>
          <w:rFonts w:asciiTheme="majorHAnsi" w:hAnsiTheme="majorHAnsi" w:cs="Calibri"/>
          <w:szCs w:val="22"/>
          <w:u w:val="single"/>
          <w:lang w:val="en-US"/>
        </w:rPr>
      </w:pPr>
      <w:r w:rsidRPr="003656B1">
        <w:rPr>
          <w:rFonts w:asciiTheme="majorHAnsi" w:hAnsiTheme="majorHAnsi" w:cs="Calibri"/>
          <w:szCs w:val="22"/>
          <w:u w:val="single"/>
          <w:lang w:val="en-US"/>
        </w:rPr>
        <w:t xml:space="preserve">Ad </w:t>
      </w:r>
      <w:r w:rsidR="005D081B" w:rsidRPr="003656B1">
        <w:rPr>
          <w:rFonts w:asciiTheme="majorHAnsi" w:hAnsiTheme="majorHAnsi" w:cs="Calibri"/>
          <w:szCs w:val="22"/>
          <w:u w:val="single"/>
          <w:lang w:val="en-US"/>
        </w:rPr>
        <w:t xml:space="preserve">Recital </w:t>
      </w:r>
      <w:r w:rsidRPr="003656B1">
        <w:rPr>
          <w:rFonts w:asciiTheme="majorHAnsi" w:hAnsiTheme="majorHAnsi" w:cs="Calibri"/>
          <w:szCs w:val="22"/>
          <w:u w:val="single"/>
          <w:lang w:val="en-US"/>
        </w:rPr>
        <w:t>83:</w:t>
      </w:r>
    </w:p>
    <w:p w14:paraId="6EA8A5C3" w14:textId="076BDAE9" w:rsidR="00874726" w:rsidRPr="003656B1" w:rsidRDefault="004F74BB" w:rsidP="00831806">
      <w:pPr>
        <w:rPr>
          <w:rFonts w:asciiTheme="majorHAnsi" w:hAnsiTheme="majorHAnsi" w:cs="Calibri"/>
          <w:szCs w:val="22"/>
          <w:lang w:val="en-US"/>
        </w:rPr>
      </w:pPr>
      <w:r w:rsidRPr="003656B1">
        <w:rPr>
          <w:rFonts w:asciiTheme="majorHAnsi" w:hAnsiTheme="majorHAnsi" w:cs="Calibri"/>
          <w:szCs w:val="22"/>
          <w:lang w:val="en-US"/>
        </w:rPr>
        <w:t>W</w:t>
      </w:r>
      <w:r w:rsidR="00874726" w:rsidRPr="003656B1">
        <w:rPr>
          <w:rFonts w:asciiTheme="majorHAnsi" w:hAnsiTheme="majorHAnsi" w:cs="Calibri"/>
          <w:szCs w:val="22"/>
          <w:lang w:val="en-US"/>
        </w:rPr>
        <w:t xml:space="preserve">e </w:t>
      </w:r>
      <w:r w:rsidRPr="003656B1">
        <w:rPr>
          <w:rFonts w:asciiTheme="majorHAnsi" w:hAnsiTheme="majorHAnsi" w:cs="Calibri"/>
          <w:szCs w:val="22"/>
          <w:lang w:val="en-US"/>
        </w:rPr>
        <w:t xml:space="preserve">want to </w:t>
      </w:r>
      <w:r w:rsidR="00874726" w:rsidRPr="003656B1">
        <w:rPr>
          <w:rFonts w:asciiTheme="majorHAnsi" w:hAnsiTheme="majorHAnsi" w:cs="Calibri"/>
          <w:szCs w:val="22"/>
          <w:lang w:val="en-US"/>
        </w:rPr>
        <w:t>refer to the ongoing discussions about supply chains</w:t>
      </w:r>
      <w:r w:rsidR="00E67B9B">
        <w:rPr>
          <w:rFonts w:asciiTheme="majorHAnsi" w:hAnsiTheme="majorHAnsi" w:cs="Calibri"/>
          <w:szCs w:val="22"/>
          <w:lang w:val="en-US"/>
        </w:rPr>
        <w:t xml:space="preserve">, </w:t>
      </w:r>
      <w:r w:rsidR="00874726" w:rsidRPr="003656B1">
        <w:rPr>
          <w:rFonts w:asciiTheme="majorHAnsi" w:hAnsiTheme="majorHAnsi" w:cs="Calibri"/>
          <w:szCs w:val="22"/>
          <w:lang w:val="en-US"/>
        </w:rPr>
        <w:t xml:space="preserve">which will be regulated </w:t>
      </w:r>
      <w:proofErr w:type="gramStart"/>
      <w:r w:rsidR="00874726" w:rsidRPr="003656B1">
        <w:rPr>
          <w:rFonts w:asciiTheme="majorHAnsi" w:hAnsiTheme="majorHAnsi" w:cs="Calibri"/>
          <w:szCs w:val="22"/>
          <w:lang w:val="en-US"/>
        </w:rPr>
        <w:t>separately</w:t>
      </w:r>
      <w:proofErr w:type="gramEnd"/>
      <w:r w:rsidR="00874726" w:rsidRPr="003656B1">
        <w:rPr>
          <w:rFonts w:asciiTheme="majorHAnsi" w:hAnsiTheme="majorHAnsi" w:cs="Calibri"/>
          <w:szCs w:val="22"/>
          <w:lang w:val="en-US"/>
        </w:rPr>
        <w:t xml:space="preserve"> and which are currently under review as to their extent and thus should in our view not premeditated by too widely formulated requirements within the context of general third-party management rules</w:t>
      </w:r>
      <w:r w:rsidR="00724790" w:rsidRPr="003656B1">
        <w:rPr>
          <w:rFonts w:asciiTheme="majorHAnsi" w:hAnsiTheme="majorHAnsi" w:cs="Calibri"/>
          <w:szCs w:val="22"/>
          <w:lang w:val="en-US"/>
        </w:rPr>
        <w:t>. A</w:t>
      </w:r>
      <w:r w:rsidR="00874726" w:rsidRPr="003656B1">
        <w:rPr>
          <w:rFonts w:asciiTheme="majorHAnsi" w:hAnsiTheme="majorHAnsi" w:cs="Calibri"/>
          <w:szCs w:val="22"/>
          <w:lang w:val="en-US"/>
        </w:rPr>
        <w:t xml:space="preserve">gainst this background </w:t>
      </w:r>
      <w:r w:rsidR="00724790" w:rsidRPr="003656B1">
        <w:rPr>
          <w:rFonts w:asciiTheme="majorHAnsi" w:hAnsiTheme="majorHAnsi" w:cs="Calibri"/>
          <w:szCs w:val="22"/>
          <w:lang w:val="en-US"/>
        </w:rPr>
        <w:t xml:space="preserve">a revision </w:t>
      </w:r>
      <w:r w:rsidR="00874726" w:rsidRPr="003656B1">
        <w:rPr>
          <w:rFonts w:asciiTheme="majorHAnsi" w:hAnsiTheme="majorHAnsi" w:cs="Calibri"/>
          <w:szCs w:val="22"/>
          <w:lang w:val="en-US"/>
        </w:rPr>
        <w:t>would be appreciated.</w:t>
      </w:r>
    </w:p>
    <w:p w14:paraId="389ACD45" w14:textId="79162AA6" w:rsidR="00874726" w:rsidRPr="003656B1" w:rsidRDefault="00874726" w:rsidP="00831806">
      <w:pPr>
        <w:rPr>
          <w:rFonts w:asciiTheme="majorHAnsi" w:hAnsiTheme="majorHAnsi" w:cs="Calibri"/>
          <w:szCs w:val="22"/>
          <w:u w:val="single"/>
          <w:lang w:val="en-US"/>
        </w:rPr>
      </w:pPr>
      <w:r w:rsidRPr="003656B1">
        <w:rPr>
          <w:rFonts w:asciiTheme="majorHAnsi" w:hAnsiTheme="majorHAnsi" w:cs="Calibri"/>
          <w:szCs w:val="22"/>
          <w:u w:val="single"/>
          <w:lang w:val="en-US"/>
        </w:rPr>
        <w:t xml:space="preserve">Ad </w:t>
      </w:r>
      <w:r w:rsidR="005D081B" w:rsidRPr="003656B1">
        <w:rPr>
          <w:rFonts w:asciiTheme="majorHAnsi" w:hAnsiTheme="majorHAnsi" w:cs="Calibri"/>
          <w:szCs w:val="22"/>
          <w:u w:val="single"/>
          <w:lang w:val="en-US"/>
        </w:rPr>
        <w:t xml:space="preserve">Recital </w:t>
      </w:r>
      <w:r w:rsidRPr="003656B1">
        <w:rPr>
          <w:rFonts w:asciiTheme="majorHAnsi" w:hAnsiTheme="majorHAnsi" w:cs="Calibri"/>
          <w:szCs w:val="22"/>
          <w:u w:val="single"/>
          <w:lang w:val="en-US"/>
        </w:rPr>
        <w:t>84:</w:t>
      </w:r>
    </w:p>
    <w:p w14:paraId="25C1A423" w14:textId="5F91AA45" w:rsidR="00874726" w:rsidRPr="003656B1" w:rsidRDefault="007378C1" w:rsidP="00831806">
      <w:pPr>
        <w:rPr>
          <w:rFonts w:asciiTheme="majorHAnsi" w:hAnsiTheme="majorHAnsi" w:cs="Calibri"/>
          <w:szCs w:val="22"/>
          <w:lang w:val="en-US"/>
        </w:rPr>
      </w:pPr>
      <w:r w:rsidRPr="003656B1">
        <w:rPr>
          <w:rFonts w:asciiTheme="majorHAnsi" w:hAnsiTheme="majorHAnsi" w:cs="Calibri"/>
          <w:szCs w:val="22"/>
          <w:lang w:val="en-US"/>
        </w:rPr>
        <w:t>C</w:t>
      </w:r>
      <w:r w:rsidR="00874726" w:rsidRPr="003656B1">
        <w:rPr>
          <w:rFonts w:asciiTheme="majorHAnsi" w:hAnsiTheme="majorHAnsi" w:cs="Calibri"/>
          <w:szCs w:val="22"/>
          <w:lang w:val="en-US"/>
        </w:rPr>
        <w:t>ontracts can be rather complex</w:t>
      </w:r>
      <w:r w:rsidR="00FD76E6" w:rsidRPr="003656B1">
        <w:rPr>
          <w:rFonts w:asciiTheme="majorHAnsi" w:hAnsiTheme="majorHAnsi" w:cs="Calibri"/>
          <w:szCs w:val="22"/>
          <w:lang w:val="en-US"/>
        </w:rPr>
        <w:t>,</w:t>
      </w:r>
      <w:r w:rsidR="00874726" w:rsidRPr="003656B1">
        <w:rPr>
          <w:rFonts w:asciiTheme="majorHAnsi" w:hAnsiTheme="majorHAnsi" w:cs="Calibri"/>
          <w:szCs w:val="22"/>
          <w:lang w:val="en-US"/>
        </w:rPr>
        <w:t xml:space="preserve"> </w:t>
      </w:r>
      <w:r w:rsidR="00E05E70" w:rsidRPr="003656B1">
        <w:rPr>
          <w:rFonts w:asciiTheme="majorHAnsi" w:hAnsiTheme="majorHAnsi" w:cs="Calibri"/>
          <w:szCs w:val="22"/>
          <w:lang w:val="en-US"/>
        </w:rPr>
        <w:t>so in our understanding</w:t>
      </w:r>
      <w:r w:rsidR="00FD76E6" w:rsidRPr="003656B1">
        <w:rPr>
          <w:rFonts w:asciiTheme="majorHAnsi" w:hAnsiTheme="majorHAnsi" w:cs="Calibri"/>
          <w:szCs w:val="22"/>
          <w:lang w:val="en-US"/>
        </w:rPr>
        <w:t>,</w:t>
      </w:r>
      <w:r w:rsidR="00E05E70" w:rsidRPr="003656B1">
        <w:rPr>
          <w:rFonts w:asciiTheme="majorHAnsi" w:hAnsiTheme="majorHAnsi" w:cs="Calibri"/>
          <w:szCs w:val="22"/>
          <w:lang w:val="en-US"/>
        </w:rPr>
        <w:t xml:space="preserve"> </w:t>
      </w:r>
      <w:r w:rsidR="00874726" w:rsidRPr="003656B1">
        <w:rPr>
          <w:rFonts w:asciiTheme="majorHAnsi" w:hAnsiTheme="majorHAnsi" w:cs="Calibri"/>
          <w:szCs w:val="22"/>
          <w:lang w:val="en-US"/>
        </w:rPr>
        <w:t xml:space="preserve">it </w:t>
      </w:r>
      <w:r w:rsidR="00E05E70" w:rsidRPr="003656B1">
        <w:rPr>
          <w:rFonts w:asciiTheme="majorHAnsi" w:hAnsiTheme="majorHAnsi" w:cs="Calibri"/>
          <w:szCs w:val="22"/>
          <w:lang w:val="en-US"/>
        </w:rPr>
        <w:t xml:space="preserve">should be possible that </w:t>
      </w:r>
      <w:r w:rsidR="009355B9" w:rsidRPr="003656B1">
        <w:rPr>
          <w:rFonts w:asciiTheme="majorHAnsi" w:hAnsiTheme="majorHAnsi" w:cs="Calibri"/>
          <w:szCs w:val="22"/>
          <w:lang w:val="en-US"/>
        </w:rPr>
        <w:t xml:space="preserve">the documentation of respective contracts </w:t>
      </w:r>
      <w:r w:rsidR="00874726" w:rsidRPr="003656B1">
        <w:rPr>
          <w:rFonts w:asciiTheme="majorHAnsi" w:hAnsiTheme="majorHAnsi" w:cs="Calibri"/>
          <w:szCs w:val="22"/>
          <w:lang w:val="en-US"/>
        </w:rPr>
        <w:t>may not be in “one” single agreement but in a conglomerate of several related agreements.</w:t>
      </w:r>
    </w:p>
    <w:p w14:paraId="4BF6AD85" w14:textId="3536CDD1" w:rsidR="00874726" w:rsidRPr="003656B1" w:rsidRDefault="00BC02D6" w:rsidP="00831806">
      <w:pPr>
        <w:rPr>
          <w:rFonts w:asciiTheme="majorHAnsi" w:hAnsiTheme="majorHAnsi" w:cs="Calibri"/>
          <w:szCs w:val="22"/>
          <w:u w:val="single"/>
          <w:lang w:val="en-US"/>
        </w:rPr>
      </w:pPr>
      <w:r w:rsidRPr="003656B1">
        <w:rPr>
          <w:rFonts w:asciiTheme="majorHAnsi" w:hAnsiTheme="majorHAnsi" w:cs="Calibri"/>
          <w:szCs w:val="22"/>
          <w:u w:val="single"/>
          <w:lang w:val="en-US"/>
        </w:rPr>
        <w:t xml:space="preserve">Ad </w:t>
      </w:r>
      <w:r w:rsidR="005D081B" w:rsidRPr="003656B1">
        <w:rPr>
          <w:rFonts w:asciiTheme="majorHAnsi" w:hAnsiTheme="majorHAnsi" w:cs="Calibri"/>
          <w:szCs w:val="22"/>
          <w:u w:val="single"/>
          <w:lang w:val="en-US"/>
        </w:rPr>
        <w:t xml:space="preserve">Recital </w:t>
      </w:r>
      <w:r w:rsidR="00874726" w:rsidRPr="003656B1">
        <w:rPr>
          <w:rFonts w:asciiTheme="majorHAnsi" w:hAnsiTheme="majorHAnsi" w:cs="Calibri"/>
          <w:szCs w:val="22"/>
          <w:u w:val="single"/>
          <w:lang w:val="en-US"/>
        </w:rPr>
        <w:t>85</w:t>
      </w:r>
      <w:r w:rsidR="00A422CD" w:rsidRPr="003656B1">
        <w:rPr>
          <w:rFonts w:asciiTheme="majorHAnsi" w:hAnsiTheme="majorHAnsi" w:cs="Calibri"/>
          <w:szCs w:val="22"/>
          <w:u w:val="single"/>
          <w:lang w:val="en-US"/>
        </w:rPr>
        <w:t xml:space="preserve"> lit </w:t>
      </w:r>
      <w:r w:rsidR="00874726" w:rsidRPr="003656B1">
        <w:rPr>
          <w:rFonts w:asciiTheme="majorHAnsi" w:hAnsiTheme="majorHAnsi" w:cs="Calibri"/>
          <w:szCs w:val="22"/>
          <w:u w:val="single"/>
          <w:lang w:val="en-US"/>
        </w:rPr>
        <w:t xml:space="preserve">j: </w:t>
      </w:r>
    </w:p>
    <w:p w14:paraId="516B95B1" w14:textId="579C4154" w:rsidR="00874726" w:rsidRPr="003656B1" w:rsidRDefault="00874726" w:rsidP="00831806">
      <w:pPr>
        <w:rPr>
          <w:rFonts w:asciiTheme="majorHAnsi" w:hAnsiTheme="majorHAnsi" w:cs="Calibri"/>
          <w:szCs w:val="22"/>
          <w:lang w:val="en-US"/>
        </w:rPr>
      </w:pPr>
      <w:r w:rsidRPr="003656B1">
        <w:rPr>
          <w:rFonts w:asciiTheme="majorHAnsi" w:hAnsiTheme="majorHAnsi" w:cs="Calibri"/>
          <w:szCs w:val="22"/>
          <w:lang w:val="en-US"/>
        </w:rPr>
        <w:t xml:space="preserve">The requirements listed for all third-party agreements respectively for those that relate to critical/important functions should in our view be aligned with the respective parallel requirements under DORA and the BRRD. Since </w:t>
      </w:r>
      <w:r w:rsidR="00F152D4" w:rsidRPr="003656B1">
        <w:rPr>
          <w:rFonts w:asciiTheme="majorHAnsi" w:hAnsiTheme="majorHAnsi" w:cs="Calibri"/>
          <w:szCs w:val="22"/>
          <w:lang w:val="en-US"/>
        </w:rPr>
        <w:t xml:space="preserve">recital </w:t>
      </w:r>
      <w:r w:rsidRPr="003656B1">
        <w:rPr>
          <w:rFonts w:asciiTheme="majorHAnsi" w:hAnsiTheme="majorHAnsi" w:cs="Calibri"/>
          <w:szCs w:val="22"/>
          <w:lang w:val="en-US"/>
        </w:rPr>
        <w:t>85</w:t>
      </w:r>
      <w:r w:rsidR="008F29E4" w:rsidRPr="003656B1">
        <w:rPr>
          <w:rFonts w:asciiTheme="majorHAnsi" w:hAnsiTheme="majorHAnsi" w:cs="Calibri"/>
          <w:szCs w:val="22"/>
          <w:lang w:val="en-US"/>
        </w:rPr>
        <w:t xml:space="preserve"> lit </w:t>
      </w:r>
      <w:r w:rsidRPr="003656B1">
        <w:rPr>
          <w:rFonts w:asciiTheme="majorHAnsi" w:hAnsiTheme="majorHAnsi" w:cs="Calibri"/>
          <w:szCs w:val="22"/>
          <w:lang w:val="en-US"/>
        </w:rPr>
        <w:t xml:space="preserve">j seems to be doubled and further clarified in </w:t>
      </w:r>
      <w:r w:rsidR="00F152D4" w:rsidRPr="003656B1">
        <w:rPr>
          <w:rFonts w:asciiTheme="majorHAnsi" w:hAnsiTheme="majorHAnsi" w:cs="Calibri"/>
          <w:szCs w:val="22"/>
          <w:lang w:val="en-US"/>
        </w:rPr>
        <w:t xml:space="preserve">recital </w:t>
      </w:r>
      <w:r w:rsidRPr="003656B1">
        <w:rPr>
          <w:rFonts w:asciiTheme="majorHAnsi" w:hAnsiTheme="majorHAnsi" w:cs="Calibri"/>
          <w:szCs w:val="22"/>
          <w:lang w:val="en-US"/>
        </w:rPr>
        <w:t>86</w:t>
      </w:r>
      <w:r w:rsidR="008F29E4" w:rsidRPr="003656B1">
        <w:rPr>
          <w:rFonts w:asciiTheme="majorHAnsi" w:hAnsiTheme="majorHAnsi" w:cs="Calibri"/>
          <w:szCs w:val="22"/>
          <w:lang w:val="en-US"/>
        </w:rPr>
        <w:t xml:space="preserve"> lit </w:t>
      </w:r>
      <w:r w:rsidRPr="003656B1">
        <w:rPr>
          <w:rFonts w:asciiTheme="majorHAnsi" w:hAnsiTheme="majorHAnsi" w:cs="Calibri"/>
          <w:szCs w:val="22"/>
          <w:lang w:val="en-US"/>
        </w:rPr>
        <w:t xml:space="preserve">e and since the parallel requirement under DORA also is stated for critical functions only, we recommend </w:t>
      </w:r>
      <w:proofErr w:type="gramStart"/>
      <w:r w:rsidRPr="003656B1">
        <w:rPr>
          <w:rFonts w:asciiTheme="majorHAnsi" w:hAnsiTheme="majorHAnsi" w:cs="Calibri"/>
          <w:szCs w:val="22"/>
          <w:lang w:val="en-US"/>
        </w:rPr>
        <w:t>to delete</w:t>
      </w:r>
      <w:proofErr w:type="gramEnd"/>
      <w:r w:rsidRPr="003656B1">
        <w:rPr>
          <w:rFonts w:asciiTheme="majorHAnsi" w:hAnsiTheme="majorHAnsi" w:cs="Calibri"/>
          <w:szCs w:val="22"/>
          <w:lang w:val="en-US"/>
        </w:rPr>
        <w:t xml:space="preserve"> </w:t>
      </w:r>
      <w:r w:rsidR="00F152D4" w:rsidRPr="003656B1">
        <w:rPr>
          <w:rFonts w:asciiTheme="majorHAnsi" w:hAnsiTheme="majorHAnsi" w:cs="Calibri"/>
          <w:szCs w:val="22"/>
          <w:lang w:val="en-US"/>
        </w:rPr>
        <w:t xml:space="preserve">recital </w:t>
      </w:r>
      <w:r w:rsidRPr="003656B1">
        <w:rPr>
          <w:rFonts w:asciiTheme="majorHAnsi" w:hAnsiTheme="majorHAnsi" w:cs="Calibri"/>
          <w:szCs w:val="22"/>
          <w:lang w:val="en-US"/>
        </w:rPr>
        <w:t>85</w:t>
      </w:r>
      <w:r w:rsidR="008F29E4" w:rsidRPr="003656B1">
        <w:rPr>
          <w:rFonts w:asciiTheme="majorHAnsi" w:hAnsiTheme="majorHAnsi" w:cs="Calibri"/>
          <w:szCs w:val="22"/>
          <w:lang w:val="en-US"/>
        </w:rPr>
        <w:t xml:space="preserve"> lit </w:t>
      </w:r>
      <w:r w:rsidRPr="003656B1">
        <w:rPr>
          <w:rFonts w:asciiTheme="majorHAnsi" w:hAnsiTheme="majorHAnsi" w:cs="Calibri"/>
          <w:szCs w:val="22"/>
          <w:lang w:val="en-US"/>
        </w:rPr>
        <w:t>j.</w:t>
      </w:r>
    </w:p>
    <w:p w14:paraId="275A80FE" w14:textId="1E984B8E" w:rsidR="00874726" w:rsidRPr="003656B1" w:rsidRDefault="00BC02D6" w:rsidP="00831806">
      <w:pPr>
        <w:rPr>
          <w:rFonts w:asciiTheme="majorHAnsi" w:hAnsiTheme="majorHAnsi" w:cs="Calibri"/>
          <w:szCs w:val="22"/>
          <w:u w:val="single"/>
          <w:lang w:val="en-US"/>
        </w:rPr>
      </w:pPr>
      <w:r w:rsidRPr="003656B1">
        <w:rPr>
          <w:rFonts w:asciiTheme="majorHAnsi" w:hAnsiTheme="majorHAnsi" w:cs="Calibri"/>
          <w:szCs w:val="22"/>
          <w:u w:val="single"/>
          <w:lang w:val="en-US"/>
        </w:rPr>
        <w:t xml:space="preserve">Ad </w:t>
      </w:r>
      <w:r w:rsidR="005D081B" w:rsidRPr="003656B1">
        <w:rPr>
          <w:rFonts w:asciiTheme="majorHAnsi" w:hAnsiTheme="majorHAnsi" w:cs="Calibri"/>
          <w:szCs w:val="22"/>
          <w:u w:val="single"/>
          <w:lang w:val="en-US"/>
        </w:rPr>
        <w:t xml:space="preserve">Recital </w:t>
      </w:r>
      <w:r w:rsidR="00874726" w:rsidRPr="003656B1">
        <w:rPr>
          <w:rFonts w:asciiTheme="majorHAnsi" w:hAnsiTheme="majorHAnsi" w:cs="Calibri"/>
          <w:szCs w:val="22"/>
          <w:u w:val="single"/>
          <w:lang w:val="en-US"/>
        </w:rPr>
        <w:t>86</w:t>
      </w:r>
      <w:r w:rsidR="00A422CD" w:rsidRPr="003656B1">
        <w:rPr>
          <w:rFonts w:asciiTheme="majorHAnsi" w:hAnsiTheme="majorHAnsi" w:cs="Calibri"/>
          <w:szCs w:val="22"/>
          <w:u w:val="single"/>
          <w:lang w:val="en-US"/>
        </w:rPr>
        <w:t xml:space="preserve"> lit c</w:t>
      </w:r>
      <w:r w:rsidR="00874726" w:rsidRPr="003656B1">
        <w:rPr>
          <w:rFonts w:asciiTheme="majorHAnsi" w:hAnsiTheme="majorHAnsi" w:cs="Calibri"/>
          <w:szCs w:val="22"/>
          <w:u w:val="single"/>
          <w:lang w:val="en-US"/>
        </w:rPr>
        <w:t xml:space="preserve">: </w:t>
      </w:r>
    </w:p>
    <w:p w14:paraId="56135402" w14:textId="77777777" w:rsidR="00874726" w:rsidRPr="003656B1" w:rsidRDefault="00874726" w:rsidP="00831806">
      <w:pPr>
        <w:rPr>
          <w:rFonts w:asciiTheme="majorHAnsi" w:hAnsiTheme="majorHAnsi" w:cs="Calibri"/>
          <w:szCs w:val="22"/>
          <w:lang w:val="en-US"/>
        </w:rPr>
      </w:pPr>
      <w:r w:rsidRPr="003656B1">
        <w:rPr>
          <w:rFonts w:asciiTheme="majorHAnsi" w:hAnsiTheme="majorHAnsi" w:cs="Calibri"/>
          <w:szCs w:val="22"/>
          <w:lang w:val="en-US"/>
        </w:rPr>
        <w:t xml:space="preserve">This seems to be a new requirement when compared to DORA/BRRD. Since insurance is rather a mitigating factor which might be required following certain risks identified during a respective TPSP due diligence, we would recommend </w:t>
      </w:r>
      <w:proofErr w:type="gramStart"/>
      <w:r w:rsidRPr="003656B1">
        <w:rPr>
          <w:rFonts w:asciiTheme="majorHAnsi" w:hAnsiTheme="majorHAnsi" w:cs="Calibri"/>
          <w:szCs w:val="22"/>
          <w:lang w:val="en-US"/>
        </w:rPr>
        <w:t>to make</w:t>
      </w:r>
      <w:proofErr w:type="gramEnd"/>
      <w:r w:rsidRPr="003656B1">
        <w:rPr>
          <w:rFonts w:asciiTheme="majorHAnsi" w:hAnsiTheme="majorHAnsi" w:cs="Calibri"/>
          <w:szCs w:val="22"/>
          <w:lang w:val="en-US"/>
        </w:rPr>
        <w:t xml:space="preserve"> this an optional point and to link it to respective risks (i.e., to include respective insurance requirements in the contract in case respective risks have been identified and risk mitigation matters are required as a consequence).</w:t>
      </w:r>
    </w:p>
    <w:p w14:paraId="69E940E5" w14:textId="43C40F88" w:rsidR="00874726" w:rsidRPr="003656B1" w:rsidRDefault="00874726" w:rsidP="00831806">
      <w:pPr>
        <w:rPr>
          <w:rFonts w:asciiTheme="majorHAnsi" w:hAnsiTheme="majorHAnsi" w:cs="Calibri"/>
          <w:szCs w:val="22"/>
          <w:u w:val="single"/>
          <w:lang w:val="en-US"/>
        </w:rPr>
      </w:pPr>
      <w:r w:rsidRPr="003656B1">
        <w:rPr>
          <w:rFonts w:asciiTheme="majorHAnsi" w:hAnsiTheme="majorHAnsi" w:cs="Calibri"/>
          <w:szCs w:val="22"/>
          <w:u w:val="single"/>
          <w:lang w:val="en-US"/>
        </w:rPr>
        <w:t xml:space="preserve">Ad </w:t>
      </w:r>
      <w:r w:rsidR="005D081B" w:rsidRPr="003656B1">
        <w:rPr>
          <w:rFonts w:asciiTheme="majorHAnsi" w:hAnsiTheme="majorHAnsi" w:cs="Calibri"/>
          <w:szCs w:val="22"/>
          <w:u w:val="single"/>
          <w:lang w:val="en-US"/>
        </w:rPr>
        <w:t xml:space="preserve">Recital </w:t>
      </w:r>
      <w:r w:rsidRPr="003656B1">
        <w:rPr>
          <w:rFonts w:asciiTheme="majorHAnsi" w:hAnsiTheme="majorHAnsi" w:cs="Calibri"/>
          <w:szCs w:val="22"/>
          <w:u w:val="single"/>
          <w:lang w:val="en-US"/>
        </w:rPr>
        <w:t>88:</w:t>
      </w:r>
    </w:p>
    <w:p w14:paraId="346B8A5A" w14:textId="7A3832CE" w:rsidR="00874726" w:rsidRPr="003656B1" w:rsidRDefault="00874726" w:rsidP="00831806">
      <w:pPr>
        <w:rPr>
          <w:rFonts w:asciiTheme="majorHAnsi" w:hAnsiTheme="majorHAnsi" w:cs="Calibri"/>
          <w:szCs w:val="22"/>
          <w:lang w:val="en-US"/>
        </w:rPr>
      </w:pPr>
      <w:r w:rsidRPr="003656B1">
        <w:rPr>
          <w:rFonts w:asciiTheme="majorHAnsi" w:hAnsiTheme="majorHAnsi" w:cs="Calibri"/>
          <w:szCs w:val="22"/>
          <w:lang w:val="en-US"/>
        </w:rPr>
        <w:t xml:space="preserve">The article refers to subcontracting of critical or important functions or material parts thereof. This might be difficult to execute in praxis, as the criteria that led to the definition of a service to be critical or important might not always be transparent to the rank 1 supplier of the service and it might not be possible to provide the rank 1 supplier enough information to be able to execute a proper assessment whether its sub-supplier (rank 2 supplier) would be a critical or important function from the banks perspective. </w:t>
      </w:r>
      <w:r w:rsidRPr="003656B1">
        <w:rPr>
          <w:rFonts w:asciiTheme="majorHAnsi" w:hAnsiTheme="majorHAnsi" w:cs="Calibri"/>
          <w:szCs w:val="22"/>
          <w:lang w:val="en-US"/>
        </w:rPr>
        <w:br/>
        <w:t>An alternative approach would be to define the level of reliance of the service (rank 1) on the sub-provider (rank 2), assessing the potential impact of a non-availability or poor execution of the sub-service on the main service.</w:t>
      </w:r>
    </w:p>
    <w:p w14:paraId="5E216473" w14:textId="0A355554" w:rsidR="00874726" w:rsidRPr="003656B1" w:rsidRDefault="00874726" w:rsidP="00831806">
      <w:pPr>
        <w:rPr>
          <w:rFonts w:asciiTheme="majorHAnsi" w:hAnsiTheme="majorHAnsi" w:cs="Calibri"/>
          <w:szCs w:val="22"/>
          <w:u w:val="single"/>
          <w:lang w:val="en-US"/>
        </w:rPr>
      </w:pPr>
      <w:r w:rsidRPr="003656B1">
        <w:rPr>
          <w:rFonts w:asciiTheme="majorHAnsi" w:hAnsiTheme="majorHAnsi" w:cs="Calibri"/>
          <w:szCs w:val="22"/>
          <w:u w:val="single"/>
          <w:lang w:val="en-US"/>
        </w:rPr>
        <w:t xml:space="preserve">Ad </w:t>
      </w:r>
      <w:r w:rsidR="005D081B" w:rsidRPr="003656B1">
        <w:rPr>
          <w:rFonts w:asciiTheme="majorHAnsi" w:hAnsiTheme="majorHAnsi" w:cs="Calibri"/>
          <w:szCs w:val="22"/>
          <w:u w:val="single"/>
          <w:lang w:val="en-US"/>
        </w:rPr>
        <w:t xml:space="preserve">Recital </w:t>
      </w:r>
      <w:r w:rsidR="00C247FF" w:rsidRPr="003656B1">
        <w:rPr>
          <w:rFonts w:asciiTheme="majorHAnsi" w:hAnsiTheme="majorHAnsi" w:cs="Calibri"/>
          <w:szCs w:val="22"/>
          <w:u w:val="single"/>
          <w:lang w:val="en-US"/>
        </w:rPr>
        <w:t>9</w:t>
      </w:r>
      <w:r w:rsidRPr="003656B1">
        <w:rPr>
          <w:rFonts w:asciiTheme="majorHAnsi" w:hAnsiTheme="majorHAnsi" w:cs="Calibri"/>
          <w:szCs w:val="22"/>
          <w:u w:val="single"/>
          <w:lang w:val="en-US"/>
        </w:rPr>
        <w:t>8:</w:t>
      </w:r>
    </w:p>
    <w:p w14:paraId="42178783" w14:textId="205DFFDC" w:rsidR="00874726" w:rsidRPr="003656B1" w:rsidRDefault="00874726" w:rsidP="00831806">
      <w:pPr>
        <w:rPr>
          <w:rFonts w:asciiTheme="majorHAnsi" w:hAnsiTheme="majorHAnsi" w:cs="Calibri"/>
          <w:szCs w:val="22"/>
          <w:lang w:val="en-US"/>
        </w:rPr>
      </w:pPr>
      <w:r w:rsidRPr="003656B1">
        <w:rPr>
          <w:rFonts w:asciiTheme="majorHAnsi" w:hAnsiTheme="majorHAnsi" w:cs="Calibri"/>
          <w:szCs w:val="22"/>
          <w:lang w:val="en-US"/>
        </w:rPr>
        <w:t xml:space="preserve">This </w:t>
      </w:r>
      <w:r w:rsidR="00F152D4" w:rsidRPr="003656B1">
        <w:rPr>
          <w:rFonts w:asciiTheme="majorHAnsi" w:hAnsiTheme="majorHAnsi" w:cs="Calibri"/>
          <w:szCs w:val="22"/>
          <w:lang w:val="en-US"/>
        </w:rPr>
        <w:t xml:space="preserve">recital </w:t>
      </w:r>
      <w:r w:rsidRPr="003656B1">
        <w:rPr>
          <w:rFonts w:asciiTheme="majorHAnsi" w:hAnsiTheme="majorHAnsi" w:cs="Calibri"/>
          <w:szCs w:val="22"/>
          <w:lang w:val="en-US"/>
        </w:rPr>
        <w:t xml:space="preserve">seems to partly overlap with the resolution resilience requirements under the BRRD and related legislation. From a documentation perspective, </w:t>
      </w:r>
      <w:r w:rsidR="007D5685" w:rsidRPr="003656B1">
        <w:rPr>
          <w:rFonts w:asciiTheme="majorHAnsi" w:hAnsiTheme="majorHAnsi" w:cs="Calibri"/>
          <w:szCs w:val="22"/>
          <w:lang w:val="en-US"/>
        </w:rPr>
        <w:t>institutions</w:t>
      </w:r>
      <w:r w:rsidRPr="003656B1">
        <w:rPr>
          <w:rFonts w:asciiTheme="majorHAnsi" w:hAnsiTheme="majorHAnsi" w:cs="Calibri"/>
          <w:szCs w:val="22"/>
          <w:lang w:val="en-US"/>
        </w:rPr>
        <w:t xml:space="preserve"> include references to resolution authorities in addition to supervisory authorities in our agreements </w:t>
      </w:r>
      <w:r w:rsidRPr="003656B1">
        <w:rPr>
          <w:rFonts w:asciiTheme="majorHAnsi" w:hAnsiTheme="majorHAnsi" w:cs="Calibri"/>
          <w:szCs w:val="22"/>
          <w:lang w:val="en-US"/>
        </w:rPr>
        <w:lastRenderedPageBreak/>
        <w:t>when regulating audit and access rights and we include our standard resolution resilience clauses in contracts that are relevant from a resolution resilience perspective. Thus, it is ensured that the same access and monitoring rights will be granted to all relevant authorities and by avoiding too specific references, the respective rights are future-proof in case of future changes/additional requirements.</w:t>
      </w:r>
    </w:p>
    <w:p w14:paraId="45D12A4E" w14:textId="7B93F2FA" w:rsidR="00874726" w:rsidRPr="003656B1" w:rsidRDefault="00874726" w:rsidP="00831806">
      <w:pPr>
        <w:rPr>
          <w:rFonts w:asciiTheme="majorHAnsi" w:hAnsiTheme="majorHAnsi" w:cs="Calibri"/>
          <w:szCs w:val="22"/>
          <w:u w:val="single"/>
          <w:lang w:val="en-US"/>
        </w:rPr>
      </w:pPr>
      <w:r w:rsidRPr="003656B1">
        <w:rPr>
          <w:rFonts w:asciiTheme="majorHAnsi" w:hAnsiTheme="majorHAnsi" w:cs="Calibri"/>
          <w:szCs w:val="22"/>
          <w:u w:val="single"/>
          <w:lang w:val="en-US"/>
        </w:rPr>
        <w:t xml:space="preserve">Ad </w:t>
      </w:r>
      <w:r w:rsidR="005D081B" w:rsidRPr="003656B1">
        <w:rPr>
          <w:rFonts w:asciiTheme="majorHAnsi" w:hAnsiTheme="majorHAnsi" w:cs="Calibri"/>
          <w:szCs w:val="22"/>
          <w:u w:val="single"/>
          <w:lang w:val="en-US"/>
        </w:rPr>
        <w:t xml:space="preserve">Recital </w:t>
      </w:r>
      <w:r w:rsidRPr="003656B1">
        <w:rPr>
          <w:rFonts w:asciiTheme="majorHAnsi" w:hAnsiTheme="majorHAnsi" w:cs="Calibri"/>
          <w:szCs w:val="22"/>
          <w:u w:val="single"/>
          <w:lang w:val="en-US"/>
        </w:rPr>
        <w:t>109</w:t>
      </w:r>
      <w:r w:rsidR="008F29E4" w:rsidRPr="003656B1">
        <w:rPr>
          <w:rFonts w:asciiTheme="majorHAnsi" w:hAnsiTheme="majorHAnsi" w:cs="Calibri"/>
          <w:szCs w:val="22"/>
          <w:u w:val="single"/>
          <w:lang w:val="en-US"/>
        </w:rPr>
        <w:t xml:space="preserve"> lit </w:t>
      </w:r>
      <w:r w:rsidRPr="003656B1">
        <w:rPr>
          <w:rFonts w:asciiTheme="majorHAnsi" w:hAnsiTheme="majorHAnsi" w:cs="Calibri"/>
          <w:szCs w:val="22"/>
          <w:u w:val="single"/>
          <w:lang w:val="en-US"/>
        </w:rPr>
        <w:t>b:</w:t>
      </w:r>
    </w:p>
    <w:p w14:paraId="02F563B9" w14:textId="49D7750A" w:rsidR="00B16E44" w:rsidRPr="003656B1" w:rsidRDefault="005A1DCE" w:rsidP="00831806">
      <w:pPr>
        <w:rPr>
          <w:rFonts w:asciiTheme="majorHAnsi" w:hAnsiTheme="majorHAnsi" w:cs="Calibri"/>
          <w:szCs w:val="22"/>
          <w:lang w:val="en-US"/>
        </w:rPr>
      </w:pPr>
      <w:r w:rsidRPr="003656B1">
        <w:rPr>
          <w:rFonts w:asciiTheme="majorHAnsi" w:hAnsiTheme="majorHAnsi" w:cs="Calibri"/>
          <w:szCs w:val="22"/>
          <w:lang w:val="en-US"/>
        </w:rPr>
        <w:t>The current wording appears too broad and may be difficult to agree with TPSPs. In practice, TPSPs are often concerned when termination rights are drafted in vague terms, as this may be perceived as a potential ‘disguised’ termination for convenience</w:t>
      </w:r>
      <w:r w:rsidR="00874726" w:rsidRPr="003656B1">
        <w:rPr>
          <w:rFonts w:asciiTheme="majorHAnsi" w:hAnsiTheme="majorHAnsi" w:cs="Calibri"/>
          <w:szCs w:val="22"/>
          <w:lang w:val="en-US"/>
        </w:rPr>
        <w:t xml:space="preserve">. We therefore </w:t>
      </w:r>
      <w:r w:rsidR="005613A3" w:rsidRPr="003656B1">
        <w:rPr>
          <w:rFonts w:asciiTheme="majorHAnsi" w:hAnsiTheme="majorHAnsi" w:cs="Calibri"/>
          <w:szCs w:val="22"/>
          <w:lang w:val="en-US"/>
        </w:rPr>
        <w:t>suggest</w:t>
      </w:r>
      <w:r w:rsidR="00A047EB" w:rsidRPr="003656B1">
        <w:rPr>
          <w:rFonts w:asciiTheme="majorHAnsi" w:hAnsiTheme="majorHAnsi" w:cs="Calibri"/>
          <w:szCs w:val="22"/>
          <w:lang w:val="en-US"/>
        </w:rPr>
        <w:t>,</w:t>
      </w:r>
      <w:r w:rsidR="00874726" w:rsidRPr="003656B1">
        <w:rPr>
          <w:rFonts w:asciiTheme="majorHAnsi" w:hAnsiTheme="majorHAnsi" w:cs="Calibri"/>
          <w:szCs w:val="22"/>
          <w:lang w:val="en-US"/>
        </w:rPr>
        <w:t xml:space="preserve"> at least</w:t>
      </w:r>
      <w:r w:rsidR="00A047EB" w:rsidRPr="003656B1">
        <w:rPr>
          <w:rFonts w:asciiTheme="majorHAnsi" w:hAnsiTheme="majorHAnsi" w:cs="Calibri"/>
          <w:szCs w:val="22"/>
          <w:lang w:val="en-US"/>
        </w:rPr>
        <w:t>,</w:t>
      </w:r>
      <w:r w:rsidR="00874726" w:rsidRPr="003656B1">
        <w:rPr>
          <w:rFonts w:asciiTheme="majorHAnsi" w:hAnsiTheme="majorHAnsi" w:cs="Calibri"/>
          <w:szCs w:val="22"/>
          <w:lang w:val="en-US"/>
        </w:rPr>
        <w:t xml:space="preserve"> </w:t>
      </w:r>
      <w:r w:rsidR="005613A3" w:rsidRPr="003656B1">
        <w:rPr>
          <w:rFonts w:asciiTheme="majorHAnsi" w:hAnsiTheme="majorHAnsi" w:cs="Calibri"/>
          <w:szCs w:val="22"/>
          <w:lang w:val="en-US"/>
        </w:rPr>
        <w:t xml:space="preserve">to </w:t>
      </w:r>
      <w:r w:rsidR="00874726" w:rsidRPr="003656B1">
        <w:rPr>
          <w:rFonts w:asciiTheme="majorHAnsi" w:hAnsiTheme="majorHAnsi" w:cs="Calibri"/>
          <w:szCs w:val="22"/>
          <w:lang w:val="en-US"/>
        </w:rPr>
        <w:t xml:space="preserve">change to “capable of materially negatively altering”. Alternatively, </w:t>
      </w:r>
      <w:r w:rsidR="00F152D4" w:rsidRPr="003656B1">
        <w:rPr>
          <w:rFonts w:asciiTheme="majorHAnsi" w:hAnsiTheme="majorHAnsi" w:cs="Calibri"/>
          <w:szCs w:val="22"/>
          <w:lang w:val="en-US"/>
        </w:rPr>
        <w:t>lit</w:t>
      </w:r>
      <w:r w:rsidR="00874726" w:rsidRPr="003656B1">
        <w:rPr>
          <w:rFonts w:asciiTheme="majorHAnsi" w:hAnsiTheme="majorHAnsi" w:cs="Calibri"/>
          <w:szCs w:val="22"/>
          <w:lang w:val="en-US"/>
        </w:rPr>
        <w:t xml:space="preserve"> b could be </w:t>
      </w:r>
      <w:r w:rsidR="00D36BA9" w:rsidRPr="003656B1">
        <w:rPr>
          <w:rFonts w:asciiTheme="majorHAnsi" w:hAnsiTheme="majorHAnsi" w:cs="Calibri"/>
          <w:szCs w:val="22"/>
          <w:lang w:val="en-US"/>
        </w:rPr>
        <w:t>removed</w:t>
      </w:r>
      <w:r w:rsidR="00874726" w:rsidRPr="003656B1">
        <w:rPr>
          <w:rFonts w:asciiTheme="majorHAnsi" w:hAnsiTheme="majorHAnsi" w:cs="Calibri"/>
          <w:szCs w:val="22"/>
          <w:lang w:val="en-US"/>
        </w:rPr>
        <w:t xml:space="preserve"> since it seems </w:t>
      </w:r>
      <w:r w:rsidR="00493722" w:rsidRPr="003656B1">
        <w:rPr>
          <w:rFonts w:asciiTheme="majorHAnsi" w:hAnsiTheme="majorHAnsi" w:cs="Calibri"/>
          <w:szCs w:val="22"/>
          <w:lang w:val="en-US"/>
        </w:rPr>
        <w:t xml:space="preserve">to be already </w:t>
      </w:r>
      <w:r w:rsidR="00874726" w:rsidRPr="003656B1">
        <w:rPr>
          <w:rFonts w:asciiTheme="majorHAnsi" w:hAnsiTheme="majorHAnsi" w:cs="Calibri"/>
          <w:szCs w:val="22"/>
          <w:lang w:val="en-US"/>
        </w:rPr>
        <w:t xml:space="preserve">covered </w:t>
      </w:r>
      <w:r w:rsidR="00493722" w:rsidRPr="003656B1">
        <w:rPr>
          <w:rFonts w:asciiTheme="majorHAnsi" w:hAnsiTheme="majorHAnsi" w:cs="Calibri"/>
          <w:szCs w:val="22"/>
          <w:lang w:val="en-US"/>
        </w:rPr>
        <w:t xml:space="preserve">by </w:t>
      </w:r>
      <w:r w:rsidR="00F152D4" w:rsidRPr="003656B1">
        <w:rPr>
          <w:rFonts w:asciiTheme="majorHAnsi" w:hAnsiTheme="majorHAnsi" w:cs="Calibri"/>
          <w:szCs w:val="22"/>
          <w:lang w:val="en-US"/>
        </w:rPr>
        <w:t>lit</w:t>
      </w:r>
      <w:r w:rsidR="00874726" w:rsidRPr="003656B1">
        <w:rPr>
          <w:rFonts w:asciiTheme="majorHAnsi" w:hAnsiTheme="majorHAnsi" w:cs="Calibri"/>
          <w:szCs w:val="22"/>
          <w:lang w:val="en-US"/>
        </w:rPr>
        <w:t xml:space="preserve"> c.</w:t>
      </w:r>
    </w:p>
    <w:p w14:paraId="05A2D5EA" w14:textId="77777777" w:rsidR="00874726" w:rsidRPr="003656B1" w:rsidRDefault="00874726" w:rsidP="00831806">
      <w:pPr>
        <w:rPr>
          <w:rFonts w:asciiTheme="majorHAnsi" w:hAnsiTheme="majorHAnsi" w:cs="Calibri"/>
          <w:szCs w:val="22"/>
          <w:lang w:val="en-GB"/>
        </w:rPr>
      </w:pPr>
    </w:p>
    <w:p w14:paraId="1AFF50A7" w14:textId="79FC4845" w:rsidR="00B16E44" w:rsidRPr="003656B1" w:rsidRDefault="00B93C42" w:rsidP="00831806">
      <w:pPr>
        <w:pBdr>
          <w:top w:val="single" w:sz="4" w:space="1" w:color="auto"/>
          <w:left w:val="single" w:sz="4" w:space="4" w:color="auto"/>
          <w:bottom w:val="single" w:sz="4" w:space="1" w:color="auto"/>
          <w:right w:val="single" w:sz="4" w:space="4" w:color="auto"/>
        </w:pBdr>
        <w:rPr>
          <w:rFonts w:asciiTheme="majorHAnsi" w:hAnsiTheme="majorHAnsi" w:cs="Calibri"/>
          <w:b/>
          <w:bCs/>
          <w:szCs w:val="22"/>
          <w:lang w:val="en-GB"/>
        </w:rPr>
      </w:pPr>
      <w:r w:rsidRPr="003656B1">
        <w:rPr>
          <w:rFonts w:asciiTheme="majorHAnsi" w:hAnsiTheme="majorHAnsi" w:cs="Calibri"/>
          <w:b/>
          <w:bCs/>
          <w:szCs w:val="22"/>
          <w:lang w:val="en-GB"/>
        </w:rPr>
        <w:t>Q5:</w:t>
      </w:r>
      <w:r w:rsidR="00B16E44" w:rsidRPr="003656B1">
        <w:rPr>
          <w:rFonts w:asciiTheme="majorHAnsi" w:hAnsiTheme="majorHAnsi" w:cs="Calibri"/>
          <w:b/>
          <w:bCs/>
          <w:szCs w:val="22"/>
          <w:lang w:val="en-GB"/>
        </w:rPr>
        <w:t xml:space="preserve"> </w:t>
      </w:r>
      <w:proofErr w:type="gramStart"/>
      <w:r w:rsidR="00B16E44" w:rsidRPr="003656B1">
        <w:rPr>
          <w:rFonts w:asciiTheme="majorHAnsi" w:hAnsiTheme="majorHAnsi" w:cs="Calibri"/>
          <w:b/>
          <w:bCs/>
          <w:szCs w:val="22"/>
          <w:lang w:val="en-GB"/>
        </w:rPr>
        <w:t>Is</w:t>
      </w:r>
      <w:proofErr w:type="gramEnd"/>
      <w:r w:rsidR="00B16E44" w:rsidRPr="003656B1">
        <w:rPr>
          <w:rFonts w:asciiTheme="majorHAnsi" w:hAnsiTheme="majorHAnsi" w:cs="Calibri"/>
          <w:b/>
          <w:bCs/>
          <w:szCs w:val="22"/>
          <w:lang w:val="en-GB"/>
        </w:rPr>
        <w:t xml:space="preserve"> Annex I, provided as a list of non-exhaustive examples, appropriate and sufficiently clear?</w:t>
      </w:r>
    </w:p>
    <w:p w14:paraId="105189DE" w14:textId="77777777" w:rsidR="00723C3F" w:rsidRPr="003656B1" w:rsidRDefault="00723C3F" w:rsidP="00831806">
      <w:pPr>
        <w:rPr>
          <w:rFonts w:asciiTheme="majorHAnsi" w:hAnsiTheme="majorHAnsi" w:cs="Calibri"/>
          <w:szCs w:val="22"/>
          <w:lang w:val="en-US"/>
        </w:rPr>
      </w:pPr>
      <w:r w:rsidRPr="003656B1">
        <w:rPr>
          <w:rFonts w:asciiTheme="majorHAnsi" w:hAnsiTheme="majorHAnsi" w:cs="Calibri"/>
          <w:szCs w:val="22"/>
          <w:lang w:val="en-US"/>
        </w:rPr>
        <w:t>See also our comment as to the scope: We would appreciate and recommend a clarification that only “run-the-bank”-services are in scope, maybe also with some examples of out-of-scope services.</w:t>
      </w:r>
    </w:p>
    <w:p w14:paraId="7E02CACF" w14:textId="77777777" w:rsidR="00B16E44" w:rsidRPr="003656B1" w:rsidRDefault="00B16E44" w:rsidP="00831806">
      <w:pPr>
        <w:rPr>
          <w:rFonts w:asciiTheme="majorHAnsi" w:hAnsiTheme="majorHAnsi" w:cs="Calibri"/>
          <w:szCs w:val="22"/>
          <w:lang w:val="en-US"/>
        </w:rPr>
      </w:pPr>
    </w:p>
    <w:p w14:paraId="2F54BBB5" w14:textId="048A15C6" w:rsidR="00ED110F" w:rsidRPr="003656B1" w:rsidRDefault="009B1EBE" w:rsidP="00831806">
      <w:pPr>
        <w:rPr>
          <w:rFonts w:asciiTheme="majorHAnsi" w:hAnsiTheme="majorHAnsi" w:cstheme="minorHAnsi"/>
          <w:szCs w:val="22"/>
          <w:lang w:val="en-US"/>
        </w:rPr>
      </w:pPr>
      <w:r w:rsidRPr="003656B1">
        <w:rPr>
          <w:rFonts w:asciiTheme="majorHAnsi" w:hAnsiTheme="majorHAnsi" w:cstheme="minorHAnsi"/>
          <w:szCs w:val="22"/>
          <w:lang w:val="en-US"/>
        </w:rPr>
        <w:t xml:space="preserve"> </w:t>
      </w:r>
    </w:p>
    <w:sectPr w:rsidR="00ED110F" w:rsidRPr="003656B1" w:rsidSect="00E67B9B">
      <w:headerReference w:type="default" r:id="rId11"/>
      <w:footerReference w:type="default" r:id="rId12"/>
      <w:pgSz w:w="11906" w:h="16838"/>
      <w:pgMar w:top="1985" w:right="1416" w:bottom="709" w:left="1417" w:header="708" w:footer="8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E59D" w14:textId="77777777" w:rsidR="007C523B" w:rsidRDefault="007C523B" w:rsidP="007F4462">
      <w:pPr>
        <w:spacing w:line="240" w:lineRule="auto"/>
      </w:pPr>
      <w:r>
        <w:separator/>
      </w:r>
    </w:p>
  </w:endnote>
  <w:endnote w:type="continuationSeparator" w:id="0">
    <w:p w14:paraId="597327E6" w14:textId="77777777" w:rsidR="007C523B" w:rsidRDefault="007C523B" w:rsidP="007F4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19607"/>
      <w:docPartObj>
        <w:docPartGallery w:val="Page Numbers (Bottom of Page)"/>
        <w:docPartUnique/>
      </w:docPartObj>
    </w:sdtPr>
    <w:sdtEndPr/>
    <w:sdtContent>
      <w:p w14:paraId="1A043267" w14:textId="26F5660C" w:rsidR="00102AAB" w:rsidRPr="00102AAB" w:rsidRDefault="00102AAB" w:rsidP="00102AAB">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972E" w14:textId="77777777" w:rsidR="007C523B" w:rsidRDefault="007C523B" w:rsidP="007F4462">
      <w:pPr>
        <w:spacing w:line="240" w:lineRule="auto"/>
      </w:pPr>
      <w:r>
        <w:separator/>
      </w:r>
    </w:p>
  </w:footnote>
  <w:footnote w:type="continuationSeparator" w:id="0">
    <w:p w14:paraId="3DD0A404" w14:textId="77777777" w:rsidR="007C523B" w:rsidRDefault="007C523B" w:rsidP="007F44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A64E" w14:textId="567A60AD" w:rsidR="007F4462" w:rsidRDefault="007F4462" w:rsidP="00102AAB">
    <w:pPr>
      <w:spacing w:line="240" w:lineRule="auto"/>
    </w:pPr>
    <w:r>
      <w:rPr>
        <w:noProof/>
        <w:lang w:val="de-AT" w:eastAsia="de-AT"/>
      </w:rPr>
      <w:drawing>
        <wp:anchor distT="0" distB="0" distL="114300" distR="114300" simplePos="0" relativeHeight="251657216" behindDoc="0" locked="1" layoutInCell="1" allowOverlap="1" wp14:anchorId="2B9F3358" wp14:editId="73489B81">
          <wp:simplePos x="0" y="0"/>
          <wp:positionH relativeFrom="margin">
            <wp:posOffset>3722370</wp:posOffset>
          </wp:positionH>
          <wp:positionV relativeFrom="page">
            <wp:posOffset>180975</wp:posOffset>
          </wp:positionV>
          <wp:extent cx="2210435" cy="861695"/>
          <wp:effectExtent l="0" t="0" r="0" b="0"/>
          <wp:wrapSquare wrapText="bothSides"/>
          <wp:docPr id="918947675" name="Grafik 91894767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35" cy="861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261"/>
    <w:multiLevelType w:val="hybridMultilevel"/>
    <w:tmpl w:val="845C673A"/>
    <w:lvl w:ilvl="0" w:tplc="C18006B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9C3A05"/>
    <w:multiLevelType w:val="hybridMultilevel"/>
    <w:tmpl w:val="0FB299BC"/>
    <w:lvl w:ilvl="0" w:tplc="C18006B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1B25C3"/>
    <w:multiLevelType w:val="hybridMultilevel"/>
    <w:tmpl w:val="BEEC05C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EA0979"/>
    <w:multiLevelType w:val="hybridMultilevel"/>
    <w:tmpl w:val="44DE654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E96910"/>
    <w:multiLevelType w:val="hybridMultilevel"/>
    <w:tmpl w:val="D47409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57E3F6E"/>
    <w:multiLevelType w:val="hybridMultilevel"/>
    <w:tmpl w:val="3A4858CE"/>
    <w:lvl w:ilvl="0" w:tplc="054C813A">
      <w:start w:val="1"/>
      <w:numFmt w:val="bullet"/>
      <w:lvlText w:val=""/>
      <w:lvlJc w:val="left"/>
      <w:pPr>
        <w:ind w:left="720" w:hanging="360"/>
      </w:pPr>
      <w:rPr>
        <w:rFonts w:ascii="Symbol" w:hAnsi="Symbol" w:hint="default"/>
        <w:sz w:val="22"/>
        <w:szCs w:val="22"/>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8855761"/>
    <w:multiLevelType w:val="hybridMultilevel"/>
    <w:tmpl w:val="CADC01BC"/>
    <w:lvl w:ilvl="0" w:tplc="24287096">
      <w:start w:val="17"/>
      <w:numFmt w:val="bullet"/>
      <w:lvlText w:val="-"/>
      <w:lvlJc w:val="left"/>
      <w:pPr>
        <w:ind w:left="1800" w:hanging="360"/>
      </w:pPr>
      <w:rPr>
        <w:rFonts w:ascii="Trebuchet MS" w:eastAsia="Times New Roman" w:hAnsi="Trebuchet MS" w:cs="Times New Roman"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7" w15:restartNumberingAfterBreak="0">
    <w:nsid w:val="18936D8E"/>
    <w:multiLevelType w:val="hybridMultilevel"/>
    <w:tmpl w:val="65A848AA"/>
    <w:lvl w:ilvl="0" w:tplc="0C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6F41F1"/>
    <w:multiLevelType w:val="hybridMultilevel"/>
    <w:tmpl w:val="AA7CC5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674F96"/>
    <w:multiLevelType w:val="hybridMultilevel"/>
    <w:tmpl w:val="FD6A89D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1D5169B5"/>
    <w:multiLevelType w:val="hybridMultilevel"/>
    <w:tmpl w:val="16A2A6B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1E804D82"/>
    <w:multiLevelType w:val="hybridMultilevel"/>
    <w:tmpl w:val="99689C5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1CF4310"/>
    <w:multiLevelType w:val="hybridMultilevel"/>
    <w:tmpl w:val="EB4C898C"/>
    <w:lvl w:ilvl="0" w:tplc="0C070001">
      <w:start w:val="1"/>
      <w:numFmt w:val="bullet"/>
      <w:lvlText w:val=""/>
      <w:lvlJc w:val="left"/>
      <w:pPr>
        <w:ind w:left="1776" w:hanging="360"/>
      </w:pPr>
      <w:rPr>
        <w:rFonts w:ascii="Symbol" w:hAnsi="Symbo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3" w15:restartNumberingAfterBreak="0">
    <w:nsid w:val="240810EA"/>
    <w:multiLevelType w:val="hybridMultilevel"/>
    <w:tmpl w:val="488CAE68"/>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57C506A"/>
    <w:multiLevelType w:val="hybridMultilevel"/>
    <w:tmpl w:val="62E0A5E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73D7EC0"/>
    <w:multiLevelType w:val="hybridMultilevel"/>
    <w:tmpl w:val="CB9A4BC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2BE52EEE"/>
    <w:multiLevelType w:val="hybridMultilevel"/>
    <w:tmpl w:val="462C9D1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0AD0822"/>
    <w:multiLevelType w:val="hybridMultilevel"/>
    <w:tmpl w:val="717886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31106E93"/>
    <w:multiLevelType w:val="hybridMultilevel"/>
    <w:tmpl w:val="ABDC8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9B1548"/>
    <w:multiLevelType w:val="hybridMultilevel"/>
    <w:tmpl w:val="1A185610"/>
    <w:lvl w:ilvl="0" w:tplc="FEB8787E">
      <w:start w:val="17"/>
      <w:numFmt w:val="bullet"/>
      <w:lvlText w:val="-"/>
      <w:lvlJc w:val="left"/>
      <w:pPr>
        <w:ind w:left="2520" w:hanging="360"/>
      </w:pPr>
      <w:rPr>
        <w:rFonts w:ascii="Trebuchet MS" w:eastAsia="Times New Roman" w:hAnsi="Trebuchet MS" w:cs="Times New Roman" w:hint="default"/>
      </w:rPr>
    </w:lvl>
    <w:lvl w:ilvl="1" w:tplc="0C070003" w:tentative="1">
      <w:start w:val="1"/>
      <w:numFmt w:val="bullet"/>
      <w:lvlText w:val="o"/>
      <w:lvlJc w:val="left"/>
      <w:pPr>
        <w:ind w:left="3240" w:hanging="360"/>
      </w:pPr>
      <w:rPr>
        <w:rFonts w:ascii="Courier New" w:hAnsi="Courier New" w:cs="Courier New" w:hint="default"/>
      </w:rPr>
    </w:lvl>
    <w:lvl w:ilvl="2" w:tplc="0C070005" w:tentative="1">
      <w:start w:val="1"/>
      <w:numFmt w:val="bullet"/>
      <w:lvlText w:val=""/>
      <w:lvlJc w:val="left"/>
      <w:pPr>
        <w:ind w:left="3960" w:hanging="360"/>
      </w:pPr>
      <w:rPr>
        <w:rFonts w:ascii="Wingdings" w:hAnsi="Wingdings" w:hint="default"/>
      </w:rPr>
    </w:lvl>
    <w:lvl w:ilvl="3" w:tplc="0C070001" w:tentative="1">
      <w:start w:val="1"/>
      <w:numFmt w:val="bullet"/>
      <w:lvlText w:val=""/>
      <w:lvlJc w:val="left"/>
      <w:pPr>
        <w:ind w:left="4680" w:hanging="360"/>
      </w:pPr>
      <w:rPr>
        <w:rFonts w:ascii="Symbol" w:hAnsi="Symbol" w:hint="default"/>
      </w:rPr>
    </w:lvl>
    <w:lvl w:ilvl="4" w:tplc="0C070003" w:tentative="1">
      <w:start w:val="1"/>
      <w:numFmt w:val="bullet"/>
      <w:lvlText w:val="o"/>
      <w:lvlJc w:val="left"/>
      <w:pPr>
        <w:ind w:left="5400" w:hanging="360"/>
      </w:pPr>
      <w:rPr>
        <w:rFonts w:ascii="Courier New" w:hAnsi="Courier New" w:cs="Courier New" w:hint="default"/>
      </w:rPr>
    </w:lvl>
    <w:lvl w:ilvl="5" w:tplc="0C070005" w:tentative="1">
      <w:start w:val="1"/>
      <w:numFmt w:val="bullet"/>
      <w:lvlText w:val=""/>
      <w:lvlJc w:val="left"/>
      <w:pPr>
        <w:ind w:left="6120" w:hanging="360"/>
      </w:pPr>
      <w:rPr>
        <w:rFonts w:ascii="Wingdings" w:hAnsi="Wingdings" w:hint="default"/>
      </w:rPr>
    </w:lvl>
    <w:lvl w:ilvl="6" w:tplc="0C070001" w:tentative="1">
      <w:start w:val="1"/>
      <w:numFmt w:val="bullet"/>
      <w:lvlText w:val=""/>
      <w:lvlJc w:val="left"/>
      <w:pPr>
        <w:ind w:left="6840" w:hanging="360"/>
      </w:pPr>
      <w:rPr>
        <w:rFonts w:ascii="Symbol" w:hAnsi="Symbol" w:hint="default"/>
      </w:rPr>
    </w:lvl>
    <w:lvl w:ilvl="7" w:tplc="0C070003" w:tentative="1">
      <w:start w:val="1"/>
      <w:numFmt w:val="bullet"/>
      <w:lvlText w:val="o"/>
      <w:lvlJc w:val="left"/>
      <w:pPr>
        <w:ind w:left="7560" w:hanging="360"/>
      </w:pPr>
      <w:rPr>
        <w:rFonts w:ascii="Courier New" w:hAnsi="Courier New" w:cs="Courier New" w:hint="default"/>
      </w:rPr>
    </w:lvl>
    <w:lvl w:ilvl="8" w:tplc="0C070005" w:tentative="1">
      <w:start w:val="1"/>
      <w:numFmt w:val="bullet"/>
      <w:lvlText w:val=""/>
      <w:lvlJc w:val="left"/>
      <w:pPr>
        <w:ind w:left="8280" w:hanging="360"/>
      </w:pPr>
      <w:rPr>
        <w:rFonts w:ascii="Wingdings" w:hAnsi="Wingdings" w:hint="default"/>
      </w:rPr>
    </w:lvl>
  </w:abstractNum>
  <w:abstractNum w:abstractNumId="20" w15:restartNumberingAfterBreak="0">
    <w:nsid w:val="370A4BBF"/>
    <w:multiLevelType w:val="hybridMultilevel"/>
    <w:tmpl w:val="632264C2"/>
    <w:lvl w:ilvl="0" w:tplc="0C070003">
      <w:start w:val="1"/>
      <w:numFmt w:val="bullet"/>
      <w:lvlText w:val="o"/>
      <w:lvlJc w:val="left"/>
      <w:pPr>
        <w:ind w:left="720" w:hanging="360"/>
      </w:pPr>
      <w:rPr>
        <w:rFonts w:ascii="Courier New" w:hAnsi="Courier New" w:cs="Courier New" w:hint="default"/>
      </w:rPr>
    </w:lvl>
    <w:lvl w:ilvl="1" w:tplc="24287096">
      <w:start w:val="17"/>
      <w:numFmt w:val="bullet"/>
      <w:lvlText w:val="-"/>
      <w:lvlJc w:val="left"/>
      <w:pPr>
        <w:ind w:left="2160" w:hanging="360"/>
      </w:pPr>
      <w:rPr>
        <w:rFonts w:ascii="Trebuchet MS" w:eastAsia="Times New Roman" w:hAnsi="Trebuchet MS" w:cs="Times New Roman"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88C5EEA"/>
    <w:multiLevelType w:val="hybridMultilevel"/>
    <w:tmpl w:val="03F41650"/>
    <w:lvl w:ilvl="0" w:tplc="52C49CAA">
      <w:start w:val="1"/>
      <w:numFmt w:val="decimal"/>
      <w:lvlText w:val="%1."/>
      <w:lvlJc w:val="left"/>
      <w:pPr>
        <w:ind w:left="720" w:hanging="360"/>
      </w:pPr>
    </w:lvl>
    <w:lvl w:ilvl="1" w:tplc="9A7E605A">
      <w:start w:val="1"/>
      <w:numFmt w:val="lowerLetter"/>
      <w:lvlText w:val="%2."/>
      <w:lvlJc w:val="left"/>
      <w:pPr>
        <w:ind w:left="1440" w:hanging="360"/>
      </w:pPr>
    </w:lvl>
    <w:lvl w:ilvl="2" w:tplc="ECFC0F2A">
      <w:start w:val="1"/>
      <w:numFmt w:val="lowerRoman"/>
      <w:lvlText w:val="%3."/>
      <w:lvlJc w:val="right"/>
      <w:pPr>
        <w:ind w:left="2160" w:hanging="180"/>
      </w:pPr>
    </w:lvl>
    <w:lvl w:ilvl="3" w:tplc="17964472">
      <w:start w:val="1"/>
      <w:numFmt w:val="decimal"/>
      <w:lvlText w:val="%4."/>
      <w:lvlJc w:val="left"/>
      <w:pPr>
        <w:ind w:left="2880" w:hanging="360"/>
      </w:pPr>
    </w:lvl>
    <w:lvl w:ilvl="4" w:tplc="1826A8C8">
      <w:start w:val="1"/>
      <w:numFmt w:val="lowerLetter"/>
      <w:lvlText w:val="%5."/>
      <w:lvlJc w:val="left"/>
      <w:pPr>
        <w:ind w:left="3600" w:hanging="360"/>
      </w:pPr>
    </w:lvl>
    <w:lvl w:ilvl="5" w:tplc="B17EB14A">
      <w:start w:val="1"/>
      <w:numFmt w:val="lowerRoman"/>
      <w:lvlText w:val="%6."/>
      <w:lvlJc w:val="right"/>
      <w:pPr>
        <w:ind w:left="4320" w:hanging="180"/>
      </w:pPr>
    </w:lvl>
    <w:lvl w:ilvl="6" w:tplc="0DA01D1A">
      <w:start w:val="1"/>
      <w:numFmt w:val="decimal"/>
      <w:lvlText w:val="%7."/>
      <w:lvlJc w:val="left"/>
      <w:pPr>
        <w:ind w:left="5040" w:hanging="360"/>
      </w:pPr>
    </w:lvl>
    <w:lvl w:ilvl="7" w:tplc="F244CDE4">
      <w:start w:val="1"/>
      <w:numFmt w:val="lowerLetter"/>
      <w:lvlText w:val="%8."/>
      <w:lvlJc w:val="left"/>
      <w:pPr>
        <w:ind w:left="5760" w:hanging="360"/>
      </w:pPr>
    </w:lvl>
    <w:lvl w:ilvl="8" w:tplc="2E20FF52">
      <w:start w:val="1"/>
      <w:numFmt w:val="lowerRoman"/>
      <w:lvlText w:val="%9."/>
      <w:lvlJc w:val="right"/>
      <w:pPr>
        <w:ind w:left="6480" w:hanging="180"/>
      </w:pPr>
    </w:lvl>
  </w:abstractNum>
  <w:abstractNum w:abstractNumId="22" w15:restartNumberingAfterBreak="0">
    <w:nsid w:val="3BDD4CDD"/>
    <w:multiLevelType w:val="hybridMultilevel"/>
    <w:tmpl w:val="1A6886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3DDB395D"/>
    <w:multiLevelType w:val="hybridMultilevel"/>
    <w:tmpl w:val="B526FF2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0DF734A"/>
    <w:multiLevelType w:val="hybridMultilevel"/>
    <w:tmpl w:val="601A1CDC"/>
    <w:lvl w:ilvl="0" w:tplc="C18006B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4BB7C21"/>
    <w:multiLevelType w:val="hybridMultilevel"/>
    <w:tmpl w:val="AF4A4C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45EF170B"/>
    <w:multiLevelType w:val="hybridMultilevel"/>
    <w:tmpl w:val="7462482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72D44B7"/>
    <w:multiLevelType w:val="hybridMultilevel"/>
    <w:tmpl w:val="ECD0A81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8" w15:restartNumberingAfterBreak="0">
    <w:nsid w:val="4BFD7CD9"/>
    <w:multiLevelType w:val="hybridMultilevel"/>
    <w:tmpl w:val="D8164408"/>
    <w:lvl w:ilvl="0" w:tplc="F8964860">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4C4C3EC5"/>
    <w:multiLevelType w:val="hybridMultilevel"/>
    <w:tmpl w:val="AE7C4E5E"/>
    <w:lvl w:ilvl="0" w:tplc="DFA2C93C">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4C7A2BEA"/>
    <w:multiLevelType w:val="hybridMultilevel"/>
    <w:tmpl w:val="DBE6BA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582255B1"/>
    <w:multiLevelType w:val="hybridMultilevel"/>
    <w:tmpl w:val="844836D0"/>
    <w:lvl w:ilvl="0" w:tplc="24287096">
      <w:start w:val="17"/>
      <w:numFmt w:val="bullet"/>
      <w:lvlText w:val="-"/>
      <w:lvlJc w:val="left"/>
      <w:pPr>
        <w:ind w:left="2160" w:hanging="360"/>
      </w:pPr>
      <w:rPr>
        <w:rFonts w:ascii="Trebuchet MS" w:eastAsia="Times New Roman" w:hAnsi="Trebuchet MS" w:cs="Times New Roman"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32" w15:restartNumberingAfterBreak="0">
    <w:nsid w:val="58296E1E"/>
    <w:multiLevelType w:val="hybridMultilevel"/>
    <w:tmpl w:val="9404EB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BD425E7"/>
    <w:multiLevelType w:val="hybridMultilevel"/>
    <w:tmpl w:val="B34859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595487A"/>
    <w:multiLevelType w:val="hybridMultilevel"/>
    <w:tmpl w:val="4C20ED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669120E0"/>
    <w:multiLevelType w:val="hybridMultilevel"/>
    <w:tmpl w:val="BC5228A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6B83442A"/>
    <w:multiLevelType w:val="hybridMultilevel"/>
    <w:tmpl w:val="98FC7E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CA70BEC"/>
    <w:multiLevelType w:val="hybridMultilevel"/>
    <w:tmpl w:val="2408A7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56618A"/>
    <w:multiLevelType w:val="hybridMultilevel"/>
    <w:tmpl w:val="92DEEEA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9" w15:restartNumberingAfterBreak="0">
    <w:nsid w:val="77682943"/>
    <w:multiLevelType w:val="hybridMultilevel"/>
    <w:tmpl w:val="CC22D6C0"/>
    <w:lvl w:ilvl="0" w:tplc="054C813A">
      <w:start w:val="1"/>
      <w:numFmt w:val="bullet"/>
      <w:lvlText w:val=""/>
      <w:lvlJc w:val="left"/>
      <w:pPr>
        <w:ind w:left="720" w:hanging="360"/>
      </w:pPr>
      <w:rPr>
        <w:rFonts w:ascii="Symbol" w:hAnsi="Symbol" w:hint="default"/>
        <w:sz w:val="22"/>
        <w:szCs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78731F65"/>
    <w:multiLevelType w:val="hybridMultilevel"/>
    <w:tmpl w:val="8BF6C372"/>
    <w:lvl w:ilvl="0" w:tplc="440002D2">
      <w:start w:val="1"/>
      <w:numFmt w:val="upperRoman"/>
      <w:lvlText w:val="%1.)"/>
      <w:lvlJc w:val="left"/>
      <w:pPr>
        <w:ind w:left="1080" w:hanging="72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1686055750">
    <w:abstractNumId w:val="11"/>
  </w:num>
  <w:num w:numId="2" w16cid:durableId="1170679435">
    <w:abstractNumId w:val="8"/>
  </w:num>
  <w:num w:numId="3" w16cid:durableId="805201574">
    <w:abstractNumId w:val="38"/>
  </w:num>
  <w:num w:numId="4" w16cid:durableId="1174224545">
    <w:abstractNumId w:val="6"/>
  </w:num>
  <w:num w:numId="5" w16cid:durableId="1507405978">
    <w:abstractNumId w:val="19"/>
  </w:num>
  <w:num w:numId="6" w16cid:durableId="878588505">
    <w:abstractNumId w:val="29"/>
  </w:num>
  <w:num w:numId="7" w16cid:durableId="837229428">
    <w:abstractNumId w:val="20"/>
  </w:num>
  <w:num w:numId="8" w16cid:durableId="2042976082">
    <w:abstractNumId w:val="7"/>
  </w:num>
  <w:num w:numId="9" w16cid:durableId="636642400">
    <w:abstractNumId w:val="31"/>
  </w:num>
  <w:num w:numId="10" w16cid:durableId="2040161953">
    <w:abstractNumId w:val="36"/>
  </w:num>
  <w:num w:numId="11" w16cid:durableId="1286110862">
    <w:abstractNumId w:val="34"/>
  </w:num>
  <w:num w:numId="12" w16cid:durableId="933199857">
    <w:abstractNumId w:val="2"/>
  </w:num>
  <w:num w:numId="13" w16cid:durableId="905726561">
    <w:abstractNumId w:val="14"/>
  </w:num>
  <w:num w:numId="14" w16cid:durableId="438524651">
    <w:abstractNumId w:val="15"/>
  </w:num>
  <w:num w:numId="15" w16cid:durableId="1696997341">
    <w:abstractNumId w:val="9"/>
  </w:num>
  <w:num w:numId="16" w16cid:durableId="1633903082">
    <w:abstractNumId w:val="12"/>
  </w:num>
  <w:num w:numId="17" w16cid:durableId="761487746">
    <w:abstractNumId w:val="39"/>
  </w:num>
  <w:num w:numId="18" w16cid:durableId="1850412286">
    <w:abstractNumId w:val="5"/>
  </w:num>
  <w:num w:numId="19" w16cid:durableId="25177192">
    <w:abstractNumId w:val="25"/>
  </w:num>
  <w:num w:numId="20" w16cid:durableId="1225801823">
    <w:abstractNumId w:val="23"/>
  </w:num>
  <w:num w:numId="21" w16cid:durableId="304090981">
    <w:abstractNumId w:val="26"/>
  </w:num>
  <w:num w:numId="22" w16cid:durableId="1774936424">
    <w:abstractNumId w:val="3"/>
  </w:num>
  <w:num w:numId="23" w16cid:durableId="1790198386">
    <w:abstractNumId w:val="33"/>
  </w:num>
  <w:num w:numId="24" w16cid:durableId="20933157">
    <w:abstractNumId w:val="30"/>
  </w:num>
  <w:num w:numId="25" w16cid:durableId="883755617">
    <w:abstractNumId w:val="35"/>
  </w:num>
  <w:num w:numId="26" w16cid:durableId="1946502373">
    <w:abstractNumId w:val="22"/>
  </w:num>
  <w:num w:numId="27" w16cid:durableId="1480685660">
    <w:abstractNumId w:val="17"/>
  </w:num>
  <w:num w:numId="28" w16cid:durableId="391150598">
    <w:abstractNumId w:val="27"/>
  </w:num>
  <w:num w:numId="29" w16cid:durableId="1560478927">
    <w:abstractNumId w:val="10"/>
  </w:num>
  <w:num w:numId="30" w16cid:durableId="1671056148">
    <w:abstractNumId w:val="28"/>
  </w:num>
  <w:num w:numId="31" w16cid:durableId="2089885559">
    <w:abstractNumId w:val="21"/>
  </w:num>
  <w:num w:numId="32" w16cid:durableId="916280088">
    <w:abstractNumId w:val="37"/>
  </w:num>
  <w:num w:numId="33" w16cid:durableId="989208135">
    <w:abstractNumId w:val="18"/>
  </w:num>
  <w:num w:numId="34" w16cid:durableId="1310406594">
    <w:abstractNumId w:val="32"/>
  </w:num>
  <w:num w:numId="35" w16cid:durableId="864756041">
    <w:abstractNumId w:val="4"/>
  </w:num>
  <w:num w:numId="36" w16cid:durableId="148599619">
    <w:abstractNumId w:val="13"/>
  </w:num>
  <w:num w:numId="37" w16cid:durableId="2105614458">
    <w:abstractNumId w:val="16"/>
  </w:num>
  <w:num w:numId="38" w16cid:durableId="2103139652">
    <w:abstractNumId w:val="24"/>
  </w:num>
  <w:num w:numId="39" w16cid:durableId="763182764">
    <w:abstractNumId w:val="0"/>
  </w:num>
  <w:num w:numId="40" w16cid:durableId="1485703765">
    <w:abstractNumId w:val="1"/>
  </w:num>
  <w:num w:numId="41" w16cid:durableId="10260540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BB"/>
    <w:rsid w:val="00002CAE"/>
    <w:rsid w:val="000056F5"/>
    <w:rsid w:val="00006256"/>
    <w:rsid w:val="0000713F"/>
    <w:rsid w:val="000127E2"/>
    <w:rsid w:val="00012D1A"/>
    <w:rsid w:val="00015B32"/>
    <w:rsid w:val="00016D43"/>
    <w:rsid w:val="00024352"/>
    <w:rsid w:val="00034916"/>
    <w:rsid w:val="00035DE7"/>
    <w:rsid w:val="0003719F"/>
    <w:rsid w:val="00041E2C"/>
    <w:rsid w:val="000608E2"/>
    <w:rsid w:val="00062E52"/>
    <w:rsid w:val="000641B8"/>
    <w:rsid w:val="00071001"/>
    <w:rsid w:val="00074C50"/>
    <w:rsid w:val="00075857"/>
    <w:rsid w:val="00081F10"/>
    <w:rsid w:val="00082C8C"/>
    <w:rsid w:val="00096503"/>
    <w:rsid w:val="000A0EEE"/>
    <w:rsid w:val="000A71B3"/>
    <w:rsid w:val="000A71EA"/>
    <w:rsid w:val="000B72F1"/>
    <w:rsid w:val="000B7855"/>
    <w:rsid w:val="000B796C"/>
    <w:rsid w:val="000C385F"/>
    <w:rsid w:val="000C4EA0"/>
    <w:rsid w:val="000D5AA6"/>
    <w:rsid w:val="000D607B"/>
    <w:rsid w:val="000D7CD2"/>
    <w:rsid w:val="000E02C8"/>
    <w:rsid w:val="000E1D09"/>
    <w:rsid w:val="000E555B"/>
    <w:rsid w:val="000E57F4"/>
    <w:rsid w:val="000F1496"/>
    <w:rsid w:val="000F55F6"/>
    <w:rsid w:val="000F69DE"/>
    <w:rsid w:val="00102604"/>
    <w:rsid w:val="00102AAB"/>
    <w:rsid w:val="00102C32"/>
    <w:rsid w:val="00102E04"/>
    <w:rsid w:val="00103E15"/>
    <w:rsid w:val="00106C6F"/>
    <w:rsid w:val="00107F0F"/>
    <w:rsid w:val="00123FF7"/>
    <w:rsid w:val="001455FF"/>
    <w:rsid w:val="00145964"/>
    <w:rsid w:val="0015182C"/>
    <w:rsid w:val="00156DAF"/>
    <w:rsid w:val="00166D5F"/>
    <w:rsid w:val="001675EA"/>
    <w:rsid w:val="00173F53"/>
    <w:rsid w:val="00180B6E"/>
    <w:rsid w:val="00193FBA"/>
    <w:rsid w:val="001A04D8"/>
    <w:rsid w:val="001A1F7F"/>
    <w:rsid w:val="001A4052"/>
    <w:rsid w:val="001B5026"/>
    <w:rsid w:val="001B6522"/>
    <w:rsid w:val="001C5380"/>
    <w:rsid w:val="001E2D12"/>
    <w:rsid w:val="001E5650"/>
    <w:rsid w:val="001F25D1"/>
    <w:rsid w:val="001F58FA"/>
    <w:rsid w:val="00200EC8"/>
    <w:rsid w:val="0020107C"/>
    <w:rsid w:val="00202A94"/>
    <w:rsid w:val="00207605"/>
    <w:rsid w:val="00213287"/>
    <w:rsid w:val="00220E0E"/>
    <w:rsid w:val="00222D92"/>
    <w:rsid w:val="00226ADD"/>
    <w:rsid w:val="002272DC"/>
    <w:rsid w:val="0023020C"/>
    <w:rsid w:val="00240497"/>
    <w:rsid w:val="0025272B"/>
    <w:rsid w:val="002535CA"/>
    <w:rsid w:val="00253970"/>
    <w:rsid w:val="00261C4B"/>
    <w:rsid w:val="00271D63"/>
    <w:rsid w:val="00277E56"/>
    <w:rsid w:val="00283BF5"/>
    <w:rsid w:val="00286909"/>
    <w:rsid w:val="002971D3"/>
    <w:rsid w:val="002A2E36"/>
    <w:rsid w:val="002A6A53"/>
    <w:rsid w:val="002B0611"/>
    <w:rsid w:val="002B0C5A"/>
    <w:rsid w:val="002C1E20"/>
    <w:rsid w:val="002C33A7"/>
    <w:rsid w:val="002D4063"/>
    <w:rsid w:val="002D5AE1"/>
    <w:rsid w:val="002E3053"/>
    <w:rsid w:val="002E40B7"/>
    <w:rsid w:val="002E4BD5"/>
    <w:rsid w:val="002F0431"/>
    <w:rsid w:val="003134C7"/>
    <w:rsid w:val="00320BF5"/>
    <w:rsid w:val="003258AF"/>
    <w:rsid w:val="00326AD7"/>
    <w:rsid w:val="00331C9B"/>
    <w:rsid w:val="00332EBE"/>
    <w:rsid w:val="003351AC"/>
    <w:rsid w:val="00341140"/>
    <w:rsid w:val="00343CAA"/>
    <w:rsid w:val="00353145"/>
    <w:rsid w:val="00354C94"/>
    <w:rsid w:val="00356823"/>
    <w:rsid w:val="0036292F"/>
    <w:rsid w:val="003656B1"/>
    <w:rsid w:val="003661E7"/>
    <w:rsid w:val="0037643C"/>
    <w:rsid w:val="003779CB"/>
    <w:rsid w:val="00382B0A"/>
    <w:rsid w:val="00385222"/>
    <w:rsid w:val="003925AD"/>
    <w:rsid w:val="00396922"/>
    <w:rsid w:val="003A03DF"/>
    <w:rsid w:val="003C7BD4"/>
    <w:rsid w:val="003D1A2B"/>
    <w:rsid w:val="003D261A"/>
    <w:rsid w:val="003D29DB"/>
    <w:rsid w:val="003D53D2"/>
    <w:rsid w:val="003D621A"/>
    <w:rsid w:val="003D70C4"/>
    <w:rsid w:val="003D7AD3"/>
    <w:rsid w:val="003E3102"/>
    <w:rsid w:val="003F3096"/>
    <w:rsid w:val="003F6C84"/>
    <w:rsid w:val="003F72E9"/>
    <w:rsid w:val="003F792D"/>
    <w:rsid w:val="00405E8D"/>
    <w:rsid w:val="004064B9"/>
    <w:rsid w:val="00411B54"/>
    <w:rsid w:val="004270E2"/>
    <w:rsid w:val="00433804"/>
    <w:rsid w:val="00436280"/>
    <w:rsid w:val="00442A54"/>
    <w:rsid w:val="00445917"/>
    <w:rsid w:val="00446AEB"/>
    <w:rsid w:val="00446BE3"/>
    <w:rsid w:val="00450DC1"/>
    <w:rsid w:val="00450E5E"/>
    <w:rsid w:val="0045136D"/>
    <w:rsid w:val="00454F8D"/>
    <w:rsid w:val="00464A78"/>
    <w:rsid w:val="00470A23"/>
    <w:rsid w:val="00471400"/>
    <w:rsid w:val="00482ED1"/>
    <w:rsid w:val="00484B00"/>
    <w:rsid w:val="0049048E"/>
    <w:rsid w:val="00493722"/>
    <w:rsid w:val="004A0C5F"/>
    <w:rsid w:val="004A2074"/>
    <w:rsid w:val="004B3B53"/>
    <w:rsid w:val="004C5BD9"/>
    <w:rsid w:val="004D5B87"/>
    <w:rsid w:val="004F01C6"/>
    <w:rsid w:val="004F23C4"/>
    <w:rsid w:val="004F74BB"/>
    <w:rsid w:val="005073AE"/>
    <w:rsid w:val="005154D9"/>
    <w:rsid w:val="00517F80"/>
    <w:rsid w:val="005246B6"/>
    <w:rsid w:val="00527B54"/>
    <w:rsid w:val="00531490"/>
    <w:rsid w:val="00532C68"/>
    <w:rsid w:val="005344F4"/>
    <w:rsid w:val="00535193"/>
    <w:rsid w:val="005464E0"/>
    <w:rsid w:val="00547A59"/>
    <w:rsid w:val="005501F5"/>
    <w:rsid w:val="005534B9"/>
    <w:rsid w:val="005613A3"/>
    <w:rsid w:val="005625A7"/>
    <w:rsid w:val="00577E9A"/>
    <w:rsid w:val="00582502"/>
    <w:rsid w:val="00596D89"/>
    <w:rsid w:val="005A1DCE"/>
    <w:rsid w:val="005A7E33"/>
    <w:rsid w:val="005B0909"/>
    <w:rsid w:val="005B46D0"/>
    <w:rsid w:val="005B7474"/>
    <w:rsid w:val="005B7B2B"/>
    <w:rsid w:val="005C5376"/>
    <w:rsid w:val="005C5DC0"/>
    <w:rsid w:val="005D081B"/>
    <w:rsid w:val="005D0BA5"/>
    <w:rsid w:val="005D282D"/>
    <w:rsid w:val="005D3BF4"/>
    <w:rsid w:val="005D6B25"/>
    <w:rsid w:val="005D714A"/>
    <w:rsid w:val="005D7F7E"/>
    <w:rsid w:val="005D7FBC"/>
    <w:rsid w:val="005E317C"/>
    <w:rsid w:val="005F6829"/>
    <w:rsid w:val="0060498F"/>
    <w:rsid w:val="00607D8F"/>
    <w:rsid w:val="00617DBA"/>
    <w:rsid w:val="00626C2B"/>
    <w:rsid w:val="00631FED"/>
    <w:rsid w:val="006327CF"/>
    <w:rsid w:val="00640476"/>
    <w:rsid w:val="00642256"/>
    <w:rsid w:val="0064273E"/>
    <w:rsid w:val="00652A72"/>
    <w:rsid w:val="00657626"/>
    <w:rsid w:val="00662F3F"/>
    <w:rsid w:val="0066391E"/>
    <w:rsid w:val="00665515"/>
    <w:rsid w:val="00667712"/>
    <w:rsid w:val="006844F6"/>
    <w:rsid w:val="00693C90"/>
    <w:rsid w:val="006967E0"/>
    <w:rsid w:val="0069759C"/>
    <w:rsid w:val="006A6454"/>
    <w:rsid w:val="006A78D2"/>
    <w:rsid w:val="006B1064"/>
    <w:rsid w:val="006B464D"/>
    <w:rsid w:val="006C0AD9"/>
    <w:rsid w:val="006C3CB5"/>
    <w:rsid w:val="006D58B7"/>
    <w:rsid w:val="006D6B4E"/>
    <w:rsid w:val="006E0005"/>
    <w:rsid w:val="006E0B6B"/>
    <w:rsid w:val="006E0DD7"/>
    <w:rsid w:val="006E1B06"/>
    <w:rsid w:val="006E2E0E"/>
    <w:rsid w:val="006E5EB7"/>
    <w:rsid w:val="006E6936"/>
    <w:rsid w:val="006F2C6D"/>
    <w:rsid w:val="007050C2"/>
    <w:rsid w:val="00723C3F"/>
    <w:rsid w:val="00724790"/>
    <w:rsid w:val="00725490"/>
    <w:rsid w:val="0072603E"/>
    <w:rsid w:val="00733E21"/>
    <w:rsid w:val="007370B8"/>
    <w:rsid w:val="00737458"/>
    <w:rsid w:val="007378C1"/>
    <w:rsid w:val="00741FC0"/>
    <w:rsid w:val="00744E03"/>
    <w:rsid w:val="00746591"/>
    <w:rsid w:val="007475BD"/>
    <w:rsid w:val="0075635E"/>
    <w:rsid w:val="007572B2"/>
    <w:rsid w:val="00757D59"/>
    <w:rsid w:val="007624B1"/>
    <w:rsid w:val="00764C39"/>
    <w:rsid w:val="00765216"/>
    <w:rsid w:val="00765322"/>
    <w:rsid w:val="00773EE0"/>
    <w:rsid w:val="007764E3"/>
    <w:rsid w:val="007766FC"/>
    <w:rsid w:val="00780333"/>
    <w:rsid w:val="00782F87"/>
    <w:rsid w:val="00786DF5"/>
    <w:rsid w:val="007A1787"/>
    <w:rsid w:val="007A523A"/>
    <w:rsid w:val="007A6524"/>
    <w:rsid w:val="007C0666"/>
    <w:rsid w:val="007C21C3"/>
    <w:rsid w:val="007C523B"/>
    <w:rsid w:val="007D472B"/>
    <w:rsid w:val="007D5685"/>
    <w:rsid w:val="007E1A50"/>
    <w:rsid w:val="007E2915"/>
    <w:rsid w:val="007E3271"/>
    <w:rsid w:val="007E5420"/>
    <w:rsid w:val="007F07FE"/>
    <w:rsid w:val="007F0CCF"/>
    <w:rsid w:val="007F0DCC"/>
    <w:rsid w:val="007F4462"/>
    <w:rsid w:val="007F47AD"/>
    <w:rsid w:val="008042C9"/>
    <w:rsid w:val="00813C58"/>
    <w:rsid w:val="00813D37"/>
    <w:rsid w:val="008206A3"/>
    <w:rsid w:val="00822213"/>
    <w:rsid w:val="00831806"/>
    <w:rsid w:val="00831F79"/>
    <w:rsid w:val="00835A38"/>
    <w:rsid w:val="008401B3"/>
    <w:rsid w:val="00841B66"/>
    <w:rsid w:val="00845635"/>
    <w:rsid w:val="0085384E"/>
    <w:rsid w:val="0085473E"/>
    <w:rsid w:val="0085688E"/>
    <w:rsid w:val="00861D96"/>
    <w:rsid w:val="00864BB9"/>
    <w:rsid w:val="00870AF0"/>
    <w:rsid w:val="0087385E"/>
    <w:rsid w:val="00873B28"/>
    <w:rsid w:val="00873CCE"/>
    <w:rsid w:val="00874726"/>
    <w:rsid w:val="00875856"/>
    <w:rsid w:val="00880C78"/>
    <w:rsid w:val="008862DB"/>
    <w:rsid w:val="00886998"/>
    <w:rsid w:val="00897409"/>
    <w:rsid w:val="008A0FF8"/>
    <w:rsid w:val="008A24DF"/>
    <w:rsid w:val="008A6510"/>
    <w:rsid w:val="008A713B"/>
    <w:rsid w:val="008B3B02"/>
    <w:rsid w:val="008B46EE"/>
    <w:rsid w:val="008C5CC7"/>
    <w:rsid w:val="008C62EC"/>
    <w:rsid w:val="008D08A5"/>
    <w:rsid w:val="008D6D1E"/>
    <w:rsid w:val="008F29E4"/>
    <w:rsid w:val="008F40A5"/>
    <w:rsid w:val="009003C4"/>
    <w:rsid w:val="009034FE"/>
    <w:rsid w:val="0090586A"/>
    <w:rsid w:val="00905D69"/>
    <w:rsid w:val="00915F51"/>
    <w:rsid w:val="0091731A"/>
    <w:rsid w:val="009355B9"/>
    <w:rsid w:val="00947228"/>
    <w:rsid w:val="00951D89"/>
    <w:rsid w:val="00954E0A"/>
    <w:rsid w:val="00961FF6"/>
    <w:rsid w:val="00964715"/>
    <w:rsid w:val="00976333"/>
    <w:rsid w:val="00982719"/>
    <w:rsid w:val="0098476B"/>
    <w:rsid w:val="00990658"/>
    <w:rsid w:val="009A789A"/>
    <w:rsid w:val="009B14CE"/>
    <w:rsid w:val="009B1EBE"/>
    <w:rsid w:val="009C58B4"/>
    <w:rsid w:val="009D2944"/>
    <w:rsid w:val="009D6188"/>
    <w:rsid w:val="009E5E25"/>
    <w:rsid w:val="009F7963"/>
    <w:rsid w:val="009F7CAE"/>
    <w:rsid w:val="00A01D86"/>
    <w:rsid w:val="00A04226"/>
    <w:rsid w:val="00A047EB"/>
    <w:rsid w:val="00A07A71"/>
    <w:rsid w:val="00A17B8C"/>
    <w:rsid w:val="00A20932"/>
    <w:rsid w:val="00A26AF1"/>
    <w:rsid w:val="00A30D99"/>
    <w:rsid w:val="00A36A73"/>
    <w:rsid w:val="00A40993"/>
    <w:rsid w:val="00A40F7B"/>
    <w:rsid w:val="00A422CD"/>
    <w:rsid w:val="00A44660"/>
    <w:rsid w:val="00A50569"/>
    <w:rsid w:val="00A646F8"/>
    <w:rsid w:val="00A675D0"/>
    <w:rsid w:val="00A741F1"/>
    <w:rsid w:val="00A76C23"/>
    <w:rsid w:val="00A77064"/>
    <w:rsid w:val="00A77A9E"/>
    <w:rsid w:val="00A8397F"/>
    <w:rsid w:val="00A90F8A"/>
    <w:rsid w:val="00AA0BE0"/>
    <w:rsid w:val="00AB478A"/>
    <w:rsid w:val="00AB4EC0"/>
    <w:rsid w:val="00AC1901"/>
    <w:rsid w:val="00AC215F"/>
    <w:rsid w:val="00AC28F5"/>
    <w:rsid w:val="00AC37E8"/>
    <w:rsid w:val="00AC5E74"/>
    <w:rsid w:val="00AC617A"/>
    <w:rsid w:val="00AD057B"/>
    <w:rsid w:val="00AD104F"/>
    <w:rsid w:val="00AD16CA"/>
    <w:rsid w:val="00AD6225"/>
    <w:rsid w:val="00AE2B70"/>
    <w:rsid w:val="00AE7D08"/>
    <w:rsid w:val="00AF0948"/>
    <w:rsid w:val="00AF5E24"/>
    <w:rsid w:val="00B00BA6"/>
    <w:rsid w:val="00B05EEA"/>
    <w:rsid w:val="00B158EE"/>
    <w:rsid w:val="00B16E44"/>
    <w:rsid w:val="00B172D4"/>
    <w:rsid w:val="00B20F70"/>
    <w:rsid w:val="00B259C5"/>
    <w:rsid w:val="00B27DDA"/>
    <w:rsid w:val="00B30C0F"/>
    <w:rsid w:val="00B313B9"/>
    <w:rsid w:val="00B31B15"/>
    <w:rsid w:val="00B33663"/>
    <w:rsid w:val="00B3531E"/>
    <w:rsid w:val="00B4025A"/>
    <w:rsid w:val="00B56534"/>
    <w:rsid w:val="00B83F56"/>
    <w:rsid w:val="00B872A5"/>
    <w:rsid w:val="00B93C42"/>
    <w:rsid w:val="00B95721"/>
    <w:rsid w:val="00BA1C24"/>
    <w:rsid w:val="00BA48CC"/>
    <w:rsid w:val="00BA51E2"/>
    <w:rsid w:val="00BB0A0D"/>
    <w:rsid w:val="00BB3ACE"/>
    <w:rsid w:val="00BB4B43"/>
    <w:rsid w:val="00BB5056"/>
    <w:rsid w:val="00BB6754"/>
    <w:rsid w:val="00BC02D6"/>
    <w:rsid w:val="00BC1A2D"/>
    <w:rsid w:val="00BC2477"/>
    <w:rsid w:val="00BC6C12"/>
    <w:rsid w:val="00BD35DF"/>
    <w:rsid w:val="00BD39D5"/>
    <w:rsid w:val="00BD5142"/>
    <w:rsid w:val="00BD567B"/>
    <w:rsid w:val="00BE1A89"/>
    <w:rsid w:val="00BE3F95"/>
    <w:rsid w:val="00BE717D"/>
    <w:rsid w:val="00BE79A7"/>
    <w:rsid w:val="00BF2B69"/>
    <w:rsid w:val="00BF312C"/>
    <w:rsid w:val="00C009D1"/>
    <w:rsid w:val="00C04A90"/>
    <w:rsid w:val="00C0720E"/>
    <w:rsid w:val="00C07FB4"/>
    <w:rsid w:val="00C10E89"/>
    <w:rsid w:val="00C160EC"/>
    <w:rsid w:val="00C17B81"/>
    <w:rsid w:val="00C247FF"/>
    <w:rsid w:val="00C25406"/>
    <w:rsid w:val="00C36B74"/>
    <w:rsid w:val="00C41A97"/>
    <w:rsid w:val="00C42CFE"/>
    <w:rsid w:val="00C51E2B"/>
    <w:rsid w:val="00C5329E"/>
    <w:rsid w:val="00C65C5C"/>
    <w:rsid w:val="00C779A5"/>
    <w:rsid w:val="00C83D7A"/>
    <w:rsid w:val="00C8448C"/>
    <w:rsid w:val="00CA022B"/>
    <w:rsid w:val="00CA7A63"/>
    <w:rsid w:val="00CB1F99"/>
    <w:rsid w:val="00CB4B04"/>
    <w:rsid w:val="00CB663D"/>
    <w:rsid w:val="00CB71CB"/>
    <w:rsid w:val="00CC56F1"/>
    <w:rsid w:val="00CD434B"/>
    <w:rsid w:val="00CD6209"/>
    <w:rsid w:val="00CD7345"/>
    <w:rsid w:val="00CE4DF9"/>
    <w:rsid w:val="00CE7A80"/>
    <w:rsid w:val="00CF5188"/>
    <w:rsid w:val="00CF54DF"/>
    <w:rsid w:val="00CF6283"/>
    <w:rsid w:val="00D00A67"/>
    <w:rsid w:val="00D00D00"/>
    <w:rsid w:val="00D10647"/>
    <w:rsid w:val="00D15CA5"/>
    <w:rsid w:val="00D16C16"/>
    <w:rsid w:val="00D230F7"/>
    <w:rsid w:val="00D237BC"/>
    <w:rsid w:val="00D306BB"/>
    <w:rsid w:val="00D314FD"/>
    <w:rsid w:val="00D36BA9"/>
    <w:rsid w:val="00D4620F"/>
    <w:rsid w:val="00D4732E"/>
    <w:rsid w:val="00D5367E"/>
    <w:rsid w:val="00D55033"/>
    <w:rsid w:val="00D55BF3"/>
    <w:rsid w:val="00D60841"/>
    <w:rsid w:val="00D615F1"/>
    <w:rsid w:val="00D62C0B"/>
    <w:rsid w:val="00D6384B"/>
    <w:rsid w:val="00D710D2"/>
    <w:rsid w:val="00D833E7"/>
    <w:rsid w:val="00D8453B"/>
    <w:rsid w:val="00D85EF2"/>
    <w:rsid w:val="00D86C87"/>
    <w:rsid w:val="00D90FF5"/>
    <w:rsid w:val="00D956B6"/>
    <w:rsid w:val="00D96F6A"/>
    <w:rsid w:val="00DA37ED"/>
    <w:rsid w:val="00DA4BB8"/>
    <w:rsid w:val="00DA5D6E"/>
    <w:rsid w:val="00DB3E70"/>
    <w:rsid w:val="00DB446C"/>
    <w:rsid w:val="00DB65F5"/>
    <w:rsid w:val="00DB6699"/>
    <w:rsid w:val="00DB79D5"/>
    <w:rsid w:val="00DC7BC0"/>
    <w:rsid w:val="00DD11C1"/>
    <w:rsid w:val="00DD288B"/>
    <w:rsid w:val="00DD6B4B"/>
    <w:rsid w:val="00DE516A"/>
    <w:rsid w:val="00DE5505"/>
    <w:rsid w:val="00DE7501"/>
    <w:rsid w:val="00DF0080"/>
    <w:rsid w:val="00DF3287"/>
    <w:rsid w:val="00E05E70"/>
    <w:rsid w:val="00E062AA"/>
    <w:rsid w:val="00E11A80"/>
    <w:rsid w:val="00E33347"/>
    <w:rsid w:val="00E3381F"/>
    <w:rsid w:val="00E33954"/>
    <w:rsid w:val="00E50617"/>
    <w:rsid w:val="00E51955"/>
    <w:rsid w:val="00E51FD3"/>
    <w:rsid w:val="00E55C5B"/>
    <w:rsid w:val="00E57018"/>
    <w:rsid w:val="00E67B9B"/>
    <w:rsid w:val="00E70AE7"/>
    <w:rsid w:val="00E736C4"/>
    <w:rsid w:val="00E73CB1"/>
    <w:rsid w:val="00E76A26"/>
    <w:rsid w:val="00E778D0"/>
    <w:rsid w:val="00E8086C"/>
    <w:rsid w:val="00E80945"/>
    <w:rsid w:val="00E82A88"/>
    <w:rsid w:val="00E860A0"/>
    <w:rsid w:val="00E95F0C"/>
    <w:rsid w:val="00EA367F"/>
    <w:rsid w:val="00EA3EE5"/>
    <w:rsid w:val="00EA4A57"/>
    <w:rsid w:val="00EB42A2"/>
    <w:rsid w:val="00EB432D"/>
    <w:rsid w:val="00EB5344"/>
    <w:rsid w:val="00EC23DE"/>
    <w:rsid w:val="00EC5392"/>
    <w:rsid w:val="00EC5E56"/>
    <w:rsid w:val="00EC6603"/>
    <w:rsid w:val="00ED110F"/>
    <w:rsid w:val="00ED26B7"/>
    <w:rsid w:val="00EE0505"/>
    <w:rsid w:val="00EE25FD"/>
    <w:rsid w:val="00EE3F9B"/>
    <w:rsid w:val="00F043DB"/>
    <w:rsid w:val="00F11A35"/>
    <w:rsid w:val="00F12014"/>
    <w:rsid w:val="00F152D4"/>
    <w:rsid w:val="00F2629E"/>
    <w:rsid w:val="00F31D66"/>
    <w:rsid w:val="00F325D3"/>
    <w:rsid w:val="00F35F7E"/>
    <w:rsid w:val="00F417CD"/>
    <w:rsid w:val="00F45B5D"/>
    <w:rsid w:val="00F56473"/>
    <w:rsid w:val="00F57A62"/>
    <w:rsid w:val="00F667E7"/>
    <w:rsid w:val="00F7001B"/>
    <w:rsid w:val="00F723C7"/>
    <w:rsid w:val="00F80B86"/>
    <w:rsid w:val="00F86929"/>
    <w:rsid w:val="00F86939"/>
    <w:rsid w:val="00F94622"/>
    <w:rsid w:val="00F96B51"/>
    <w:rsid w:val="00FA68C6"/>
    <w:rsid w:val="00FA7B80"/>
    <w:rsid w:val="00FB3022"/>
    <w:rsid w:val="00FB5F64"/>
    <w:rsid w:val="00FC6679"/>
    <w:rsid w:val="00FD3DA0"/>
    <w:rsid w:val="00FD76E6"/>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4F9C8"/>
  <w15:chartTrackingRefBased/>
  <w15:docId w15:val="{B6FD80F8-1A75-4D27-8DFE-E1D62A82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6280"/>
    <w:pPr>
      <w:spacing w:after="120"/>
    </w:pPr>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aliases w:val="List Paragraph Main,List first level,Paragraphe EI,Paragraphe de liste1,EC,List Paragraph,Bullet Points,Colorful List - Accent 11,Dot pt,F5 List Paragraph,Indicator Text,List Paragraph Char Char Char,List Paragraph11,List Paragraph2"/>
    <w:basedOn w:val="Standard"/>
    <w:link w:val="ListenabsatzZchn"/>
    <w:uiPriority w:val="34"/>
    <w:qFormat/>
    <w:rsid w:val="00D306BB"/>
    <w:pPr>
      <w:ind w:left="720"/>
      <w:contextualSpacing/>
    </w:pPr>
  </w:style>
  <w:style w:type="character" w:customStyle="1" w:styleId="ListenabsatzZchn">
    <w:name w:val="Listenabsatz Zchn"/>
    <w:aliases w:val="List Paragraph Main Zchn,List first level Zchn,Paragraphe EI Zchn,Paragraphe de liste1 Zchn,EC Zchn,List Paragraph Zchn,Bullet Points Zchn,Colorful List - Accent 11 Zchn,Dot pt Zchn,F5 List Paragraph Zchn,Indicator Text Zchn"/>
    <w:basedOn w:val="Absatz-Standardschriftart"/>
    <w:link w:val="Listenabsatz"/>
    <w:uiPriority w:val="34"/>
    <w:locked/>
    <w:rsid w:val="00D306BB"/>
    <w:rPr>
      <w:rFonts w:ascii="Trebuchet MS" w:hAnsi="Trebuchet MS" w:cs="Times New Roman"/>
      <w:szCs w:val="20"/>
      <w:lang w:val="de-DE" w:eastAsia="de-DE"/>
    </w:rPr>
  </w:style>
  <w:style w:type="paragraph" w:styleId="berarbeitung">
    <w:name w:val="Revision"/>
    <w:hidden/>
    <w:uiPriority w:val="99"/>
    <w:semiHidden/>
    <w:rsid w:val="00A8397F"/>
    <w:pPr>
      <w:spacing w:line="240" w:lineRule="auto"/>
    </w:pPr>
    <w:rPr>
      <w:rFonts w:ascii="Trebuchet MS" w:hAnsi="Trebuchet MS" w:cs="Times New Roman"/>
      <w:szCs w:val="20"/>
      <w:lang w:val="de-DE" w:eastAsia="de-DE"/>
    </w:rPr>
  </w:style>
  <w:style w:type="paragraph" w:styleId="Kopfzeile">
    <w:name w:val="header"/>
    <w:basedOn w:val="Standard"/>
    <w:link w:val="KopfzeileZchn"/>
    <w:uiPriority w:val="99"/>
    <w:unhideWhenUsed/>
    <w:rsid w:val="007F446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F4462"/>
    <w:rPr>
      <w:rFonts w:ascii="Trebuchet MS" w:hAnsi="Trebuchet MS" w:cs="Times New Roman"/>
      <w:szCs w:val="20"/>
      <w:lang w:val="de-DE" w:eastAsia="de-DE"/>
    </w:rPr>
  </w:style>
  <w:style w:type="paragraph" w:styleId="Fuzeile">
    <w:name w:val="footer"/>
    <w:basedOn w:val="Standard"/>
    <w:link w:val="FuzeileZchn"/>
    <w:uiPriority w:val="99"/>
    <w:unhideWhenUsed/>
    <w:rsid w:val="007F446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F4462"/>
    <w:rPr>
      <w:rFonts w:ascii="Trebuchet MS" w:hAnsi="Trebuchet MS" w:cs="Times New Roman"/>
      <w:szCs w:val="20"/>
      <w:lang w:val="de-DE" w:eastAsia="de-DE"/>
    </w:rPr>
  </w:style>
  <w:style w:type="character" w:styleId="Hyperlink">
    <w:name w:val="Hyperlink"/>
    <w:basedOn w:val="Absatz-Standardschriftart"/>
    <w:uiPriority w:val="99"/>
    <w:semiHidden/>
    <w:unhideWhenUsed/>
    <w:rsid w:val="00DA4BB8"/>
    <w:rPr>
      <w:color w:val="0000FF"/>
      <w:u w:val="single"/>
    </w:rPr>
  </w:style>
  <w:style w:type="character" w:styleId="Hervorhebung">
    <w:name w:val="Emphasis"/>
    <w:basedOn w:val="Absatz-Standardschriftart"/>
    <w:uiPriority w:val="20"/>
    <w:qFormat/>
    <w:rsid w:val="003D53D2"/>
    <w:rPr>
      <w:i/>
      <w:iCs/>
    </w:rPr>
  </w:style>
  <w:style w:type="paragraph" w:customStyle="1" w:styleId="xxmsonormal">
    <w:name w:val="x_xmsonormal"/>
    <w:basedOn w:val="Standard"/>
    <w:rsid w:val="00450E5E"/>
    <w:pPr>
      <w:spacing w:line="240" w:lineRule="auto"/>
    </w:pPr>
    <w:rPr>
      <w:rFonts w:ascii="Calibri" w:eastAsiaTheme="minorHAnsi" w:hAnsi="Calibri" w:cs="Calibri"/>
      <w:szCs w:val="22"/>
      <w:lang w:val="de-AT" w:eastAsia="de-AT"/>
    </w:rPr>
  </w:style>
  <w:style w:type="paragraph" w:styleId="StandardWeb">
    <w:name w:val="Normal (Web)"/>
    <w:basedOn w:val="Standard"/>
    <w:uiPriority w:val="99"/>
    <w:semiHidden/>
    <w:unhideWhenUsed/>
    <w:rsid w:val="007F07FE"/>
    <w:pPr>
      <w:spacing w:before="100" w:beforeAutospacing="1" w:after="100" w:afterAutospacing="1" w:line="240" w:lineRule="auto"/>
    </w:pPr>
    <w:rPr>
      <w:rFonts w:ascii="Calibri" w:eastAsiaTheme="minorHAnsi" w:hAnsi="Calibri" w:cs="Calibri"/>
      <w:szCs w:val="22"/>
      <w:lang w:val="de-AT" w:eastAsia="de-AT"/>
    </w:rPr>
  </w:style>
  <w:style w:type="character" w:styleId="Funotenzeichen">
    <w:name w:val="footnote reference"/>
    <w:basedOn w:val="Absatz-Standardschriftart"/>
    <w:uiPriority w:val="99"/>
    <w:semiHidden/>
    <w:unhideWhenUsed/>
    <w:rsid w:val="001A40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7843">
      <w:bodyDiv w:val="1"/>
      <w:marLeft w:val="0"/>
      <w:marRight w:val="0"/>
      <w:marTop w:val="0"/>
      <w:marBottom w:val="0"/>
      <w:divBdr>
        <w:top w:val="none" w:sz="0" w:space="0" w:color="auto"/>
        <w:left w:val="none" w:sz="0" w:space="0" w:color="auto"/>
        <w:bottom w:val="none" w:sz="0" w:space="0" w:color="auto"/>
        <w:right w:val="none" w:sz="0" w:space="0" w:color="auto"/>
      </w:divBdr>
      <w:divsChild>
        <w:div w:id="1920290348">
          <w:marLeft w:val="0"/>
          <w:marRight w:val="0"/>
          <w:marTop w:val="0"/>
          <w:marBottom w:val="0"/>
          <w:divBdr>
            <w:top w:val="none" w:sz="0" w:space="0" w:color="auto"/>
            <w:left w:val="none" w:sz="0" w:space="0" w:color="auto"/>
            <w:bottom w:val="none" w:sz="0" w:space="0" w:color="auto"/>
            <w:right w:val="none" w:sz="0" w:space="0" w:color="auto"/>
          </w:divBdr>
          <w:divsChild>
            <w:div w:id="12924795">
              <w:marLeft w:val="0"/>
              <w:marRight w:val="0"/>
              <w:marTop w:val="0"/>
              <w:marBottom w:val="0"/>
              <w:divBdr>
                <w:top w:val="none" w:sz="0" w:space="0" w:color="auto"/>
                <w:left w:val="none" w:sz="0" w:space="0" w:color="auto"/>
                <w:bottom w:val="none" w:sz="0" w:space="0" w:color="auto"/>
                <w:right w:val="none" w:sz="0" w:space="0" w:color="auto"/>
              </w:divBdr>
              <w:divsChild>
                <w:div w:id="1745255840">
                  <w:marLeft w:val="0"/>
                  <w:marRight w:val="0"/>
                  <w:marTop w:val="0"/>
                  <w:marBottom w:val="0"/>
                  <w:divBdr>
                    <w:top w:val="none" w:sz="0" w:space="0" w:color="auto"/>
                    <w:left w:val="none" w:sz="0" w:space="0" w:color="auto"/>
                    <w:bottom w:val="none" w:sz="0" w:space="0" w:color="auto"/>
                    <w:right w:val="none" w:sz="0" w:space="0" w:color="auto"/>
                  </w:divBdr>
                  <w:divsChild>
                    <w:div w:id="5060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77772">
      <w:bodyDiv w:val="1"/>
      <w:marLeft w:val="0"/>
      <w:marRight w:val="0"/>
      <w:marTop w:val="0"/>
      <w:marBottom w:val="0"/>
      <w:divBdr>
        <w:top w:val="none" w:sz="0" w:space="0" w:color="auto"/>
        <w:left w:val="none" w:sz="0" w:space="0" w:color="auto"/>
        <w:bottom w:val="none" w:sz="0" w:space="0" w:color="auto"/>
        <w:right w:val="none" w:sz="0" w:space="0" w:color="auto"/>
      </w:divBdr>
    </w:div>
    <w:div w:id="289826404">
      <w:bodyDiv w:val="1"/>
      <w:marLeft w:val="0"/>
      <w:marRight w:val="0"/>
      <w:marTop w:val="0"/>
      <w:marBottom w:val="0"/>
      <w:divBdr>
        <w:top w:val="none" w:sz="0" w:space="0" w:color="auto"/>
        <w:left w:val="none" w:sz="0" w:space="0" w:color="auto"/>
        <w:bottom w:val="none" w:sz="0" w:space="0" w:color="auto"/>
        <w:right w:val="none" w:sz="0" w:space="0" w:color="auto"/>
      </w:divBdr>
    </w:div>
    <w:div w:id="430317531">
      <w:bodyDiv w:val="1"/>
      <w:marLeft w:val="0"/>
      <w:marRight w:val="0"/>
      <w:marTop w:val="0"/>
      <w:marBottom w:val="0"/>
      <w:divBdr>
        <w:top w:val="none" w:sz="0" w:space="0" w:color="auto"/>
        <w:left w:val="none" w:sz="0" w:space="0" w:color="auto"/>
        <w:bottom w:val="none" w:sz="0" w:space="0" w:color="auto"/>
        <w:right w:val="none" w:sz="0" w:space="0" w:color="auto"/>
      </w:divBdr>
    </w:div>
    <w:div w:id="465970951">
      <w:bodyDiv w:val="1"/>
      <w:marLeft w:val="0"/>
      <w:marRight w:val="0"/>
      <w:marTop w:val="0"/>
      <w:marBottom w:val="0"/>
      <w:divBdr>
        <w:top w:val="none" w:sz="0" w:space="0" w:color="auto"/>
        <w:left w:val="none" w:sz="0" w:space="0" w:color="auto"/>
        <w:bottom w:val="none" w:sz="0" w:space="0" w:color="auto"/>
        <w:right w:val="none" w:sz="0" w:space="0" w:color="auto"/>
      </w:divBdr>
    </w:div>
    <w:div w:id="749473527">
      <w:bodyDiv w:val="1"/>
      <w:marLeft w:val="0"/>
      <w:marRight w:val="0"/>
      <w:marTop w:val="0"/>
      <w:marBottom w:val="0"/>
      <w:divBdr>
        <w:top w:val="none" w:sz="0" w:space="0" w:color="auto"/>
        <w:left w:val="none" w:sz="0" w:space="0" w:color="auto"/>
        <w:bottom w:val="none" w:sz="0" w:space="0" w:color="auto"/>
        <w:right w:val="none" w:sz="0" w:space="0" w:color="auto"/>
      </w:divBdr>
    </w:div>
    <w:div w:id="762992066">
      <w:bodyDiv w:val="1"/>
      <w:marLeft w:val="0"/>
      <w:marRight w:val="0"/>
      <w:marTop w:val="0"/>
      <w:marBottom w:val="0"/>
      <w:divBdr>
        <w:top w:val="none" w:sz="0" w:space="0" w:color="auto"/>
        <w:left w:val="none" w:sz="0" w:space="0" w:color="auto"/>
        <w:bottom w:val="none" w:sz="0" w:space="0" w:color="auto"/>
        <w:right w:val="none" w:sz="0" w:space="0" w:color="auto"/>
      </w:divBdr>
    </w:div>
    <w:div w:id="767314620">
      <w:bodyDiv w:val="1"/>
      <w:marLeft w:val="0"/>
      <w:marRight w:val="0"/>
      <w:marTop w:val="0"/>
      <w:marBottom w:val="0"/>
      <w:divBdr>
        <w:top w:val="none" w:sz="0" w:space="0" w:color="auto"/>
        <w:left w:val="none" w:sz="0" w:space="0" w:color="auto"/>
        <w:bottom w:val="none" w:sz="0" w:space="0" w:color="auto"/>
        <w:right w:val="none" w:sz="0" w:space="0" w:color="auto"/>
      </w:divBdr>
    </w:div>
    <w:div w:id="867183745">
      <w:bodyDiv w:val="1"/>
      <w:marLeft w:val="0"/>
      <w:marRight w:val="0"/>
      <w:marTop w:val="0"/>
      <w:marBottom w:val="0"/>
      <w:divBdr>
        <w:top w:val="none" w:sz="0" w:space="0" w:color="auto"/>
        <w:left w:val="none" w:sz="0" w:space="0" w:color="auto"/>
        <w:bottom w:val="none" w:sz="0" w:space="0" w:color="auto"/>
        <w:right w:val="none" w:sz="0" w:space="0" w:color="auto"/>
      </w:divBdr>
    </w:div>
    <w:div w:id="902258803">
      <w:bodyDiv w:val="1"/>
      <w:marLeft w:val="0"/>
      <w:marRight w:val="0"/>
      <w:marTop w:val="0"/>
      <w:marBottom w:val="0"/>
      <w:divBdr>
        <w:top w:val="none" w:sz="0" w:space="0" w:color="auto"/>
        <w:left w:val="none" w:sz="0" w:space="0" w:color="auto"/>
        <w:bottom w:val="none" w:sz="0" w:space="0" w:color="auto"/>
        <w:right w:val="none" w:sz="0" w:space="0" w:color="auto"/>
      </w:divBdr>
    </w:div>
    <w:div w:id="1010715458">
      <w:bodyDiv w:val="1"/>
      <w:marLeft w:val="0"/>
      <w:marRight w:val="0"/>
      <w:marTop w:val="0"/>
      <w:marBottom w:val="0"/>
      <w:divBdr>
        <w:top w:val="none" w:sz="0" w:space="0" w:color="auto"/>
        <w:left w:val="none" w:sz="0" w:space="0" w:color="auto"/>
        <w:bottom w:val="none" w:sz="0" w:space="0" w:color="auto"/>
        <w:right w:val="none" w:sz="0" w:space="0" w:color="auto"/>
      </w:divBdr>
    </w:div>
    <w:div w:id="1190024303">
      <w:bodyDiv w:val="1"/>
      <w:marLeft w:val="0"/>
      <w:marRight w:val="0"/>
      <w:marTop w:val="0"/>
      <w:marBottom w:val="0"/>
      <w:divBdr>
        <w:top w:val="none" w:sz="0" w:space="0" w:color="auto"/>
        <w:left w:val="none" w:sz="0" w:space="0" w:color="auto"/>
        <w:bottom w:val="none" w:sz="0" w:space="0" w:color="auto"/>
        <w:right w:val="none" w:sz="0" w:space="0" w:color="auto"/>
      </w:divBdr>
    </w:div>
    <w:div w:id="1232496939">
      <w:bodyDiv w:val="1"/>
      <w:marLeft w:val="0"/>
      <w:marRight w:val="0"/>
      <w:marTop w:val="0"/>
      <w:marBottom w:val="0"/>
      <w:divBdr>
        <w:top w:val="none" w:sz="0" w:space="0" w:color="auto"/>
        <w:left w:val="none" w:sz="0" w:space="0" w:color="auto"/>
        <w:bottom w:val="none" w:sz="0" w:space="0" w:color="auto"/>
        <w:right w:val="none" w:sz="0" w:space="0" w:color="auto"/>
      </w:divBdr>
    </w:div>
    <w:div w:id="1335493192">
      <w:bodyDiv w:val="1"/>
      <w:marLeft w:val="0"/>
      <w:marRight w:val="0"/>
      <w:marTop w:val="0"/>
      <w:marBottom w:val="0"/>
      <w:divBdr>
        <w:top w:val="none" w:sz="0" w:space="0" w:color="auto"/>
        <w:left w:val="none" w:sz="0" w:space="0" w:color="auto"/>
        <w:bottom w:val="none" w:sz="0" w:space="0" w:color="auto"/>
        <w:right w:val="none" w:sz="0" w:space="0" w:color="auto"/>
      </w:divBdr>
      <w:divsChild>
        <w:div w:id="1888907821">
          <w:marLeft w:val="0"/>
          <w:marRight w:val="0"/>
          <w:marTop w:val="0"/>
          <w:marBottom w:val="0"/>
          <w:divBdr>
            <w:top w:val="none" w:sz="0" w:space="0" w:color="auto"/>
            <w:left w:val="none" w:sz="0" w:space="0" w:color="auto"/>
            <w:bottom w:val="none" w:sz="0" w:space="0" w:color="auto"/>
            <w:right w:val="none" w:sz="0" w:space="0" w:color="auto"/>
          </w:divBdr>
          <w:divsChild>
            <w:div w:id="1523546931">
              <w:marLeft w:val="0"/>
              <w:marRight w:val="0"/>
              <w:marTop w:val="0"/>
              <w:marBottom w:val="0"/>
              <w:divBdr>
                <w:top w:val="none" w:sz="0" w:space="0" w:color="auto"/>
                <w:left w:val="none" w:sz="0" w:space="0" w:color="auto"/>
                <w:bottom w:val="none" w:sz="0" w:space="0" w:color="auto"/>
                <w:right w:val="none" w:sz="0" w:space="0" w:color="auto"/>
              </w:divBdr>
              <w:divsChild>
                <w:div w:id="550461763">
                  <w:marLeft w:val="0"/>
                  <w:marRight w:val="0"/>
                  <w:marTop w:val="0"/>
                  <w:marBottom w:val="0"/>
                  <w:divBdr>
                    <w:top w:val="none" w:sz="0" w:space="0" w:color="auto"/>
                    <w:left w:val="none" w:sz="0" w:space="0" w:color="auto"/>
                    <w:bottom w:val="none" w:sz="0" w:space="0" w:color="auto"/>
                    <w:right w:val="none" w:sz="0" w:space="0" w:color="auto"/>
                  </w:divBdr>
                  <w:divsChild>
                    <w:div w:id="955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678083">
      <w:bodyDiv w:val="1"/>
      <w:marLeft w:val="0"/>
      <w:marRight w:val="0"/>
      <w:marTop w:val="0"/>
      <w:marBottom w:val="0"/>
      <w:divBdr>
        <w:top w:val="none" w:sz="0" w:space="0" w:color="auto"/>
        <w:left w:val="none" w:sz="0" w:space="0" w:color="auto"/>
        <w:bottom w:val="none" w:sz="0" w:space="0" w:color="auto"/>
        <w:right w:val="none" w:sz="0" w:space="0" w:color="auto"/>
      </w:divBdr>
    </w:div>
    <w:div w:id="1701782319">
      <w:bodyDiv w:val="1"/>
      <w:marLeft w:val="0"/>
      <w:marRight w:val="0"/>
      <w:marTop w:val="0"/>
      <w:marBottom w:val="0"/>
      <w:divBdr>
        <w:top w:val="none" w:sz="0" w:space="0" w:color="auto"/>
        <w:left w:val="none" w:sz="0" w:space="0" w:color="auto"/>
        <w:bottom w:val="none" w:sz="0" w:space="0" w:color="auto"/>
        <w:right w:val="none" w:sz="0" w:space="0" w:color="auto"/>
      </w:divBdr>
    </w:div>
    <w:div w:id="1738942249">
      <w:bodyDiv w:val="1"/>
      <w:marLeft w:val="0"/>
      <w:marRight w:val="0"/>
      <w:marTop w:val="0"/>
      <w:marBottom w:val="0"/>
      <w:divBdr>
        <w:top w:val="none" w:sz="0" w:space="0" w:color="auto"/>
        <w:left w:val="none" w:sz="0" w:space="0" w:color="auto"/>
        <w:bottom w:val="none" w:sz="0" w:space="0" w:color="auto"/>
        <w:right w:val="none" w:sz="0" w:space="0" w:color="auto"/>
      </w:divBdr>
    </w:div>
    <w:div w:id="1768572242">
      <w:bodyDiv w:val="1"/>
      <w:marLeft w:val="0"/>
      <w:marRight w:val="0"/>
      <w:marTop w:val="0"/>
      <w:marBottom w:val="0"/>
      <w:divBdr>
        <w:top w:val="none" w:sz="0" w:space="0" w:color="auto"/>
        <w:left w:val="none" w:sz="0" w:space="0" w:color="auto"/>
        <w:bottom w:val="none" w:sz="0" w:space="0" w:color="auto"/>
        <w:right w:val="none" w:sz="0" w:space="0" w:color="auto"/>
      </w:divBdr>
    </w:div>
    <w:div w:id="1917594870">
      <w:bodyDiv w:val="1"/>
      <w:marLeft w:val="0"/>
      <w:marRight w:val="0"/>
      <w:marTop w:val="0"/>
      <w:marBottom w:val="0"/>
      <w:divBdr>
        <w:top w:val="none" w:sz="0" w:space="0" w:color="auto"/>
        <w:left w:val="none" w:sz="0" w:space="0" w:color="auto"/>
        <w:bottom w:val="none" w:sz="0" w:space="0" w:color="auto"/>
        <w:right w:val="none" w:sz="0" w:space="0" w:color="auto"/>
      </w:divBdr>
    </w:div>
    <w:div w:id="208391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E6D30954-D48E-4AAF-AD6C-C898BF30EC69}">
  <ds:schemaRefs>
    <ds:schemaRef ds:uri="http://schemas.openxmlformats.org/officeDocument/2006/bibliography"/>
  </ds:schemaRefs>
</ds:datastoreItem>
</file>

<file path=customXml/itemProps3.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4.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2165</Words>
  <Characters>13640</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Horvath Philipp | WKOE</dc:creator>
  <cp:keywords/>
  <dc:description/>
  <cp:lastModifiedBy>Aslan Tugce | WKOE</cp:lastModifiedBy>
  <cp:revision>89</cp:revision>
  <dcterms:created xsi:type="dcterms:W3CDTF">2025-02-06T11:08:00Z</dcterms:created>
  <dcterms:modified xsi:type="dcterms:W3CDTF">2025-10-03T11:59:00Z</dcterms:modified>
</cp:coreProperties>
</file>