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8EE03" w14:textId="77777777" w:rsidR="00C272D9" w:rsidRPr="00C272D9" w:rsidRDefault="0014486A" w:rsidP="00C272D9">
      <w:pPr>
        <w:pStyle w:val="Title"/>
        <w:rPr>
          <w:bCs/>
        </w:rPr>
      </w:pPr>
      <w:r>
        <w:t>Consultation Response</w:t>
      </w:r>
      <w:r w:rsidR="003A4790">
        <w:t xml:space="preserve"> –</w:t>
      </w:r>
      <w:r w:rsidR="00DC1400">
        <w:t xml:space="preserve"> </w:t>
      </w:r>
      <w:r w:rsidR="00C272D9">
        <w:t xml:space="preserve">EBA </w:t>
      </w:r>
      <w:r w:rsidR="00C272D9" w:rsidRPr="00C272D9">
        <w:rPr>
          <w:bCs/>
        </w:rPr>
        <w:t>Consultation paper amending Guidelines on definition of default</w:t>
      </w:r>
    </w:p>
    <w:p w14:paraId="4F75EDCE" w14:textId="5B44F75A" w:rsidR="00F871DC" w:rsidRDefault="00494A06" w:rsidP="00CE5754">
      <w:pPr>
        <w:pStyle w:val="Date"/>
        <w:spacing w:after="120"/>
      </w:pPr>
      <w:r>
        <w:t xml:space="preserve">13 </w:t>
      </w:r>
      <w:r w:rsidR="00923C02">
        <w:t>October</w:t>
      </w:r>
      <w:r w:rsidR="000B6808">
        <w:t xml:space="preserve"> 2025</w:t>
      </w:r>
    </w:p>
    <w:p w14:paraId="36578073" w14:textId="4D73AAB4" w:rsidR="00CB1944" w:rsidRDefault="00CB1944" w:rsidP="00733DBB">
      <w:pPr>
        <w:pStyle w:val="BodyText"/>
        <w:rPr>
          <w:b/>
          <w:bCs/>
        </w:rPr>
      </w:pPr>
      <w:r w:rsidRPr="00F02177">
        <w:rPr>
          <w:b/>
          <w:bCs/>
        </w:rPr>
        <w:t>Introduction and General Comments:</w:t>
      </w:r>
    </w:p>
    <w:p w14:paraId="485FBABA" w14:textId="3335C595" w:rsidR="00D26FD6" w:rsidRDefault="00F02177" w:rsidP="00C272D9">
      <w:pPr>
        <w:pStyle w:val="BodyText"/>
        <w:rPr>
          <w:b/>
          <w:bCs/>
        </w:rPr>
      </w:pPr>
      <w:r w:rsidRPr="005C2802">
        <w:t>The Association for Financial Markets in Europe (AFME) welcomes this opportunity to comment on</w:t>
      </w:r>
      <w:r w:rsidR="00C272D9" w:rsidRPr="00C272D9">
        <w:t xml:space="preserve"> the EBA </w:t>
      </w:r>
      <w:r w:rsidR="00C272D9" w:rsidRPr="00C272D9">
        <w:rPr>
          <w:b/>
          <w:bCs/>
        </w:rPr>
        <w:t xml:space="preserve">Consultation paper amending Guidelines on definition of </w:t>
      </w:r>
      <w:r w:rsidR="000516E0" w:rsidRPr="00C272D9">
        <w:rPr>
          <w:b/>
          <w:bCs/>
        </w:rPr>
        <w:t>default</w:t>
      </w:r>
      <w:r w:rsidR="000516E0">
        <w:rPr>
          <w:b/>
          <w:bCs/>
        </w:rPr>
        <w:t>.</w:t>
      </w:r>
    </w:p>
    <w:p w14:paraId="10C4BBD6" w14:textId="371DD18C" w:rsidR="00D26FD6" w:rsidRDefault="008C2E9A" w:rsidP="00D26FD6">
      <w:pPr>
        <w:pStyle w:val="BodyText"/>
        <w:rPr>
          <w:i/>
          <w:iCs/>
        </w:rPr>
      </w:pPr>
      <w:r>
        <w:t>In respect of this</w:t>
      </w:r>
      <w:r w:rsidR="0003411A">
        <w:t>,</w:t>
      </w:r>
      <w:r>
        <w:t xml:space="preserve"> we</w:t>
      </w:r>
      <w:r w:rsidR="005D4D8F">
        <w:t xml:space="preserve"> strongly advocate to review and </w:t>
      </w:r>
      <w:r w:rsidR="004605A7">
        <w:t xml:space="preserve">allow banks to </w:t>
      </w:r>
      <w:r w:rsidR="00151B8C">
        <w:t xml:space="preserve">cap </w:t>
      </w:r>
      <w:r w:rsidR="005D4D8F">
        <w:t xml:space="preserve">the NPV threshold </w:t>
      </w:r>
      <w:r w:rsidR="00B44521">
        <w:t>at</w:t>
      </w:r>
      <w:r w:rsidR="005D4D8F">
        <w:t xml:space="preserve"> 5%</w:t>
      </w:r>
      <w:r w:rsidR="004605A7">
        <w:t xml:space="preserve"> at their discretion</w:t>
      </w:r>
      <w:r w:rsidR="005D4D8F">
        <w:t xml:space="preserve">, taking account of the </w:t>
      </w:r>
      <w:r>
        <w:t xml:space="preserve">following statement from </w:t>
      </w:r>
      <w:r w:rsidR="00D26FD6" w:rsidRPr="00803A1D">
        <w:rPr>
          <w:lang w:val="it-IT"/>
        </w:rPr>
        <w:t>Ronny</w:t>
      </w:r>
      <w:r w:rsidRPr="00803A1D">
        <w:rPr>
          <w:lang w:val="it-IT"/>
        </w:rPr>
        <w:t xml:space="preserve"> Mazzocchi and Kai Spitzer from the</w:t>
      </w:r>
      <w:r w:rsidR="00D26FD6" w:rsidRPr="00803A1D">
        <w:rPr>
          <w:lang w:val="it-IT"/>
        </w:rPr>
        <w:t xml:space="preserve"> </w:t>
      </w:r>
      <w:r w:rsidR="00D26FD6" w:rsidRPr="00803A1D">
        <w:t>Directorate-General for Economy, Transformation and Industry</w:t>
      </w:r>
      <w:r w:rsidR="00D577F0" w:rsidRPr="00803A1D">
        <w:t xml:space="preserve"> (</w:t>
      </w:r>
      <w:r w:rsidR="00D26FD6" w:rsidRPr="00803A1D">
        <w:t>Public hearing with Claudia Buch Chair of the ECB / SSM Supervisory Board Banking Union Scrutiny. July 2025. Between prudence and politics: EBA default framework fails to reflect legislative intent. pg. 14</w:t>
      </w:r>
      <w:r w:rsidR="00803A1D">
        <w:rPr>
          <w:rStyle w:val="FootnoteReference"/>
          <w:color w:val="78A22F" w:themeColor="accent1"/>
          <w:u w:val="single"/>
        </w:rPr>
        <w:footnoteReference w:id="2"/>
      </w:r>
      <w:r w:rsidR="00D26FD6" w:rsidRPr="00803A1D">
        <w:t>)</w:t>
      </w:r>
      <w:r w:rsidR="00D577F0">
        <w:t>)</w:t>
      </w:r>
      <w:r w:rsidR="00D26FD6">
        <w:t xml:space="preserve">. </w:t>
      </w:r>
    </w:p>
    <w:p w14:paraId="2C2C530F" w14:textId="6D97B1CB" w:rsidR="00D26FD6" w:rsidRPr="004B101E" w:rsidRDefault="00D26FD6" w:rsidP="00C272D9">
      <w:pPr>
        <w:pStyle w:val="BodyText"/>
        <w:rPr>
          <w:i/>
          <w:iCs/>
        </w:rPr>
      </w:pPr>
      <w:r>
        <w:t>“</w:t>
      </w:r>
      <w:r w:rsidRPr="00A80BC7">
        <w:rPr>
          <w:i/>
          <w:iCs/>
        </w:rPr>
        <w:t>T</w:t>
      </w:r>
      <w:r w:rsidRPr="00A80BC7">
        <w:rPr>
          <w:b/>
          <w:bCs/>
          <w:i/>
          <w:iCs/>
        </w:rPr>
        <w:t>he EBA proposal appears to fall far short of what the co-legislators explicitly required</w:t>
      </w:r>
      <w:r w:rsidRPr="00A80BC7">
        <w:rPr>
          <w:i/>
          <w:iCs/>
        </w:rPr>
        <w:t>. [...] The request to revise the EBA Guidelines stems also from the need to align them with recent legislative changes introduced by the co-legislators most notably, the inclusion of a new Article 16a in Directive 2008/48/EC (so-called Consumer Credit Directive) and the amendment of Article 28 in Directive 2014/17/EU (so-called Mortgage Credit Directive). Through these amendments, the co-legislators made clear and deliberate choice</w:t>
      </w:r>
      <w:r w:rsidRPr="6BA844DD">
        <w:t xml:space="preserve">s.[...] </w:t>
      </w:r>
      <w:r w:rsidRPr="00A80BC7">
        <w:rPr>
          <w:i/>
          <w:iCs/>
        </w:rPr>
        <w:t xml:space="preserve">At the same time, the legislators called for a more borrower-sensitive approach. [...] </w:t>
      </w:r>
      <w:r w:rsidRPr="00A80BC7">
        <w:rPr>
          <w:b/>
          <w:bCs/>
          <w:i/>
          <w:iCs/>
        </w:rPr>
        <w:t>The spirit and content of these provisions are difficult to reconcile with the current EBA Guidelines</w:t>
      </w:r>
      <w:r w:rsidRPr="00A80BC7">
        <w:rPr>
          <w:i/>
          <w:iCs/>
        </w:rPr>
        <w:t xml:space="preserve"> - particularly the section on distress restructuring (paragraphs 49–55) - which largely omit the type of qualitative judgment foreseen by the co-legislators. </w:t>
      </w:r>
      <w:r w:rsidRPr="00A80BC7">
        <w:rPr>
          <w:b/>
          <w:bCs/>
          <w:i/>
          <w:iCs/>
        </w:rPr>
        <w:t>In practice, the rigidity of the framework and the narrow space for renegotiation discourage institutions from granting forbearance, even in situations where doing so would be economically and socially desirable. Yet, the EBA’s proposal essentially dismisses this political mandate. By refusing to revise the 1% NPV threshold or to embed more qualitative assessments into default classification the EBA preserves a rigid framework that risks continuing to discourage debt renegotiation, hinder economic recovery, and contradict recent EU legislative efforts, including the new rules under the Consumer Credit Directive and the Mortgage Credit Directive</w:t>
      </w:r>
      <w:r w:rsidRPr="6BA844DD">
        <w:rPr>
          <w:i/>
          <w:iCs/>
        </w:rPr>
        <w:t xml:space="preserve">”. </w:t>
      </w:r>
    </w:p>
    <w:p w14:paraId="71E4E4F3" w14:textId="31F0E6A1" w:rsidR="006D4B52" w:rsidRPr="007372AB" w:rsidRDefault="00D67E19" w:rsidP="007372AB">
      <w:pPr>
        <w:spacing w:before="120" w:after="120" w:line="259" w:lineRule="auto"/>
        <w:jc w:val="both"/>
        <w:rPr>
          <w:rFonts w:ascii="Cambria" w:hAnsi="Cambria"/>
          <w:b/>
          <w:bCs/>
        </w:rPr>
      </w:pPr>
      <w:r w:rsidRPr="007372AB">
        <w:rPr>
          <w:rFonts w:ascii="Cambria" w:hAnsi="Cambria"/>
          <w:b/>
          <w:bCs/>
        </w:rPr>
        <w:t>Question 1: Do you believe the current guidelines result in some exposures under forbearance measures to be incorrectly classified as defaults, thus hindering proactive, preventive and meaningful restructurings given the detrimental effects that defaulted status has for the affected obligors? If so, please further specify the characteristics of the exposures, which you deem as being subject to an incorrect classification of default.</w:t>
      </w:r>
    </w:p>
    <w:p w14:paraId="39989C2E" w14:textId="3DA137C2" w:rsidR="00B378D3" w:rsidRPr="00B378D3" w:rsidRDefault="00B378D3" w:rsidP="007372AB">
      <w:pPr>
        <w:spacing w:before="120" w:after="120" w:line="259" w:lineRule="auto"/>
        <w:jc w:val="both"/>
        <w:rPr>
          <w:rFonts w:ascii="Cambria" w:hAnsi="Cambria"/>
          <w:iCs/>
          <w:lang w:val="en"/>
        </w:rPr>
      </w:pPr>
      <w:r w:rsidRPr="00B378D3">
        <w:rPr>
          <w:rFonts w:ascii="Cambria" w:hAnsi="Cambria"/>
          <w:iCs/>
          <w:lang w:val="en"/>
        </w:rPr>
        <w:t xml:space="preserve">Yes, it </w:t>
      </w:r>
      <w:proofErr w:type="gramStart"/>
      <w:r w:rsidRPr="00B378D3">
        <w:rPr>
          <w:rFonts w:ascii="Cambria" w:hAnsi="Cambria"/>
          <w:iCs/>
          <w:lang w:val="en"/>
        </w:rPr>
        <w:t>is considered</w:t>
      </w:r>
      <w:proofErr w:type="gramEnd"/>
      <w:r w:rsidRPr="00B378D3">
        <w:rPr>
          <w:rFonts w:ascii="Cambria" w:hAnsi="Cambria"/>
          <w:iCs/>
          <w:lang w:val="en"/>
        </w:rPr>
        <w:t xml:space="preserve"> that current guidelines </w:t>
      </w:r>
      <w:r w:rsidR="00396C52">
        <w:rPr>
          <w:rFonts w:ascii="Cambria" w:hAnsi="Cambria"/>
          <w:iCs/>
          <w:lang w:val="en"/>
        </w:rPr>
        <w:t xml:space="preserve">are already </w:t>
      </w:r>
      <w:r w:rsidRPr="00B378D3">
        <w:rPr>
          <w:rFonts w:ascii="Cambria" w:hAnsi="Cambria"/>
          <w:iCs/>
          <w:lang w:val="en"/>
        </w:rPr>
        <w:t>lead</w:t>
      </w:r>
      <w:r w:rsidR="00396C52">
        <w:rPr>
          <w:rFonts w:ascii="Cambria" w:hAnsi="Cambria"/>
          <w:iCs/>
          <w:lang w:val="en"/>
        </w:rPr>
        <w:t>ing</w:t>
      </w:r>
      <w:r w:rsidRPr="00B378D3">
        <w:rPr>
          <w:rFonts w:ascii="Cambria" w:hAnsi="Cambria"/>
          <w:iCs/>
          <w:lang w:val="en"/>
        </w:rPr>
        <w:t xml:space="preserve"> to </w:t>
      </w:r>
      <w:proofErr w:type="gramStart"/>
      <w:r w:rsidRPr="00B378D3">
        <w:rPr>
          <w:rFonts w:ascii="Cambria" w:hAnsi="Cambria"/>
          <w:iCs/>
          <w:lang w:val="en"/>
        </w:rPr>
        <w:t>some</w:t>
      </w:r>
      <w:proofErr w:type="gramEnd"/>
      <w:r w:rsidRPr="00B378D3">
        <w:rPr>
          <w:rFonts w:ascii="Cambria" w:hAnsi="Cambria"/>
          <w:iCs/>
          <w:lang w:val="en"/>
        </w:rPr>
        <w:t xml:space="preserve"> exposures under forbearance measures to </w:t>
      </w:r>
      <w:proofErr w:type="gramStart"/>
      <w:r w:rsidRPr="00B378D3">
        <w:rPr>
          <w:rFonts w:ascii="Cambria" w:hAnsi="Cambria"/>
          <w:iCs/>
          <w:lang w:val="en"/>
        </w:rPr>
        <w:t>be incorrectly classified</w:t>
      </w:r>
      <w:proofErr w:type="gramEnd"/>
      <w:r w:rsidRPr="00B378D3">
        <w:rPr>
          <w:rFonts w:ascii="Cambria" w:hAnsi="Cambria"/>
          <w:iCs/>
          <w:lang w:val="en"/>
        </w:rPr>
        <w:t xml:space="preserve"> as default</w:t>
      </w:r>
      <w:r w:rsidR="00383C69">
        <w:rPr>
          <w:rFonts w:ascii="Cambria" w:hAnsi="Cambria"/>
          <w:iCs/>
          <w:lang w:val="en"/>
        </w:rPr>
        <w:t>s</w:t>
      </w:r>
      <w:r w:rsidRPr="00B378D3">
        <w:rPr>
          <w:rFonts w:ascii="Cambria" w:hAnsi="Cambria"/>
          <w:iCs/>
          <w:lang w:val="en"/>
        </w:rPr>
        <w:t>, specifically for the cases under the Diminished Financial Obligation (DO) &gt; 1% criterion. This question brings back the arguments previously raised by the industry during past consultations regarding the application of the DO criterion for default classification.</w:t>
      </w:r>
    </w:p>
    <w:p w14:paraId="2EAC5A5E" w14:textId="549BC5E3" w:rsidR="00B378D3" w:rsidRPr="00B378D3" w:rsidRDefault="00F01EA4" w:rsidP="007372AB">
      <w:pPr>
        <w:spacing w:before="120" w:after="120" w:line="259" w:lineRule="auto"/>
        <w:jc w:val="both"/>
        <w:rPr>
          <w:rFonts w:ascii="Cambria" w:hAnsi="Cambria"/>
          <w:iCs/>
          <w:lang w:val="en"/>
        </w:rPr>
      </w:pPr>
      <w:r>
        <w:rPr>
          <w:rFonts w:ascii="Cambria" w:hAnsi="Cambria"/>
          <w:iCs/>
          <w:lang w:val="en"/>
        </w:rPr>
        <w:t>T</w:t>
      </w:r>
      <w:r w:rsidR="00B378D3" w:rsidRPr="00B378D3">
        <w:rPr>
          <w:rFonts w:ascii="Cambria" w:hAnsi="Cambria"/>
          <w:iCs/>
          <w:lang w:val="en"/>
        </w:rPr>
        <w:t xml:space="preserve">he 1% </w:t>
      </w:r>
      <w:r w:rsidR="000516E0" w:rsidRPr="00B378D3">
        <w:rPr>
          <w:rFonts w:ascii="Cambria" w:hAnsi="Cambria"/>
          <w:iCs/>
          <w:lang w:val="en"/>
        </w:rPr>
        <w:t>threshold leaves</w:t>
      </w:r>
      <w:r w:rsidR="00B378D3" w:rsidRPr="00B378D3">
        <w:rPr>
          <w:rFonts w:ascii="Cambria" w:hAnsi="Cambria"/>
          <w:iCs/>
          <w:lang w:val="en"/>
        </w:rPr>
        <w:t xml:space="preserve"> </w:t>
      </w:r>
      <w:proofErr w:type="gramStart"/>
      <w:r w:rsidR="00B378D3" w:rsidRPr="00B378D3">
        <w:rPr>
          <w:rFonts w:ascii="Cambria" w:hAnsi="Cambria"/>
          <w:iCs/>
          <w:lang w:val="en"/>
        </w:rPr>
        <w:t>very little</w:t>
      </w:r>
      <w:proofErr w:type="gramEnd"/>
      <w:r w:rsidR="00B378D3" w:rsidRPr="00B378D3">
        <w:rPr>
          <w:rFonts w:ascii="Cambria" w:hAnsi="Cambria"/>
          <w:iCs/>
          <w:lang w:val="en"/>
        </w:rPr>
        <w:t xml:space="preserve"> room for banks to </w:t>
      </w:r>
      <w:r w:rsidR="00EE2CE6" w:rsidRPr="00B378D3">
        <w:rPr>
          <w:rFonts w:ascii="Cambria" w:hAnsi="Cambria"/>
          <w:iCs/>
          <w:lang w:val="en"/>
        </w:rPr>
        <w:t>maneuver</w:t>
      </w:r>
      <w:r w:rsidR="00B378D3" w:rsidRPr="00B378D3">
        <w:rPr>
          <w:rFonts w:ascii="Cambria" w:hAnsi="Cambria"/>
          <w:iCs/>
          <w:lang w:val="en"/>
        </w:rPr>
        <w:t xml:space="preserve"> and provide financial support to viable clients</w:t>
      </w:r>
      <w:r w:rsidR="00774DF6">
        <w:rPr>
          <w:rFonts w:ascii="Cambria" w:hAnsi="Cambria"/>
          <w:iCs/>
          <w:lang w:val="en"/>
        </w:rPr>
        <w:t xml:space="preserve"> </w:t>
      </w:r>
      <w:r w:rsidR="00B378D3" w:rsidRPr="00B378D3">
        <w:rPr>
          <w:rFonts w:ascii="Cambria" w:hAnsi="Cambria"/>
          <w:iCs/>
          <w:lang w:val="en"/>
        </w:rPr>
        <w:t xml:space="preserve">who might face temporary difficulty in meeting their contractual obligation, </w:t>
      </w:r>
      <w:r w:rsidR="000516E0" w:rsidRPr="00B378D3">
        <w:rPr>
          <w:rFonts w:ascii="Cambria" w:hAnsi="Cambria"/>
          <w:iCs/>
          <w:lang w:val="en"/>
        </w:rPr>
        <w:t>it being</w:t>
      </w:r>
      <w:r w:rsidR="00B378D3" w:rsidRPr="00B378D3">
        <w:rPr>
          <w:rFonts w:ascii="Cambria" w:hAnsi="Cambria"/>
          <w:iCs/>
          <w:lang w:val="en"/>
        </w:rPr>
        <w:t xml:space="preserve"> possible that the threshold </w:t>
      </w:r>
      <w:proofErr w:type="gramStart"/>
      <w:r w:rsidR="00B378D3" w:rsidRPr="00B378D3">
        <w:rPr>
          <w:rFonts w:ascii="Cambria" w:hAnsi="Cambria"/>
          <w:iCs/>
          <w:lang w:val="en"/>
        </w:rPr>
        <w:t>is breached</w:t>
      </w:r>
      <w:proofErr w:type="gramEnd"/>
      <w:r w:rsidR="00B378D3" w:rsidRPr="00B378D3">
        <w:rPr>
          <w:rFonts w:ascii="Cambria" w:hAnsi="Cambria"/>
          <w:iCs/>
          <w:lang w:val="en"/>
        </w:rPr>
        <w:t xml:space="preserve"> because of technical or legal reasons. Moreover, this threshold is stricter for credit extended in periods of higher interest rates, given that the NPV outcome </w:t>
      </w:r>
      <w:proofErr w:type="gramStart"/>
      <w:r w:rsidR="00B378D3" w:rsidRPr="00B378D3">
        <w:rPr>
          <w:rFonts w:ascii="Cambria" w:hAnsi="Cambria"/>
          <w:iCs/>
          <w:lang w:val="en"/>
        </w:rPr>
        <w:t>is affected</w:t>
      </w:r>
      <w:proofErr w:type="gramEnd"/>
      <w:r w:rsidR="00B378D3" w:rsidRPr="00B378D3">
        <w:rPr>
          <w:rFonts w:ascii="Cambria" w:hAnsi="Cambria"/>
          <w:iCs/>
          <w:lang w:val="en"/>
        </w:rPr>
        <w:t xml:space="preserve"> by the applied discount rate. </w:t>
      </w:r>
    </w:p>
    <w:p w14:paraId="251390D5" w14:textId="64191B55" w:rsidR="00B378D3" w:rsidRPr="00B378D3" w:rsidRDefault="00774DF6" w:rsidP="007372AB">
      <w:pPr>
        <w:spacing w:before="120" w:after="120" w:line="259" w:lineRule="auto"/>
        <w:jc w:val="both"/>
        <w:rPr>
          <w:rFonts w:ascii="Cambria" w:hAnsi="Cambria"/>
          <w:iCs/>
          <w:lang w:val="en"/>
        </w:rPr>
      </w:pPr>
      <w:r>
        <w:rPr>
          <w:rFonts w:ascii="Cambria" w:hAnsi="Cambria"/>
          <w:iCs/>
          <w:lang w:val="en"/>
        </w:rPr>
        <w:lastRenderedPageBreak/>
        <w:t>Consequent</w:t>
      </w:r>
      <w:r w:rsidR="00B378D3" w:rsidRPr="00B378D3">
        <w:rPr>
          <w:rFonts w:ascii="Cambria" w:hAnsi="Cambria"/>
          <w:iCs/>
          <w:lang w:val="en"/>
        </w:rPr>
        <w:t xml:space="preserve">ly, the incorrect classification of default is </w:t>
      </w:r>
      <w:proofErr w:type="gramStart"/>
      <w:r w:rsidR="00B378D3" w:rsidRPr="00B378D3">
        <w:rPr>
          <w:rFonts w:ascii="Cambria" w:hAnsi="Cambria"/>
          <w:iCs/>
          <w:lang w:val="en"/>
        </w:rPr>
        <w:t>very common</w:t>
      </w:r>
      <w:proofErr w:type="gramEnd"/>
      <w:r w:rsidR="00B378D3" w:rsidRPr="00B378D3">
        <w:rPr>
          <w:rFonts w:ascii="Cambria" w:hAnsi="Cambria"/>
          <w:iCs/>
          <w:lang w:val="en"/>
        </w:rPr>
        <w:t xml:space="preserve"> where interest rates are </w:t>
      </w:r>
      <w:r w:rsidR="000516E0" w:rsidRPr="00B378D3">
        <w:rPr>
          <w:rFonts w:ascii="Cambria" w:hAnsi="Cambria"/>
          <w:iCs/>
          <w:lang w:val="en"/>
        </w:rPr>
        <w:t>high,</w:t>
      </w:r>
      <w:r w:rsidR="00B378D3" w:rsidRPr="00B378D3">
        <w:rPr>
          <w:rFonts w:ascii="Cambria" w:hAnsi="Cambria"/>
          <w:iCs/>
          <w:lang w:val="en"/>
        </w:rPr>
        <w:t xml:space="preserve"> and it is </w:t>
      </w:r>
      <w:proofErr w:type="gramStart"/>
      <w:r w:rsidR="00B378D3" w:rsidRPr="00B378D3">
        <w:rPr>
          <w:rFonts w:ascii="Cambria" w:hAnsi="Cambria"/>
          <w:iCs/>
          <w:lang w:val="en"/>
        </w:rPr>
        <w:t>common practice</w:t>
      </w:r>
      <w:proofErr w:type="gramEnd"/>
      <w:r w:rsidR="00B378D3" w:rsidRPr="00B378D3">
        <w:rPr>
          <w:rFonts w:ascii="Cambria" w:hAnsi="Cambria"/>
          <w:iCs/>
          <w:lang w:val="en"/>
        </w:rPr>
        <w:t xml:space="preserve"> to apply forbearance measures to support the client’s financial solvency and ensure better payment behaviour. In these cases, it </w:t>
      </w:r>
      <w:proofErr w:type="gramStart"/>
      <w:r w:rsidR="00B378D3" w:rsidRPr="00B378D3">
        <w:rPr>
          <w:rFonts w:ascii="Cambria" w:hAnsi="Cambria"/>
          <w:iCs/>
          <w:lang w:val="en"/>
        </w:rPr>
        <w:t>is expected</w:t>
      </w:r>
      <w:proofErr w:type="gramEnd"/>
      <w:r w:rsidR="00B378D3" w:rsidRPr="00B378D3">
        <w:rPr>
          <w:rFonts w:ascii="Cambria" w:hAnsi="Cambria"/>
          <w:iCs/>
          <w:lang w:val="en"/>
        </w:rPr>
        <w:t xml:space="preserve"> that an interest rate reduction will </w:t>
      </w:r>
      <w:proofErr w:type="gramStart"/>
      <w:r w:rsidR="00B378D3" w:rsidRPr="00B378D3">
        <w:rPr>
          <w:rFonts w:ascii="Cambria" w:hAnsi="Cambria"/>
          <w:iCs/>
          <w:lang w:val="en"/>
        </w:rPr>
        <w:t xml:space="preserve">be </w:t>
      </w:r>
      <w:r w:rsidR="000516E0" w:rsidRPr="00B378D3">
        <w:rPr>
          <w:rFonts w:ascii="Cambria" w:hAnsi="Cambria"/>
          <w:iCs/>
          <w:lang w:val="en"/>
        </w:rPr>
        <w:t>offered</w:t>
      </w:r>
      <w:proofErr w:type="gramEnd"/>
      <w:r w:rsidR="000516E0" w:rsidRPr="00B378D3">
        <w:rPr>
          <w:rFonts w:ascii="Cambria" w:hAnsi="Cambria"/>
          <w:iCs/>
          <w:lang w:val="en"/>
        </w:rPr>
        <w:t>,</w:t>
      </w:r>
      <w:r w:rsidR="00B378D3" w:rsidRPr="00B378D3">
        <w:rPr>
          <w:rFonts w:ascii="Cambria" w:hAnsi="Cambria"/>
          <w:iCs/>
          <w:lang w:val="en"/>
        </w:rPr>
        <w:t xml:space="preserve"> which triggers the 1% threshold and, consequently, leads to a default classification, even when studies have shown that profitability </w:t>
      </w:r>
      <w:proofErr w:type="gramStart"/>
      <w:r w:rsidR="00B378D3" w:rsidRPr="00B378D3">
        <w:rPr>
          <w:rFonts w:ascii="Cambria" w:hAnsi="Cambria"/>
          <w:iCs/>
          <w:lang w:val="en"/>
        </w:rPr>
        <w:t>is not compromised</w:t>
      </w:r>
      <w:proofErr w:type="gramEnd"/>
      <w:r w:rsidR="00B378D3" w:rsidRPr="00B378D3">
        <w:rPr>
          <w:rFonts w:ascii="Cambria" w:hAnsi="Cambria"/>
          <w:iCs/>
          <w:lang w:val="en"/>
        </w:rPr>
        <w:t xml:space="preserve"> by this practice. </w:t>
      </w:r>
    </w:p>
    <w:p w14:paraId="7121B685" w14:textId="13ADBE48" w:rsidR="007372AB" w:rsidRDefault="00B378D3" w:rsidP="007372AB">
      <w:pPr>
        <w:pStyle w:val="ListParagraph"/>
        <w:numPr>
          <w:ilvl w:val="0"/>
          <w:numId w:val="8"/>
        </w:numPr>
        <w:spacing w:before="120" w:after="120" w:line="259" w:lineRule="auto"/>
        <w:jc w:val="both"/>
        <w:rPr>
          <w:rFonts w:ascii="Cambria" w:hAnsi="Cambria"/>
          <w:iCs/>
          <w:lang w:val="en"/>
        </w:rPr>
      </w:pPr>
      <w:r w:rsidRPr="007372AB">
        <w:rPr>
          <w:rFonts w:ascii="Cambria" w:hAnsi="Cambria"/>
          <w:iCs/>
          <w:lang w:val="en"/>
        </w:rPr>
        <w:t xml:space="preserve">This situation is particularly concerning when the criterion </w:t>
      </w:r>
      <w:proofErr w:type="gramStart"/>
      <w:r w:rsidRPr="007372AB">
        <w:rPr>
          <w:rFonts w:ascii="Cambria" w:hAnsi="Cambria"/>
          <w:iCs/>
          <w:lang w:val="en"/>
        </w:rPr>
        <w:t>is transferred</w:t>
      </w:r>
      <w:proofErr w:type="gramEnd"/>
      <w:r w:rsidRPr="007372AB">
        <w:rPr>
          <w:rFonts w:ascii="Cambria" w:hAnsi="Cambria"/>
          <w:iCs/>
          <w:lang w:val="en"/>
        </w:rPr>
        <w:t xml:space="preserve"> to geographies such as LATAM. Forbearance operations in emerging markets, where rates are higher than in the </w:t>
      </w:r>
      <w:r w:rsidR="003A65D0">
        <w:rPr>
          <w:rFonts w:ascii="Cambria" w:hAnsi="Cambria"/>
          <w:iCs/>
          <w:lang w:val="en"/>
        </w:rPr>
        <w:t>EU</w:t>
      </w:r>
      <w:r w:rsidRPr="007372AB">
        <w:rPr>
          <w:rFonts w:ascii="Cambria" w:hAnsi="Cambria"/>
          <w:iCs/>
          <w:lang w:val="en"/>
        </w:rPr>
        <w:t xml:space="preserve">, are </w:t>
      </w:r>
      <w:proofErr w:type="gramStart"/>
      <w:r w:rsidRPr="007372AB">
        <w:rPr>
          <w:rFonts w:ascii="Cambria" w:hAnsi="Cambria"/>
          <w:iCs/>
          <w:lang w:val="en"/>
        </w:rPr>
        <w:t>a common practice</w:t>
      </w:r>
      <w:proofErr w:type="gramEnd"/>
      <w:r w:rsidRPr="007372AB">
        <w:rPr>
          <w:rFonts w:ascii="Cambria" w:hAnsi="Cambria"/>
          <w:iCs/>
          <w:lang w:val="en"/>
        </w:rPr>
        <w:t xml:space="preserve"> to facilitate managing the </w:t>
      </w:r>
      <w:r w:rsidR="002A53ED" w:rsidRPr="007372AB">
        <w:rPr>
          <w:rFonts w:ascii="Cambria" w:hAnsi="Cambria"/>
          <w:iCs/>
          <w:lang w:val="en"/>
        </w:rPr>
        <w:t>customers’</w:t>
      </w:r>
      <w:r w:rsidRPr="007372AB">
        <w:rPr>
          <w:rFonts w:ascii="Cambria" w:hAnsi="Cambria"/>
          <w:iCs/>
          <w:lang w:val="en"/>
        </w:rPr>
        <w:t xml:space="preserve"> financial difficulties and ensure better payment behaviour. Forbearance operations usually imply a rate reduction which will lead to </w:t>
      </w:r>
      <w:r w:rsidR="000516E0" w:rsidRPr="007372AB">
        <w:rPr>
          <w:rFonts w:ascii="Cambria" w:hAnsi="Cambria"/>
          <w:iCs/>
          <w:lang w:val="en"/>
        </w:rPr>
        <w:t>breaching</w:t>
      </w:r>
      <w:r w:rsidRPr="007372AB">
        <w:rPr>
          <w:rFonts w:ascii="Cambria" w:hAnsi="Cambria"/>
          <w:iCs/>
          <w:lang w:val="en"/>
        </w:rPr>
        <w:t xml:space="preserve"> the 1% threshold. However, experience shows that the profitability of the operation </w:t>
      </w:r>
      <w:proofErr w:type="gramStart"/>
      <w:r w:rsidRPr="007372AB">
        <w:rPr>
          <w:rFonts w:ascii="Cambria" w:hAnsi="Cambria"/>
          <w:iCs/>
          <w:lang w:val="en"/>
        </w:rPr>
        <w:t>is not affected</w:t>
      </w:r>
      <w:proofErr w:type="gramEnd"/>
      <w:r w:rsidRPr="007372AB">
        <w:rPr>
          <w:rFonts w:ascii="Cambria" w:hAnsi="Cambria"/>
          <w:iCs/>
          <w:lang w:val="en"/>
        </w:rPr>
        <w:t xml:space="preserve">. Applying the EU threshold might </w:t>
      </w:r>
      <w:r w:rsidR="00140A63">
        <w:rPr>
          <w:rFonts w:ascii="Cambria" w:hAnsi="Cambria"/>
          <w:iCs/>
          <w:lang w:val="en"/>
        </w:rPr>
        <w:t>push</w:t>
      </w:r>
      <w:r w:rsidRPr="007372AB">
        <w:rPr>
          <w:rFonts w:ascii="Cambria" w:hAnsi="Cambria"/>
          <w:iCs/>
          <w:lang w:val="en"/>
        </w:rPr>
        <w:t xml:space="preserve"> these clients </w:t>
      </w:r>
      <w:r w:rsidR="00140A63">
        <w:rPr>
          <w:rFonts w:ascii="Cambria" w:hAnsi="Cambria"/>
          <w:iCs/>
          <w:lang w:val="en"/>
        </w:rPr>
        <w:t xml:space="preserve">out of </w:t>
      </w:r>
      <w:r w:rsidRPr="007372AB">
        <w:rPr>
          <w:rFonts w:ascii="Cambria" w:hAnsi="Cambria"/>
          <w:iCs/>
          <w:lang w:val="en"/>
        </w:rPr>
        <w:t xml:space="preserve">the </w:t>
      </w:r>
      <w:r w:rsidR="00396C9F" w:rsidRPr="007372AB">
        <w:rPr>
          <w:rFonts w:ascii="Cambria" w:hAnsi="Cambria"/>
          <w:iCs/>
          <w:lang w:val="en"/>
        </w:rPr>
        <w:t>market,</w:t>
      </w:r>
      <w:r w:rsidRPr="007372AB">
        <w:rPr>
          <w:rFonts w:ascii="Cambria" w:hAnsi="Cambria"/>
          <w:iCs/>
          <w:lang w:val="en"/>
        </w:rPr>
        <w:t xml:space="preserve"> which is </w:t>
      </w:r>
      <w:r w:rsidR="00140A63">
        <w:rPr>
          <w:rFonts w:ascii="Cambria" w:hAnsi="Cambria"/>
          <w:iCs/>
          <w:lang w:val="en"/>
        </w:rPr>
        <w:t>not optimal</w:t>
      </w:r>
      <w:r w:rsidRPr="007372AB">
        <w:rPr>
          <w:rFonts w:ascii="Cambria" w:hAnsi="Cambria"/>
          <w:iCs/>
          <w:lang w:val="en"/>
        </w:rPr>
        <w:t xml:space="preserve"> for the banks or the clients</w:t>
      </w:r>
      <w:proofErr w:type="gramStart"/>
      <w:r w:rsidRPr="007372AB">
        <w:rPr>
          <w:rFonts w:ascii="Cambria" w:hAnsi="Cambria"/>
          <w:iCs/>
          <w:lang w:val="en"/>
        </w:rPr>
        <w:t xml:space="preserve">.  </w:t>
      </w:r>
      <w:proofErr w:type="gramEnd"/>
      <w:r w:rsidRPr="007372AB">
        <w:rPr>
          <w:rFonts w:ascii="Cambria" w:hAnsi="Cambria"/>
          <w:iCs/>
          <w:lang w:val="en"/>
        </w:rPr>
        <w:t xml:space="preserve">An exemption should </w:t>
      </w:r>
      <w:proofErr w:type="gramStart"/>
      <w:r w:rsidRPr="007372AB">
        <w:rPr>
          <w:rFonts w:ascii="Cambria" w:hAnsi="Cambria"/>
          <w:iCs/>
          <w:lang w:val="en"/>
        </w:rPr>
        <w:t>be applied</w:t>
      </w:r>
      <w:proofErr w:type="gramEnd"/>
      <w:r w:rsidRPr="007372AB">
        <w:rPr>
          <w:rFonts w:ascii="Cambria" w:hAnsi="Cambria"/>
          <w:iCs/>
          <w:lang w:val="en"/>
        </w:rPr>
        <w:t xml:space="preserve"> to those </w:t>
      </w:r>
      <w:proofErr w:type="gramStart"/>
      <w:r w:rsidRPr="007372AB">
        <w:rPr>
          <w:rFonts w:ascii="Cambria" w:hAnsi="Cambria"/>
          <w:iCs/>
          <w:lang w:val="en"/>
        </w:rPr>
        <w:t>jurisdictions</w:t>
      </w:r>
      <w:proofErr w:type="gramEnd"/>
      <w:r w:rsidRPr="007372AB">
        <w:rPr>
          <w:rFonts w:ascii="Cambria" w:hAnsi="Cambria"/>
          <w:iCs/>
          <w:lang w:val="en"/>
        </w:rPr>
        <w:t>.</w:t>
      </w:r>
    </w:p>
    <w:p w14:paraId="189CCC8F" w14:textId="5338F7BD" w:rsidR="00B378D3" w:rsidRPr="007372AB" w:rsidRDefault="00B378D3" w:rsidP="007372AB">
      <w:pPr>
        <w:pStyle w:val="ListParagraph"/>
        <w:numPr>
          <w:ilvl w:val="0"/>
          <w:numId w:val="8"/>
        </w:numPr>
        <w:spacing w:before="120" w:after="120" w:line="259" w:lineRule="auto"/>
        <w:jc w:val="both"/>
        <w:rPr>
          <w:rFonts w:ascii="Cambria" w:hAnsi="Cambria"/>
          <w:iCs/>
          <w:lang w:val="en"/>
        </w:rPr>
      </w:pPr>
      <w:r w:rsidRPr="007372AB">
        <w:rPr>
          <w:rFonts w:ascii="Cambria" w:hAnsi="Cambria"/>
          <w:iCs/>
          <w:lang w:val="en"/>
        </w:rPr>
        <w:t>In the same vein, in EU markets when rates are rising (as recently</w:t>
      </w:r>
      <w:r w:rsidR="00140A63">
        <w:rPr>
          <w:rFonts w:ascii="Cambria" w:hAnsi="Cambria"/>
          <w:iCs/>
          <w:lang w:val="en"/>
        </w:rPr>
        <w:t xml:space="preserve"> has been the case</w:t>
      </w:r>
      <w:r w:rsidRPr="007372AB">
        <w:rPr>
          <w:rFonts w:ascii="Cambria" w:hAnsi="Cambria"/>
          <w:iCs/>
          <w:lang w:val="en"/>
        </w:rPr>
        <w:t>), th</w:t>
      </w:r>
      <w:r w:rsidR="00140A63">
        <w:rPr>
          <w:rFonts w:ascii="Cambria" w:hAnsi="Cambria"/>
          <w:iCs/>
          <w:lang w:val="en"/>
        </w:rPr>
        <w:t>e</w:t>
      </w:r>
      <w:r w:rsidRPr="007372AB">
        <w:rPr>
          <w:rFonts w:ascii="Cambria" w:hAnsi="Cambria"/>
          <w:iCs/>
          <w:lang w:val="en"/>
        </w:rPr>
        <w:t xml:space="preserve"> 1% threshold is particularly detrimental, as breaching it becomes more frequent (by the mere application of the formula that calculates it); however, it is considered that the expected behaviour of the customer after the forbearance measure would</w:t>
      </w:r>
      <w:r w:rsidR="00DF0AF1">
        <w:rPr>
          <w:rFonts w:ascii="Cambria" w:hAnsi="Cambria"/>
          <w:iCs/>
          <w:lang w:val="en"/>
        </w:rPr>
        <w:t>n’t be any</w:t>
      </w:r>
      <w:r w:rsidRPr="007372AB">
        <w:rPr>
          <w:rFonts w:ascii="Cambria" w:hAnsi="Cambria"/>
          <w:iCs/>
          <w:lang w:val="en"/>
        </w:rPr>
        <w:t xml:space="preserve"> worse than if th</w:t>
      </w:r>
      <w:r w:rsidR="00DF0AF1">
        <w:rPr>
          <w:rFonts w:ascii="Cambria" w:hAnsi="Cambria"/>
          <w:iCs/>
          <w:lang w:val="en"/>
        </w:rPr>
        <w:t>e</w:t>
      </w:r>
      <w:r w:rsidRPr="007372AB">
        <w:rPr>
          <w:rFonts w:ascii="Cambria" w:hAnsi="Cambria"/>
          <w:iCs/>
          <w:lang w:val="en"/>
        </w:rPr>
        <w:t xml:space="preserve"> 1% threshold </w:t>
      </w:r>
      <w:r w:rsidR="00FF70DE">
        <w:rPr>
          <w:rFonts w:ascii="Cambria" w:hAnsi="Cambria"/>
          <w:iCs/>
          <w:lang w:val="en"/>
        </w:rPr>
        <w:t>were</w:t>
      </w:r>
      <w:r w:rsidRPr="007372AB">
        <w:rPr>
          <w:rFonts w:ascii="Cambria" w:hAnsi="Cambria"/>
          <w:iCs/>
          <w:lang w:val="en"/>
        </w:rPr>
        <w:t xml:space="preserve"> not breached.</w:t>
      </w:r>
    </w:p>
    <w:p w14:paraId="52604F1B" w14:textId="75CB58BD" w:rsidR="00B378D3" w:rsidRPr="00B378D3" w:rsidRDefault="00B378D3" w:rsidP="007372AB">
      <w:pPr>
        <w:spacing w:before="120" w:after="120" w:line="259" w:lineRule="auto"/>
        <w:jc w:val="both"/>
        <w:rPr>
          <w:rFonts w:ascii="Cambria" w:hAnsi="Cambria"/>
          <w:iCs/>
          <w:lang w:val="en"/>
        </w:rPr>
      </w:pPr>
      <w:r w:rsidRPr="00B378D3">
        <w:rPr>
          <w:rFonts w:ascii="Cambria" w:hAnsi="Cambria"/>
          <w:iCs/>
          <w:lang w:val="en"/>
        </w:rPr>
        <w:t xml:space="preserve">The DO and the 1% NPV threshold have meant the establishment of an additional criterion to </w:t>
      </w:r>
      <w:r w:rsidR="00114455">
        <w:rPr>
          <w:rFonts w:ascii="Cambria" w:hAnsi="Cambria"/>
          <w:iCs/>
          <w:lang w:val="en"/>
        </w:rPr>
        <w:t>identify</w:t>
      </w:r>
      <w:r w:rsidRPr="00B378D3">
        <w:rPr>
          <w:rFonts w:ascii="Cambria" w:hAnsi="Cambria"/>
          <w:iCs/>
          <w:lang w:val="en"/>
        </w:rPr>
        <w:t xml:space="preserve"> if the forbearance is performing or not</w:t>
      </w:r>
      <w:proofErr w:type="gramStart"/>
      <w:r w:rsidRPr="00B378D3">
        <w:rPr>
          <w:rFonts w:ascii="Cambria" w:hAnsi="Cambria"/>
          <w:iCs/>
          <w:lang w:val="en"/>
        </w:rPr>
        <w:t xml:space="preserve">.  </w:t>
      </w:r>
      <w:proofErr w:type="gramEnd"/>
      <w:r w:rsidRPr="00B378D3">
        <w:rPr>
          <w:rFonts w:ascii="Cambria" w:hAnsi="Cambria"/>
          <w:iCs/>
          <w:lang w:val="en"/>
        </w:rPr>
        <w:t xml:space="preserve">Assuming that other default conditions </w:t>
      </w:r>
      <w:proofErr w:type="gramStart"/>
      <w:r w:rsidRPr="00B378D3">
        <w:rPr>
          <w:rFonts w:ascii="Cambria" w:hAnsi="Cambria"/>
          <w:iCs/>
          <w:lang w:val="en"/>
        </w:rPr>
        <w:t>are not met</w:t>
      </w:r>
      <w:proofErr w:type="gramEnd"/>
      <w:r w:rsidRPr="00B378D3">
        <w:rPr>
          <w:rFonts w:ascii="Cambria" w:hAnsi="Cambria"/>
          <w:iCs/>
          <w:lang w:val="en"/>
        </w:rPr>
        <w:t xml:space="preserve"> (</w:t>
      </w:r>
      <w:proofErr w:type="gramStart"/>
      <w:r w:rsidRPr="00B378D3">
        <w:rPr>
          <w:rFonts w:ascii="Cambria" w:hAnsi="Cambria"/>
          <w:iCs/>
          <w:lang w:val="en"/>
        </w:rPr>
        <w:t>e.g.</w:t>
      </w:r>
      <w:proofErr w:type="gramEnd"/>
      <w:r w:rsidRPr="00B378D3">
        <w:rPr>
          <w:rFonts w:ascii="Cambria" w:hAnsi="Cambria"/>
          <w:iCs/>
          <w:lang w:val="en"/>
        </w:rPr>
        <w:t xml:space="preserve"> no 90+ prior to the forbearance, capital grace periods, no debt forgiveness…) the DO criteria </w:t>
      </w:r>
      <w:r w:rsidR="00961010">
        <w:rPr>
          <w:rFonts w:ascii="Cambria" w:hAnsi="Cambria"/>
          <w:iCs/>
          <w:lang w:val="en"/>
        </w:rPr>
        <w:t>is</w:t>
      </w:r>
      <w:r w:rsidRPr="00B378D3">
        <w:rPr>
          <w:rFonts w:ascii="Cambria" w:hAnsi="Cambria"/>
          <w:iCs/>
          <w:lang w:val="en"/>
        </w:rPr>
        <w:t xml:space="preserve"> the only trigger to classify a disruption in the loss’s estimation. </w:t>
      </w:r>
    </w:p>
    <w:p w14:paraId="53C7B1BF" w14:textId="70BE4132" w:rsidR="00B378D3" w:rsidRPr="00B378D3" w:rsidRDefault="00B378D3" w:rsidP="007372AB">
      <w:pPr>
        <w:spacing w:before="120" w:after="120" w:line="259" w:lineRule="auto"/>
        <w:jc w:val="both"/>
        <w:rPr>
          <w:rFonts w:ascii="Cambria" w:hAnsi="Cambria"/>
          <w:iCs/>
          <w:lang w:val="en"/>
        </w:rPr>
      </w:pPr>
      <w:r w:rsidRPr="00B378D3">
        <w:rPr>
          <w:rFonts w:ascii="Cambria" w:hAnsi="Cambria"/>
          <w:iCs/>
          <w:lang w:val="en"/>
        </w:rPr>
        <w:t xml:space="preserve">The mere application of a threshold that (i) is ‘non-sensitive’ to market practices; (ii) does not consider the entity's risk profile </w:t>
      </w:r>
      <w:r w:rsidR="00396C9F" w:rsidRPr="00B378D3">
        <w:rPr>
          <w:rFonts w:ascii="Cambria" w:hAnsi="Cambria"/>
          <w:iCs/>
          <w:lang w:val="en"/>
        </w:rPr>
        <w:t>or</w:t>
      </w:r>
      <w:r w:rsidRPr="00B378D3">
        <w:rPr>
          <w:rFonts w:ascii="Cambria" w:hAnsi="Cambria"/>
          <w:iCs/>
          <w:lang w:val="en"/>
        </w:rPr>
        <w:t xml:space="preserve"> (iii) does not take into account the portfolio characteristics, should not be the sole determinant of whether or not the forbearance defaults. Furthermore, this criterion DO 1% threshold is very sensitive to the new conditions granted to the customer, and it could lead to </w:t>
      </w:r>
      <w:r w:rsidR="00396C9F" w:rsidRPr="00B378D3">
        <w:rPr>
          <w:rFonts w:ascii="Cambria" w:hAnsi="Cambria"/>
          <w:iCs/>
          <w:lang w:val="en"/>
        </w:rPr>
        <w:t>breaching</w:t>
      </w:r>
      <w:r w:rsidRPr="00B378D3">
        <w:rPr>
          <w:rFonts w:ascii="Cambria" w:hAnsi="Cambria"/>
          <w:iCs/>
          <w:lang w:val="en"/>
        </w:rPr>
        <w:t xml:space="preserve"> this threshold and </w:t>
      </w:r>
      <w:r w:rsidR="00877C93" w:rsidRPr="00B378D3">
        <w:rPr>
          <w:rFonts w:ascii="Cambria" w:hAnsi="Cambria"/>
          <w:iCs/>
          <w:lang w:val="en"/>
        </w:rPr>
        <w:t>automatically</w:t>
      </w:r>
      <w:r w:rsidRPr="00B378D3">
        <w:rPr>
          <w:rFonts w:ascii="Cambria" w:hAnsi="Cambria"/>
          <w:iCs/>
          <w:lang w:val="en"/>
        </w:rPr>
        <w:t xml:space="preserve"> record the facility as defaulted, even if the customer is performing and the loan or credit is profitable for the bank.  </w:t>
      </w:r>
    </w:p>
    <w:p w14:paraId="2EFADEA7" w14:textId="461A6411" w:rsidR="00B378D3" w:rsidRPr="00B378D3" w:rsidRDefault="00B378D3" w:rsidP="007372AB">
      <w:pPr>
        <w:spacing w:before="120" w:after="120" w:line="259" w:lineRule="auto"/>
        <w:jc w:val="both"/>
        <w:rPr>
          <w:rFonts w:ascii="Cambria" w:hAnsi="Cambria"/>
          <w:iCs/>
          <w:lang w:val="en"/>
        </w:rPr>
      </w:pPr>
      <w:r w:rsidRPr="00B378D3">
        <w:rPr>
          <w:rFonts w:ascii="Cambria" w:hAnsi="Cambria"/>
          <w:iCs/>
          <w:lang w:val="en"/>
        </w:rPr>
        <w:t>I</w:t>
      </w:r>
      <w:r w:rsidR="006D5F0F">
        <w:rPr>
          <w:rFonts w:ascii="Cambria" w:hAnsi="Cambria"/>
          <w:iCs/>
          <w:lang w:val="en"/>
        </w:rPr>
        <w:t>ndeed</w:t>
      </w:r>
      <w:r w:rsidRPr="00B378D3">
        <w:rPr>
          <w:rFonts w:ascii="Cambria" w:hAnsi="Cambria"/>
          <w:iCs/>
          <w:lang w:val="en"/>
        </w:rPr>
        <w:t xml:space="preserve">, prior to the establishment of the DO threshold, the existing criteria that referred to the status of the facility/obligor before the forbearance and to the characteristics of the new conditions, provided enough elements to </w:t>
      </w:r>
      <w:r w:rsidR="00396C9F" w:rsidRPr="00B378D3">
        <w:rPr>
          <w:rFonts w:ascii="Cambria" w:hAnsi="Cambria"/>
          <w:iCs/>
          <w:lang w:val="en"/>
        </w:rPr>
        <w:t>discriminate against</w:t>
      </w:r>
      <w:r w:rsidRPr="00B378D3">
        <w:rPr>
          <w:rFonts w:ascii="Cambria" w:hAnsi="Cambria"/>
          <w:iCs/>
          <w:lang w:val="en"/>
        </w:rPr>
        <w:t xml:space="preserve"> forbearances as performing and non-performing at the time of concession. These internal criteria (which consider banks’ risk profiles and are consistent with the strategy of each bank) </w:t>
      </w:r>
      <w:r w:rsidR="00877C93" w:rsidRPr="00B378D3">
        <w:rPr>
          <w:rFonts w:ascii="Cambria" w:hAnsi="Cambria"/>
          <w:iCs/>
          <w:lang w:val="en"/>
        </w:rPr>
        <w:t>have</w:t>
      </w:r>
      <w:r w:rsidRPr="00B378D3">
        <w:rPr>
          <w:rFonts w:ascii="Cambria" w:hAnsi="Cambria"/>
          <w:iCs/>
          <w:lang w:val="en"/>
        </w:rPr>
        <w:t xml:space="preserve"> been successfully applied by banking institutions for </w:t>
      </w:r>
      <w:r w:rsidR="00D85811">
        <w:rPr>
          <w:rFonts w:ascii="Cambria" w:hAnsi="Cambria"/>
          <w:iCs/>
          <w:lang w:val="en"/>
        </w:rPr>
        <w:t>many</w:t>
      </w:r>
      <w:r w:rsidRPr="00B378D3">
        <w:rPr>
          <w:rFonts w:ascii="Cambria" w:hAnsi="Cambria"/>
          <w:iCs/>
          <w:lang w:val="en"/>
        </w:rPr>
        <w:t xml:space="preserve"> years</w:t>
      </w:r>
      <w:r w:rsidR="007A04FF" w:rsidRPr="6BA844DD">
        <w:rPr>
          <w:rFonts w:ascii="Cambria" w:hAnsi="Cambria"/>
          <w:lang w:val="en"/>
        </w:rPr>
        <w:t>, and reviewed by the supervisor through many OSI</w:t>
      </w:r>
      <w:r w:rsidR="007A04FF" w:rsidRPr="7AE05D67">
        <w:rPr>
          <w:rFonts w:ascii="Cambria" w:hAnsi="Cambria"/>
          <w:lang w:val="en"/>
        </w:rPr>
        <w:t xml:space="preserve">, which has helped institutions refine their own </w:t>
      </w:r>
      <w:r w:rsidR="007A04FF" w:rsidRPr="457BD0A8">
        <w:rPr>
          <w:rFonts w:ascii="Cambria" w:hAnsi="Cambria"/>
          <w:lang w:val="en"/>
        </w:rPr>
        <w:t>internal governances, procedures and policies</w:t>
      </w:r>
      <w:r w:rsidRPr="00B378D3">
        <w:rPr>
          <w:rFonts w:ascii="Cambria" w:hAnsi="Cambria"/>
          <w:iCs/>
          <w:lang w:val="en"/>
        </w:rPr>
        <w:t>.</w:t>
      </w:r>
    </w:p>
    <w:p w14:paraId="0CF2FEE2" w14:textId="385FFD14" w:rsidR="005C1BDC" w:rsidRPr="007372AB" w:rsidRDefault="00B378D3" w:rsidP="007372AB">
      <w:pPr>
        <w:spacing w:before="120" w:after="120" w:line="259" w:lineRule="auto"/>
        <w:jc w:val="both"/>
        <w:rPr>
          <w:rFonts w:ascii="Cambria" w:hAnsi="Cambria"/>
          <w:iCs/>
        </w:rPr>
      </w:pPr>
      <w:r w:rsidRPr="00B378D3">
        <w:rPr>
          <w:rFonts w:ascii="Cambria" w:hAnsi="Cambria"/>
          <w:iCs/>
          <w:lang w:val="en"/>
        </w:rPr>
        <w:t xml:space="preserve">In conclusion, internal models and </w:t>
      </w:r>
      <w:r w:rsidR="00877C93" w:rsidRPr="00B378D3">
        <w:rPr>
          <w:rFonts w:ascii="Cambria" w:hAnsi="Cambria"/>
          <w:iCs/>
          <w:lang w:val="en"/>
        </w:rPr>
        <w:t>bank</w:t>
      </w:r>
      <w:r w:rsidRPr="00B378D3">
        <w:rPr>
          <w:rFonts w:ascii="Cambria" w:hAnsi="Cambria"/>
          <w:iCs/>
          <w:lang w:val="en"/>
        </w:rPr>
        <w:t xml:space="preserve"> practices are sound and robust enough</w:t>
      </w:r>
      <w:r w:rsidR="001607A7">
        <w:rPr>
          <w:rFonts w:ascii="Cambria" w:hAnsi="Cambria"/>
          <w:iCs/>
          <w:lang w:val="en"/>
        </w:rPr>
        <w:t xml:space="preserve"> to </w:t>
      </w:r>
      <w:r w:rsidR="00DC117D">
        <w:rPr>
          <w:rFonts w:ascii="Cambria" w:hAnsi="Cambria"/>
          <w:iCs/>
          <w:lang w:val="en"/>
        </w:rPr>
        <w:t>establish when to apply forbearance measures</w:t>
      </w:r>
      <w:r w:rsidR="00932FEF">
        <w:rPr>
          <w:rFonts w:ascii="Cambria" w:hAnsi="Cambria"/>
          <w:iCs/>
          <w:lang w:val="en"/>
        </w:rPr>
        <w:t xml:space="preserve">. We </w:t>
      </w:r>
      <w:r w:rsidR="00CA5635">
        <w:rPr>
          <w:rFonts w:ascii="Cambria" w:hAnsi="Cambria"/>
          <w:iCs/>
          <w:lang w:val="en"/>
        </w:rPr>
        <w:t>therefore suggest</w:t>
      </w:r>
      <w:r w:rsidRPr="00B378D3">
        <w:rPr>
          <w:rFonts w:ascii="Cambria" w:hAnsi="Cambria"/>
          <w:iCs/>
          <w:lang w:val="en"/>
        </w:rPr>
        <w:t xml:space="preserve"> the DO threshold </w:t>
      </w:r>
      <w:r w:rsidR="00E62B80">
        <w:rPr>
          <w:rFonts w:ascii="Cambria" w:hAnsi="Cambria"/>
          <w:iCs/>
          <w:lang w:val="en"/>
        </w:rPr>
        <w:t xml:space="preserve">should </w:t>
      </w:r>
      <w:proofErr w:type="gramStart"/>
      <w:r w:rsidR="009D2CAA">
        <w:rPr>
          <w:rFonts w:ascii="Cambria" w:hAnsi="Cambria"/>
          <w:iCs/>
          <w:lang w:val="en"/>
        </w:rPr>
        <w:t>be amended</w:t>
      </w:r>
      <w:proofErr w:type="gramEnd"/>
      <w:r w:rsidR="009D2CAA">
        <w:rPr>
          <w:rFonts w:ascii="Cambria" w:hAnsi="Cambria"/>
          <w:iCs/>
          <w:lang w:val="en"/>
        </w:rPr>
        <w:t xml:space="preserve"> </w:t>
      </w:r>
      <w:r w:rsidR="00932FEF">
        <w:rPr>
          <w:rFonts w:ascii="Cambria" w:hAnsi="Cambria"/>
          <w:iCs/>
          <w:lang w:val="en"/>
        </w:rPr>
        <w:t xml:space="preserve">to </w:t>
      </w:r>
      <w:proofErr w:type="gramStart"/>
      <w:r w:rsidR="00932FEF">
        <w:rPr>
          <w:rFonts w:ascii="Cambria" w:hAnsi="Cambria"/>
          <w:iCs/>
          <w:lang w:val="en"/>
        </w:rPr>
        <w:t>act as</w:t>
      </w:r>
      <w:proofErr w:type="gramEnd"/>
      <w:r w:rsidR="00932FEF">
        <w:rPr>
          <w:rFonts w:ascii="Cambria" w:hAnsi="Cambria"/>
          <w:iCs/>
          <w:lang w:val="en"/>
        </w:rPr>
        <w:t xml:space="preserve"> a backstop</w:t>
      </w:r>
      <w:r w:rsidR="00CA5635">
        <w:rPr>
          <w:rFonts w:ascii="Cambria" w:hAnsi="Cambria"/>
          <w:iCs/>
          <w:lang w:val="en"/>
        </w:rPr>
        <w:t xml:space="preserve"> to the other forbearance criteria rather than an overriding measure to determine </w:t>
      </w:r>
      <w:r w:rsidR="000926A4">
        <w:rPr>
          <w:rFonts w:ascii="Cambria" w:hAnsi="Cambria"/>
          <w:iCs/>
          <w:lang w:val="en"/>
        </w:rPr>
        <w:t xml:space="preserve">default and suggest the NPV threshold </w:t>
      </w:r>
      <w:r w:rsidR="00335A72">
        <w:rPr>
          <w:rFonts w:ascii="Cambria" w:hAnsi="Cambria"/>
          <w:iCs/>
          <w:lang w:val="en"/>
        </w:rPr>
        <w:t xml:space="preserve">(as defined by the bank) </w:t>
      </w:r>
      <w:proofErr w:type="gramStart"/>
      <w:r w:rsidR="000926A4">
        <w:rPr>
          <w:rFonts w:ascii="Cambria" w:hAnsi="Cambria"/>
          <w:iCs/>
          <w:lang w:val="en"/>
        </w:rPr>
        <w:t xml:space="preserve">is </w:t>
      </w:r>
      <w:r w:rsidR="005D4240">
        <w:rPr>
          <w:rFonts w:ascii="Cambria" w:hAnsi="Cambria"/>
          <w:iCs/>
          <w:lang w:val="en"/>
        </w:rPr>
        <w:t>capped</w:t>
      </w:r>
      <w:proofErr w:type="gramEnd"/>
      <w:r w:rsidR="005D4240">
        <w:rPr>
          <w:rFonts w:ascii="Cambria" w:hAnsi="Cambria"/>
          <w:iCs/>
          <w:lang w:val="en"/>
        </w:rPr>
        <w:t xml:space="preserve"> at </w:t>
      </w:r>
      <w:r w:rsidR="000926A4">
        <w:rPr>
          <w:rFonts w:ascii="Cambria" w:hAnsi="Cambria"/>
          <w:iCs/>
          <w:lang w:val="en"/>
        </w:rPr>
        <w:t>5%</w:t>
      </w:r>
      <w:r>
        <w:rPr>
          <w:rFonts w:ascii="Cambria" w:hAnsi="Cambria"/>
          <w:iCs/>
          <w:lang w:val="en"/>
        </w:rPr>
        <w:t>.</w:t>
      </w:r>
    </w:p>
    <w:p w14:paraId="27107B96" w14:textId="081AF1A8" w:rsidR="00E558A5" w:rsidRDefault="00D67E19" w:rsidP="007372AB">
      <w:pPr>
        <w:spacing w:before="120" w:after="120" w:line="259" w:lineRule="auto"/>
        <w:jc w:val="both"/>
        <w:rPr>
          <w:rFonts w:ascii="Cambria" w:hAnsi="Cambria"/>
          <w:b/>
          <w:bCs/>
        </w:rPr>
      </w:pPr>
      <w:r w:rsidRPr="007372AB">
        <w:rPr>
          <w:rFonts w:ascii="Cambria" w:hAnsi="Cambria"/>
          <w:b/>
          <w:bCs/>
        </w:rPr>
        <w:t>Question 2: Do you think that relaxing the criteria for the minimum period before returning to the non-defaulted status for defaulted forborne exposures could be an appropriate measure to alleviate a higher burden on your institution and clients? How material would the difference be in your case between the amounts of forborne exposures classified as NPE and as defaulted if the minimum one-</w:t>
      </w:r>
      <w:r w:rsidRPr="007372AB">
        <w:rPr>
          <w:rFonts w:ascii="Cambria" w:hAnsi="Cambria"/>
          <w:b/>
          <w:bCs/>
        </w:rPr>
        <w:lastRenderedPageBreak/>
        <w:t>year probation period in the definition of default were reduced to three-months for certain forborne exposures (with change in NPV below 5% and no loss on the nominal amount)? Would that proposal create additional operational burden or practical impediments? Do you see support such proposal, and if so, for which reasons?</w:t>
      </w:r>
    </w:p>
    <w:p w14:paraId="5F5F8C02" w14:textId="52A1819D" w:rsidR="002D0489" w:rsidRPr="00B808F2" w:rsidRDefault="005200D8" w:rsidP="00B808F2">
      <w:pPr>
        <w:spacing w:before="120" w:after="120" w:line="259" w:lineRule="auto"/>
        <w:jc w:val="both"/>
        <w:rPr>
          <w:rFonts w:ascii="Cambria" w:hAnsi="Cambria"/>
          <w:iCs/>
          <w:lang w:val="en"/>
        </w:rPr>
      </w:pPr>
      <w:r>
        <w:rPr>
          <w:rFonts w:ascii="Cambria" w:hAnsi="Cambria"/>
          <w:iCs/>
          <w:lang w:val="en"/>
        </w:rPr>
        <w:t>As</w:t>
      </w:r>
      <w:r w:rsidR="004D51FB" w:rsidRPr="00E558A5">
        <w:rPr>
          <w:rFonts w:ascii="Cambria" w:hAnsi="Cambria"/>
          <w:iCs/>
          <w:lang w:val="en"/>
        </w:rPr>
        <w:t xml:space="preserve"> highlighted in the Consultation Paper, significant efforts have </w:t>
      </w:r>
      <w:proofErr w:type="gramStart"/>
      <w:r w:rsidR="004D51FB" w:rsidRPr="00E558A5">
        <w:rPr>
          <w:rFonts w:ascii="Cambria" w:hAnsi="Cambria"/>
          <w:iCs/>
          <w:lang w:val="en"/>
        </w:rPr>
        <w:t>been made</w:t>
      </w:r>
      <w:proofErr w:type="gramEnd"/>
      <w:r w:rsidR="004D51FB" w:rsidRPr="00E558A5">
        <w:rPr>
          <w:rFonts w:ascii="Cambria" w:hAnsi="Cambria"/>
          <w:iCs/>
          <w:lang w:val="en"/>
        </w:rPr>
        <w:t xml:space="preserve"> to align non-performance exposure (NPE) definition and default definition</w:t>
      </w:r>
      <w:r w:rsidR="004D51FB">
        <w:rPr>
          <w:rFonts w:ascii="Cambria" w:hAnsi="Cambria"/>
          <w:iCs/>
          <w:lang w:val="en"/>
        </w:rPr>
        <w:t xml:space="preserve"> from both </w:t>
      </w:r>
      <w:r w:rsidR="00797B8D">
        <w:rPr>
          <w:rFonts w:ascii="Cambria" w:hAnsi="Cambria"/>
          <w:iCs/>
          <w:lang w:val="en"/>
        </w:rPr>
        <w:t>regulators and industry alike</w:t>
      </w:r>
      <w:proofErr w:type="gramStart"/>
      <w:r w:rsidR="006F52B3">
        <w:rPr>
          <w:rFonts w:ascii="Cambria" w:hAnsi="Cambria"/>
          <w:iCs/>
          <w:lang w:val="en"/>
        </w:rPr>
        <w:t xml:space="preserve">. </w:t>
      </w:r>
      <w:r w:rsidR="00797B8D">
        <w:rPr>
          <w:rFonts w:ascii="Cambria" w:hAnsi="Cambria"/>
          <w:iCs/>
          <w:lang w:val="en"/>
        </w:rPr>
        <w:t xml:space="preserve"> </w:t>
      </w:r>
      <w:proofErr w:type="gramEnd"/>
      <w:r w:rsidR="006F52B3">
        <w:rPr>
          <w:rFonts w:ascii="Cambria" w:hAnsi="Cambria"/>
          <w:iCs/>
          <w:lang w:val="en"/>
        </w:rPr>
        <w:t xml:space="preserve">Further </w:t>
      </w:r>
      <w:r w:rsidR="00797B8D">
        <w:rPr>
          <w:rFonts w:ascii="Cambria" w:hAnsi="Cambria"/>
          <w:iCs/>
          <w:lang w:val="en"/>
        </w:rPr>
        <w:t xml:space="preserve">changes </w:t>
      </w:r>
      <w:r w:rsidR="006F52B3">
        <w:rPr>
          <w:rFonts w:ascii="Cambria" w:hAnsi="Cambria"/>
          <w:iCs/>
          <w:lang w:val="en"/>
        </w:rPr>
        <w:t xml:space="preserve">in this area </w:t>
      </w:r>
      <w:r w:rsidR="00797B8D">
        <w:rPr>
          <w:rFonts w:ascii="Cambria" w:hAnsi="Cambria"/>
          <w:iCs/>
          <w:lang w:val="en"/>
        </w:rPr>
        <w:t xml:space="preserve">will have a high impact </w:t>
      </w:r>
      <w:r w:rsidR="00C43802">
        <w:rPr>
          <w:rFonts w:ascii="Cambria" w:hAnsi="Cambria"/>
          <w:iCs/>
          <w:lang w:val="en"/>
        </w:rPr>
        <w:t>on rating systems and potential model changes. Consequently</w:t>
      </w:r>
      <w:r w:rsidR="006F52B3">
        <w:rPr>
          <w:rFonts w:ascii="Cambria" w:hAnsi="Cambria"/>
          <w:iCs/>
          <w:lang w:val="en"/>
        </w:rPr>
        <w:t>, w</w:t>
      </w:r>
      <w:r w:rsidR="00C43802" w:rsidRPr="00CC007E">
        <w:t xml:space="preserve">e </w:t>
      </w:r>
      <w:r w:rsidR="00C43802">
        <w:t xml:space="preserve">do </w:t>
      </w:r>
      <w:r w:rsidR="00C43802" w:rsidRPr="00CC007E">
        <w:t xml:space="preserve">not </w:t>
      </w:r>
      <w:r w:rsidR="00C319DC">
        <w:t xml:space="preserve">anticipate that </w:t>
      </w:r>
      <w:r w:rsidR="00C43802" w:rsidRPr="00CC007E">
        <w:t xml:space="preserve"> the proposal</w:t>
      </w:r>
      <w:r w:rsidR="00C319DC">
        <w:t>s in their current form</w:t>
      </w:r>
      <w:r w:rsidR="00C43802" w:rsidRPr="00CC007E">
        <w:t xml:space="preserve"> for relaxing </w:t>
      </w:r>
      <w:r w:rsidR="00C43802">
        <w:t>the probation period</w:t>
      </w:r>
      <w:r w:rsidR="00C319DC">
        <w:t xml:space="preserve"> would be materially beneficial</w:t>
      </w:r>
      <w:r w:rsidR="00A15806">
        <w:t>,</w:t>
      </w:r>
      <w:r w:rsidR="00C43802" w:rsidRPr="00CC007E">
        <w:t xml:space="preserve"> as its implementation would add complexity to the risk management for banks</w:t>
      </w:r>
      <w:r w:rsidR="00C43802">
        <w:t>,</w:t>
      </w:r>
      <w:r w:rsidR="00C43802" w:rsidRPr="00CC007E">
        <w:t xml:space="preserve"> </w:t>
      </w:r>
      <w:r w:rsidR="00C43802">
        <w:t>as well as</w:t>
      </w:r>
      <w:r w:rsidR="006F52B3">
        <w:t xml:space="preserve"> having</w:t>
      </w:r>
      <w:r w:rsidR="00C43802">
        <w:t xml:space="preserve"> a large</w:t>
      </w:r>
      <w:r w:rsidR="00C43802" w:rsidRPr="00CC007E">
        <w:t xml:space="preserve"> operational impact</w:t>
      </w:r>
      <w:r w:rsidR="00B808F2">
        <w:t xml:space="preserve"> – far greater than any benefit that could be derived from the changes.</w:t>
      </w:r>
      <w:r w:rsidR="00CB5FBE">
        <w:t xml:space="preserve"> </w:t>
      </w:r>
      <w:r w:rsidR="00F429B3">
        <w:rPr>
          <w:rFonts w:ascii="Cambria" w:hAnsi="Cambria"/>
          <w:iCs/>
          <w:lang w:val="en"/>
        </w:rPr>
        <w:t xml:space="preserve">Indeed, </w:t>
      </w:r>
      <w:r w:rsidR="00F429B3" w:rsidRPr="00E558A5">
        <w:rPr>
          <w:rFonts w:ascii="Cambria" w:hAnsi="Cambria"/>
          <w:iCs/>
          <w:lang w:val="en"/>
        </w:rPr>
        <w:t xml:space="preserve">considering the conditions that need to be satisfied for </w:t>
      </w:r>
      <w:r w:rsidR="00F429B3">
        <w:rPr>
          <w:rFonts w:ascii="Cambria" w:hAnsi="Cambria"/>
          <w:iCs/>
          <w:lang w:val="en"/>
        </w:rPr>
        <w:t xml:space="preserve">any </w:t>
      </w:r>
      <w:r w:rsidR="00F429B3" w:rsidRPr="00E558A5">
        <w:rPr>
          <w:rFonts w:ascii="Cambria" w:hAnsi="Cambria"/>
          <w:iCs/>
          <w:lang w:val="en"/>
        </w:rPr>
        <w:t xml:space="preserve">reduction to apply, the cases </w:t>
      </w:r>
      <w:r w:rsidR="00F429B3">
        <w:rPr>
          <w:rFonts w:ascii="Cambria" w:hAnsi="Cambria"/>
          <w:iCs/>
          <w:lang w:val="en"/>
        </w:rPr>
        <w:t xml:space="preserve">which would </w:t>
      </w:r>
      <w:r w:rsidR="00F429B3" w:rsidRPr="00E558A5">
        <w:rPr>
          <w:rFonts w:ascii="Cambria" w:hAnsi="Cambria"/>
          <w:iCs/>
          <w:lang w:val="en"/>
        </w:rPr>
        <w:t>potentially benefit</w:t>
      </w:r>
      <w:r w:rsidR="00F429B3">
        <w:rPr>
          <w:rFonts w:ascii="Cambria" w:hAnsi="Cambria"/>
          <w:iCs/>
          <w:lang w:val="en"/>
        </w:rPr>
        <w:t xml:space="preserve"> from </w:t>
      </w:r>
      <w:r w:rsidR="00F429B3" w:rsidRPr="00E558A5">
        <w:rPr>
          <w:rFonts w:ascii="Cambria" w:hAnsi="Cambria"/>
          <w:iCs/>
          <w:lang w:val="en"/>
        </w:rPr>
        <w:t>this proposal could be limited, as changes in interest rate</w:t>
      </w:r>
      <w:r w:rsidR="00F429B3">
        <w:rPr>
          <w:rFonts w:ascii="Cambria" w:hAnsi="Cambria"/>
          <w:iCs/>
          <w:lang w:val="en"/>
        </w:rPr>
        <w:t>s</w:t>
      </w:r>
      <w:r w:rsidR="00F429B3" w:rsidRPr="00E558A5">
        <w:rPr>
          <w:rFonts w:ascii="Cambria" w:hAnsi="Cambria"/>
          <w:iCs/>
          <w:lang w:val="en"/>
        </w:rPr>
        <w:t xml:space="preserve"> </w:t>
      </w:r>
      <w:r w:rsidR="00F429B3">
        <w:rPr>
          <w:rFonts w:ascii="Cambria" w:hAnsi="Cambria"/>
          <w:iCs/>
          <w:lang w:val="en"/>
        </w:rPr>
        <w:t xml:space="preserve">are </w:t>
      </w:r>
      <w:r w:rsidR="00F429B3" w:rsidRPr="00E558A5">
        <w:rPr>
          <w:rFonts w:ascii="Cambria" w:hAnsi="Cambria"/>
          <w:iCs/>
          <w:lang w:val="en"/>
        </w:rPr>
        <w:t xml:space="preserve">usually applied in the forbearance.  Hence, </w:t>
      </w:r>
      <w:r w:rsidR="00F429B3">
        <w:rPr>
          <w:rFonts w:ascii="Cambria" w:hAnsi="Cambria"/>
          <w:iCs/>
          <w:lang w:val="en"/>
        </w:rPr>
        <w:t>this</w:t>
      </w:r>
      <w:r w:rsidR="00F429B3" w:rsidRPr="00E558A5">
        <w:rPr>
          <w:rFonts w:ascii="Cambria" w:hAnsi="Cambria"/>
          <w:iCs/>
          <w:lang w:val="en"/>
        </w:rPr>
        <w:t xml:space="preserve"> proposal alone does not provide for a </w:t>
      </w:r>
      <w:r w:rsidR="00A15806">
        <w:rPr>
          <w:rFonts w:ascii="Cambria" w:hAnsi="Cambria"/>
          <w:iCs/>
          <w:lang w:val="en"/>
        </w:rPr>
        <w:t xml:space="preserve">significant </w:t>
      </w:r>
      <w:r w:rsidR="00F429B3" w:rsidRPr="00E558A5">
        <w:rPr>
          <w:rFonts w:ascii="Cambria" w:hAnsi="Cambria"/>
          <w:iCs/>
          <w:lang w:val="en"/>
        </w:rPr>
        <w:t xml:space="preserve">solution to all </w:t>
      </w:r>
      <w:r w:rsidR="00F429B3">
        <w:rPr>
          <w:rFonts w:ascii="Cambria" w:hAnsi="Cambria"/>
          <w:iCs/>
          <w:lang w:val="en"/>
        </w:rPr>
        <w:t xml:space="preserve">cases </w:t>
      </w:r>
      <w:r w:rsidR="00F429B3" w:rsidRPr="00E558A5">
        <w:rPr>
          <w:rFonts w:ascii="Cambria" w:hAnsi="Cambria"/>
          <w:iCs/>
          <w:lang w:val="en"/>
        </w:rPr>
        <w:t xml:space="preserve">that </w:t>
      </w:r>
      <w:proofErr w:type="gramStart"/>
      <w:r w:rsidR="00F429B3" w:rsidRPr="00E558A5">
        <w:rPr>
          <w:rFonts w:ascii="Cambria" w:hAnsi="Cambria"/>
          <w:iCs/>
          <w:lang w:val="en"/>
        </w:rPr>
        <w:t>are incorrectly classified</w:t>
      </w:r>
      <w:proofErr w:type="gramEnd"/>
      <w:r w:rsidR="00F429B3" w:rsidRPr="00E558A5">
        <w:rPr>
          <w:rFonts w:ascii="Cambria" w:hAnsi="Cambria"/>
          <w:iCs/>
          <w:lang w:val="en"/>
        </w:rPr>
        <w:t xml:space="preserve"> as default. </w:t>
      </w:r>
    </w:p>
    <w:p w14:paraId="463B08B7" w14:textId="1CA35A3A" w:rsidR="00213383" w:rsidRPr="005200D8" w:rsidRDefault="005B33D2" w:rsidP="007372AB">
      <w:pPr>
        <w:spacing w:before="120" w:after="120" w:line="259" w:lineRule="auto"/>
        <w:jc w:val="both"/>
        <w:rPr>
          <w:rFonts w:ascii="Cambria" w:hAnsi="Cambria"/>
        </w:rPr>
      </w:pPr>
      <w:proofErr w:type="gramStart"/>
      <w:r w:rsidRPr="00237167">
        <w:rPr>
          <w:rFonts w:ascii="Cambria" w:hAnsi="Cambria"/>
        </w:rPr>
        <w:t>That being said</w:t>
      </w:r>
      <w:r w:rsidR="007F5E90">
        <w:rPr>
          <w:rFonts w:ascii="Cambria" w:hAnsi="Cambria"/>
        </w:rPr>
        <w:t>,</w:t>
      </w:r>
      <w:r w:rsidRPr="00237167">
        <w:rPr>
          <w:rFonts w:ascii="Cambria" w:hAnsi="Cambria"/>
        </w:rPr>
        <w:t xml:space="preserve"> </w:t>
      </w:r>
      <w:r w:rsidR="004605E1" w:rsidRPr="00237167">
        <w:rPr>
          <w:rFonts w:ascii="Cambria" w:hAnsi="Cambria"/>
        </w:rPr>
        <w:t>we</w:t>
      </w:r>
      <w:proofErr w:type="gramEnd"/>
      <w:r w:rsidR="004605E1" w:rsidRPr="00237167">
        <w:rPr>
          <w:rFonts w:ascii="Cambria" w:hAnsi="Cambria"/>
        </w:rPr>
        <w:t xml:space="preserve"> are not opposed </w:t>
      </w:r>
      <w:r w:rsidRPr="00237167">
        <w:rPr>
          <w:rFonts w:ascii="Cambria" w:hAnsi="Cambria"/>
        </w:rPr>
        <w:t>a longer</w:t>
      </w:r>
      <w:r w:rsidR="00B808F2" w:rsidRPr="00237167">
        <w:rPr>
          <w:rFonts w:ascii="Cambria" w:hAnsi="Cambria"/>
        </w:rPr>
        <w:t>-</w:t>
      </w:r>
      <w:r w:rsidRPr="00237167">
        <w:rPr>
          <w:rFonts w:ascii="Cambria" w:hAnsi="Cambria"/>
        </w:rPr>
        <w:t xml:space="preserve">term revision, </w:t>
      </w:r>
      <w:r w:rsidR="004605E1" w:rsidRPr="00237167">
        <w:rPr>
          <w:rFonts w:ascii="Cambria" w:hAnsi="Cambria"/>
        </w:rPr>
        <w:t xml:space="preserve">if this is </w:t>
      </w:r>
      <w:r w:rsidRPr="00237167">
        <w:rPr>
          <w:rFonts w:ascii="Cambria" w:hAnsi="Cambria"/>
        </w:rPr>
        <w:t>done from a holistic point of view and consider</w:t>
      </w:r>
      <w:r w:rsidR="00C114C4">
        <w:rPr>
          <w:rFonts w:ascii="Cambria" w:hAnsi="Cambria"/>
        </w:rPr>
        <w:t>s</w:t>
      </w:r>
      <w:r w:rsidRPr="00237167">
        <w:rPr>
          <w:rFonts w:ascii="Cambria" w:hAnsi="Cambria"/>
        </w:rPr>
        <w:t xml:space="preserve"> </w:t>
      </w:r>
      <w:r w:rsidR="004605E1" w:rsidRPr="00237167">
        <w:rPr>
          <w:rFonts w:ascii="Cambria" w:hAnsi="Cambria"/>
        </w:rPr>
        <w:t>level 1 change</w:t>
      </w:r>
      <w:r w:rsidR="00C114C4">
        <w:rPr>
          <w:rFonts w:ascii="Cambria" w:hAnsi="Cambria"/>
        </w:rPr>
        <w:t>s including to the accounting regulation</w:t>
      </w:r>
      <w:r w:rsidR="004605E1" w:rsidRPr="00237167">
        <w:rPr>
          <w:rFonts w:ascii="Cambria" w:hAnsi="Cambria"/>
        </w:rPr>
        <w:t xml:space="preserve"> to ensure the NPE and default</w:t>
      </w:r>
      <w:r w:rsidR="00237167">
        <w:rPr>
          <w:rFonts w:ascii="Cambria" w:hAnsi="Cambria"/>
        </w:rPr>
        <w:t xml:space="preserve"> </w:t>
      </w:r>
      <w:r w:rsidR="005200D8">
        <w:rPr>
          <w:rFonts w:ascii="Cambria" w:hAnsi="Cambria"/>
        </w:rPr>
        <w:t xml:space="preserve">of </w:t>
      </w:r>
      <w:r w:rsidR="00237167">
        <w:rPr>
          <w:rFonts w:ascii="Cambria" w:hAnsi="Cambria"/>
        </w:rPr>
        <w:t>definition</w:t>
      </w:r>
      <w:r w:rsidR="004605E1" w:rsidRPr="00237167">
        <w:rPr>
          <w:rFonts w:ascii="Cambria" w:hAnsi="Cambria"/>
        </w:rPr>
        <w:t xml:space="preserve"> remain aligned.</w:t>
      </w:r>
      <w:r w:rsidR="00480DF1">
        <w:rPr>
          <w:rFonts w:ascii="Cambria" w:hAnsi="Cambria"/>
        </w:rPr>
        <w:t xml:space="preserve"> I</w:t>
      </w:r>
      <w:r w:rsidR="00480DF1" w:rsidRPr="005E6616">
        <w:rPr>
          <w:rFonts w:ascii="Cambria" w:hAnsi="Cambria"/>
        </w:rPr>
        <w:t>n any case, proposals should be built in a such a way that they provide reasonable benefits compared to the costs (e.g. enlarging conditions so that the targeted scope is material).</w:t>
      </w:r>
      <w:r w:rsidR="00480DF1">
        <w:rPr>
          <w:rFonts w:ascii="Cambria" w:hAnsi="Cambria"/>
        </w:rPr>
        <w:t xml:space="preserve"> In this process, we also encourage the EBA to </w:t>
      </w:r>
      <w:r w:rsidR="00480DF1" w:rsidRPr="00CF5672">
        <w:rPr>
          <w:rFonts w:ascii="Cambria" w:hAnsi="Cambria"/>
        </w:rPr>
        <w:t>provid</w:t>
      </w:r>
      <w:r w:rsidR="00480DF1">
        <w:rPr>
          <w:rFonts w:ascii="Cambria" w:hAnsi="Cambria"/>
        </w:rPr>
        <w:t>e,</w:t>
      </w:r>
      <w:r w:rsidR="00480DF1" w:rsidRPr="00CF5672">
        <w:rPr>
          <w:rFonts w:ascii="Cambria" w:hAnsi="Cambria"/>
        </w:rPr>
        <w:t xml:space="preserve"> at the same time </w:t>
      </w:r>
      <w:r w:rsidR="00480DF1">
        <w:rPr>
          <w:rFonts w:ascii="Cambria" w:hAnsi="Cambria"/>
        </w:rPr>
        <w:t xml:space="preserve">with greater flexibility, </w:t>
      </w:r>
      <w:r w:rsidR="00480DF1" w:rsidRPr="00CF5672">
        <w:rPr>
          <w:rFonts w:ascii="Cambria" w:hAnsi="Cambria"/>
        </w:rPr>
        <w:t>solutions to ease the implementation regarding impact on rating systems</w:t>
      </w:r>
      <w:r w:rsidR="00480DF1">
        <w:rPr>
          <w:rFonts w:ascii="Cambria" w:hAnsi="Cambria"/>
        </w:rPr>
        <w:t xml:space="preserve">. </w:t>
      </w:r>
      <w:r w:rsidR="003A3C16">
        <w:rPr>
          <w:rFonts w:ascii="Cambria" w:hAnsi="Cambria"/>
        </w:rPr>
        <w:t>Further, we</w:t>
      </w:r>
      <w:r w:rsidR="00480DF1">
        <w:rPr>
          <w:rFonts w:ascii="Cambria" w:hAnsi="Cambria"/>
        </w:rPr>
        <w:t xml:space="preserve"> encourage the EBA </w:t>
      </w:r>
      <w:r w:rsidR="00480DF1" w:rsidRPr="000A4484">
        <w:rPr>
          <w:rFonts w:ascii="Cambria" w:hAnsi="Cambria"/>
        </w:rPr>
        <w:t>to finalise as soon as possible its updates on the RTS for assessing the materiality of extensions and changes of the IRB approach where the objective is</w:t>
      </w:r>
      <w:r w:rsidR="00480DF1">
        <w:rPr>
          <w:rFonts w:ascii="Cambria" w:hAnsi="Cambria"/>
        </w:rPr>
        <w:t xml:space="preserve"> among others</w:t>
      </w:r>
      <w:r w:rsidR="00480DF1" w:rsidRPr="000A4484">
        <w:rPr>
          <w:rFonts w:ascii="Cambria" w:hAnsi="Cambria"/>
        </w:rPr>
        <w:t xml:space="preserve"> to alleviate the materiality of certain changes to the definition of default</w:t>
      </w:r>
      <w:r w:rsidR="00480DF1">
        <w:rPr>
          <w:rFonts w:ascii="Cambria" w:hAnsi="Cambria"/>
        </w:rPr>
        <w:t>.</w:t>
      </w:r>
    </w:p>
    <w:p w14:paraId="7A33AC60" w14:textId="77777777" w:rsidR="007372AB" w:rsidRDefault="00D67E19" w:rsidP="007372AB">
      <w:pPr>
        <w:spacing w:before="120" w:after="120" w:line="259" w:lineRule="auto"/>
        <w:jc w:val="both"/>
        <w:rPr>
          <w:rFonts w:ascii="Cambria" w:hAnsi="Cambria"/>
          <w:b/>
          <w:bCs/>
        </w:rPr>
      </w:pPr>
      <w:r w:rsidRPr="007372AB">
        <w:rPr>
          <w:rFonts w:ascii="Cambria" w:hAnsi="Cambria"/>
          <w:b/>
          <w:bCs/>
        </w:rPr>
        <w:t xml:space="preserve">Question 3: Do you see any alternatives other than those referred to in this section that the EBA should consider under Article 178(7) CRR to update the Guidelines and encourage </w:t>
      </w:r>
      <w:r w:rsidR="00EE2CE6" w:rsidRPr="007372AB">
        <w:rPr>
          <w:rFonts w:ascii="Cambria" w:hAnsi="Cambria"/>
          <w:b/>
          <w:bCs/>
        </w:rPr>
        <w:t>institutions</w:t>
      </w:r>
      <w:r w:rsidRPr="007372AB">
        <w:rPr>
          <w:rFonts w:ascii="Cambria" w:hAnsi="Cambria"/>
          <w:b/>
          <w:bCs/>
        </w:rPr>
        <w:t xml:space="preserve"> to engage in proactive, preventive and meaningful debt restructuring to support </w:t>
      </w:r>
      <w:r w:rsidR="00EE2CE6" w:rsidRPr="007372AB">
        <w:rPr>
          <w:rFonts w:ascii="Cambria" w:hAnsi="Cambria"/>
          <w:b/>
          <w:bCs/>
        </w:rPr>
        <w:t>obligors</w:t>
      </w:r>
      <w:r w:rsidRPr="007372AB">
        <w:rPr>
          <w:rFonts w:ascii="Cambria" w:hAnsi="Cambria"/>
          <w:b/>
          <w:bCs/>
        </w:rPr>
        <w:t>?</w:t>
      </w:r>
    </w:p>
    <w:p w14:paraId="69CE5296" w14:textId="1DF82ED2" w:rsidR="00160503" w:rsidRDefault="00160503" w:rsidP="000F7F60">
      <w:pPr>
        <w:spacing w:before="120" w:after="120" w:line="259" w:lineRule="auto"/>
        <w:jc w:val="both"/>
        <w:rPr>
          <w:rFonts w:ascii="Cambria" w:hAnsi="Cambria"/>
          <w:iCs/>
          <w:lang w:val="en"/>
        </w:rPr>
      </w:pPr>
      <w:r w:rsidRPr="00160503">
        <w:rPr>
          <w:rFonts w:ascii="Cambria" w:hAnsi="Cambria"/>
          <w:iCs/>
          <w:lang w:val="en"/>
        </w:rPr>
        <w:t xml:space="preserve">Considering all the arguments provided </w:t>
      </w:r>
      <w:r w:rsidR="00AA7DE6">
        <w:rPr>
          <w:rFonts w:ascii="Cambria" w:hAnsi="Cambria"/>
          <w:iCs/>
          <w:lang w:val="en"/>
        </w:rPr>
        <w:t>in question 1</w:t>
      </w:r>
      <w:r w:rsidRPr="00160503">
        <w:rPr>
          <w:rFonts w:ascii="Cambria" w:hAnsi="Cambria"/>
          <w:iCs/>
          <w:lang w:val="en"/>
        </w:rPr>
        <w:t xml:space="preserve">, the DO&gt;1% criterion </w:t>
      </w:r>
      <w:proofErr w:type="gramStart"/>
      <w:r w:rsidRPr="00160503">
        <w:rPr>
          <w:rFonts w:ascii="Cambria" w:hAnsi="Cambria"/>
          <w:iCs/>
          <w:lang w:val="en"/>
        </w:rPr>
        <w:t>is not deemed</w:t>
      </w:r>
      <w:proofErr w:type="gramEnd"/>
      <w:r w:rsidRPr="00160503">
        <w:rPr>
          <w:rFonts w:ascii="Cambria" w:hAnsi="Cambria"/>
          <w:iCs/>
          <w:lang w:val="en"/>
        </w:rPr>
        <w:t xml:space="preserve"> appropriate for determining the default classification</w:t>
      </w:r>
      <w:r w:rsidR="00796607">
        <w:rPr>
          <w:rFonts w:ascii="Cambria" w:hAnsi="Cambria"/>
          <w:iCs/>
          <w:lang w:val="en"/>
        </w:rPr>
        <w:t xml:space="preserve"> and should </w:t>
      </w:r>
      <w:proofErr w:type="gramStart"/>
      <w:r w:rsidR="00796607">
        <w:rPr>
          <w:rFonts w:ascii="Cambria" w:hAnsi="Cambria"/>
          <w:iCs/>
          <w:lang w:val="en"/>
        </w:rPr>
        <w:t xml:space="preserve">be </w:t>
      </w:r>
      <w:r w:rsidR="005744C7">
        <w:rPr>
          <w:rFonts w:ascii="Cambria" w:hAnsi="Cambria"/>
          <w:iCs/>
          <w:lang w:val="en"/>
        </w:rPr>
        <w:t>capped</w:t>
      </w:r>
      <w:proofErr w:type="gramEnd"/>
      <w:r w:rsidR="005744C7">
        <w:rPr>
          <w:rFonts w:ascii="Cambria" w:hAnsi="Cambria"/>
          <w:iCs/>
          <w:lang w:val="en"/>
        </w:rPr>
        <w:t xml:space="preserve"> at</w:t>
      </w:r>
      <w:r w:rsidR="00796607">
        <w:rPr>
          <w:rFonts w:ascii="Cambria" w:hAnsi="Cambria"/>
          <w:iCs/>
          <w:lang w:val="en"/>
        </w:rPr>
        <w:t xml:space="preserve"> </w:t>
      </w:r>
      <w:r w:rsidR="004663CA">
        <w:rPr>
          <w:rFonts w:ascii="Cambria" w:hAnsi="Cambria"/>
          <w:iCs/>
          <w:lang w:val="en"/>
        </w:rPr>
        <w:t>5%</w:t>
      </w:r>
      <w:r w:rsidRPr="00160503">
        <w:rPr>
          <w:rFonts w:ascii="Cambria" w:hAnsi="Cambria"/>
          <w:iCs/>
          <w:lang w:val="en"/>
        </w:rPr>
        <w:t xml:space="preserve">. </w:t>
      </w:r>
      <w:r w:rsidR="004663CA">
        <w:rPr>
          <w:rFonts w:ascii="Cambria" w:hAnsi="Cambria"/>
          <w:iCs/>
          <w:lang w:val="en"/>
        </w:rPr>
        <w:t>A</w:t>
      </w:r>
      <w:r w:rsidRPr="00160503">
        <w:rPr>
          <w:rFonts w:ascii="Cambria" w:hAnsi="Cambria"/>
          <w:iCs/>
          <w:lang w:val="en"/>
        </w:rPr>
        <w:t xml:space="preserve">s </w:t>
      </w:r>
      <w:r w:rsidR="00296887">
        <w:rPr>
          <w:rFonts w:ascii="Cambria" w:hAnsi="Cambria"/>
          <w:iCs/>
          <w:lang w:val="en"/>
        </w:rPr>
        <w:t>per</w:t>
      </w:r>
      <w:r w:rsidRPr="00160503">
        <w:rPr>
          <w:rFonts w:ascii="Cambria" w:hAnsi="Cambria"/>
          <w:iCs/>
          <w:lang w:val="en"/>
        </w:rPr>
        <w:t xml:space="preserve"> question 1, banks already have sound and robust internal models and practices that avoid unwanted variability in capital requirement consumption</w:t>
      </w:r>
      <w:r w:rsidR="004663CA">
        <w:rPr>
          <w:rFonts w:ascii="Cambria" w:hAnsi="Cambria"/>
          <w:iCs/>
          <w:lang w:val="en"/>
        </w:rPr>
        <w:t xml:space="preserve"> – this has </w:t>
      </w:r>
      <w:proofErr w:type="gramStart"/>
      <w:r w:rsidR="004663CA">
        <w:rPr>
          <w:rFonts w:ascii="Cambria" w:hAnsi="Cambria"/>
          <w:iCs/>
          <w:lang w:val="en"/>
        </w:rPr>
        <w:t>been enhanced</w:t>
      </w:r>
      <w:proofErr w:type="gramEnd"/>
      <w:r w:rsidR="004663CA">
        <w:rPr>
          <w:rFonts w:ascii="Cambria" w:hAnsi="Cambria"/>
          <w:iCs/>
          <w:lang w:val="en"/>
        </w:rPr>
        <w:t xml:space="preserve"> through the implementation of Basel 3 (CRR3)</w:t>
      </w:r>
      <w:r w:rsidR="004968D6" w:rsidRPr="349BA989">
        <w:rPr>
          <w:rFonts w:ascii="Cambria" w:hAnsi="Cambria"/>
          <w:lang w:val="en-US"/>
        </w:rPr>
        <w:t xml:space="preserve">, and through the supervisory </w:t>
      </w:r>
      <w:r w:rsidR="004968D6" w:rsidRPr="52430E8C">
        <w:rPr>
          <w:rFonts w:ascii="Cambria" w:hAnsi="Cambria"/>
          <w:lang w:val="en-US"/>
        </w:rPr>
        <w:t>activity</w:t>
      </w:r>
      <w:r w:rsidRPr="00160503">
        <w:rPr>
          <w:rFonts w:ascii="Cambria" w:hAnsi="Cambria"/>
          <w:iCs/>
          <w:lang w:val="en"/>
        </w:rPr>
        <w:t>. Hence, the application of the DO</w:t>
      </w:r>
      <w:r>
        <w:rPr>
          <w:rFonts w:ascii="Cambria" w:hAnsi="Cambria"/>
          <w:iCs/>
          <w:lang w:val="en"/>
        </w:rPr>
        <w:t xml:space="preserve"> </w:t>
      </w:r>
      <w:r w:rsidRPr="00160503">
        <w:rPr>
          <w:rFonts w:ascii="Cambria" w:hAnsi="Cambria"/>
          <w:iCs/>
          <w:lang w:val="en"/>
        </w:rPr>
        <w:t xml:space="preserve">threshold </w:t>
      </w:r>
      <w:r w:rsidR="00C925E9">
        <w:rPr>
          <w:rFonts w:ascii="Cambria" w:hAnsi="Cambria"/>
          <w:iCs/>
          <w:lang w:val="en"/>
        </w:rPr>
        <w:t xml:space="preserve">should </w:t>
      </w:r>
      <w:proofErr w:type="gramStart"/>
      <w:r w:rsidR="00C925E9">
        <w:rPr>
          <w:rFonts w:ascii="Cambria" w:hAnsi="Cambria"/>
          <w:iCs/>
          <w:lang w:val="en"/>
        </w:rPr>
        <w:t>be amended</w:t>
      </w:r>
      <w:proofErr w:type="gramEnd"/>
      <w:r w:rsidR="00C925E9">
        <w:rPr>
          <w:rFonts w:ascii="Cambria" w:hAnsi="Cambria"/>
          <w:iCs/>
          <w:lang w:val="en"/>
        </w:rPr>
        <w:t xml:space="preserve"> to</w:t>
      </w:r>
      <w:r w:rsidR="00796607">
        <w:rPr>
          <w:rFonts w:ascii="Cambria" w:hAnsi="Cambria"/>
          <w:iCs/>
          <w:lang w:val="en"/>
        </w:rPr>
        <w:t xml:space="preserve"> </w:t>
      </w:r>
      <w:proofErr w:type="gramStart"/>
      <w:r w:rsidR="00C65391">
        <w:rPr>
          <w:rFonts w:ascii="Cambria" w:hAnsi="Cambria"/>
          <w:iCs/>
          <w:lang w:val="en"/>
        </w:rPr>
        <w:t>be capped</w:t>
      </w:r>
      <w:proofErr w:type="gramEnd"/>
      <w:r w:rsidR="00C65391">
        <w:rPr>
          <w:rFonts w:ascii="Cambria" w:hAnsi="Cambria"/>
          <w:iCs/>
          <w:lang w:val="en"/>
        </w:rPr>
        <w:t xml:space="preserve"> at </w:t>
      </w:r>
      <w:r w:rsidR="00796607">
        <w:rPr>
          <w:rFonts w:ascii="Cambria" w:hAnsi="Cambria"/>
          <w:iCs/>
          <w:lang w:val="en"/>
        </w:rPr>
        <w:t>5% to</w:t>
      </w:r>
      <w:r w:rsidR="00C925E9">
        <w:rPr>
          <w:rFonts w:ascii="Cambria" w:hAnsi="Cambria"/>
          <w:iCs/>
          <w:lang w:val="en"/>
        </w:rPr>
        <w:t xml:space="preserve"> </w:t>
      </w:r>
      <w:proofErr w:type="gramStart"/>
      <w:r w:rsidR="00C925E9">
        <w:rPr>
          <w:rFonts w:ascii="Cambria" w:hAnsi="Cambria"/>
          <w:iCs/>
          <w:lang w:val="en"/>
        </w:rPr>
        <w:t>act as</w:t>
      </w:r>
      <w:proofErr w:type="gramEnd"/>
      <w:r w:rsidR="00C925E9">
        <w:rPr>
          <w:rFonts w:ascii="Cambria" w:hAnsi="Cambria"/>
          <w:iCs/>
          <w:lang w:val="en"/>
        </w:rPr>
        <w:t xml:space="preserve"> true backstop to other forbearance </w:t>
      </w:r>
      <w:r w:rsidR="00796607">
        <w:rPr>
          <w:rFonts w:ascii="Cambria" w:hAnsi="Cambria"/>
          <w:iCs/>
          <w:lang w:val="en"/>
        </w:rPr>
        <w:t>criteria</w:t>
      </w:r>
      <w:r w:rsidR="007D0750">
        <w:rPr>
          <w:rFonts w:ascii="Cambria" w:hAnsi="Cambria"/>
          <w:iCs/>
          <w:lang w:val="en"/>
        </w:rPr>
        <w:t>.</w:t>
      </w:r>
    </w:p>
    <w:p w14:paraId="421E86C3" w14:textId="5F70F86F" w:rsidR="001C5EE0" w:rsidRPr="001C5EE0" w:rsidRDefault="004A5D9A" w:rsidP="000F7F60">
      <w:pPr>
        <w:spacing w:before="120" w:after="120" w:line="259" w:lineRule="auto"/>
        <w:jc w:val="both"/>
        <w:rPr>
          <w:rFonts w:ascii="Cambria" w:hAnsi="Cambria"/>
          <w:iCs/>
          <w:lang w:val="en"/>
        </w:rPr>
      </w:pPr>
      <w:r>
        <w:rPr>
          <w:rFonts w:ascii="Cambria" w:hAnsi="Cambria"/>
          <w:iCs/>
          <w:lang w:val="en"/>
        </w:rPr>
        <w:t>R</w:t>
      </w:r>
      <w:r w:rsidRPr="00160503">
        <w:rPr>
          <w:rFonts w:ascii="Cambria" w:hAnsi="Cambria"/>
          <w:iCs/>
          <w:lang w:val="en"/>
        </w:rPr>
        <w:t xml:space="preserve">egarding references to payments which have been written-off, </w:t>
      </w:r>
      <w:proofErr w:type="gramStart"/>
      <w:r w:rsidR="0051422A" w:rsidRPr="0051422A">
        <w:rPr>
          <w:rFonts w:ascii="Cambria" w:hAnsi="Cambria"/>
          <w:iCs/>
          <w:lang w:val="en"/>
        </w:rPr>
        <w:t>some</w:t>
      </w:r>
      <w:proofErr w:type="gramEnd"/>
      <w:r w:rsidR="0051422A" w:rsidRPr="0051422A">
        <w:rPr>
          <w:rFonts w:ascii="Cambria" w:hAnsi="Cambria"/>
          <w:iCs/>
          <w:lang w:val="en"/>
        </w:rPr>
        <w:t xml:space="preserve"> national </w:t>
      </w:r>
      <w:proofErr w:type="gramStart"/>
      <w:r w:rsidR="0051422A" w:rsidRPr="0051422A">
        <w:rPr>
          <w:rFonts w:ascii="Cambria" w:hAnsi="Cambria"/>
          <w:iCs/>
          <w:lang w:val="en"/>
        </w:rPr>
        <w:t>jurisdictions</w:t>
      </w:r>
      <w:proofErr w:type="gramEnd"/>
      <w:r w:rsidR="0051422A" w:rsidRPr="0051422A">
        <w:rPr>
          <w:rFonts w:ascii="Cambria" w:hAnsi="Cambria"/>
          <w:iCs/>
          <w:lang w:val="en"/>
        </w:rPr>
        <w:t xml:space="preserve"> (</w:t>
      </w:r>
      <w:proofErr w:type="gramStart"/>
      <w:r w:rsidR="0051422A" w:rsidRPr="0051422A">
        <w:rPr>
          <w:rFonts w:ascii="Cambria" w:hAnsi="Cambria"/>
          <w:iCs/>
          <w:lang w:val="en"/>
        </w:rPr>
        <w:t>e.g.</w:t>
      </w:r>
      <w:proofErr w:type="gramEnd"/>
      <w:r w:rsidR="0051422A" w:rsidRPr="0051422A">
        <w:rPr>
          <w:rFonts w:ascii="Cambria" w:hAnsi="Cambria"/>
          <w:iCs/>
          <w:lang w:val="en"/>
        </w:rPr>
        <w:t xml:space="preserve"> Spain) </w:t>
      </w:r>
      <w:r w:rsidR="00266534">
        <w:rPr>
          <w:rFonts w:ascii="Cambria" w:hAnsi="Cambria"/>
          <w:iCs/>
          <w:lang w:val="en"/>
        </w:rPr>
        <w:t xml:space="preserve">request </w:t>
      </w:r>
      <w:r w:rsidR="009F5BC3">
        <w:rPr>
          <w:rFonts w:ascii="Cambria" w:hAnsi="Cambria"/>
          <w:iCs/>
          <w:lang w:val="en"/>
        </w:rPr>
        <w:t xml:space="preserve">to </w:t>
      </w:r>
      <w:r w:rsidR="0051422A" w:rsidRPr="0051422A">
        <w:rPr>
          <w:rFonts w:ascii="Cambria" w:hAnsi="Cambria"/>
          <w:iCs/>
          <w:lang w:val="en"/>
        </w:rPr>
        <w:t>eliminate conditions related to payments on write-off amounts</w:t>
      </w:r>
      <w:r w:rsidR="001F11D7">
        <w:rPr>
          <w:rStyle w:val="FootnoteReference"/>
          <w:rFonts w:ascii="Cambria" w:hAnsi="Cambria"/>
          <w:iCs/>
          <w:lang w:val="en"/>
        </w:rPr>
        <w:footnoteReference w:id="3"/>
      </w:r>
      <w:r w:rsidR="0051422A" w:rsidRPr="0051422A">
        <w:rPr>
          <w:rFonts w:ascii="Cambria" w:hAnsi="Cambria"/>
          <w:iCs/>
          <w:lang w:val="en"/>
        </w:rPr>
        <w:t>. Thus, the EBA proposal raises issues as it may contradict national law. To avoid general misalignment, adaptation of the condition by the EBA is necessary to address such national specificities.</w:t>
      </w:r>
    </w:p>
    <w:p w14:paraId="26A210FC" w14:textId="040F37CC" w:rsidR="00252706" w:rsidRPr="00252706" w:rsidRDefault="00252706" w:rsidP="00B17A27">
      <w:pPr>
        <w:spacing w:before="120" w:after="120" w:line="259" w:lineRule="auto"/>
        <w:jc w:val="both"/>
        <w:rPr>
          <w:rFonts w:ascii="Cambria" w:hAnsi="Cambria"/>
          <w:iCs/>
        </w:rPr>
      </w:pPr>
      <w:r w:rsidRPr="00252706">
        <w:rPr>
          <w:rFonts w:ascii="Cambria" w:hAnsi="Cambria"/>
          <w:iCs/>
        </w:rPr>
        <w:t xml:space="preserve">We would </w:t>
      </w:r>
      <w:r w:rsidR="00F356F9">
        <w:rPr>
          <w:rFonts w:ascii="Cambria" w:hAnsi="Cambria"/>
          <w:iCs/>
        </w:rPr>
        <w:t xml:space="preserve">also </w:t>
      </w:r>
      <w:r w:rsidRPr="00252706">
        <w:rPr>
          <w:rFonts w:ascii="Cambria" w:hAnsi="Cambria"/>
          <w:iCs/>
        </w:rPr>
        <w:t xml:space="preserve">like to highlight </w:t>
      </w:r>
      <w:r w:rsidR="003A2926">
        <w:rPr>
          <w:rFonts w:ascii="Cambria" w:hAnsi="Cambria"/>
          <w:iCs/>
        </w:rPr>
        <w:t xml:space="preserve">some </w:t>
      </w:r>
      <w:r w:rsidR="001C1F5F">
        <w:rPr>
          <w:rFonts w:ascii="Cambria" w:hAnsi="Cambria"/>
          <w:iCs/>
        </w:rPr>
        <w:t xml:space="preserve">other </w:t>
      </w:r>
      <w:r w:rsidRPr="00252706">
        <w:rPr>
          <w:rFonts w:ascii="Cambria" w:hAnsi="Cambria"/>
          <w:iCs/>
        </w:rPr>
        <w:t xml:space="preserve">possible amendments </w:t>
      </w:r>
      <w:r w:rsidR="003A2926">
        <w:rPr>
          <w:rFonts w:ascii="Cambria" w:hAnsi="Cambria"/>
          <w:iCs/>
        </w:rPr>
        <w:t>to</w:t>
      </w:r>
      <w:r w:rsidRPr="00252706">
        <w:rPr>
          <w:rFonts w:ascii="Cambria" w:hAnsi="Cambria"/>
          <w:iCs/>
        </w:rPr>
        <w:t xml:space="preserve"> the EBA Guidelines which could </w:t>
      </w:r>
      <w:r w:rsidR="003A2926">
        <w:rPr>
          <w:rFonts w:ascii="Cambria" w:hAnsi="Cambria"/>
          <w:iCs/>
        </w:rPr>
        <w:t>improve the</w:t>
      </w:r>
      <w:r w:rsidRPr="00252706">
        <w:rPr>
          <w:rFonts w:ascii="Cambria" w:hAnsi="Cambria"/>
          <w:iCs/>
        </w:rPr>
        <w:t xml:space="preserve"> DoD framework.</w:t>
      </w:r>
    </w:p>
    <w:p w14:paraId="32726392" w14:textId="114C0B68" w:rsidR="00252706" w:rsidRPr="00252706" w:rsidRDefault="00252706" w:rsidP="00B17A27">
      <w:pPr>
        <w:spacing w:before="120" w:after="120" w:line="259" w:lineRule="auto"/>
        <w:jc w:val="both"/>
        <w:rPr>
          <w:rFonts w:ascii="Cambria" w:hAnsi="Cambria"/>
          <w:iCs/>
        </w:rPr>
      </w:pPr>
      <w:r w:rsidRPr="00252706">
        <w:rPr>
          <w:rFonts w:ascii="Cambria" w:hAnsi="Cambria"/>
          <w:iCs/>
        </w:rPr>
        <w:t xml:space="preserve">First, we would propose to reword the paragraph 52 to align with CRR3 and the fact that the NPV test is only required </w:t>
      </w:r>
      <w:r w:rsidR="004F77A5">
        <w:rPr>
          <w:rFonts w:ascii="Cambria" w:hAnsi="Cambria"/>
          <w:iCs/>
        </w:rPr>
        <w:t>for</w:t>
      </w:r>
      <w:r w:rsidRPr="00252706">
        <w:rPr>
          <w:rFonts w:ascii="Cambria" w:hAnsi="Cambria"/>
          <w:iCs/>
        </w:rPr>
        <w:t xml:space="preserve"> the objective of identifying defaults triggered by the diminished financial obligation which </w:t>
      </w:r>
      <w:r w:rsidR="004F77A5">
        <w:rPr>
          <w:rFonts w:ascii="Cambria" w:hAnsi="Cambria"/>
          <w:iCs/>
        </w:rPr>
        <w:t xml:space="preserve">results </w:t>
      </w:r>
      <w:r w:rsidR="004F77A5">
        <w:rPr>
          <w:rFonts w:ascii="Cambria" w:hAnsi="Cambria"/>
          <w:iCs/>
        </w:rPr>
        <w:lastRenderedPageBreak/>
        <w:t>from the</w:t>
      </w:r>
      <w:r w:rsidRPr="00252706">
        <w:rPr>
          <w:rFonts w:ascii="Cambria" w:hAnsi="Cambria"/>
          <w:iCs/>
        </w:rPr>
        <w:t xml:space="preserve"> forbearance measure (thus the NPV test needs not to be performed when the exposure defaults for other reasons).</w:t>
      </w:r>
    </w:p>
    <w:p w14:paraId="6962B193" w14:textId="77777777" w:rsidR="00252706" w:rsidRPr="00252706" w:rsidRDefault="00252706" w:rsidP="00B17A27">
      <w:pPr>
        <w:spacing w:before="120" w:after="120" w:line="259" w:lineRule="auto"/>
        <w:jc w:val="both"/>
        <w:rPr>
          <w:rFonts w:ascii="Cambria" w:hAnsi="Cambria"/>
          <w:i/>
          <w:iCs/>
        </w:rPr>
      </w:pPr>
      <w:r w:rsidRPr="00252706">
        <w:rPr>
          <w:rFonts w:ascii="Cambria" w:hAnsi="Cambria"/>
          <w:iCs/>
        </w:rPr>
        <w:t>Paragraph 52 of EBA Guidelines details</w:t>
      </w:r>
      <w:r w:rsidRPr="00252706">
        <w:rPr>
          <w:rFonts w:ascii="Cambria" w:hAnsi="Cambria"/>
          <w:i/>
          <w:iCs/>
        </w:rPr>
        <w:t xml:space="preserve"> “For the purposes of unlikeliness to pay as </w:t>
      </w:r>
      <w:r w:rsidRPr="00252706">
        <w:rPr>
          <w:rFonts w:ascii="Cambria" w:hAnsi="Cambria"/>
          <w:b/>
          <w:bCs/>
          <w:i/>
          <w:iCs/>
        </w:rPr>
        <w:t>referred to in point (d) of Article 178(3) of Regulation (EU) No 575/2013</w:t>
      </w:r>
      <w:r w:rsidRPr="00252706">
        <w:rPr>
          <w:rFonts w:ascii="Cambria" w:hAnsi="Cambria"/>
          <w:i/>
          <w:iCs/>
        </w:rPr>
        <w:t xml:space="preserve">, </w:t>
      </w:r>
      <w:r w:rsidRPr="00252706">
        <w:rPr>
          <w:rFonts w:ascii="Cambria" w:hAnsi="Cambria"/>
          <w:i/>
          <w:iCs/>
          <w:u w:val="single"/>
        </w:rPr>
        <w:t>for each distressed restructuring</w:t>
      </w:r>
      <w:r w:rsidRPr="00252706">
        <w:rPr>
          <w:rFonts w:ascii="Cambria" w:hAnsi="Cambria"/>
          <w:i/>
          <w:iCs/>
        </w:rPr>
        <w:t>, institutions should calculate the diminished financial obligation and compare it with the threshold referred to in paragraph 51. Where the diminished financial obligation is higher than this threshold, the exposures should be considered defaulted.</w:t>
      </w:r>
    </w:p>
    <w:p w14:paraId="0A4356EE" w14:textId="77777777" w:rsidR="00252706" w:rsidRPr="00252706" w:rsidRDefault="00252706" w:rsidP="00B17A27">
      <w:pPr>
        <w:spacing w:before="120" w:after="120" w:line="259" w:lineRule="auto"/>
        <w:jc w:val="both"/>
        <w:rPr>
          <w:rFonts w:ascii="Cambria" w:hAnsi="Cambria"/>
          <w:iCs/>
        </w:rPr>
      </w:pPr>
      <w:r w:rsidRPr="00252706">
        <w:rPr>
          <w:rFonts w:ascii="Cambria" w:hAnsi="Cambria"/>
          <w:iCs/>
        </w:rPr>
        <w:t>We suggest replacing in paragraph 52</w:t>
      </w:r>
      <w:r w:rsidRPr="00252706">
        <w:rPr>
          <w:rFonts w:ascii="Cambria" w:hAnsi="Cambria"/>
          <w:i/>
          <w:iCs/>
        </w:rPr>
        <w:t xml:space="preserve"> “for each distressed restructuring” by “for an exposure subject to a forbearance measure potentially in default because of that measure likely to result in a diminished financial obligation due to the material forgiveness, or postponement, of principal, interest or, where relevant, fees</w:t>
      </w:r>
      <w:r w:rsidRPr="00252706">
        <w:rPr>
          <w:rFonts w:ascii="Cambria" w:hAnsi="Cambria"/>
          <w:iCs/>
        </w:rPr>
        <w:t>”. In addition, we propose to add at the end of the paragraph “</w:t>
      </w:r>
      <w:r w:rsidRPr="00252706">
        <w:rPr>
          <w:rFonts w:ascii="Cambria" w:hAnsi="Cambria"/>
          <w:i/>
          <w:iCs/>
        </w:rPr>
        <w:t>For the avoidance of doubt, the NPV test should only be performed for exposures subject to forbearance measures and have not been recognised as defaulted yet</w:t>
      </w:r>
      <w:r w:rsidRPr="00252706">
        <w:rPr>
          <w:rFonts w:ascii="Cambria" w:hAnsi="Cambria"/>
          <w:iCs/>
        </w:rPr>
        <w:t>”.</w:t>
      </w:r>
    </w:p>
    <w:p w14:paraId="546AABF8" w14:textId="4AE0C9D4" w:rsidR="00252706" w:rsidRPr="00252706" w:rsidRDefault="00252706" w:rsidP="00B17A27">
      <w:pPr>
        <w:spacing w:before="120" w:after="120" w:line="259" w:lineRule="auto"/>
        <w:jc w:val="both"/>
        <w:rPr>
          <w:rFonts w:ascii="Cambria" w:hAnsi="Cambria"/>
          <w:iCs/>
        </w:rPr>
      </w:pPr>
      <w:r w:rsidRPr="00252706">
        <w:rPr>
          <w:rFonts w:ascii="Cambria" w:hAnsi="Cambria"/>
          <w:iCs/>
        </w:rPr>
        <w:t xml:space="preserve">Indeed, such nuance is crucial as we understand that CRR targets the identification of default by performing NPV test only when the trigger is the forbearance measure likely to result in a diminished financial obligation due to the material forgiveness, or postponement, of principal, interest or, where relevant, fees. This is </w:t>
      </w:r>
      <w:r w:rsidR="00B61F0C">
        <w:rPr>
          <w:rFonts w:ascii="Cambria" w:hAnsi="Cambria"/>
          <w:iCs/>
        </w:rPr>
        <w:t>supported</w:t>
      </w:r>
      <w:r w:rsidRPr="00252706">
        <w:rPr>
          <w:rFonts w:ascii="Cambria" w:hAnsi="Cambria"/>
          <w:iCs/>
        </w:rPr>
        <w:t xml:space="preserve"> by the following references:</w:t>
      </w:r>
    </w:p>
    <w:p w14:paraId="1B543C30" w14:textId="77777777" w:rsidR="00252706" w:rsidRPr="00252706" w:rsidRDefault="00252706" w:rsidP="00B17A27">
      <w:pPr>
        <w:numPr>
          <w:ilvl w:val="0"/>
          <w:numId w:val="9"/>
        </w:numPr>
        <w:spacing w:before="120" w:after="120" w:line="259" w:lineRule="auto"/>
        <w:jc w:val="both"/>
        <w:rPr>
          <w:rFonts w:ascii="Cambria" w:hAnsi="Cambria"/>
          <w:b/>
          <w:bCs/>
          <w:i/>
          <w:iCs/>
        </w:rPr>
      </w:pPr>
      <w:r w:rsidRPr="00252706">
        <w:rPr>
          <w:rFonts w:ascii="Cambria" w:hAnsi="Cambria"/>
          <w:iCs/>
        </w:rPr>
        <w:t>In the level 1 text, article 178.3(d) of CRR was modified in CRR3 and now indicates</w:t>
      </w:r>
      <w:r w:rsidRPr="00252706">
        <w:rPr>
          <w:rFonts w:ascii="Cambria" w:hAnsi="Cambria"/>
          <w:i/>
          <w:iCs/>
        </w:rPr>
        <w:t xml:space="preserve">:  “For the purpose of point (a) of paragraph 1, elements to be taken as indications of unlikeliness to pay shall include the following […] (d) the institution consents to a forbearance measure as referred to in Article 47b of the credit obligation </w:t>
      </w:r>
      <w:r w:rsidRPr="00252706">
        <w:rPr>
          <w:rFonts w:ascii="Cambria" w:hAnsi="Cambria"/>
          <w:b/>
          <w:bCs/>
          <w:i/>
          <w:iCs/>
        </w:rPr>
        <w:t xml:space="preserve">where </w:t>
      </w:r>
      <w:r w:rsidRPr="00252706">
        <w:rPr>
          <w:rFonts w:ascii="Cambria" w:hAnsi="Cambria"/>
          <w:b/>
          <w:bCs/>
          <w:i/>
          <w:iCs/>
          <w:u w:val="single"/>
        </w:rPr>
        <w:t>that measure</w:t>
      </w:r>
      <w:r w:rsidRPr="00252706">
        <w:rPr>
          <w:rFonts w:ascii="Cambria" w:hAnsi="Cambria"/>
          <w:b/>
          <w:bCs/>
          <w:i/>
          <w:iCs/>
        </w:rPr>
        <w:t xml:space="preserve"> is likely to result in a diminished financial obligation due to the material forgiveness, or postponement, of principal, interest or, where relevant, fees;”</w:t>
      </w:r>
    </w:p>
    <w:p w14:paraId="0995B0EB" w14:textId="77777777" w:rsidR="00252706" w:rsidRPr="00252706" w:rsidRDefault="00252706" w:rsidP="00B17A27">
      <w:pPr>
        <w:numPr>
          <w:ilvl w:val="0"/>
          <w:numId w:val="9"/>
        </w:numPr>
        <w:spacing w:before="120" w:after="120" w:line="259" w:lineRule="auto"/>
        <w:jc w:val="both"/>
        <w:rPr>
          <w:rFonts w:ascii="Cambria" w:hAnsi="Cambria"/>
          <w:b/>
          <w:bCs/>
          <w:i/>
          <w:iCs/>
        </w:rPr>
      </w:pPr>
      <w:r w:rsidRPr="00252706">
        <w:rPr>
          <w:rFonts w:ascii="Cambria" w:hAnsi="Cambria"/>
          <w:i/>
          <w:iCs/>
        </w:rPr>
        <w:t xml:space="preserve">Paragraph 50 of the EBA Guidelines specifies “given that, </w:t>
      </w:r>
      <w:r w:rsidRPr="00252706">
        <w:rPr>
          <w:rFonts w:ascii="Cambria" w:hAnsi="Cambria"/>
          <w:b/>
          <w:bCs/>
          <w:i/>
          <w:iCs/>
        </w:rPr>
        <w:t>as referred to in point (d) of Article 178(3) of Regulation (EU) No 575/2013</w:t>
      </w:r>
      <w:r w:rsidRPr="00252706">
        <w:rPr>
          <w:rFonts w:ascii="Cambria" w:hAnsi="Cambria"/>
          <w:i/>
          <w:iCs/>
        </w:rPr>
        <w:t xml:space="preserve">, the obligor should be considered defaulted where the distressed restructuring is likely to result in a diminished financial obligation, where considering forborne exposures, the obligor should be classified </w:t>
      </w:r>
      <w:r w:rsidRPr="00252706">
        <w:rPr>
          <w:rFonts w:ascii="Cambria" w:hAnsi="Cambria"/>
          <w:i/>
          <w:iCs/>
          <w:u w:val="single"/>
        </w:rPr>
        <w:t xml:space="preserve">as defaulted </w:t>
      </w:r>
      <w:r w:rsidRPr="00252706">
        <w:rPr>
          <w:rFonts w:ascii="Cambria" w:hAnsi="Cambria"/>
          <w:b/>
          <w:bCs/>
          <w:i/>
          <w:iCs/>
          <w:u w:val="single"/>
        </w:rPr>
        <w:t>only</w:t>
      </w:r>
      <w:r w:rsidRPr="00252706">
        <w:rPr>
          <w:rFonts w:ascii="Cambria" w:hAnsi="Cambria"/>
          <w:b/>
          <w:bCs/>
          <w:i/>
          <w:iCs/>
        </w:rPr>
        <w:t xml:space="preserve"> where the relevant forbearance measures are likely to result in a diminished financial obligation</w:t>
      </w:r>
      <w:r w:rsidRPr="00252706">
        <w:rPr>
          <w:rFonts w:ascii="Cambria" w:hAnsi="Cambria"/>
          <w:i/>
          <w:iCs/>
        </w:rPr>
        <w:t>.”</w:t>
      </w:r>
    </w:p>
    <w:p w14:paraId="4EB0D2AE" w14:textId="77777777" w:rsidR="00252706" w:rsidRPr="00252706" w:rsidRDefault="00252706" w:rsidP="00B17A27">
      <w:pPr>
        <w:numPr>
          <w:ilvl w:val="0"/>
          <w:numId w:val="9"/>
        </w:numPr>
        <w:spacing w:before="120" w:after="120" w:line="259" w:lineRule="auto"/>
        <w:jc w:val="both"/>
        <w:rPr>
          <w:rFonts w:ascii="Cambria" w:hAnsi="Cambria"/>
          <w:b/>
          <w:bCs/>
          <w:i/>
          <w:iCs/>
        </w:rPr>
      </w:pPr>
      <w:r w:rsidRPr="00252706">
        <w:rPr>
          <w:rFonts w:ascii="Cambria" w:hAnsi="Cambria"/>
          <w:iCs/>
        </w:rPr>
        <w:t>EBA feedback on the consultation of the first version of the Guidelines on definition of default mentions page 99 that</w:t>
      </w:r>
      <w:r w:rsidRPr="00252706">
        <w:rPr>
          <w:rFonts w:ascii="Cambria" w:hAnsi="Cambria"/>
          <w:i/>
          <w:iCs/>
        </w:rPr>
        <w:t xml:space="preserve"> “As the calculation of NPV should be applied for the purpose of the identification of default, </w:t>
      </w:r>
      <w:r w:rsidRPr="00252706">
        <w:rPr>
          <w:rFonts w:ascii="Cambria" w:hAnsi="Cambria"/>
          <w:b/>
          <w:bCs/>
          <w:i/>
          <w:iCs/>
        </w:rPr>
        <w:t xml:space="preserve">it only applies to those exposures that are subject to distressed restructuring and </w:t>
      </w:r>
      <w:r w:rsidRPr="00252706">
        <w:rPr>
          <w:rFonts w:ascii="Cambria" w:hAnsi="Cambria"/>
          <w:b/>
          <w:bCs/>
          <w:i/>
          <w:iCs/>
          <w:u w:val="single"/>
        </w:rPr>
        <w:t>have not been recognised as defaulted yet</w:t>
      </w:r>
      <w:r w:rsidRPr="00252706">
        <w:rPr>
          <w:rFonts w:ascii="Cambria" w:hAnsi="Cambria"/>
          <w:i/>
          <w:iCs/>
        </w:rPr>
        <w:t xml:space="preserve"> […]”</w:t>
      </w:r>
    </w:p>
    <w:p w14:paraId="412E802C" w14:textId="5717F439" w:rsidR="00252706" w:rsidRPr="00252706" w:rsidRDefault="00252706" w:rsidP="00B17A27">
      <w:pPr>
        <w:spacing w:before="120" w:after="120" w:line="259" w:lineRule="auto"/>
        <w:jc w:val="both"/>
        <w:rPr>
          <w:rFonts w:ascii="Cambria" w:hAnsi="Cambria"/>
          <w:b/>
          <w:bCs/>
          <w:iCs/>
        </w:rPr>
      </w:pPr>
      <w:r w:rsidRPr="00252706">
        <w:rPr>
          <w:rFonts w:ascii="Cambria" w:hAnsi="Cambria"/>
          <w:iCs/>
        </w:rPr>
        <w:t>As paragraph 52 of EBA Guidelines only mentions “for each distressed restructuring”, there could be diverse</w:t>
      </w:r>
      <w:r w:rsidRPr="00252706">
        <w:rPr>
          <w:rFonts w:ascii="Cambria" w:hAnsi="Cambria"/>
          <w:b/>
          <w:bCs/>
          <w:iCs/>
        </w:rPr>
        <w:t xml:space="preserve"> </w:t>
      </w:r>
      <w:r w:rsidRPr="00252706">
        <w:rPr>
          <w:rFonts w:ascii="Cambria" w:hAnsi="Cambria"/>
          <w:iCs/>
        </w:rPr>
        <w:t>supervisory understanding which deems for instance that the NPV test should be performed systematically for every exposure subject to forbearance measure, even if such exposure is subject to other default triggers (such as UTP or DPD) and is put into default in any case. From a pragmatic point of view, we would like to highlight that when the NPV test is performed for a forborne exposure only when the exposure has not defaulted yet for other triggers, this leads to the same outcomes that performing the NPV test systematically for every forborne exposure (in terms of status of default for obligors, same duration of probation period - 12 months - as the forbearance is identified before possible need to perform NPV test). This is why a more proportionate approach regarding performing the NPV test should be clearly</w:t>
      </w:r>
      <w:r w:rsidR="00770FA5">
        <w:rPr>
          <w:rFonts w:ascii="Cambria" w:hAnsi="Cambria"/>
          <w:iCs/>
        </w:rPr>
        <w:t xml:space="preserve"> referenc</w:t>
      </w:r>
      <w:r w:rsidRPr="00252706">
        <w:rPr>
          <w:rFonts w:ascii="Cambria" w:hAnsi="Cambria"/>
          <w:iCs/>
        </w:rPr>
        <w:t>ed in the EBA Guidelines.</w:t>
      </w:r>
    </w:p>
    <w:p w14:paraId="2FF7E3BD" w14:textId="77777777" w:rsidR="00252706" w:rsidRPr="00252706" w:rsidRDefault="00252706" w:rsidP="00B17A27">
      <w:pPr>
        <w:spacing w:before="120" w:after="120" w:line="259" w:lineRule="auto"/>
        <w:jc w:val="both"/>
        <w:rPr>
          <w:rFonts w:ascii="Cambria" w:hAnsi="Cambria"/>
          <w:iCs/>
        </w:rPr>
      </w:pPr>
      <w:r w:rsidRPr="00252706">
        <w:rPr>
          <w:rFonts w:ascii="Cambria" w:hAnsi="Cambria"/>
          <w:iCs/>
        </w:rPr>
        <w:t xml:space="preserve">In addition, EBA provides clarification in Q&amp;A 2022_6527 on the reset of probation period regarding forborne exposures. In particular, the following part of the EBA response to the Q&amp;A should be reflected in the EBA Guidelines regarding forborne exposures </w:t>
      </w:r>
      <w:proofErr w:type="gramStart"/>
      <w:r w:rsidRPr="00252706">
        <w:rPr>
          <w:rFonts w:ascii="Cambria" w:hAnsi="Cambria"/>
          <w:iCs/>
        </w:rPr>
        <w:t>in order to</w:t>
      </w:r>
      <w:proofErr w:type="gramEnd"/>
      <w:r w:rsidRPr="00252706">
        <w:rPr>
          <w:rFonts w:ascii="Cambria" w:hAnsi="Cambria"/>
          <w:iCs/>
        </w:rPr>
        <w:t xml:space="preserve"> provide common understanding (across supervisors):</w:t>
      </w:r>
    </w:p>
    <w:p w14:paraId="53E895A3" w14:textId="77777777" w:rsidR="00252706" w:rsidRPr="00252706" w:rsidRDefault="00252706" w:rsidP="00B17A27">
      <w:pPr>
        <w:spacing w:before="120" w:after="120" w:line="259" w:lineRule="auto"/>
        <w:jc w:val="both"/>
        <w:rPr>
          <w:rFonts w:ascii="Cambria" w:hAnsi="Cambria"/>
          <w:iCs/>
        </w:rPr>
      </w:pPr>
      <w:r w:rsidRPr="00252706">
        <w:rPr>
          <w:rFonts w:ascii="Cambria" w:hAnsi="Cambria"/>
          <w:iCs/>
        </w:rPr>
        <w:lastRenderedPageBreak/>
        <w:t>“Since Article 47a(3)(c) of the CRR requires an exposure that has been under distressed restructuring to be considered as non-performing in the case it becomes more than 30 days past due, there is a rebuttable presumption that the probation period referred to in paragraph 72 of the guidelines on the definition of default should be reset as soon as the exposure becomes more than 30 days past due, unless this delayed payment is not related to financial difficulties of the obligor.”</w:t>
      </w:r>
    </w:p>
    <w:p w14:paraId="0020E321" w14:textId="2A39BC29" w:rsidR="00252706" w:rsidRDefault="00252706" w:rsidP="00585DDC">
      <w:pPr>
        <w:spacing w:before="120" w:after="120" w:line="259" w:lineRule="auto"/>
        <w:jc w:val="both"/>
        <w:rPr>
          <w:rFonts w:ascii="Cambria" w:hAnsi="Cambria"/>
          <w:iCs/>
        </w:rPr>
      </w:pPr>
      <w:r w:rsidRPr="00252706">
        <w:rPr>
          <w:rFonts w:ascii="Cambria" w:hAnsi="Cambria"/>
          <w:iCs/>
        </w:rPr>
        <w:t>Such clarification provides further alignment between NPE and default and implies that the probation period for defaulted exposures is not reset to zero when the obligor is not more than 30 days past due.</w:t>
      </w:r>
    </w:p>
    <w:p w14:paraId="3CD95A26" w14:textId="18CE07C1" w:rsidR="005652DE" w:rsidRPr="006909FC" w:rsidRDefault="005652DE" w:rsidP="005652DE">
      <w:pPr>
        <w:tabs>
          <w:tab w:val="center" w:pos="5102"/>
        </w:tabs>
        <w:spacing w:line="240" w:lineRule="auto"/>
        <w:jc w:val="both"/>
        <w:rPr>
          <w:rFonts w:ascii="Cambria" w:hAnsi="Cambria"/>
          <w:lang w:val="en-US"/>
        </w:rPr>
      </w:pPr>
      <w:r>
        <w:rPr>
          <w:rFonts w:ascii="Cambria" w:hAnsi="Cambria"/>
          <w:lang w:val="en-US"/>
        </w:rPr>
        <w:t>Finally we would like to highlight an issue with respect to the</w:t>
      </w:r>
      <w:r w:rsidRPr="006909FC">
        <w:rPr>
          <w:rFonts w:ascii="Cambria" w:hAnsi="Cambria"/>
          <w:lang w:val="en-US"/>
        </w:rPr>
        <w:t xml:space="preserve"> last version of EGIM, </w:t>
      </w:r>
      <w:r>
        <w:rPr>
          <w:rFonts w:ascii="Cambria" w:hAnsi="Cambria"/>
          <w:lang w:val="en-US"/>
        </w:rPr>
        <w:t xml:space="preserve">where the ECB </w:t>
      </w:r>
      <w:r w:rsidRPr="006909FC">
        <w:rPr>
          <w:rFonts w:ascii="Cambria" w:hAnsi="Cambria"/>
          <w:lang w:val="en-US"/>
        </w:rPr>
        <w:t xml:space="preserve">confirmed in paragraph 12 (172(b)) that for distressed restructuring in default, institutions should refrain from allowing the return to non-default status as long as exposures are subject to outstanding past due amounts, </w:t>
      </w:r>
      <w:r w:rsidRPr="006909FC">
        <w:rPr>
          <w:rFonts w:ascii="Cambria" w:hAnsi="Cambria"/>
          <w:b/>
          <w:bCs/>
          <w:lang w:val="en-US"/>
        </w:rPr>
        <w:t>even if these past due amounts are immaterial</w:t>
      </w:r>
      <w:r w:rsidRPr="006909FC">
        <w:rPr>
          <w:rFonts w:ascii="Cambria" w:hAnsi="Cambria"/>
          <w:lang w:val="en-US"/>
        </w:rPr>
        <w:t xml:space="preserve"> or are material and less than 90 days past due.</w:t>
      </w:r>
    </w:p>
    <w:p w14:paraId="79644163" w14:textId="77777777" w:rsidR="005652DE" w:rsidRPr="006909FC" w:rsidRDefault="005652DE" w:rsidP="005652DE">
      <w:pPr>
        <w:tabs>
          <w:tab w:val="center" w:pos="5102"/>
        </w:tabs>
        <w:spacing w:line="240" w:lineRule="auto"/>
        <w:jc w:val="both"/>
        <w:rPr>
          <w:rFonts w:ascii="Cambria" w:hAnsi="Cambria"/>
          <w:lang w:val="en-US"/>
        </w:rPr>
      </w:pPr>
    </w:p>
    <w:p w14:paraId="162D6E26" w14:textId="77777777" w:rsidR="005652DE" w:rsidRPr="006909FC" w:rsidRDefault="005652DE" w:rsidP="005652DE">
      <w:pPr>
        <w:tabs>
          <w:tab w:val="center" w:pos="5102"/>
        </w:tabs>
        <w:spacing w:line="240" w:lineRule="auto"/>
        <w:jc w:val="both"/>
        <w:rPr>
          <w:rFonts w:ascii="Cambria" w:hAnsi="Cambria"/>
          <w:lang w:val="en-US"/>
        </w:rPr>
      </w:pPr>
      <w:r w:rsidRPr="006909FC">
        <w:rPr>
          <w:rFonts w:ascii="Cambria" w:hAnsi="Cambria"/>
          <w:lang w:val="en-US"/>
        </w:rPr>
        <w:t xml:space="preserve">It means that for any </w:t>
      </w:r>
      <w:proofErr w:type="gramStart"/>
      <w:r w:rsidRPr="006909FC">
        <w:rPr>
          <w:rFonts w:ascii="Cambria" w:hAnsi="Cambria"/>
          <w:lang w:val="en-US"/>
        </w:rPr>
        <w:t>very low</w:t>
      </w:r>
      <w:proofErr w:type="gramEnd"/>
      <w:r w:rsidRPr="006909FC">
        <w:rPr>
          <w:rFonts w:ascii="Cambria" w:hAnsi="Cambria"/>
          <w:lang w:val="en-US"/>
        </w:rPr>
        <w:t xml:space="preserve"> technical past due (few euros) you </w:t>
      </w:r>
      <w:proofErr w:type="gramStart"/>
      <w:r w:rsidRPr="006909FC">
        <w:rPr>
          <w:rFonts w:ascii="Cambria" w:hAnsi="Cambria"/>
          <w:lang w:val="en-US"/>
        </w:rPr>
        <w:t>can’t</w:t>
      </w:r>
      <w:proofErr w:type="gramEnd"/>
      <w:r w:rsidRPr="006909FC">
        <w:rPr>
          <w:rFonts w:ascii="Cambria" w:hAnsi="Cambria"/>
          <w:lang w:val="en-US"/>
        </w:rPr>
        <w:t xml:space="preserve"> return to non</w:t>
      </w:r>
      <w:r>
        <w:rPr>
          <w:rFonts w:ascii="Cambria" w:hAnsi="Cambria"/>
          <w:lang w:val="en-US"/>
        </w:rPr>
        <w:t>-</w:t>
      </w:r>
      <w:r w:rsidRPr="006909FC">
        <w:rPr>
          <w:rFonts w:ascii="Cambria" w:hAnsi="Cambria"/>
          <w:lang w:val="en-US"/>
        </w:rPr>
        <w:t xml:space="preserve">default status. </w:t>
      </w:r>
      <w:r w:rsidRPr="006909FC">
        <w:rPr>
          <w:rFonts w:ascii="Cambria" w:hAnsi="Cambria"/>
          <w:b/>
          <w:bCs/>
          <w:lang w:val="en-US"/>
        </w:rPr>
        <w:t>This interpretation of article 73(c) of EBA GL on DoD is very restrictive</w:t>
      </w:r>
      <w:r w:rsidRPr="006909FC">
        <w:rPr>
          <w:rFonts w:ascii="Cambria" w:hAnsi="Cambria"/>
          <w:lang w:val="en-US"/>
        </w:rPr>
        <w:t>. During E</w:t>
      </w:r>
      <w:r>
        <w:rPr>
          <w:rFonts w:ascii="Cambria" w:hAnsi="Cambria"/>
          <w:lang w:val="en-US"/>
        </w:rPr>
        <w:t>GIM</w:t>
      </w:r>
      <w:r w:rsidRPr="006909FC">
        <w:rPr>
          <w:rFonts w:ascii="Cambria" w:hAnsi="Cambria"/>
          <w:lang w:val="en-US"/>
        </w:rPr>
        <w:t xml:space="preserve"> consultation we advocated </w:t>
      </w:r>
      <w:r>
        <w:rPr>
          <w:rFonts w:ascii="Cambria" w:hAnsi="Cambria"/>
          <w:lang w:val="en-US"/>
        </w:rPr>
        <w:t>for removing the</w:t>
      </w:r>
      <w:r w:rsidRPr="006909FC">
        <w:rPr>
          <w:rFonts w:ascii="Cambria" w:hAnsi="Cambria"/>
          <w:lang w:val="en-US"/>
        </w:rPr>
        <w:t xml:space="preserve"> sentence of paragraph 172(b) related to the immaterial past due without succes</w:t>
      </w:r>
      <w:r>
        <w:rPr>
          <w:rFonts w:ascii="Cambria" w:hAnsi="Cambria"/>
          <w:lang w:val="en-US"/>
        </w:rPr>
        <w:t>s.</w:t>
      </w:r>
    </w:p>
    <w:p w14:paraId="1275F916" w14:textId="6F96BC5D" w:rsidR="0039385E" w:rsidRPr="005652DE" w:rsidRDefault="005652DE" w:rsidP="005652DE">
      <w:pPr>
        <w:tabs>
          <w:tab w:val="center" w:pos="5102"/>
        </w:tabs>
        <w:spacing w:line="240" w:lineRule="auto"/>
        <w:jc w:val="both"/>
        <w:rPr>
          <w:rFonts w:ascii="Cambria" w:hAnsi="Cambria"/>
          <w:lang w:val="en"/>
        </w:rPr>
      </w:pPr>
      <w:r>
        <w:rPr>
          <w:rFonts w:ascii="Cambria" w:hAnsi="Cambria"/>
          <w:lang w:val="en"/>
        </w:rPr>
        <w:t xml:space="preserve">The EBA should seek to clarify the treatment for immaterial exposures so that if past due amounts relate to a small amount of </w:t>
      </w:r>
      <w:r w:rsidR="000D02C7">
        <w:rPr>
          <w:rFonts w:ascii="Cambria" w:hAnsi="Cambria"/>
          <w:lang w:val="en"/>
        </w:rPr>
        <w:t>euros,</w:t>
      </w:r>
      <w:r>
        <w:rPr>
          <w:rFonts w:ascii="Cambria" w:hAnsi="Cambria"/>
          <w:lang w:val="en"/>
        </w:rPr>
        <w:t xml:space="preserve"> then it should be possible for them to return to non-default status.</w:t>
      </w:r>
    </w:p>
    <w:p w14:paraId="5508D4DE" w14:textId="5470CBB4" w:rsidR="007C786C" w:rsidRPr="007372AB" w:rsidRDefault="007C786C" w:rsidP="007372AB">
      <w:pPr>
        <w:spacing w:before="120" w:after="120" w:line="259" w:lineRule="auto"/>
        <w:jc w:val="both"/>
        <w:rPr>
          <w:rFonts w:ascii="Cambria" w:hAnsi="Cambria"/>
          <w:b/>
          <w:bCs/>
        </w:rPr>
      </w:pPr>
      <w:r w:rsidRPr="007372AB">
        <w:rPr>
          <w:rFonts w:ascii="Cambria" w:hAnsi="Cambria"/>
          <w:b/>
          <w:bCs/>
        </w:rPr>
        <w:t>Question 4: Do you use internal definitions of default and NPE that are different from each other? Which differences are these and how material are those differences? Do you have any reasons or observed practical impediment that warrants a different definition of NPE and default? If so, please provide examples where a different definition of NPE and default is appropriate.</w:t>
      </w:r>
    </w:p>
    <w:p w14:paraId="13B79633" w14:textId="42D98CA1" w:rsidR="00D2732B" w:rsidRPr="005200D8" w:rsidRDefault="007C786C" w:rsidP="005200D8">
      <w:pPr>
        <w:spacing w:before="120" w:after="120" w:line="259" w:lineRule="auto"/>
        <w:jc w:val="both"/>
        <w:rPr>
          <w:rFonts w:ascii="Cambria" w:hAnsi="Cambria"/>
          <w:b/>
          <w:bCs/>
        </w:rPr>
      </w:pPr>
      <w:r w:rsidRPr="007372AB">
        <w:rPr>
          <w:rFonts w:ascii="Cambria" w:hAnsi="Cambria"/>
          <w:b/>
          <w:bCs/>
        </w:rPr>
        <w:t>Question 5: Would a potential lack of alignment between the default and NPE definition lead to issues in accounting in your case?</w:t>
      </w:r>
    </w:p>
    <w:p w14:paraId="52DA96D1" w14:textId="77777777" w:rsidR="00FB34C5" w:rsidRDefault="00D2732B" w:rsidP="007372AB">
      <w:pPr>
        <w:spacing w:before="120" w:after="120" w:line="259" w:lineRule="auto"/>
        <w:jc w:val="both"/>
        <w:rPr>
          <w:iCs/>
        </w:rPr>
      </w:pPr>
      <w:r>
        <w:rPr>
          <w:iCs/>
        </w:rPr>
        <w:t xml:space="preserve">There is no misalignment between definition of default and NPE. Potentially </w:t>
      </w:r>
      <w:r w:rsidR="002527F0">
        <w:rPr>
          <w:iCs/>
        </w:rPr>
        <w:t xml:space="preserve">there’s </w:t>
      </w:r>
      <w:r>
        <w:rPr>
          <w:iCs/>
        </w:rPr>
        <w:t>a misalignment between definition of default and Stage 3 classification, which depends on the bank’s practice. T</w:t>
      </w:r>
      <w:r w:rsidRPr="0044776B">
        <w:rPr>
          <w:iCs/>
        </w:rPr>
        <w:t xml:space="preserve">here is no regulatory obligation to fully align default, IFRS 9 Stage 3, </w:t>
      </w:r>
      <w:r w:rsidRPr="00B72B87">
        <w:rPr>
          <w:iCs/>
        </w:rPr>
        <w:t>and NPE definitions</w:t>
      </w:r>
      <w:r w:rsidRPr="00B21787">
        <w:rPr>
          <w:iCs/>
        </w:rPr>
        <w:t>.</w:t>
      </w:r>
      <w:r>
        <w:rPr>
          <w:iCs/>
        </w:rPr>
        <w:t xml:space="preserve"> Some</w:t>
      </w:r>
      <w:r w:rsidRPr="0044776B">
        <w:rPr>
          <w:iCs/>
        </w:rPr>
        <w:t xml:space="preserve"> banks align them voluntarily for operational simplicity, but divergence is legitimate and acknowledged by regulators.</w:t>
      </w:r>
      <w:r>
        <w:rPr>
          <w:iCs/>
        </w:rPr>
        <w:t xml:space="preserve"> </w:t>
      </w:r>
    </w:p>
    <w:p w14:paraId="4AD87729" w14:textId="1485249F" w:rsidR="00A204DA" w:rsidRPr="007372AB" w:rsidRDefault="007C786C" w:rsidP="007372AB">
      <w:pPr>
        <w:spacing w:before="120" w:after="120" w:line="259" w:lineRule="auto"/>
        <w:jc w:val="both"/>
        <w:rPr>
          <w:rFonts w:ascii="Cambria" w:hAnsi="Cambria"/>
          <w:b/>
          <w:bCs/>
        </w:rPr>
      </w:pPr>
      <w:r w:rsidRPr="007372AB">
        <w:rPr>
          <w:rFonts w:ascii="Cambria" w:hAnsi="Cambria"/>
          <w:b/>
          <w:bCs/>
        </w:rPr>
        <w:t>Question 6: Do you agree that no specific provisions should be introduced for moratoria on the grounds of the sufficient flexibility of the revised framework? In case you think the proposed alternative treatment for legislative moratoria should be included in these guidelines, do you have any evidence of the definition of default framework being too procyclical in the context of moratoria? Do you agree with the four conditions that need to be satisfied?</w:t>
      </w:r>
    </w:p>
    <w:p w14:paraId="55C18CB7" w14:textId="2C7A1A00" w:rsidR="007C7ABD" w:rsidRPr="00FB692A" w:rsidRDefault="00A204DA" w:rsidP="00B17A27">
      <w:pPr>
        <w:spacing w:before="120" w:after="120" w:line="259" w:lineRule="auto"/>
        <w:jc w:val="both"/>
        <w:rPr>
          <w:rFonts w:ascii="Cambria" w:hAnsi="Cambria"/>
          <w:iCs/>
          <w:lang w:val="en"/>
        </w:rPr>
      </w:pPr>
      <w:r w:rsidRPr="00A204DA">
        <w:rPr>
          <w:rFonts w:ascii="Cambria" w:hAnsi="Cambria"/>
          <w:iCs/>
          <w:lang w:val="en"/>
        </w:rPr>
        <w:t xml:space="preserve">It is our understanding that the current default framework is not </w:t>
      </w:r>
      <w:r w:rsidR="00D01418">
        <w:rPr>
          <w:rFonts w:ascii="Cambria" w:hAnsi="Cambria"/>
          <w:iCs/>
          <w:lang w:val="en"/>
        </w:rPr>
        <w:t>too</w:t>
      </w:r>
      <w:r w:rsidRPr="00A204DA">
        <w:rPr>
          <w:rFonts w:ascii="Cambria" w:hAnsi="Cambria"/>
          <w:iCs/>
          <w:lang w:val="en"/>
        </w:rPr>
        <w:t xml:space="preserve"> procyclical in the context of moratoria as institutions are already applying measures and methods to mitigate such effects. However, the introduction of a specific treatment for legislative morat</w:t>
      </w:r>
      <w:r w:rsidR="00D01418">
        <w:rPr>
          <w:rFonts w:ascii="Cambria" w:hAnsi="Cambria"/>
          <w:iCs/>
          <w:lang w:val="en"/>
        </w:rPr>
        <w:t>or</w:t>
      </w:r>
      <w:r w:rsidRPr="00A204DA">
        <w:rPr>
          <w:rFonts w:ascii="Cambria" w:hAnsi="Cambria"/>
          <w:iCs/>
          <w:lang w:val="en"/>
        </w:rPr>
        <w:t xml:space="preserve">ia </w:t>
      </w:r>
      <w:proofErr w:type="gramStart"/>
      <w:r w:rsidRPr="00A204DA">
        <w:rPr>
          <w:rFonts w:ascii="Cambria" w:hAnsi="Cambria"/>
          <w:iCs/>
          <w:lang w:val="en"/>
        </w:rPr>
        <w:t>is considered</w:t>
      </w:r>
      <w:proofErr w:type="gramEnd"/>
      <w:r w:rsidRPr="00A204DA">
        <w:rPr>
          <w:rFonts w:ascii="Cambria" w:hAnsi="Cambria"/>
          <w:iCs/>
          <w:lang w:val="en"/>
        </w:rPr>
        <w:t xml:space="preserve"> positive, as it provides certainty and confidence by formally incorporating into regulation what </w:t>
      </w:r>
      <w:proofErr w:type="gramStart"/>
      <w:r w:rsidRPr="00A204DA">
        <w:rPr>
          <w:rFonts w:ascii="Cambria" w:hAnsi="Cambria"/>
          <w:iCs/>
          <w:lang w:val="en"/>
        </w:rPr>
        <w:t>is already applied</w:t>
      </w:r>
      <w:proofErr w:type="gramEnd"/>
      <w:r w:rsidRPr="00A204DA">
        <w:rPr>
          <w:rFonts w:ascii="Cambria" w:hAnsi="Cambria"/>
          <w:iCs/>
          <w:lang w:val="en"/>
        </w:rPr>
        <w:t xml:space="preserve"> in practice. </w:t>
      </w:r>
      <w:r w:rsidR="007C7ABD" w:rsidRPr="007C7ABD">
        <w:rPr>
          <w:rFonts w:ascii="Cambria" w:hAnsi="Cambria"/>
          <w:iCs/>
        </w:rPr>
        <w:t>We welcome the alternative treatment which clarifies that legislative moratoria under specific conditions are not forborne measures.</w:t>
      </w:r>
    </w:p>
    <w:p w14:paraId="7D402C35" w14:textId="77777777" w:rsidR="007C7ABD" w:rsidRDefault="007C7ABD" w:rsidP="00B17A27">
      <w:pPr>
        <w:spacing w:before="120" w:after="120" w:line="259" w:lineRule="auto"/>
        <w:jc w:val="both"/>
        <w:rPr>
          <w:rFonts w:ascii="Cambria" w:hAnsi="Cambria"/>
          <w:iCs/>
        </w:rPr>
      </w:pPr>
      <w:r w:rsidRPr="007C7ABD">
        <w:rPr>
          <w:rFonts w:ascii="Cambria" w:hAnsi="Cambria"/>
          <w:iCs/>
        </w:rPr>
        <w:t>Regarding the conditions for legislative moratoria to benefit from the treatment underlined by EBA, we think that such conditions should align with the ones specified in legal texts detailing the moratoria (</w:t>
      </w:r>
      <w:proofErr w:type="gramStart"/>
      <w:r w:rsidRPr="007C7ABD">
        <w:rPr>
          <w:rFonts w:ascii="Cambria" w:hAnsi="Cambria"/>
          <w:iCs/>
        </w:rPr>
        <w:t>in particular regarding</w:t>
      </w:r>
      <w:proofErr w:type="gramEnd"/>
      <w:r w:rsidRPr="007C7ABD">
        <w:rPr>
          <w:rFonts w:ascii="Cambria" w:hAnsi="Cambria"/>
          <w:iCs/>
        </w:rPr>
        <w:t xml:space="preserve"> the fact that the moratorium does not apply to new loans granted after the date when the moratorium was announced).</w:t>
      </w:r>
    </w:p>
    <w:p w14:paraId="04E5EA60" w14:textId="5CE0820B" w:rsidR="004A3967" w:rsidRPr="004A3967" w:rsidRDefault="004A3967" w:rsidP="004A3967">
      <w:pPr>
        <w:pStyle w:val="CorpodelTesto"/>
        <w:spacing w:line="276" w:lineRule="auto"/>
        <w:rPr>
          <w:rFonts w:ascii="Cambria" w:eastAsia="Calibri" w:hAnsi="Cambria" w:cs="Times New Roman"/>
          <w:iCs/>
          <w:lang w:bidi="ar-SA"/>
        </w:rPr>
      </w:pPr>
      <w:proofErr w:type="gramStart"/>
      <w:r w:rsidRPr="004A3967">
        <w:rPr>
          <w:rFonts w:ascii="Cambria" w:eastAsia="Calibri" w:hAnsi="Cambria" w:cs="Times New Roman"/>
          <w:iCs/>
          <w:lang w:bidi="ar-SA"/>
        </w:rPr>
        <w:t>This being said, we</w:t>
      </w:r>
      <w:proofErr w:type="gramEnd"/>
      <w:r w:rsidRPr="004A3967">
        <w:rPr>
          <w:rFonts w:ascii="Cambria" w:eastAsia="Calibri" w:hAnsi="Cambria" w:cs="Times New Roman"/>
          <w:iCs/>
          <w:lang w:bidi="ar-SA"/>
        </w:rPr>
        <w:t xml:space="preserve"> are of the view the first condition should be broadened to cover in addition to the payment schedule, those cases where the moratoria include a cap to the interest rates. Moreover, we do not support </w:t>
      </w:r>
      <w:r w:rsidRPr="004A3967">
        <w:rPr>
          <w:rFonts w:ascii="Cambria" w:eastAsia="Calibri" w:hAnsi="Cambria" w:cs="Times New Roman"/>
          <w:iCs/>
          <w:lang w:bidi="ar-SA"/>
        </w:rPr>
        <w:lastRenderedPageBreak/>
        <w:t>the fourth criteria identified by the EBA, which refers to the condition that the moratoria shall be accompanied by fiscal measures adopted by the respective Member State</w:t>
      </w:r>
      <w:r w:rsidR="00113C0E">
        <w:rPr>
          <w:rFonts w:ascii="Cambria" w:eastAsia="Calibri" w:hAnsi="Cambria" w:cs="Times New Roman"/>
          <w:iCs/>
          <w:lang w:bidi="ar-SA"/>
        </w:rPr>
        <w:t>, which</w:t>
      </w:r>
      <w:r w:rsidRPr="004A3967">
        <w:rPr>
          <w:rFonts w:ascii="Cambria" w:eastAsia="Calibri" w:hAnsi="Cambria" w:cs="Times New Roman"/>
          <w:iCs/>
          <w:lang w:bidi="ar-SA"/>
        </w:rPr>
        <w:t xml:space="preserve"> is too restrictive.</w:t>
      </w:r>
    </w:p>
    <w:p w14:paraId="4A8F6306" w14:textId="12354338" w:rsidR="007C7ABD" w:rsidRPr="00FB692A" w:rsidRDefault="007C7ABD" w:rsidP="00B17A27">
      <w:pPr>
        <w:spacing w:before="120" w:after="120" w:line="259" w:lineRule="auto"/>
        <w:jc w:val="both"/>
        <w:rPr>
          <w:rFonts w:ascii="Cambria" w:hAnsi="Cambria"/>
          <w:iCs/>
        </w:rPr>
      </w:pPr>
      <w:r w:rsidRPr="007C7ABD">
        <w:rPr>
          <w:rFonts w:ascii="Cambria" w:hAnsi="Cambria"/>
          <w:iCs/>
        </w:rPr>
        <w:t xml:space="preserve">In addition, we would favour extending such treatment (derogation from reclassification to forbearance) to a non-legislative payment relief initiative of a bank as part of an industry- or sector-wide moratorium scheme agreed or coordinated within the banking industry. Indeed, some initiatives may take the form of industry-wide measures, agreed and documented by banks through industry associations </w:t>
      </w:r>
      <w:proofErr w:type="gramStart"/>
      <w:r w:rsidRPr="007C7ABD">
        <w:rPr>
          <w:rFonts w:ascii="Cambria" w:hAnsi="Cambria"/>
          <w:iCs/>
        </w:rPr>
        <w:t>in a given</w:t>
      </w:r>
      <w:proofErr w:type="gramEnd"/>
      <w:r w:rsidRPr="007C7ABD">
        <w:rPr>
          <w:rFonts w:ascii="Cambria" w:hAnsi="Cambria"/>
          <w:iCs/>
        </w:rPr>
        <w:t xml:space="preserve"> jurisdiction. In some Member States, such initiatives are openly encouraged by the government, sometimes supplemented by government guarantees, which provides incentives for banks to adopt these measures. In the context of an economic event (e.g. COVID), these industry measures would supplement the legislative moratoria. Thus, we consider that possible derogation given by the EBA should also target measures agreed or coordinated with the banking industry (even if moratorium is non-legislative). </w:t>
      </w:r>
    </w:p>
    <w:p w14:paraId="327CC8A2" w14:textId="2772CC86" w:rsidR="00662539" w:rsidRPr="005200D8" w:rsidRDefault="007372AB" w:rsidP="005200D8">
      <w:pPr>
        <w:spacing w:before="120" w:after="120" w:line="259" w:lineRule="auto"/>
        <w:jc w:val="both"/>
        <w:rPr>
          <w:rFonts w:ascii="Cambria" w:hAnsi="Cambria"/>
          <w:b/>
          <w:bCs/>
        </w:rPr>
      </w:pPr>
      <w:r w:rsidRPr="007372AB">
        <w:rPr>
          <w:rFonts w:ascii="Cambria" w:hAnsi="Cambria"/>
          <w:b/>
          <w:bCs/>
        </w:rPr>
        <w:t>Q</w:t>
      </w:r>
      <w:r w:rsidR="007C786C" w:rsidRPr="007372AB">
        <w:rPr>
          <w:rFonts w:ascii="Cambria" w:hAnsi="Cambria"/>
          <w:b/>
          <w:bCs/>
        </w:rPr>
        <w:t xml:space="preserve">uestion 7. Do you agree with the revised treatment of technical past due situations in </w:t>
      </w:r>
      <w:r w:rsidR="00EE2CE6" w:rsidRPr="007372AB">
        <w:rPr>
          <w:rFonts w:ascii="Cambria" w:hAnsi="Cambria"/>
          <w:b/>
          <w:bCs/>
        </w:rPr>
        <w:t>relation</w:t>
      </w:r>
      <w:r w:rsidR="007C786C" w:rsidRPr="007372AB">
        <w:rPr>
          <w:rFonts w:ascii="Cambria" w:hAnsi="Cambria"/>
          <w:b/>
          <w:bCs/>
        </w:rPr>
        <w:t xml:space="preserve"> to non-recourse factoring arrangements? And if you do not agree, what are the reasons? Do you have any comments on the clarifications of paragraphs 31 and 32 in the current GL DoD?</w:t>
      </w:r>
    </w:p>
    <w:p w14:paraId="1946216B" w14:textId="274B21FD" w:rsidR="00662539" w:rsidRDefault="00D2732B" w:rsidP="00B17A27">
      <w:pPr>
        <w:jc w:val="both"/>
        <w:rPr>
          <w:rFonts w:ascii="Cambria" w:hAnsi="Cambria"/>
          <w:iCs/>
          <w:lang w:val="en"/>
        </w:rPr>
      </w:pPr>
      <w:r>
        <w:rPr>
          <w:rFonts w:ascii="Cambria" w:hAnsi="Cambria"/>
          <w:iCs/>
          <w:lang w:val="en"/>
        </w:rPr>
        <w:t>We agree with t</w:t>
      </w:r>
      <w:r w:rsidR="00952D45" w:rsidRPr="007372AB">
        <w:rPr>
          <w:rFonts w:ascii="Cambria" w:hAnsi="Cambria"/>
          <w:iCs/>
          <w:lang w:val="en"/>
        </w:rPr>
        <w:t>he new proposal for the technical past due situation</w:t>
      </w:r>
      <w:r w:rsidR="00D01418">
        <w:rPr>
          <w:rFonts w:ascii="Cambria" w:hAnsi="Cambria"/>
          <w:iCs/>
          <w:lang w:val="en"/>
        </w:rPr>
        <w:t>s</w:t>
      </w:r>
      <w:r w:rsidR="00952D45" w:rsidRPr="007372AB">
        <w:rPr>
          <w:rFonts w:ascii="Cambria" w:hAnsi="Cambria"/>
          <w:iCs/>
          <w:lang w:val="en"/>
        </w:rPr>
        <w:t xml:space="preserve"> in relation to non-recourse factoring agreements </w:t>
      </w:r>
      <w:r w:rsidR="00ED5095">
        <w:rPr>
          <w:rFonts w:ascii="Cambria" w:hAnsi="Cambria"/>
          <w:iCs/>
          <w:lang w:val="en"/>
        </w:rPr>
        <w:t>-</w:t>
      </w:r>
      <w:r w:rsidR="00ED5095" w:rsidRPr="0098715F">
        <w:rPr>
          <w:rFonts w:ascii="Cambria" w:hAnsi="Cambria"/>
          <w:iCs/>
          <w:lang w:val="en-US"/>
        </w:rPr>
        <w:t xml:space="preserve">increasing the exceptional treatment of days past due at invoice level from 30 to 90 for factoring arrangements </w:t>
      </w:r>
      <w:r w:rsidR="00ED5095">
        <w:rPr>
          <w:rFonts w:ascii="Cambria" w:hAnsi="Cambria"/>
          <w:iCs/>
          <w:lang w:val="en-US"/>
        </w:rPr>
        <w:t>–</w:t>
      </w:r>
      <w:r w:rsidR="00ED5095" w:rsidRPr="007372AB">
        <w:rPr>
          <w:rFonts w:ascii="Cambria" w:hAnsi="Cambria"/>
          <w:iCs/>
          <w:lang w:val="en"/>
        </w:rPr>
        <w:t xml:space="preserve"> </w:t>
      </w:r>
      <w:r w:rsidR="00ED5095">
        <w:rPr>
          <w:rFonts w:ascii="Cambria" w:hAnsi="Cambria"/>
          <w:iCs/>
          <w:lang w:val="en"/>
        </w:rPr>
        <w:t xml:space="preserve">as it </w:t>
      </w:r>
      <w:r w:rsidR="00952D45" w:rsidRPr="007372AB">
        <w:rPr>
          <w:rFonts w:ascii="Cambria" w:hAnsi="Cambria"/>
          <w:iCs/>
          <w:lang w:val="en"/>
        </w:rPr>
        <w:t xml:space="preserve">is considered more aligned with the payment flexibility that typically characterizes this type of business; it better reflects the nature of the factoring product that during the last few years industry has </w:t>
      </w:r>
      <w:r w:rsidR="000E3B63">
        <w:rPr>
          <w:rFonts w:ascii="Cambria" w:hAnsi="Cambria"/>
          <w:iCs/>
          <w:lang w:val="en"/>
        </w:rPr>
        <w:t>supported</w:t>
      </w:r>
      <w:r w:rsidR="00952D45" w:rsidRPr="007372AB">
        <w:rPr>
          <w:rFonts w:ascii="Cambria" w:hAnsi="Cambria"/>
          <w:iCs/>
          <w:lang w:val="en"/>
        </w:rPr>
        <w:t>.</w:t>
      </w:r>
    </w:p>
    <w:p w14:paraId="7BDA18F9" w14:textId="77777777" w:rsidR="007372AB" w:rsidRPr="007372AB" w:rsidRDefault="007372AB" w:rsidP="00B17A27">
      <w:pPr>
        <w:jc w:val="both"/>
        <w:rPr>
          <w:rFonts w:ascii="Cambria" w:hAnsi="Cambria"/>
          <w:iCs/>
          <w:lang w:val="en"/>
        </w:rPr>
      </w:pPr>
    </w:p>
    <w:p w14:paraId="7AE8F5A0" w14:textId="51503860" w:rsidR="00987E25" w:rsidRPr="005200D8" w:rsidRDefault="005C1BDC" w:rsidP="005200D8">
      <w:pPr>
        <w:spacing w:before="120" w:after="120" w:line="259" w:lineRule="auto"/>
        <w:jc w:val="both"/>
        <w:rPr>
          <w:rFonts w:ascii="Cambria" w:hAnsi="Cambria"/>
          <w:b/>
          <w:bCs/>
        </w:rPr>
      </w:pPr>
      <w:r w:rsidRPr="00CE0780">
        <w:rPr>
          <w:rFonts w:ascii="Cambria" w:hAnsi="Cambria"/>
          <w:b/>
          <w:bCs/>
        </w:rPr>
        <w:t>Question 8. Do you agree with the other changes to the guidelines to reflect updates from Regulation (EU) 2024/1623?</w:t>
      </w:r>
    </w:p>
    <w:p w14:paraId="73F0BDD5" w14:textId="77777777" w:rsidR="00E65ED4" w:rsidRPr="000A5444" w:rsidRDefault="00987E25" w:rsidP="00A26476">
      <w:pPr>
        <w:pStyle w:val="Default"/>
        <w:rPr>
          <w:sz w:val="22"/>
          <w:szCs w:val="22"/>
          <w:lang w:val="en"/>
        </w:rPr>
      </w:pPr>
      <w:r w:rsidRPr="000A5444">
        <w:rPr>
          <w:sz w:val="22"/>
          <w:szCs w:val="22"/>
          <w:lang w:val="en"/>
        </w:rPr>
        <w:t xml:space="preserve">The other changes to the guidelines aimed at reflecting the updates introduced by </w:t>
      </w:r>
      <w:r w:rsidR="00A36248" w:rsidRPr="000A5444">
        <w:rPr>
          <w:sz w:val="22"/>
          <w:szCs w:val="22"/>
          <w:lang w:val="en"/>
        </w:rPr>
        <w:t>CRR</w:t>
      </w:r>
      <w:r w:rsidR="006A40EB" w:rsidRPr="000A5444">
        <w:rPr>
          <w:sz w:val="22"/>
          <w:szCs w:val="22"/>
          <w:lang w:val="en"/>
        </w:rPr>
        <w:t>3</w:t>
      </w:r>
      <w:r w:rsidR="00A36248" w:rsidRPr="000A5444">
        <w:rPr>
          <w:sz w:val="22"/>
          <w:szCs w:val="22"/>
          <w:lang w:val="en"/>
        </w:rPr>
        <w:t xml:space="preserve"> </w:t>
      </w:r>
      <w:proofErr w:type="gramStart"/>
      <w:r w:rsidRPr="000A5444">
        <w:rPr>
          <w:sz w:val="22"/>
          <w:szCs w:val="22"/>
          <w:lang w:val="en"/>
        </w:rPr>
        <w:t>are considered</w:t>
      </w:r>
      <w:proofErr w:type="gramEnd"/>
      <w:r w:rsidRPr="000A5444">
        <w:rPr>
          <w:sz w:val="22"/>
          <w:szCs w:val="22"/>
          <w:lang w:val="en"/>
        </w:rPr>
        <w:t xml:space="preserve"> appropriate. </w:t>
      </w:r>
    </w:p>
    <w:p w14:paraId="57BDE716" w14:textId="15C17977" w:rsidR="000A5444" w:rsidRPr="000A5444" w:rsidRDefault="00953CE4" w:rsidP="00A26476">
      <w:pPr>
        <w:pStyle w:val="Default"/>
        <w:rPr>
          <w:sz w:val="22"/>
          <w:szCs w:val="22"/>
          <w:lang w:val="en-GB"/>
        </w:rPr>
      </w:pPr>
      <w:r w:rsidRPr="000A5444">
        <w:rPr>
          <w:sz w:val="22"/>
          <w:szCs w:val="22"/>
          <w:lang w:val="en"/>
        </w:rPr>
        <w:t xml:space="preserve">We have one additional proposal which we would </w:t>
      </w:r>
      <w:r w:rsidR="00A26476" w:rsidRPr="000A5444">
        <w:rPr>
          <w:sz w:val="22"/>
          <w:szCs w:val="22"/>
          <w:lang w:val="en"/>
        </w:rPr>
        <w:t xml:space="preserve">like </w:t>
      </w:r>
      <w:r w:rsidRPr="000A5444">
        <w:rPr>
          <w:sz w:val="22"/>
          <w:szCs w:val="22"/>
          <w:lang w:val="en"/>
        </w:rPr>
        <w:t xml:space="preserve">the EBA to </w:t>
      </w:r>
      <w:proofErr w:type="gramStart"/>
      <w:r w:rsidRPr="000A5444">
        <w:rPr>
          <w:sz w:val="22"/>
          <w:szCs w:val="22"/>
          <w:lang w:val="en"/>
        </w:rPr>
        <w:t>take into account</w:t>
      </w:r>
      <w:proofErr w:type="gramEnd"/>
      <w:r w:rsidR="005652DE" w:rsidRPr="000A5444">
        <w:rPr>
          <w:sz w:val="22"/>
          <w:szCs w:val="22"/>
          <w:lang w:val="en"/>
        </w:rPr>
        <w:t xml:space="preserve"> which is</w:t>
      </w:r>
      <w:r w:rsidR="000A5444" w:rsidRPr="000A5444">
        <w:rPr>
          <w:sz w:val="22"/>
          <w:szCs w:val="22"/>
          <w:lang w:val="en"/>
        </w:rPr>
        <w:t xml:space="preserve"> for</w:t>
      </w:r>
      <w:r w:rsidR="005652DE" w:rsidRPr="000A5444">
        <w:rPr>
          <w:sz w:val="22"/>
          <w:szCs w:val="22"/>
          <w:lang w:val="en"/>
        </w:rPr>
        <w:t xml:space="preserve"> </w:t>
      </w:r>
      <w:r w:rsidR="00E65ED4" w:rsidRPr="000A5444">
        <w:rPr>
          <w:sz w:val="22"/>
          <w:szCs w:val="22"/>
          <w:lang w:val="en-GB"/>
        </w:rPr>
        <w:t xml:space="preserve">the extension of the </w:t>
      </w:r>
      <w:r w:rsidR="00E65ED4" w:rsidRPr="000A5444">
        <w:rPr>
          <w:sz w:val="22"/>
          <w:szCs w:val="22"/>
        </w:rPr>
        <w:t xml:space="preserve">specific treatment </w:t>
      </w:r>
      <w:r w:rsidR="00E65ED4" w:rsidRPr="000A5444">
        <w:rPr>
          <w:sz w:val="22"/>
          <w:szCs w:val="22"/>
          <w:lang w:val="en-GB"/>
        </w:rPr>
        <w:t xml:space="preserve">for factoring to leasing since operational lease arrangements share </w:t>
      </w:r>
      <w:proofErr w:type="gramStart"/>
      <w:r w:rsidR="00E65ED4" w:rsidRPr="000A5444">
        <w:rPr>
          <w:sz w:val="22"/>
          <w:szCs w:val="22"/>
          <w:lang w:val="en-GB"/>
        </w:rPr>
        <w:t>many</w:t>
      </w:r>
      <w:proofErr w:type="gramEnd"/>
      <w:r w:rsidR="00E65ED4" w:rsidRPr="000A5444">
        <w:rPr>
          <w:sz w:val="22"/>
          <w:szCs w:val="22"/>
          <w:lang w:val="en-GB"/>
        </w:rPr>
        <w:t xml:space="preserve"> similarities with factoring arrangements. </w:t>
      </w:r>
    </w:p>
    <w:p w14:paraId="56DDD1BE" w14:textId="6877BD81" w:rsidR="005652DE" w:rsidRPr="000A5444" w:rsidRDefault="000A5444" w:rsidP="00A26476">
      <w:pPr>
        <w:pStyle w:val="Default"/>
        <w:rPr>
          <w:color w:val="auto"/>
          <w:sz w:val="22"/>
          <w:szCs w:val="22"/>
          <w:u w:val="single"/>
          <w:lang w:val="en-GB"/>
        </w:rPr>
      </w:pPr>
      <w:r w:rsidRPr="000A5444">
        <w:rPr>
          <w:sz w:val="22"/>
          <w:szCs w:val="22"/>
          <w:lang w:val="en"/>
        </w:rPr>
        <w:t xml:space="preserve">Proposal </w:t>
      </w:r>
      <w:r w:rsidR="005652DE" w:rsidRPr="000A5444">
        <w:rPr>
          <w:sz w:val="22"/>
          <w:szCs w:val="22"/>
          <w:lang w:val="en"/>
        </w:rPr>
        <w:t>for the</w:t>
      </w:r>
      <w:r w:rsidR="005652DE" w:rsidRPr="000A5444">
        <w:rPr>
          <w:b/>
          <w:bCs/>
          <w:sz w:val="22"/>
          <w:szCs w:val="22"/>
          <w:u w:val="single"/>
          <w:lang w:val="en"/>
        </w:rPr>
        <w:t xml:space="preserve"> </w:t>
      </w:r>
      <w:r w:rsidR="000459D8" w:rsidRPr="000A5444">
        <w:rPr>
          <w:b/>
          <w:bCs/>
          <w:color w:val="auto"/>
          <w:sz w:val="22"/>
          <w:szCs w:val="22"/>
          <w:u w:val="single"/>
          <w:lang w:val="en-GB"/>
        </w:rPr>
        <w:t>specific</w:t>
      </w:r>
      <w:r w:rsidR="005652DE" w:rsidRPr="000A5444">
        <w:rPr>
          <w:b/>
          <w:bCs/>
          <w:color w:val="auto"/>
          <w:sz w:val="22"/>
          <w:szCs w:val="22"/>
          <w:u w:val="single"/>
          <w:lang w:val="en-GB"/>
        </w:rPr>
        <w:t xml:space="preserve"> treatment for operational lease exposures</w:t>
      </w:r>
      <w:r w:rsidR="00FC50E1">
        <w:rPr>
          <w:b/>
          <w:bCs/>
          <w:color w:val="auto"/>
          <w:sz w:val="22"/>
          <w:szCs w:val="22"/>
          <w:u w:val="single"/>
          <w:lang w:val="en-GB"/>
        </w:rPr>
        <w:t>:</w:t>
      </w:r>
    </w:p>
    <w:p w14:paraId="16C43A19" w14:textId="77777777" w:rsidR="005652DE" w:rsidRDefault="005652DE" w:rsidP="005652DE">
      <w:pPr>
        <w:pStyle w:val="Default"/>
        <w:rPr>
          <w:i/>
          <w:iCs/>
          <w:color w:val="auto"/>
          <w:sz w:val="22"/>
          <w:szCs w:val="22"/>
          <w:lang w:val="en-GB"/>
        </w:rPr>
      </w:pPr>
    </w:p>
    <w:p w14:paraId="00F57CEB" w14:textId="6140162C" w:rsidR="005652DE" w:rsidRPr="005652DE" w:rsidRDefault="005652DE" w:rsidP="005652DE">
      <w:pPr>
        <w:jc w:val="both"/>
        <w:rPr>
          <w:rFonts w:ascii="Cambria" w:hAnsi="Cambria"/>
          <w:b/>
          <w:bCs/>
        </w:rPr>
      </w:pPr>
      <w:r w:rsidRPr="005652DE">
        <w:rPr>
          <w:rFonts w:ascii="Cambria" w:hAnsi="Cambria"/>
          <w:b/>
          <w:bCs/>
        </w:rPr>
        <w:t>Business model of operational lease</w:t>
      </w:r>
      <w:r w:rsidR="006C1215">
        <w:rPr>
          <w:rFonts w:ascii="Cambria" w:hAnsi="Cambria"/>
          <w:b/>
          <w:bCs/>
        </w:rPr>
        <w:t>s</w:t>
      </w:r>
    </w:p>
    <w:p w14:paraId="64C600CF" w14:textId="77777777" w:rsidR="005652DE" w:rsidRPr="005652DE" w:rsidRDefault="005652DE" w:rsidP="005652DE">
      <w:pPr>
        <w:spacing w:before="100" w:beforeAutospacing="1" w:after="100" w:afterAutospacing="1" w:line="259" w:lineRule="auto"/>
        <w:jc w:val="both"/>
        <w:rPr>
          <w:iCs/>
        </w:rPr>
      </w:pPr>
      <w:r w:rsidRPr="005652DE">
        <w:rPr>
          <w:iCs/>
        </w:rPr>
        <w:t>There are 3 major process differences between operational lease and traditional bank loans:</w:t>
      </w:r>
    </w:p>
    <w:p w14:paraId="1B1A034F" w14:textId="77777777" w:rsidR="005652DE" w:rsidRPr="005652DE" w:rsidRDefault="005652DE" w:rsidP="005652DE">
      <w:pPr>
        <w:pStyle w:val="ListParagraph"/>
        <w:numPr>
          <w:ilvl w:val="0"/>
          <w:numId w:val="16"/>
        </w:numPr>
        <w:spacing w:before="100" w:beforeAutospacing="1" w:after="100" w:afterAutospacing="1" w:line="259" w:lineRule="auto"/>
        <w:jc w:val="both"/>
        <w:rPr>
          <w:iCs/>
        </w:rPr>
      </w:pPr>
      <w:r w:rsidRPr="005652DE">
        <w:rPr>
          <w:iCs/>
        </w:rPr>
        <w:t xml:space="preserve">Where bank loans are repaid by the Treasury department within the larger companies, the invoices related to operational lease are usually paid by the Procurement department. And since an operational leasing company is perceived by customers as a supplier rather than a Financial Institution, the due date on the invoice is not always adhered to. </w:t>
      </w:r>
      <w:proofErr w:type="gramStart"/>
      <w:r w:rsidRPr="005652DE">
        <w:rPr>
          <w:iCs/>
        </w:rPr>
        <w:t>Similar to</w:t>
      </w:r>
      <w:proofErr w:type="gramEnd"/>
      <w:r w:rsidRPr="005652DE">
        <w:rPr>
          <w:iCs/>
        </w:rPr>
        <w:t xml:space="preserve"> the energy bill or invoices from suppliers of office equipment. The late payment of the customer can be due to complex internal processes, due to working capital choices or otherwise. </w:t>
      </w:r>
    </w:p>
    <w:p w14:paraId="4FFDA12D" w14:textId="6540770C" w:rsidR="005652DE" w:rsidRPr="005652DE" w:rsidRDefault="005652DE" w:rsidP="005652DE">
      <w:pPr>
        <w:pStyle w:val="ListParagraph"/>
        <w:numPr>
          <w:ilvl w:val="0"/>
          <w:numId w:val="16"/>
        </w:numPr>
        <w:spacing w:before="100" w:beforeAutospacing="1" w:after="100" w:afterAutospacing="1" w:line="259" w:lineRule="auto"/>
        <w:jc w:val="both"/>
        <w:rPr>
          <w:iCs/>
        </w:rPr>
      </w:pPr>
      <w:r w:rsidRPr="005652DE">
        <w:rPr>
          <w:iCs/>
        </w:rPr>
        <w:t xml:space="preserve">Whereas the general monthly instalment could be paid timely by the customer, one-off charges related to damages, fines and end of contract costs are also invoiced on a regular basis. As these costs are not </w:t>
      </w:r>
      <w:r w:rsidRPr="005652DE">
        <w:rPr>
          <w:iCs/>
        </w:rPr>
        <w:lastRenderedPageBreak/>
        <w:t>always understood directly by the client and again</w:t>
      </w:r>
      <w:r w:rsidR="00F4328F">
        <w:rPr>
          <w:iCs/>
        </w:rPr>
        <w:t>,</w:t>
      </w:r>
      <w:r w:rsidRPr="005652DE">
        <w:rPr>
          <w:iCs/>
        </w:rPr>
        <w:t xml:space="preserve"> their complex internal invoice-to-payment process </w:t>
      </w:r>
      <w:proofErr w:type="gramStart"/>
      <w:r w:rsidRPr="005652DE">
        <w:rPr>
          <w:iCs/>
        </w:rPr>
        <w:t>has to</w:t>
      </w:r>
      <w:proofErr w:type="gramEnd"/>
      <w:r w:rsidRPr="005652DE">
        <w:rPr>
          <w:iCs/>
        </w:rPr>
        <w:t xml:space="preserve"> be followed, these non-recurring invoices tend to be paid after the invoice due date more frequently.</w:t>
      </w:r>
    </w:p>
    <w:p w14:paraId="501D0D05" w14:textId="6A582F53" w:rsidR="005652DE" w:rsidRPr="005652DE" w:rsidRDefault="005652DE" w:rsidP="005652DE">
      <w:pPr>
        <w:pStyle w:val="ListParagraph"/>
        <w:numPr>
          <w:ilvl w:val="0"/>
          <w:numId w:val="16"/>
        </w:numPr>
        <w:spacing w:before="100" w:beforeAutospacing="1" w:after="100" w:afterAutospacing="1" w:line="259" w:lineRule="auto"/>
        <w:jc w:val="both"/>
        <w:rPr>
          <w:iCs/>
        </w:rPr>
      </w:pPr>
      <w:r w:rsidRPr="005652DE">
        <w:rPr>
          <w:iCs/>
        </w:rPr>
        <w:t>It is not self-evident that this activity, which for example provides a service for managing a customer's vehicle fleet (invoices related to goods and services and not to debt/credit and loan products), should be classified as a purely financial activity. Indeed</w:t>
      </w:r>
      <w:r w:rsidR="00267A6E">
        <w:rPr>
          <w:iCs/>
        </w:rPr>
        <w:t>,</w:t>
      </w:r>
      <w:r w:rsidRPr="005652DE">
        <w:rPr>
          <w:iCs/>
        </w:rPr>
        <w:t xml:space="preserve"> car leasing competitors who are not affiliated to a banking company are not subject to banking regulation, which shows that car leasing, as an underlying activity does not in and of itself justify such a framework. Only membership of a banking group does, which creates distortions of competition between leasing entities that are subject to banking regulation and those that are not.</w:t>
      </w:r>
    </w:p>
    <w:p w14:paraId="05895236" w14:textId="77777777" w:rsidR="005652DE" w:rsidRPr="005652DE" w:rsidRDefault="005652DE" w:rsidP="005652DE">
      <w:pPr>
        <w:jc w:val="both"/>
        <w:rPr>
          <w:rFonts w:ascii="Cambria" w:hAnsi="Cambria"/>
          <w:b/>
          <w:bCs/>
        </w:rPr>
      </w:pPr>
      <w:r w:rsidRPr="005652DE">
        <w:rPr>
          <w:rFonts w:ascii="Cambria" w:hAnsi="Cambria"/>
          <w:b/>
          <w:bCs/>
        </w:rPr>
        <w:t>Factoring similarities</w:t>
      </w:r>
    </w:p>
    <w:p w14:paraId="0023897C" w14:textId="77777777" w:rsidR="005652DE" w:rsidRPr="005652DE" w:rsidRDefault="005652DE" w:rsidP="005652DE">
      <w:pPr>
        <w:spacing w:before="100" w:beforeAutospacing="1" w:after="100" w:afterAutospacing="1" w:line="259" w:lineRule="auto"/>
        <w:jc w:val="both"/>
        <w:rPr>
          <w:rFonts w:ascii="Cambria" w:hAnsi="Cambria"/>
          <w:iCs/>
        </w:rPr>
      </w:pPr>
      <w:r w:rsidRPr="005652DE">
        <w:rPr>
          <w:rFonts w:ascii="Cambria" w:hAnsi="Cambria"/>
          <w:iCs/>
        </w:rPr>
        <w:t xml:space="preserve">“In relation to non-recourse factoring, the EBA understands that institutions with big corporate-loan portfolios are hesitant to provide factoring facilities to clients (often SMEs) who wish to sell the receivables of a company for immediate liquidity, where this company is also a non-retail obligor of the institution (i.e., the institution has a direct exposure to this company). A typical example would be the one where an SME (client) has sold the receivables of a large company (debtor /obligor) to the institution (factor). The credit risk and therefore the definition of default is assessed toward this large company. Furthermore, if the credit institution also has other direct exposures to the debtor (on which the debtor is timely paying according to the payment schedule), these direct exposures would also have to be placed in default if the large company is consistently paying late on the factoring.” </w:t>
      </w:r>
    </w:p>
    <w:p w14:paraId="6E5DFF6F" w14:textId="77777777" w:rsidR="005652DE" w:rsidRPr="005652DE" w:rsidRDefault="005652DE" w:rsidP="005652DE">
      <w:pPr>
        <w:spacing w:before="100" w:beforeAutospacing="1" w:after="100" w:afterAutospacing="1" w:line="259" w:lineRule="auto"/>
        <w:jc w:val="both"/>
        <w:rPr>
          <w:rFonts w:ascii="Cambria" w:hAnsi="Cambria"/>
          <w:iCs/>
        </w:rPr>
      </w:pPr>
      <w:r w:rsidRPr="005652DE">
        <w:rPr>
          <w:rFonts w:ascii="Cambria" w:hAnsi="Cambria"/>
          <w:iCs/>
        </w:rPr>
        <w:t>The same is true of car leasing, where operating lease invoices may be processed less diligently by the large company’s procurement department than credit repayments by the large company’s treasury department. This implies a risk of default on the large company due to relatively low operating lease invoices and tends to make the institutions hesitant to get involved in this type of activity.</w:t>
      </w:r>
    </w:p>
    <w:p w14:paraId="271D37AB" w14:textId="52EC867C" w:rsidR="005652DE" w:rsidRPr="002A5BFD" w:rsidRDefault="005652DE" w:rsidP="005652DE">
      <w:pPr>
        <w:pStyle w:val="NormalWeb"/>
        <w:jc w:val="both"/>
        <w:rPr>
          <w:rFonts w:ascii="Cambria" w:eastAsia="Calibri" w:hAnsi="Cambria"/>
          <w:iCs/>
          <w:sz w:val="22"/>
          <w:szCs w:val="22"/>
          <w:lang w:val="en-GB" w:eastAsia="en-GB"/>
        </w:rPr>
      </w:pPr>
      <w:r w:rsidRPr="002A5BFD">
        <w:rPr>
          <w:rFonts w:ascii="Cambria" w:eastAsia="Calibri" w:hAnsi="Cambria"/>
          <w:iCs/>
          <w:sz w:val="22"/>
          <w:szCs w:val="22"/>
          <w:lang w:val="en-GB" w:eastAsia="en-GB"/>
        </w:rPr>
        <w:t xml:space="preserve">EBA’s following arguments regarding factoring activities can also </w:t>
      </w:r>
      <w:r w:rsidR="00267A6E">
        <w:rPr>
          <w:rFonts w:ascii="Cambria" w:eastAsia="Calibri" w:hAnsi="Cambria"/>
          <w:iCs/>
          <w:sz w:val="22"/>
          <w:szCs w:val="22"/>
          <w:lang w:val="en-GB" w:eastAsia="en-GB"/>
        </w:rPr>
        <w:t>apply to</w:t>
      </w:r>
      <w:r w:rsidRPr="002A5BFD">
        <w:rPr>
          <w:rFonts w:ascii="Cambria" w:eastAsia="Calibri" w:hAnsi="Cambria"/>
          <w:iCs/>
          <w:sz w:val="22"/>
          <w:szCs w:val="22"/>
          <w:lang w:val="en-GB" w:eastAsia="en-GB"/>
        </w:rPr>
        <w:t xml:space="preserve"> automotive leasing: “The current ‘days past due’ (DPD) counting convention has limited impact on ‘regular’ products, while it does not reflect the economic reality of purchased receivables where repayments are made invoice by invoice:</w:t>
      </w:r>
    </w:p>
    <w:p w14:paraId="26ED6407" w14:textId="77777777" w:rsidR="005652DE" w:rsidRPr="002A5BFD" w:rsidRDefault="005652DE" w:rsidP="005652DE">
      <w:pPr>
        <w:pStyle w:val="NormalWeb"/>
        <w:jc w:val="both"/>
        <w:rPr>
          <w:rFonts w:ascii="Cambria" w:eastAsia="Calibri" w:hAnsi="Cambria"/>
          <w:iCs/>
          <w:sz w:val="22"/>
          <w:szCs w:val="22"/>
          <w:lang w:val="en-GB" w:eastAsia="en-GB"/>
        </w:rPr>
      </w:pPr>
      <w:r w:rsidRPr="002A5BFD">
        <w:rPr>
          <w:rFonts w:ascii="Cambria" w:eastAsia="Calibri" w:hAnsi="Cambria"/>
          <w:iCs/>
          <w:sz w:val="22"/>
          <w:szCs w:val="22"/>
          <w:lang w:val="en-GB" w:eastAsia="en-GB"/>
        </w:rPr>
        <w:t>- The DPD counter may keep increasing due to a consecutive overlap in non-payments of these invoices. If there is a high number of receivables, the DPD counter keeps on increasing with payment delays on each invoice.</w:t>
      </w:r>
    </w:p>
    <w:p w14:paraId="7C233043" w14:textId="77777777" w:rsidR="005652DE" w:rsidRPr="002A5BFD" w:rsidRDefault="005652DE" w:rsidP="005652DE">
      <w:pPr>
        <w:pStyle w:val="NormalWeb"/>
        <w:jc w:val="both"/>
        <w:rPr>
          <w:rFonts w:ascii="Cambria" w:eastAsia="Calibri" w:hAnsi="Cambria"/>
          <w:iCs/>
          <w:sz w:val="22"/>
          <w:szCs w:val="22"/>
          <w:lang w:val="en-GB" w:eastAsia="en-GB"/>
        </w:rPr>
      </w:pPr>
      <w:r w:rsidRPr="002A5BFD">
        <w:rPr>
          <w:rFonts w:ascii="Cambria" w:eastAsia="Calibri" w:hAnsi="Cambria"/>
          <w:iCs/>
          <w:sz w:val="22"/>
          <w:szCs w:val="22"/>
          <w:lang w:val="en-GB" w:eastAsia="en-GB"/>
        </w:rPr>
        <w:t>- There are observed lengthy administrative processes with a natural long validation lifecycle of the receivables on invoices.</w:t>
      </w:r>
    </w:p>
    <w:p w14:paraId="6CFF84BB" w14:textId="77777777" w:rsidR="005652DE" w:rsidRPr="002A5BFD" w:rsidRDefault="005652DE" w:rsidP="005652DE">
      <w:pPr>
        <w:pStyle w:val="NormalWeb"/>
        <w:jc w:val="both"/>
        <w:rPr>
          <w:rFonts w:ascii="Cambria" w:eastAsia="Calibri" w:hAnsi="Cambria"/>
          <w:iCs/>
          <w:sz w:val="22"/>
          <w:szCs w:val="22"/>
          <w:lang w:val="en-GB" w:eastAsia="en-GB"/>
        </w:rPr>
      </w:pPr>
      <w:r w:rsidRPr="002A5BFD">
        <w:rPr>
          <w:rFonts w:ascii="Cambria" w:eastAsia="Calibri" w:hAnsi="Cambria"/>
          <w:iCs/>
          <w:sz w:val="22"/>
          <w:szCs w:val="22"/>
          <w:lang w:val="en-GB" w:eastAsia="en-GB"/>
        </w:rPr>
        <w:t>The fact of being in a two-party agreement, and not a three-party agreement as in non-recourse factoring, in no way mitigates the elements listed above.</w:t>
      </w:r>
    </w:p>
    <w:p w14:paraId="2193E6A8" w14:textId="77777777" w:rsidR="005652DE" w:rsidRPr="002A5BFD" w:rsidRDefault="005652DE" w:rsidP="005652DE">
      <w:pPr>
        <w:pStyle w:val="NormalWeb"/>
        <w:jc w:val="both"/>
        <w:rPr>
          <w:rFonts w:ascii="Cambria" w:eastAsia="Calibri" w:hAnsi="Cambria"/>
          <w:iCs/>
          <w:sz w:val="22"/>
          <w:szCs w:val="22"/>
          <w:lang w:val="en-GB" w:eastAsia="en-GB"/>
        </w:rPr>
      </w:pPr>
      <w:r w:rsidRPr="002A5BFD">
        <w:rPr>
          <w:rFonts w:ascii="Cambria" w:eastAsia="Calibri" w:hAnsi="Cambria"/>
          <w:iCs/>
          <w:sz w:val="22"/>
          <w:szCs w:val="22"/>
          <w:lang w:val="en-GB" w:eastAsia="en-GB"/>
        </w:rPr>
        <w:t>As a result, we are fully in line with the EBA's finding that “The DPD criteria and materiality threshold should not be intended to go beyond identifying debtors who are not paying or are unlikely to pay their credit obligations. Stricter arrears criteria may not have the effect of reducing arrears, but rather of encouraging institutions to refuse to grant credit to companies”.</w:t>
      </w:r>
    </w:p>
    <w:p w14:paraId="424C1DA7" w14:textId="5509BCB4" w:rsidR="005652DE" w:rsidRPr="00E55E11" w:rsidRDefault="00E55E11" w:rsidP="004D7356">
      <w:pPr>
        <w:jc w:val="both"/>
        <w:rPr>
          <w:rFonts w:ascii="Cambria" w:hAnsi="Cambria"/>
          <w:b/>
          <w:bCs/>
        </w:rPr>
      </w:pPr>
      <w:r>
        <w:rPr>
          <w:rFonts w:ascii="Cambria" w:hAnsi="Cambria"/>
          <w:iCs/>
        </w:rPr>
        <w:lastRenderedPageBreak/>
        <w:t>In conclusion, t</w:t>
      </w:r>
      <w:r w:rsidR="005652DE" w:rsidRPr="005652DE">
        <w:rPr>
          <w:rFonts w:ascii="Cambria" w:hAnsi="Cambria"/>
          <w:iCs/>
        </w:rPr>
        <w:t>he above is resulting in obligors having to be considered defaulted after 90 days while this non-payment is fully unrelated to the creditworthiness of the obligor and as such the current default definition produces incorrect default classifications. Since the implementation of the new definition of default, the highest default rates are observed for governments, banks and corporates often with prime ratings. As these government bodies are in UK, France, Italy and Spain, we see no correlation between the days past due and the creditworthiness of the obligors. Furthermore, the cure rate in car leasing, i.e. the rate of obligors returning from a default to a non-default status or from default to full repayment is high. We consider that the new definition of default worsened the insight in</w:t>
      </w:r>
      <w:r w:rsidR="00267A6E">
        <w:rPr>
          <w:rFonts w:ascii="Cambria" w:hAnsi="Cambria"/>
          <w:iCs/>
        </w:rPr>
        <w:t>to</w:t>
      </w:r>
      <w:r w:rsidR="005652DE" w:rsidRPr="005652DE">
        <w:rPr>
          <w:rFonts w:ascii="Cambria" w:hAnsi="Cambria"/>
          <w:iCs/>
        </w:rPr>
        <w:t xml:space="preserve"> the real credit risk levels.</w:t>
      </w:r>
    </w:p>
    <w:p w14:paraId="7D1A6B74" w14:textId="77777777" w:rsidR="005652DE" w:rsidRPr="005652DE" w:rsidRDefault="005652DE" w:rsidP="005652DE">
      <w:pPr>
        <w:spacing w:before="100" w:beforeAutospacing="1" w:after="100" w:afterAutospacing="1" w:line="259" w:lineRule="auto"/>
        <w:jc w:val="both"/>
        <w:rPr>
          <w:rFonts w:ascii="Cambria" w:hAnsi="Cambria"/>
          <w:iCs/>
        </w:rPr>
      </w:pPr>
      <w:r w:rsidRPr="005652DE">
        <w:rPr>
          <w:rFonts w:ascii="Cambria" w:hAnsi="Cambria"/>
          <w:iCs/>
        </w:rPr>
        <w:t xml:space="preserve">While the reasons might not be fully comparable between operational leasing and factoring, the outcome that obligors have Days Past Due solely due to the nature of the product and completely unrelated to their creditworthiness is the same. </w:t>
      </w:r>
    </w:p>
    <w:p w14:paraId="79992E88" w14:textId="189CFBC0" w:rsidR="005652DE" w:rsidRPr="005652DE" w:rsidRDefault="005652DE" w:rsidP="005652DE">
      <w:pPr>
        <w:spacing w:before="100" w:beforeAutospacing="1" w:after="100" w:afterAutospacing="1" w:line="259" w:lineRule="auto"/>
        <w:jc w:val="both"/>
        <w:rPr>
          <w:rFonts w:ascii="Cambria" w:hAnsi="Cambria"/>
          <w:iCs/>
        </w:rPr>
      </w:pPr>
      <w:r w:rsidRPr="005652DE">
        <w:rPr>
          <w:rFonts w:ascii="Cambria" w:hAnsi="Cambria"/>
          <w:iCs/>
        </w:rPr>
        <w:t xml:space="preserve">Therefore, we would like to request to consider the inclusion of </w:t>
      </w:r>
      <w:r w:rsidR="00434D02">
        <w:rPr>
          <w:rFonts w:ascii="Cambria" w:hAnsi="Cambria"/>
          <w:iCs/>
        </w:rPr>
        <w:t>leasing</w:t>
      </w:r>
      <w:r w:rsidRPr="005652DE">
        <w:rPr>
          <w:rFonts w:ascii="Cambria" w:hAnsi="Cambria"/>
          <w:iCs/>
        </w:rPr>
        <w:t xml:space="preserve"> </w:t>
      </w:r>
      <w:r w:rsidR="00926076">
        <w:rPr>
          <w:rFonts w:ascii="Cambria" w:hAnsi="Cambria"/>
          <w:iCs/>
        </w:rPr>
        <w:t>under</w:t>
      </w:r>
      <w:r w:rsidRPr="005652DE">
        <w:rPr>
          <w:rFonts w:ascii="Cambria" w:hAnsi="Cambria"/>
          <w:iCs/>
        </w:rPr>
        <w:t xml:space="preserve"> the same specific treatment as factoring. </w:t>
      </w:r>
    </w:p>
    <w:p w14:paraId="049B1F1B" w14:textId="77777777" w:rsidR="005652DE" w:rsidRPr="005652DE" w:rsidRDefault="005652DE" w:rsidP="005652DE">
      <w:pPr>
        <w:spacing w:before="100" w:beforeAutospacing="1" w:after="100" w:afterAutospacing="1" w:line="259" w:lineRule="auto"/>
        <w:jc w:val="both"/>
        <w:rPr>
          <w:rFonts w:ascii="Cambria" w:hAnsi="Cambria"/>
          <w:iCs/>
        </w:rPr>
      </w:pPr>
      <w:r w:rsidRPr="005652DE">
        <w:rPr>
          <w:rFonts w:ascii="Cambria" w:hAnsi="Cambria"/>
          <w:iCs/>
        </w:rPr>
        <w:t>An example based on car leasing is presented thereafter for illustration and clarification.</w:t>
      </w:r>
    </w:p>
    <w:p w14:paraId="30F07F4C" w14:textId="425ABE4E" w:rsidR="005652DE" w:rsidRPr="00AA3E6A" w:rsidRDefault="005652DE" w:rsidP="005652DE">
      <w:pPr>
        <w:jc w:val="both"/>
        <w:rPr>
          <w:rFonts w:ascii="Cambria" w:hAnsi="Cambria"/>
          <w:iCs/>
        </w:rPr>
      </w:pPr>
      <w:r w:rsidRPr="005652DE">
        <w:rPr>
          <w:rFonts w:ascii="Cambria" w:hAnsi="Cambria"/>
          <w:b/>
          <w:bCs/>
        </w:rPr>
        <w:t>Illustration</w:t>
      </w:r>
    </w:p>
    <w:p w14:paraId="2670CDBE" w14:textId="77777777" w:rsidR="005652DE" w:rsidRPr="005652DE" w:rsidRDefault="005652DE" w:rsidP="005652DE">
      <w:pPr>
        <w:jc w:val="both"/>
        <w:rPr>
          <w:rFonts w:ascii="Cambria" w:hAnsi="Cambria"/>
          <w:b/>
          <w:bCs/>
        </w:rPr>
      </w:pPr>
    </w:p>
    <w:p w14:paraId="15504FD1" w14:textId="1AD24ABB" w:rsidR="005652DE" w:rsidRDefault="005652DE" w:rsidP="005652DE">
      <w:pPr>
        <w:jc w:val="both"/>
        <w:rPr>
          <w:rFonts w:ascii="Cambria" w:hAnsi="Cambria"/>
          <w:iCs/>
        </w:rPr>
      </w:pPr>
      <w:r w:rsidRPr="005652DE">
        <w:rPr>
          <w:rFonts w:ascii="Cambria" w:hAnsi="Cambria"/>
          <w:iCs/>
        </w:rPr>
        <w:t xml:space="preserve">In car leasing activities, clients have a monthly rental to pay. The main advantage of a softening of the current rules for car lessors concerns </w:t>
      </w:r>
      <w:r w:rsidR="000D02C7" w:rsidRPr="005652DE">
        <w:rPr>
          <w:rFonts w:ascii="Cambria" w:hAnsi="Cambria"/>
          <w:iCs/>
        </w:rPr>
        <w:t>slow payers</w:t>
      </w:r>
      <w:r w:rsidRPr="005652DE">
        <w:rPr>
          <w:rFonts w:ascii="Cambria" w:hAnsi="Cambria"/>
          <w:iCs/>
        </w:rPr>
        <w:t>, e.g. if a customer always pays 1.5 months late, as illustrated below:</w:t>
      </w:r>
    </w:p>
    <w:p w14:paraId="69A89BCF" w14:textId="77777777" w:rsidR="005652DE" w:rsidRPr="005652DE" w:rsidRDefault="005652DE" w:rsidP="005652DE">
      <w:pPr>
        <w:jc w:val="both"/>
        <w:rPr>
          <w:rFonts w:ascii="Cambria" w:hAnsi="Cambria"/>
          <w:iCs/>
        </w:rPr>
      </w:pPr>
    </w:p>
    <w:tbl>
      <w:tblPr>
        <w:tblW w:w="9629" w:type="dxa"/>
        <w:tblCellMar>
          <w:left w:w="0" w:type="dxa"/>
          <w:right w:w="0" w:type="dxa"/>
        </w:tblCellMar>
        <w:tblLook w:val="04A0" w:firstRow="1" w:lastRow="0" w:firstColumn="1" w:lastColumn="0" w:noHBand="0" w:noVBand="1"/>
      </w:tblPr>
      <w:tblGrid>
        <w:gridCol w:w="1501"/>
        <w:gridCol w:w="1608"/>
        <w:gridCol w:w="2268"/>
        <w:gridCol w:w="2268"/>
        <w:gridCol w:w="1984"/>
      </w:tblGrid>
      <w:tr w:rsidR="005652DE" w:rsidRPr="005652DE" w14:paraId="6F5714F7" w14:textId="77777777" w:rsidTr="004D7356">
        <w:trPr>
          <w:trHeight w:val="196"/>
        </w:trPr>
        <w:tc>
          <w:tcPr>
            <w:tcW w:w="1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2CA29" w14:textId="77777777" w:rsidR="005652DE" w:rsidRPr="005652DE" w:rsidRDefault="005652DE" w:rsidP="002A1714">
            <w:pPr>
              <w:spacing w:line="240" w:lineRule="auto"/>
              <w:jc w:val="center"/>
              <w:rPr>
                <w:rFonts w:ascii="Cambria" w:hAnsi="Cambria"/>
                <w:iCs/>
              </w:rPr>
            </w:pPr>
          </w:p>
        </w:tc>
        <w:tc>
          <w:tcPr>
            <w:tcW w:w="16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25A70" w14:textId="77777777" w:rsidR="005652DE" w:rsidRPr="005652DE" w:rsidRDefault="005652DE" w:rsidP="002A1714">
            <w:pPr>
              <w:spacing w:line="240" w:lineRule="auto"/>
              <w:jc w:val="center"/>
              <w:rPr>
                <w:rFonts w:ascii="Cambria" w:hAnsi="Cambria"/>
                <w:iCs/>
              </w:rPr>
            </w:pPr>
            <w:r w:rsidRPr="005652DE">
              <w:rPr>
                <w:rFonts w:ascii="Cambria" w:hAnsi="Cambria"/>
                <w:iCs/>
              </w:rPr>
              <w:t>2025-01</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B468D6" w14:textId="77777777" w:rsidR="005652DE" w:rsidRPr="005652DE" w:rsidRDefault="005652DE" w:rsidP="002A1714">
            <w:pPr>
              <w:spacing w:line="240" w:lineRule="auto"/>
              <w:jc w:val="center"/>
              <w:rPr>
                <w:rFonts w:ascii="Cambria" w:hAnsi="Cambria"/>
                <w:iCs/>
              </w:rPr>
            </w:pPr>
            <w:r w:rsidRPr="005652DE">
              <w:rPr>
                <w:rFonts w:ascii="Cambria" w:hAnsi="Cambria"/>
                <w:iCs/>
              </w:rPr>
              <w:t>2025-02</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68DD2" w14:textId="77777777" w:rsidR="005652DE" w:rsidRPr="005652DE" w:rsidRDefault="005652DE" w:rsidP="002A1714">
            <w:pPr>
              <w:spacing w:line="240" w:lineRule="auto"/>
              <w:jc w:val="center"/>
              <w:rPr>
                <w:rFonts w:ascii="Cambria" w:hAnsi="Cambria"/>
                <w:iCs/>
              </w:rPr>
            </w:pPr>
            <w:r w:rsidRPr="005652DE">
              <w:rPr>
                <w:rFonts w:ascii="Cambria" w:hAnsi="Cambria"/>
                <w:iCs/>
              </w:rPr>
              <w:t>2025-03</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1B6DFC" w14:textId="77777777" w:rsidR="005652DE" w:rsidRPr="005652DE" w:rsidRDefault="005652DE" w:rsidP="002A1714">
            <w:pPr>
              <w:spacing w:line="240" w:lineRule="auto"/>
              <w:jc w:val="center"/>
              <w:rPr>
                <w:rFonts w:ascii="Cambria" w:hAnsi="Cambria"/>
                <w:iCs/>
              </w:rPr>
            </w:pPr>
            <w:r w:rsidRPr="005652DE">
              <w:rPr>
                <w:rFonts w:ascii="Cambria" w:hAnsi="Cambria"/>
                <w:iCs/>
              </w:rPr>
              <w:t>2025-04</w:t>
            </w:r>
          </w:p>
        </w:tc>
      </w:tr>
      <w:tr w:rsidR="005652DE" w:rsidRPr="005652DE" w14:paraId="01A62F24" w14:textId="77777777" w:rsidTr="004D7356">
        <w:trPr>
          <w:trHeight w:val="776"/>
        </w:trPr>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CC3F50" w14:textId="77777777" w:rsidR="005652DE" w:rsidRPr="005652DE" w:rsidRDefault="005652DE" w:rsidP="002A1714">
            <w:pPr>
              <w:spacing w:line="240" w:lineRule="auto"/>
              <w:rPr>
                <w:rFonts w:ascii="Cambria" w:hAnsi="Cambria"/>
                <w:iCs/>
              </w:rPr>
            </w:pPr>
          </w:p>
        </w:tc>
        <w:tc>
          <w:tcPr>
            <w:tcW w:w="1608" w:type="dxa"/>
            <w:tcBorders>
              <w:top w:val="nil"/>
              <w:left w:val="nil"/>
              <w:bottom w:val="single" w:sz="8" w:space="0" w:color="auto"/>
              <w:right w:val="single" w:sz="8" w:space="0" w:color="auto"/>
            </w:tcBorders>
            <w:tcMar>
              <w:top w:w="0" w:type="dxa"/>
              <w:left w:w="108" w:type="dxa"/>
              <w:bottom w:w="0" w:type="dxa"/>
              <w:right w:w="108" w:type="dxa"/>
            </w:tcMar>
            <w:hideMark/>
          </w:tcPr>
          <w:p w14:paraId="08A5DC5F" w14:textId="77777777" w:rsidR="005652DE" w:rsidRPr="005652DE" w:rsidRDefault="005652DE" w:rsidP="002A1714">
            <w:pPr>
              <w:spacing w:line="240" w:lineRule="auto"/>
              <w:rPr>
                <w:rFonts w:ascii="Cambria" w:hAnsi="Cambria"/>
                <w:iCs/>
              </w:rPr>
            </w:pPr>
            <w:r w:rsidRPr="005652DE">
              <w:rPr>
                <w:rFonts w:ascii="Cambria" w:hAnsi="Cambria"/>
                <w:iCs/>
              </w:rPr>
              <w:t>January monthly instalment due 1-1 – 100K.</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E03E92C" w14:textId="77777777" w:rsidR="005652DE" w:rsidRPr="005652DE" w:rsidRDefault="005652DE" w:rsidP="002A1714">
            <w:pPr>
              <w:spacing w:line="240" w:lineRule="auto"/>
              <w:rPr>
                <w:rFonts w:ascii="Cambria" w:hAnsi="Cambria"/>
                <w:iCs/>
              </w:rPr>
            </w:pPr>
            <w:r w:rsidRPr="005652DE">
              <w:rPr>
                <w:rFonts w:ascii="Cambria" w:hAnsi="Cambria"/>
                <w:iCs/>
              </w:rPr>
              <w:t>February monthly instalment due 1-2 – 100K.</w:t>
            </w:r>
          </w:p>
          <w:p w14:paraId="571533D2" w14:textId="77777777" w:rsidR="005652DE" w:rsidRPr="005652DE" w:rsidRDefault="005652DE" w:rsidP="002A1714">
            <w:pPr>
              <w:spacing w:line="240" w:lineRule="auto"/>
              <w:rPr>
                <w:rFonts w:ascii="Cambria" w:hAnsi="Cambria"/>
                <w:iCs/>
              </w:rPr>
            </w:pPr>
            <w:r w:rsidRPr="005652DE">
              <w:rPr>
                <w:rFonts w:ascii="Cambria" w:hAnsi="Cambria"/>
                <w:iCs/>
              </w:rPr>
              <w:t>January Instalment paid 15-2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371DC46" w14:textId="77777777" w:rsidR="005652DE" w:rsidRPr="005652DE" w:rsidRDefault="005652DE" w:rsidP="002A1714">
            <w:pPr>
              <w:spacing w:line="240" w:lineRule="auto"/>
              <w:rPr>
                <w:rFonts w:ascii="Cambria" w:hAnsi="Cambria"/>
                <w:iCs/>
              </w:rPr>
            </w:pPr>
            <w:r w:rsidRPr="005652DE">
              <w:rPr>
                <w:rFonts w:ascii="Cambria" w:hAnsi="Cambria"/>
                <w:iCs/>
              </w:rPr>
              <w:t>March monthly instalment due 1-3 – 100K.</w:t>
            </w:r>
          </w:p>
          <w:p w14:paraId="221C533B" w14:textId="77777777" w:rsidR="005652DE" w:rsidRPr="005652DE" w:rsidRDefault="005652DE" w:rsidP="002A1714">
            <w:pPr>
              <w:spacing w:line="240" w:lineRule="auto"/>
              <w:rPr>
                <w:rFonts w:ascii="Cambria" w:hAnsi="Cambria"/>
                <w:iCs/>
              </w:rPr>
            </w:pPr>
            <w:r w:rsidRPr="005652DE">
              <w:rPr>
                <w:rFonts w:ascii="Cambria" w:hAnsi="Cambria"/>
                <w:iCs/>
              </w:rPr>
              <w:t>February Instalment paid 15-3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3B1C431" w14:textId="77777777" w:rsidR="005652DE" w:rsidRPr="005652DE" w:rsidRDefault="005652DE" w:rsidP="002A1714">
            <w:pPr>
              <w:spacing w:line="240" w:lineRule="auto"/>
              <w:rPr>
                <w:rFonts w:ascii="Cambria" w:hAnsi="Cambria"/>
                <w:iCs/>
              </w:rPr>
            </w:pPr>
            <w:r w:rsidRPr="005652DE">
              <w:rPr>
                <w:rFonts w:ascii="Cambria" w:hAnsi="Cambria"/>
                <w:iCs/>
              </w:rPr>
              <w:t>April monthly instalment due 1-4 – 100K.</w:t>
            </w:r>
          </w:p>
          <w:p w14:paraId="45C069C3" w14:textId="77777777" w:rsidR="005652DE" w:rsidRPr="005652DE" w:rsidRDefault="005652DE" w:rsidP="002A1714">
            <w:pPr>
              <w:spacing w:line="240" w:lineRule="auto"/>
              <w:rPr>
                <w:rFonts w:ascii="Cambria" w:hAnsi="Cambria"/>
                <w:iCs/>
              </w:rPr>
            </w:pPr>
            <w:r w:rsidRPr="005652DE">
              <w:rPr>
                <w:rFonts w:ascii="Cambria" w:hAnsi="Cambria"/>
                <w:iCs/>
              </w:rPr>
              <w:t>March Instalment paid 15-4</w:t>
            </w:r>
          </w:p>
        </w:tc>
      </w:tr>
      <w:tr w:rsidR="005652DE" w:rsidRPr="005652DE" w14:paraId="0FCC4097" w14:textId="77777777" w:rsidTr="004D7356">
        <w:trPr>
          <w:trHeight w:val="962"/>
        </w:trPr>
        <w:tc>
          <w:tcPr>
            <w:tcW w:w="1501" w:type="dxa"/>
            <w:tcBorders>
              <w:top w:val="nil"/>
              <w:left w:val="single" w:sz="8" w:space="0" w:color="auto"/>
              <w:bottom w:val="nil"/>
              <w:right w:val="single" w:sz="8" w:space="0" w:color="auto"/>
            </w:tcBorders>
            <w:tcMar>
              <w:top w:w="0" w:type="dxa"/>
              <w:left w:w="108" w:type="dxa"/>
              <w:bottom w:w="0" w:type="dxa"/>
              <w:right w:w="108" w:type="dxa"/>
            </w:tcMar>
            <w:hideMark/>
          </w:tcPr>
          <w:p w14:paraId="5F6B2EA0" w14:textId="77777777" w:rsidR="005652DE" w:rsidRPr="005652DE" w:rsidRDefault="005652DE" w:rsidP="002A1714">
            <w:pPr>
              <w:spacing w:line="240" w:lineRule="auto"/>
              <w:rPr>
                <w:rFonts w:ascii="Cambria" w:hAnsi="Cambria"/>
                <w:iCs/>
              </w:rPr>
            </w:pPr>
            <w:r w:rsidRPr="005652DE">
              <w:rPr>
                <w:rFonts w:ascii="Cambria" w:hAnsi="Cambria"/>
                <w:iCs/>
              </w:rPr>
              <w:t>Overdue per instalment</w:t>
            </w:r>
          </w:p>
        </w:tc>
        <w:tc>
          <w:tcPr>
            <w:tcW w:w="1608" w:type="dxa"/>
            <w:tcBorders>
              <w:top w:val="nil"/>
              <w:left w:val="nil"/>
              <w:bottom w:val="nil"/>
              <w:right w:val="single" w:sz="8" w:space="0" w:color="auto"/>
            </w:tcBorders>
            <w:tcMar>
              <w:top w:w="0" w:type="dxa"/>
              <w:left w:w="108" w:type="dxa"/>
              <w:bottom w:w="0" w:type="dxa"/>
              <w:right w:w="108" w:type="dxa"/>
            </w:tcMar>
            <w:hideMark/>
          </w:tcPr>
          <w:p w14:paraId="2DE892F5" w14:textId="77777777" w:rsidR="005652DE" w:rsidRPr="005652DE" w:rsidRDefault="005652DE" w:rsidP="002A1714">
            <w:pPr>
              <w:spacing w:line="240" w:lineRule="auto"/>
              <w:rPr>
                <w:rFonts w:ascii="Cambria" w:hAnsi="Cambria"/>
                <w:iCs/>
              </w:rPr>
            </w:pPr>
            <w:r w:rsidRPr="005652DE">
              <w:rPr>
                <w:rFonts w:ascii="Cambria" w:hAnsi="Cambria"/>
                <w:iCs/>
              </w:rPr>
              <w:t>30 DPD</w:t>
            </w:r>
          </w:p>
        </w:tc>
        <w:tc>
          <w:tcPr>
            <w:tcW w:w="2268" w:type="dxa"/>
            <w:tcBorders>
              <w:top w:val="nil"/>
              <w:left w:val="nil"/>
              <w:bottom w:val="nil"/>
              <w:right w:val="single" w:sz="8" w:space="0" w:color="auto"/>
            </w:tcBorders>
            <w:tcMar>
              <w:top w:w="0" w:type="dxa"/>
              <w:left w:w="108" w:type="dxa"/>
              <w:bottom w:w="0" w:type="dxa"/>
              <w:right w:w="108" w:type="dxa"/>
            </w:tcMar>
            <w:hideMark/>
          </w:tcPr>
          <w:p w14:paraId="4E5A9659" w14:textId="77777777" w:rsidR="005652DE" w:rsidRPr="005652DE" w:rsidRDefault="005652DE" w:rsidP="002A1714">
            <w:pPr>
              <w:spacing w:line="240" w:lineRule="auto"/>
              <w:rPr>
                <w:rFonts w:ascii="Cambria" w:hAnsi="Cambria"/>
                <w:iCs/>
              </w:rPr>
            </w:pPr>
            <w:r w:rsidRPr="005652DE">
              <w:rPr>
                <w:rFonts w:ascii="Cambria" w:hAnsi="Cambria"/>
                <w:iCs/>
              </w:rPr>
              <w:t>0 DPD instalment of January (with a peak of 45 DPD mid of Feb.)</w:t>
            </w:r>
          </w:p>
          <w:p w14:paraId="0446A9E7" w14:textId="77777777" w:rsidR="005652DE" w:rsidRPr="005652DE" w:rsidRDefault="005652DE" w:rsidP="002A1714">
            <w:pPr>
              <w:spacing w:line="240" w:lineRule="auto"/>
              <w:rPr>
                <w:rFonts w:ascii="Cambria" w:hAnsi="Cambria"/>
                <w:iCs/>
              </w:rPr>
            </w:pPr>
            <w:r w:rsidRPr="005652DE">
              <w:rPr>
                <w:rFonts w:ascii="Cambria" w:hAnsi="Cambria"/>
                <w:iCs/>
              </w:rPr>
              <w:t>30 DPD instalment of February</w:t>
            </w:r>
          </w:p>
        </w:tc>
        <w:tc>
          <w:tcPr>
            <w:tcW w:w="2268" w:type="dxa"/>
            <w:tcBorders>
              <w:top w:val="nil"/>
              <w:left w:val="nil"/>
              <w:bottom w:val="nil"/>
              <w:right w:val="single" w:sz="8" w:space="0" w:color="auto"/>
            </w:tcBorders>
            <w:tcMar>
              <w:top w:w="0" w:type="dxa"/>
              <w:left w:w="108" w:type="dxa"/>
              <w:bottom w:w="0" w:type="dxa"/>
              <w:right w:w="108" w:type="dxa"/>
            </w:tcMar>
            <w:hideMark/>
          </w:tcPr>
          <w:p w14:paraId="25F0C708" w14:textId="77777777" w:rsidR="005652DE" w:rsidRPr="005652DE" w:rsidRDefault="005652DE" w:rsidP="002A1714">
            <w:pPr>
              <w:spacing w:line="240" w:lineRule="auto"/>
              <w:rPr>
                <w:rFonts w:ascii="Cambria" w:hAnsi="Cambria"/>
                <w:iCs/>
              </w:rPr>
            </w:pPr>
            <w:r w:rsidRPr="005652DE">
              <w:rPr>
                <w:rFonts w:ascii="Cambria" w:hAnsi="Cambria"/>
                <w:iCs/>
              </w:rPr>
              <w:t>0 DPD instalment of February (with a peak of 45 DPD mid of March)</w:t>
            </w:r>
          </w:p>
          <w:p w14:paraId="211035A8" w14:textId="77777777" w:rsidR="005652DE" w:rsidRPr="005652DE" w:rsidRDefault="005652DE" w:rsidP="002A1714">
            <w:pPr>
              <w:spacing w:line="240" w:lineRule="auto"/>
              <w:rPr>
                <w:rFonts w:ascii="Cambria" w:hAnsi="Cambria"/>
                <w:iCs/>
              </w:rPr>
            </w:pPr>
            <w:r w:rsidRPr="005652DE">
              <w:rPr>
                <w:rFonts w:ascii="Cambria" w:hAnsi="Cambria"/>
                <w:iCs/>
              </w:rPr>
              <w:t>30 DPD instalment of March</w:t>
            </w:r>
          </w:p>
        </w:tc>
        <w:tc>
          <w:tcPr>
            <w:tcW w:w="1984" w:type="dxa"/>
            <w:tcBorders>
              <w:top w:val="nil"/>
              <w:left w:val="nil"/>
              <w:bottom w:val="nil"/>
              <w:right w:val="single" w:sz="8" w:space="0" w:color="auto"/>
            </w:tcBorders>
            <w:tcMar>
              <w:top w:w="0" w:type="dxa"/>
              <w:left w:w="108" w:type="dxa"/>
              <w:bottom w:w="0" w:type="dxa"/>
              <w:right w:w="108" w:type="dxa"/>
            </w:tcMar>
            <w:hideMark/>
          </w:tcPr>
          <w:p w14:paraId="05E726E8" w14:textId="77777777" w:rsidR="005652DE" w:rsidRPr="005652DE" w:rsidRDefault="005652DE" w:rsidP="002A1714">
            <w:pPr>
              <w:spacing w:line="240" w:lineRule="auto"/>
              <w:rPr>
                <w:rFonts w:ascii="Cambria" w:hAnsi="Cambria"/>
                <w:iCs/>
              </w:rPr>
            </w:pPr>
            <w:r w:rsidRPr="005652DE">
              <w:rPr>
                <w:rFonts w:ascii="Cambria" w:hAnsi="Cambria"/>
                <w:iCs/>
              </w:rPr>
              <w:t>Proposal to consider No Default, as no invoice is/was individually more than 90 DPD but max.45 DPD.</w:t>
            </w:r>
          </w:p>
        </w:tc>
      </w:tr>
      <w:tr w:rsidR="005652DE" w:rsidRPr="005652DE" w14:paraId="58AB6D46" w14:textId="77777777" w:rsidTr="004D7356">
        <w:trPr>
          <w:trHeight w:val="80"/>
        </w:trPr>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D69E13" w14:textId="77777777" w:rsidR="005652DE" w:rsidRPr="005652DE" w:rsidRDefault="005652DE" w:rsidP="002A1714">
            <w:pPr>
              <w:spacing w:line="240" w:lineRule="auto"/>
              <w:rPr>
                <w:rFonts w:ascii="Cambria" w:hAnsi="Cambria"/>
                <w:iCs/>
              </w:rPr>
            </w:pPr>
          </w:p>
        </w:tc>
        <w:tc>
          <w:tcPr>
            <w:tcW w:w="1608" w:type="dxa"/>
            <w:tcBorders>
              <w:top w:val="nil"/>
              <w:left w:val="nil"/>
              <w:bottom w:val="single" w:sz="8" w:space="0" w:color="auto"/>
              <w:right w:val="single" w:sz="8" w:space="0" w:color="auto"/>
            </w:tcBorders>
            <w:tcMar>
              <w:top w:w="0" w:type="dxa"/>
              <w:left w:w="108" w:type="dxa"/>
              <w:bottom w:w="0" w:type="dxa"/>
              <w:right w:w="108" w:type="dxa"/>
            </w:tcMar>
          </w:tcPr>
          <w:p w14:paraId="297B01BD" w14:textId="77777777" w:rsidR="005652DE" w:rsidRPr="005652DE" w:rsidRDefault="005652DE" w:rsidP="002A1714">
            <w:pPr>
              <w:spacing w:line="240" w:lineRule="auto"/>
              <w:rPr>
                <w:rFonts w:ascii="Cambria" w:hAnsi="Cambria"/>
                <w:i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EFE8A65" w14:textId="77777777" w:rsidR="005652DE" w:rsidRPr="005652DE" w:rsidRDefault="005652DE" w:rsidP="002A1714">
            <w:pPr>
              <w:spacing w:line="240" w:lineRule="auto"/>
              <w:rPr>
                <w:rFonts w:ascii="Cambria" w:hAnsi="Cambria"/>
                <w:i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610439F" w14:textId="77777777" w:rsidR="005652DE" w:rsidRPr="005652DE" w:rsidRDefault="005652DE" w:rsidP="002A1714">
            <w:pPr>
              <w:spacing w:line="240" w:lineRule="auto"/>
              <w:rPr>
                <w:rFonts w:ascii="Cambria" w:hAnsi="Cambria"/>
                <w:iCs/>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8FEF937" w14:textId="77777777" w:rsidR="005652DE" w:rsidRPr="005652DE" w:rsidRDefault="005652DE" w:rsidP="002A1714">
            <w:pPr>
              <w:spacing w:line="240" w:lineRule="auto"/>
              <w:rPr>
                <w:rFonts w:ascii="Cambria" w:hAnsi="Cambria"/>
                <w:iCs/>
              </w:rPr>
            </w:pPr>
          </w:p>
        </w:tc>
      </w:tr>
      <w:tr w:rsidR="005652DE" w:rsidRPr="005652DE" w14:paraId="3D3ED19E" w14:textId="77777777" w:rsidTr="004D7356">
        <w:trPr>
          <w:trHeight w:val="382"/>
        </w:trPr>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BFC68" w14:textId="77777777" w:rsidR="005652DE" w:rsidRPr="005652DE" w:rsidRDefault="005652DE" w:rsidP="002A1714">
            <w:pPr>
              <w:spacing w:line="240" w:lineRule="auto"/>
              <w:rPr>
                <w:rFonts w:ascii="Cambria" w:hAnsi="Cambria"/>
                <w:iCs/>
              </w:rPr>
            </w:pPr>
            <w:r w:rsidRPr="005652DE">
              <w:rPr>
                <w:rFonts w:ascii="Cambria" w:hAnsi="Cambria"/>
                <w:iCs/>
              </w:rPr>
              <w:t>Translation in current NDoD</w:t>
            </w:r>
          </w:p>
        </w:tc>
        <w:tc>
          <w:tcPr>
            <w:tcW w:w="1608" w:type="dxa"/>
            <w:tcBorders>
              <w:top w:val="nil"/>
              <w:left w:val="nil"/>
              <w:bottom w:val="single" w:sz="8" w:space="0" w:color="auto"/>
              <w:right w:val="single" w:sz="8" w:space="0" w:color="auto"/>
            </w:tcBorders>
            <w:tcMar>
              <w:top w:w="0" w:type="dxa"/>
              <w:left w:w="108" w:type="dxa"/>
              <w:bottom w:w="0" w:type="dxa"/>
              <w:right w:w="108" w:type="dxa"/>
            </w:tcMar>
            <w:hideMark/>
          </w:tcPr>
          <w:p w14:paraId="6C5F03C9" w14:textId="77777777" w:rsidR="005652DE" w:rsidRPr="005652DE" w:rsidRDefault="005652DE" w:rsidP="002A1714">
            <w:pPr>
              <w:spacing w:line="240" w:lineRule="auto"/>
              <w:rPr>
                <w:rFonts w:ascii="Cambria" w:hAnsi="Cambria"/>
                <w:iCs/>
              </w:rPr>
            </w:pPr>
            <w:r w:rsidRPr="005652DE">
              <w:rPr>
                <w:rFonts w:ascii="Cambria" w:hAnsi="Cambria"/>
                <w:iCs/>
              </w:rPr>
              <w:t>30 DPD</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4212657" w14:textId="77777777" w:rsidR="005652DE" w:rsidRPr="005652DE" w:rsidRDefault="005652DE" w:rsidP="002A1714">
            <w:pPr>
              <w:spacing w:line="240" w:lineRule="auto"/>
              <w:rPr>
                <w:rFonts w:ascii="Cambria" w:hAnsi="Cambria"/>
                <w:iCs/>
              </w:rPr>
            </w:pPr>
            <w:r w:rsidRPr="005652DE">
              <w:rPr>
                <w:rFonts w:ascii="Cambria" w:hAnsi="Cambria"/>
                <w:iCs/>
              </w:rPr>
              <w:t>60 DPD</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6C895DF" w14:textId="77777777" w:rsidR="005652DE" w:rsidRPr="005652DE" w:rsidRDefault="005652DE" w:rsidP="002A1714">
            <w:pPr>
              <w:spacing w:line="240" w:lineRule="auto"/>
              <w:rPr>
                <w:rFonts w:ascii="Cambria" w:hAnsi="Cambria"/>
                <w:iCs/>
              </w:rPr>
            </w:pPr>
            <w:r w:rsidRPr="005652DE">
              <w:rPr>
                <w:rFonts w:ascii="Cambria" w:hAnsi="Cambria"/>
                <w:iCs/>
              </w:rPr>
              <w:t>90 DPD</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82A63AD" w14:textId="77777777" w:rsidR="005652DE" w:rsidRPr="005652DE" w:rsidRDefault="005652DE" w:rsidP="002A1714">
            <w:pPr>
              <w:spacing w:line="240" w:lineRule="auto"/>
              <w:rPr>
                <w:rFonts w:ascii="Cambria" w:hAnsi="Cambria"/>
                <w:iCs/>
              </w:rPr>
            </w:pPr>
            <w:r w:rsidRPr="005652DE">
              <w:rPr>
                <w:rFonts w:ascii="Cambria" w:hAnsi="Cambria"/>
                <w:iCs/>
              </w:rPr>
              <w:t>Default</w:t>
            </w:r>
          </w:p>
        </w:tc>
      </w:tr>
    </w:tbl>
    <w:p w14:paraId="2DFC7836" w14:textId="77777777" w:rsidR="005652DE" w:rsidRPr="005652DE" w:rsidRDefault="005652DE" w:rsidP="005652DE">
      <w:pPr>
        <w:jc w:val="both"/>
        <w:rPr>
          <w:rFonts w:ascii="Cambria" w:hAnsi="Cambria"/>
          <w:iCs/>
        </w:rPr>
      </w:pPr>
    </w:p>
    <w:p w14:paraId="499C72FA" w14:textId="77777777" w:rsidR="005652DE" w:rsidRPr="005652DE" w:rsidRDefault="005652DE" w:rsidP="004D7356">
      <w:pPr>
        <w:jc w:val="both"/>
        <w:rPr>
          <w:rFonts w:ascii="Cambria" w:hAnsi="Cambria"/>
          <w:iCs/>
        </w:rPr>
      </w:pPr>
      <w:r w:rsidRPr="005652DE">
        <w:rPr>
          <w:rFonts w:ascii="Cambria" w:hAnsi="Cambria"/>
          <w:iCs/>
        </w:rPr>
        <w:t>The rationale is the same as for factoring as explained before:</w:t>
      </w:r>
    </w:p>
    <w:p w14:paraId="11F3C5FA" w14:textId="77777777" w:rsidR="005652DE" w:rsidRPr="005652DE" w:rsidRDefault="005652DE" w:rsidP="004D7356">
      <w:pPr>
        <w:numPr>
          <w:ilvl w:val="0"/>
          <w:numId w:val="17"/>
        </w:numPr>
        <w:jc w:val="both"/>
        <w:rPr>
          <w:rFonts w:ascii="Cambria" w:hAnsi="Cambria"/>
          <w:iCs/>
        </w:rPr>
      </w:pPr>
      <w:r w:rsidRPr="005652DE">
        <w:rPr>
          <w:rFonts w:ascii="Cambria" w:hAnsi="Cambria"/>
          <w:iCs/>
        </w:rPr>
        <w:t xml:space="preserve">The DPD counter may keep increasing due to a consecutive overlap in non-payments of these invoices. </w:t>
      </w:r>
    </w:p>
    <w:p w14:paraId="589FBE1D" w14:textId="77777777" w:rsidR="004D7356" w:rsidRDefault="005652DE" w:rsidP="004D7356">
      <w:pPr>
        <w:numPr>
          <w:ilvl w:val="0"/>
          <w:numId w:val="17"/>
        </w:numPr>
        <w:jc w:val="both"/>
        <w:rPr>
          <w:rFonts w:ascii="Cambria" w:hAnsi="Cambria"/>
          <w:iCs/>
        </w:rPr>
      </w:pPr>
      <w:r w:rsidRPr="005652DE">
        <w:rPr>
          <w:rFonts w:ascii="Cambria" w:hAnsi="Cambria"/>
          <w:iCs/>
        </w:rPr>
        <w:t>Current DoD applied on leasing activity does not sufficiently consider the specificities of the leasing product and its natural delays in the payment process, such that the current default definition produces incorrect default classifications. There are many corporates having at least one invoice on which they pay later than 30 days after the due date, whilst being rated at investment grade</w:t>
      </w:r>
      <w:r w:rsidR="004D7356">
        <w:rPr>
          <w:rFonts w:ascii="Cambria" w:hAnsi="Cambria"/>
          <w:iCs/>
        </w:rPr>
        <w:t>.</w:t>
      </w:r>
    </w:p>
    <w:p w14:paraId="44BFCA8D" w14:textId="77777777" w:rsidR="00FB4D63" w:rsidRDefault="00FB4D63">
      <w:pPr>
        <w:spacing w:line="240" w:lineRule="auto"/>
        <w:rPr>
          <w:rFonts w:ascii="Cambria" w:hAnsi="Cambria"/>
          <w:b/>
          <w:bCs/>
        </w:rPr>
      </w:pPr>
      <w:r>
        <w:rPr>
          <w:rFonts w:ascii="Cambria" w:hAnsi="Cambria"/>
          <w:b/>
          <w:bCs/>
        </w:rPr>
        <w:lastRenderedPageBreak/>
        <w:br w:type="page"/>
      </w:r>
    </w:p>
    <w:p w14:paraId="206DDEC4" w14:textId="14315CBF" w:rsidR="00BD7E10" w:rsidRPr="004D7356" w:rsidRDefault="00BD7E10" w:rsidP="004D7356">
      <w:pPr>
        <w:jc w:val="both"/>
        <w:rPr>
          <w:rFonts w:ascii="Cambria" w:hAnsi="Cambria"/>
          <w:iCs/>
        </w:rPr>
      </w:pPr>
      <w:r w:rsidRPr="004D7356">
        <w:rPr>
          <w:rFonts w:ascii="Cambria" w:hAnsi="Cambria"/>
          <w:b/>
          <w:bCs/>
        </w:rPr>
        <w:t>Contact</w:t>
      </w:r>
      <w:r w:rsidR="004D7356">
        <w:rPr>
          <w:rFonts w:ascii="Cambria" w:hAnsi="Cambria"/>
          <w:b/>
          <w:bCs/>
        </w:rPr>
        <w:t>:</w:t>
      </w:r>
    </w:p>
    <w:p w14:paraId="3207C4AB" w14:textId="5BFAED50" w:rsidR="00BD7E10" w:rsidRPr="00754680" w:rsidRDefault="00733DBB" w:rsidP="00B17A27">
      <w:pPr>
        <w:spacing w:before="240" w:after="60" w:line="259" w:lineRule="auto"/>
        <w:jc w:val="both"/>
      </w:pPr>
      <w:r>
        <w:t>Constance Usherwood</w:t>
      </w:r>
      <w:r w:rsidR="00BD7E10" w:rsidRPr="00754680">
        <w:t xml:space="preserve">, Managing Director, </w:t>
      </w:r>
      <w:r>
        <w:t>Capital and Risk Management</w:t>
      </w:r>
    </w:p>
    <w:p w14:paraId="4D92440B" w14:textId="2F946F99" w:rsidR="00BD7E10" w:rsidRPr="00733DBB" w:rsidRDefault="00733DBB" w:rsidP="00B17A27">
      <w:pPr>
        <w:spacing w:after="160" w:line="259" w:lineRule="auto"/>
        <w:jc w:val="both"/>
      </w:pPr>
      <w:hyperlink r:id="rId11" w:history="1">
        <w:r w:rsidRPr="00C83179">
          <w:rPr>
            <w:rStyle w:val="Hyperlink"/>
          </w:rPr>
          <w:t>Constance.usherwood@afme.eu</w:t>
        </w:r>
      </w:hyperlink>
      <w:r>
        <w:t xml:space="preserve"> </w:t>
      </w:r>
    </w:p>
    <w:p w14:paraId="7F4940F2" w14:textId="77777777" w:rsidR="00BD7E10" w:rsidRPr="00754680" w:rsidRDefault="00BD7E10" w:rsidP="00B17A27">
      <w:pPr>
        <w:spacing w:after="120" w:line="259" w:lineRule="auto"/>
        <w:ind w:left="284" w:hanging="284"/>
        <w:contextualSpacing/>
        <w:jc w:val="both"/>
        <w:rPr>
          <w:rFonts w:ascii="Cambria" w:hAnsi="Cambria"/>
          <w:b/>
          <w:bCs/>
        </w:rPr>
      </w:pPr>
      <w:r w:rsidRPr="00754680">
        <w:rPr>
          <w:rFonts w:ascii="Cambria" w:hAnsi="Cambria"/>
          <w:b/>
          <w:bCs/>
        </w:rPr>
        <w:t>About AFME</w:t>
      </w:r>
    </w:p>
    <w:p w14:paraId="384D73C8" w14:textId="77777777" w:rsidR="00BD7E10" w:rsidRPr="00754680" w:rsidRDefault="00BD7E10" w:rsidP="00B17A27">
      <w:pPr>
        <w:spacing w:after="120" w:line="259" w:lineRule="auto"/>
        <w:ind w:left="284" w:hanging="284"/>
        <w:contextualSpacing/>
        <w:jc w:val="both"/>
        <w:rPr>
          <w:rFonts w:ascii="Cambria" w:hAnsi="Cambria"/>
        </w:rPr>
      </w:pPr>
    </w:p>
    <w:p w14:paraId="41DCD57A" w14:textId="3AF41294" w:rsidR="00AA3E6A" w:rsidRDefault="00AA3E6A" w:rsidP="00AA3E6A">
      <w:r w:rsidRPr="00AA3E6A">
        <w:t>AFME represents a broad array of European and global participants in the wholesale financial markets. Its members comprise pan-EU and global banks as well as key regional banks, brokers, law firms, investors and other financial market participants. We advocate stable, competitive, sustainable European financial markets that support economic growth and benefit society.</w:t>
      </w:r>
    </w:p>
    <w:p w14:paraId="4FF68B41" w14:textId="77777777" w:rsidR="00AA3E6A" w:rsidRPr="00AA3E6A" w:rsidRDefault="00AA3E6A" w:rsidP="00AA3E6A"/>
    <w:p w14:paraId="4049169A" w14:textId="77777777" w:rsidR="00AA3E6A" w:rsidRPr="00AA3E6A" w:rsidRDefault="00AA3E6A" w:rsidP="00AA3E6A">
      <w:r w:rsidRPr="00AA3E6A">
        <w:t xml:space="preserve">AFME is the European member of the Global Financial Markets Association (GFMA) a global alliance with the Securities Industry and Financial Markets Association (SIFMA) in the US, and the Asia Securities Industry and Financial Markets Association (ASIFMA) in Asia. </w:t>
      </w:r>
    </w:p>
    <w:p w14:paraId="4EF4F18E" w14:textId="77777777" w:rsidR="00AA3E6A" w:rsidRPr="00AA3E6A" w:rsidRDefault="00AA3E6A" w:rsidP="00AA3E6A"/>
    <w:p w14:paraId="25E3A5BC" w14:textId="77777777" w:rsidR="00AA3E6A" w:rsidRPr="00AA3E6A" w:rsidRDefault="00AA3E6A" w:rsidP="00AA3E6A">
      <w:r w:rsidRPr="00AA3E6A">
        <w:t>AFME is registered on the EU Transparency Register, registration number 65110063986-76.</w:t>
      </w:r>
    </w:p>
    <w:p w14:paraId="5CC4C912" w14:textId="45971F51" w:rsidR="00861EEB" w:rsidRPr="00913724" w:rsidRDefault="00861EEB" w:rsidP="00AA3E6A">
      <w:pPr>
        <w:spacing w:after="120" w:line="259" w:lineRule="auto"/>
        <w:contextualSpacing/>
        <w:jc w:val="both"/>
      </w:pPr>
    </w:p>
    <w:sectPr w:rsidR="00861EEB" w:rsidRPr="00913724" w:rsidSect="00CE5754">
      <w:headerReference w:type="even" r:id="rId12"/>
      <w:headerReference w:type="default" r:id="rId13"/>
      <w:footerReference w:type="even" r:id="rId14"/>
      <w:footerReference w:type="default" r:id="rId15"/>
      <w:headerReference w:type="first" r:id="rId16"/>
      <w:footerReference w:type="first" r:id="rId17"/>
      <w:pgSz w:w="11906" w:h="16838" w:code="9"/>
      <w:pgMar w:top="1985" w:right="851" w:bottom="2127"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7D482" w14:textId="77777777" w:rsidR="000116BA" w:rsidRDefault="000116BA" w:rsidP="00C42475">
      <w:pPr>
        <w:spacing w:line="240" w:lineRule="auto"/>
      </w:pPr>
      <w:r>
        <w:separator/>
      </w:r>
    </w:p>
  </w:endnote>
  <w:endnote w:type="continuationSeparator" w:id="0">
    <w:p w14:paraId="65BE26F3" w14:textId="77777777" w:rsidR="000116BA" w:rsidRDefault="000116BA" w:rsidP="00C42475">
      <w:pPr>
        <w:spacing w:line="240" w:lineRule="auto"/>
      </w:pPr>
      <w:r>
        <w:continuationSeparator/>
      </w:r>
    </w:p>
  </w:endnote>
  <w:endnote w:type="continuationNotice" w:id="1">
    <w:p w14:paraId="6B041396" w14:textId="77777777" w:rsidR="000116BA" w:rsidRDefault="000116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7028" w14:textId="77777777" w:rsidR="0062299D" w:rsidRDefault="00622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6715" w14:textId="77777777" w:rsidR="008564C7" w:rsidRPr="007422DC" w:rsidRDefault="007422DC" w:rsidP="007422DC">
    <w:pPr>
      <w:pStyle w:val="AFMEPagenumber"/>
      <w:rPr>
        <w:noProof/>
      </w:rPr>
    </w:pPr>
    <w:r w:rsidRPr="00D73F02">
      <w:rPr>
        <w:noProof/>
      </w:rPr>
      <w:drawing>
        <wp:anchor distT="0" distB="0" distL="114300" distR="114300" simplePos="0" relativeHeight="251657728" behindDoc="0" locked="0" layoutInCell="1" allowOverlap="1" wp14:anchorId="115F35AF" wp14:editId="0C9B3B77">
          <wp:simplePos x="0" y="0"/>
          <wp:positionH relativeFrom="page">
            <wp:posOffset>6732905</wp:posOffset>
          </wp:positionH>
          <wp:positionV relativeFrom="page">
            <wp:posOffset>10009505</wp:posOffset>
          </wp:positionV>
          <wp:extent cx="101880" cy="144000"/>
          <wp:effectExtent l="0" t="0" r="0" b="0"/>
          <wp:wrapNone/>
          <wp:docPr id="9647809" name="Picture 9647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ME_rgb_slas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80" cy="144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911A73">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F043" w14:textId="77777777" w:rsidR="007D69DF" w:rsidRPr="007D69DF" w:rsidRDefault="007D69DF" w:rsidP="007F2BA5">
    <w:pPr>
      <w:pStyle w:val="FooterHeading"/>
      <w:rPr>
        <w:b w:val="0"/>
      </w:rPr>
    </w:pPr>
    <w:r w:rsidRPr="007D69DF">
      <w:t>Association for Financial Markets in Europe</w:t>
    </w:r>
  </w:p>
  <w:p w14:paraId="1747E2A7" w14:textId="77777777" w:rsidR="007D69DF" w:rsidRPr="00965EF7" w:rsidRDefault="007D69DF" w:rsidP="005935F7">
    <w:pPr>
      <w:pStyle w:val="FooterOffices"/>
    </w:pPr>
    <w:r w:rsidRPr="00C143AE">
      <w:rPr>
        <w:rFonts w:asciiTheme="majorHAnsi" w:hAnsiTheme="majorHAnsi" w:cstheme="majorHAnsi"/>
        <w:b/>
        <w:color w:val="808285" w:themeColor="accent5"/>
      </w:rPr>
      <w:t>London Office:</w:t>
    </w:r>
    <w:r w:rsidR="00474648" w:rsidRPr="00C143AE">
      <w:rPr>
        <w:rFonts w:asciiTheme="majorHAnsi" w:hAnsiTheme="majorHAnsi" w:cstheme="majorHAnsi"/>
      </w:rPr>
      <w:t xml:space="preserve"> </w:t>
    </w:r>
    <w:r w:rsidR="009E188A">
      <w:rPr>
        <w:rFonts w:asciiTheme="majorHAnsi" w:hAnsiTheme="majorHAnsi" w:cstheme="majorHAnsi"/>
      </w:rPr>
      <w:tab/>
    </w:r>
    <w:r w:rsidR="00B3364E" w:rsidRPr="00B3364E">
      <w:rPr>
        <w:rFonts w:cstheme="majorHAnsi"/>
      </w:rPr>
      <w:t>Level 10,</w:t>
    </w:r>
    <w:r w:rsidR="00B3364E">
      <w:rPr>
        <w:rFonts w:asciiTheme="majorHAnsi" w:hAnsiTheme="majorHAnsi" w:cstheme="majorHAnsi"/>
      </w:rPr>
      <w:t xml:space="preserve"> </w:t>
    </w:r>
    <w:r w:rsidR="001D32D8" w:rsidRPr="001D32D8">
      <w:t>20 Churchill Place, London E14 5</w:t>
    </w:r>
    <w:r w:rsidR="000C5FE3">
      <w:t>HJ</w:t>
    </w:r>
    <w:r w:rsidR="00474648">
      <w:t>, United Kingdom</w:t>
    </w:r>
    <w:r w:rsidR="0072211A">
      <w:t xml:space="preserve"> </w:t>
    </w:r>
    <w:r w:rsidR="00474648">
      <w:t xml:space="preserve"> T: +44 (0)20 3828 2700</w:t>
    </w:r>
  </w:p>
  <w:p w14:paraId="3BCEEFDE" w14:textId="77777777" w:rsidR="00C03D6B" w:rsidRPr="00462FDC" w:rsidRDefault="00C03D6B" w:rsidP="00C03D6B">
    <w:pPr>
      <w:pStyle w:val="FooterOffices"/>
      <w:rPr>
        <w:lang w:val="fr-FR"/>
      </w:rPr>
    </w:pPr>
    <w:r w:rsidRPr="00462FDC">
      <w:rPr>
        <w:rFonts w:asciiTheme="majorHAnsi" w:hAnsiTheme="majorHAnsi" w:cstheme="majorHAnsi"/>
        <w:b/>
        <w:color w:val="808285" w:themeColor="accent5"/>
        <w:lang w:val="fr-FR"/>
      </w:rPr>
      <w:t>Brussels Office:</w:t>
    </w:r>
    <w:r w:rsidRPr="00462FDC">
      <w:rPr>
        <w:rFonts w:asciiTheme="majorHAnsi" w:hAnsiTheme="majorHAnsi" w:cstheme="majorHAnsi"/>
        <w:lang w:val="fr-FR"/>
      </w:rPr>
      <w:t xml:space="preserve"> </w:t>
    </w:r>
    <w:r w:rsidRPr="00462FDC">
      <w:rPr>
        <w:rFonts w:asciiTheme="majorHAnsi" w:hAnsiTheme="majorHAnsi" w:cstheme="majorHAnsi"/>
        <w:lang w:val="fr-FR"/>
      </w:rPr>
      <w:tab/>
    </w:r>
    <w:r w:rsidRPr="00462FDC">
      <w:rPr>
        <w:lang w:val="fr-FR"/>
      </w:rPr>
      <w:t>Rue de la Loi 82, 1040 Brussels, Belgium</w:t>
    </w:r>
    <w:r w:rsidR="003D592E">
      <w:rPr>
        <w:lang w:val="fr-FR"/>
      </w:rPr>
      <w:t xml:space="preserve"> </w:t>
    </w:r>
    <w:r w:rsidRPr="00462FDC">
      <w:rPr>
        <w:lang w:val="fr-FR"/>
      </w:rPr>
      <w:t xml:space="preserve">T: +32 (0)2 </w:t>
    </w:r>
    <w:r w:rsidRPr="0037510E">
      <w:rPr>
        <w:lang w:val="fr-FR"/>
      </w:rPr>
      <w:t>883</w:t>
    </w:r>
    <w:r>
      <w:rPr>
        <w:lang w:val="fr-FR"/>
      </w:rPr>
      <w:t xml:space="preserve"> </w:t>
    </w:r>
    <w:r w:rsidRPr="0037510E">
      <w:rPr>
        <w:lang w:val="fr-FR"/>
      </w:rPr>
      <w:t>5540</w:t>
    </w:r>
    <w:r w:rsidRPr="00462FDC">
      <w:rPr>
        <w:lang w:val="fr-FR"/>
      </w:rPr>
      <w:t xml:space="preserve"> </w:t>
    </w:r>
  </w:p>
  <w:p w14:paraId="0CD4FCC5" w14:textId="77777777" w:rsidR="003B15C6" w:rsidRPr="00642CC0" w:rsidRDefault="00C03D6B" w:rsidP="00C03D6B">
    <w:pPr>
      <w:pStyle w:val="FooterOffices"/>
      <w:rPr>
        <w:lang w:val="de-DE"/>
      </w:rPr>
    </w:pPr>
    <w:r w:rsidRPr="00462FDC">
      <w:rPr>
        <w:rFonts w:asciiTheme="majorHAnsi" w:hAnsiTheme="majorHAnsi" w:cstheme="majorHAnsi"/>
        <w:b/>
        <w:color w:val="808285" w:themeColor="accent5"/>
        <w:lang w:val="de-DE"/>
      </w:rPr>
      <w:t>Frankfurt Office:</w:t>
    </w:r>
    <w:r w:rsidRPr="00462FDC">
      <w:rPr>
        <w:lang w:val="de-DE"/>
      </w:rPr>
      <w:t xml:space="preserve"> Neue Mainzer Straße 75, 60311 Frankfurt am Main</w:t>
    </w:r>
    <w:r w:rsidR="003D592E">
      <w:rPr>
        <w:lang w:val="de-DE"/>
      </w:rPr>
      <w:t>, Germany</w:t>
    </w:r>
    <w:r w:rsidRPr="00462FDC">
      <w:rPr>
        <w:lang w:val="de-DE"/>
      </w:rPr>
      <w:t xml:space="preserve"> T:+ 49 (0)69 </w:t>
    </w:r>
    <w:r w:rsidRPr="0037510E">
      <w:rPr>
        <w:lang w:val="de-DE"/>
      </w:rPr>
      <w:t>710</w:t>
    </w:r>
    <w:r>
      <w:rPr>
        <w:lang w:val="de-DE"/>
      </w:rPr>
      <w:t xml:space="preserve"> </w:t>
    </w:r>
    <w:r w:rsidRPr="0037510E">
      <w:rPr>
        <w:lang w:val="de-DE"/>
      </w:rPr>
      <w:t>456</w:t>
    </w:r>
    <w:r>
      <w:rPr>
        <w:lang w:val="de-DE"/>
      </w:rPr>
      <w:t xml:space="preserve"> </w:t>
    </w:r>
    <w:r w:rsidRPr="0037510E">
      <w:rPr>
        <w:lang w:val="de-DE"/>
      </w:rPr>
      <w:t>660</w:t>
    </w:r>
  </w:p>
  <w:p w14:paraId="61F1B694" w14:textId="77777777" w:rsidR="00474648" w:rsidRPr="00541E1B" w:rsidRDefault="00C143AE" w:rsidP="00C143AE">
    <w:pPr>
      <w:pStyle w:val="FooterHeading"/>
      <w:rPr>
        <w:lang w:val="de-DE"/>
      </w:rPr>
    </w:pPr>
    <w:r w:rsidRPr="00541E1B">
      <w:rPr>
        <w:lang w:val="de-DE"/>
      </w:rPr>
      <w:t>www.afme.eu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78CF" w14:textId="77777777" w:rsidR="000116BA" w:rsidRPr="00FB1672" w:rsidRDefault="000116BA" w:rsidP="00C42475">
      <w:pPr>
        <w:spacing w:line="240" w:lineRule="auto"/>
        <w:rPr>
          <w:color w:val="78A22F" w:themeColor="accent1"/>
        </w:rPr>
      </w:pPr>
      <w:r w:rsidRPr="00FB1672">
        <w:rPr>
          <w:color w:val="78A22F" w:themeColor="accent1"/>
        </w:rPr>
        <w:separator/>
      </w:r>
    </w:p>
  </w:footnote>
  <w:footnote w:type="continuationSeparator" w:id="0">
    <w:p w14:paraId="0ECB63BB" w14:textId="77777777" w:rsidR="000116BA" w:rsidRDefault="000116BA" w:rsidP="00C42475">
      <w:pPr>
        <w:spacing w:line="240" w:lineRule="auto"/>
      </w:pPr>
      <w:r>
        <w:continuationSeparator/>
      </w:r>
    </w:p>
  </w:footnote>
  <w:footnote w:type="continuationNotice" w:id="1">
    <w:p w14:paraId="2AA095BA" w14:textId="77777777" w:rsidR="000116BA" w:rsidRDefault="000116BA">
      <w:pPr>
        <w:spacing w:line="240" w:lineRule="auto"/>
      </w:pPr>
    </w:p>
  </w:footnote>
  <w:footnote w:id="2">
    <w:p w14:paraId="672B618C" w14:textId="4A32DEDF" w:rsidR="00803A1D" w:rsidRDefault="00803A1D">
      <w:pPr>
        <w:pStyle w:val="FootnoteText"/>
      </w:pPr>
      <w:r>
        <w:rPr>
          <w:rStyle w:val="FootnoteReference"/>
        </w:rPr>
        <w:footnoteRef/>
      </w:r>
      <w:r>
        <w:t xml:space="preserve"> </w:t>
      </w:r>
      <w:hyperlink r:id="rId1" w:history="1">
        <w:r w:rsidRPr="00803A1D">
          <w:rPr>
            <w:rStyle w:val="Hyperlink"/>
          </w:rPr>
          <w:t>Public hearing with Claudia Buch, Chair of the ECB / SSM Supervisory Board - July 2025</w:t>
        </w:r>
      </w:hyperlink>
    </w:p>
  </w:footnote>
  <w:footnote w:id="3">
    <w:p w14:paraId="5F6C41A7" w14:textId="7619A64C" w:rsidR="001F11D7" w:rsidRDefault="001F11D7">
      <w:pPr>
        <w:pStyle w:val="FootnoteText"/>
      </w:pPr>
      <w:r>
        <w:rPr>
          <w:rStyle w:val="FootnoteReference"/>
        </w:rPr>
        <w:footnoteRef/>
      </w:r>
      <w:r>
        <w:t xml:space="preserve"> </w:t>
      </w:r>
      <w:r w:rsidR="008F3CC1">
        <w:t xml:space="preserve">See reference to Spanish Law </w:t>
      </w:r>
      <w:hyperlink r:id="rId2" w:history="1">
        <w:r w:rsidR="008F3CC1" w:rsidRPr="008F3CC1">
          <w:rPr>
            <w:rStyle w:val="Hyperlink"/>
          </w:rPr>
          <w:t>here</w:t>
        </w:r>
      </w:hyperlink>
      <w:r w:rsidR="002A53E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A6CF" w14:textId="77777777" w:rsidR="0062299D" w:rsidRDefault="00622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2AF0" w14:textId="77777777" w:rsidR="0062299D" w:rsidRDefault="00622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A217" w14:textId="2DB7BF00" w:rsidR="00F93E16" w:rsidRDefault="0072211A" w:rsidP="007422DC">
    <w:pPr>
      <w:pStyle w:val="AFMEFullName"/>
    </w:pPr>
    <w:r>
      <w:drawing>
        <wp:anchor distT="0" distB="0" distL="114300" distR="114300" simplePos="0" relativeHeight="251656704" behindDoc="0" locked="0" layoutInCell="1" allowOverlap="1" wp14:anchorId="3A45033F" wp14:editId="049A5883">
          <wp:simplePos x="0" y="0"/>
          <wp:positionH relativeFrom="margin">
            <wp:align>left</wp:align>
          </wp:positionH>
          <wp:positionV relativeFrom="page">
            <wp:posOffset>540385</wp:posOffset>
          </wp:positionV>
          <wp:extent cx="1439545" cy="563245"/>
          <wp:effectExtent l="0" t="0" r="0" b="0"/>
          <wp:wrapSquare wrapText="bothSides"/>
          <wp:docPr id="618908279" name="Picture 618908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ME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640" cy="5637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22DC" w:rsidRPr="00BA7875">
      <w:t>Association for Financial Markets in Europe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357A"/>
    <w:multiLevelType w:val="hybridMultilevel"/>
    <w:tmpl w:val="79204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5F03FE"/>
    <w:multiLevelType w:val="hybridMultilevel"/>
    <w:tmpl w:val="9F9809E2"/>
    <w:lvl w:ilvl="0" w:tplc="A5ECFAFA">
      <w:start w:val="1"/>
      <w:numFmt w:val="bullet"/>
      <w:lvlText w:val=""/>
      <w:lvlJc w:val="left"/>
      <w:pPr>
        <w:ind w:left="1440" w:hanging="360"/>
      </w:pPr>
      <w:rPr>
        <w:rFonts w:ascii="Symbol" w:hAnsi="Symbol"/>
      </w:rPr>
    </w:lvl>
    <w:lvl w:ilvl="1" w:tplc="ECB6863A">
      <w:start w:val="1"/>
      <w:numFmt w:val="bullet"/>
      <w:lvlText w:val=""/>
      <w:lvlJc w:val="left"/>
      <w:pPr>
        <w:ind w:left="1440" w:hanging="360"/>
      </w:pPr>
      <w:rPr>
        <w:rFonts w:ascii="Symbol" w:hAnsi="Symbol"/>
      </w:rPr>
    </w:lvl>
    <w:lvl w:ilvl="2" w:tplc="DDC08B36">
      <w:start w:val="1"/>
      <w:numFmt w:val="bullet"/>
      <w:lvlText w:val=""/>
      <w:lvlJc w:val="left"/>
      <w:pPr>
        <w:ind w:left="1440" w:hanging="360"/>
      </w:pPr>
      <w:rPr>
        <w:rFonts w:ascii="Symbol" w:hAnsi="Symbol"/>
      </w:rPr>
    </w:lvl>
    <w:lvl w:ilvl="3" w:tplc="1C02DFFE">
      <w:start w:val="1"/>
      <w:numFmt w:val="bullet"/>
      <w:lvlText w:val=""/>
      <w:lvlJc w:val="left"/>
      <w:pPr>
        <w:ind w:left="1440" w:hanging="360"/>
      </w:pPr>
      <w:rPr>
        <w:rFonts w:ascii="Symbol" w:hAnsi="Symbol"/>
      </w:rPr>
    </w:lvl>
    <w:lvl w:ilvl="4" w:tplc="B344C758">
      <w:start w:val="1"/>
      <w:numFmt w:val="bullet"/>
      <w:lvlText w:val=""/>
      <w:lvlJc w:val="left"/>
      <w:pPr>
        <w:ind w:left="1440" w:hanging="360"/>
      </w:pPr>
      <w:rPr>
        <w:rFonts w:ascii="Symbol" w:hAnsi="Symbol"/>
      </w:rPr>
    </w:lvl>
    <w:lvl w:ilvl="5" w:tplc="0DC6A628">
      <w:start w:val="1"/>
      <w:numFmt w:val="bullet"/>
      <w:lvlText w:val=""/>
      <w:lvlJc w:val="left"/>
      <w:pPr>
        <w:ind w:left="1440" w:hanging="360"/>
      </w:pPr>
      <w:rPr>
        <w:rFonts w:ascii="Symbol" w:hAnsi="Symbol"/>
      </w:rPr>
    </w:lvl>
    <w:lvl w:ilvl="6" w:tplc="FB9E64E2">
      <w:start w:val="1"/>
      <w:numFmt w:val="bullet"/>
      <w:lvlText w:val=""/>
      <w:lvlJc w:val="left"/>
      <w:pPr>
        <w:ind w:left="1440" w:hanging="360"/>
      </w:pPr>
      <w:rPr>
        <w:rFonts w:ascii="Symbol" w:hAnsi="Symbol"/>
      </w:rPr>
    </w:lvl>
    <w:lvl w:ilvl="7" w:tplc="97DAEFBC">
      <w:start w:val="1"/>
      <w:numFmt w:val="bullet"/>
      <w:lvlText w:val=""/>
      <w:lvlJc w:val="left"/>
      <w:pPr>
        <w:ind w:left="1440" w:hanging="360"/>
      </w:pPr>
      <w:rPr>
        <w:rFonts w:ascii="Symbol" w:hAnsi="Symbol"/>
      </w:rPr>
    </w:lvl>
    <w:lvl w:ilvl="8" w:tplc="C41AB526">
      <w:start w:val="1"/>
      <w:numFmt w:val="bullet"/>
      <w:lvlText w:val=""/>
      <w:lvlJc w:val="left"/>
      <w:pPr>
        <w:ind w:left="1440" w:hanging="360"/>
      </w:pPr>
      <w:rPr>
        <w:rFonts w:ascii="Symbol" w:hAnsi="Symbol"/>
      </w:rPr>
    </w:lvl>
  </w:abstractNum>
  <w:abstractNum w:abstractNumId="2" w15:restartNumberingAfterBreak="0">
    <w:nsid w:val="17D210B9"/>
    <w:multiLevelType w:val="multilevel"/>
    <w:tmpl w:val="023E8784"/>
    <w:styleLink w:val="AFMEBullets"/>
    <w:lvl w:ilvl="0">
      <w:start w:val="1"/>
      <w:numFmt w:val="bullet"/>
      <w:pStyle w:val="Bullets1"/>
      <w:lvlText w:val=""/>
      <w:lvlJc w:val="left"/>
      <w:pPr>
        <w:tabs>
          <w:tab w:val="num" w:pos="284"/>
        </w:tabs>
        <w:ind w:left="284" w:hanging="284"/>
      </w:pPr>
      <w:rPr>
        <w:rFonts w:ascii="Symbol" w:hAnsi="Symbol" w:hint="default"/>
        <w:color w:val="78A22F" w:themeColor="accent1"/>
      </w:rPr>
    </w:lvl>
    <w:lvl w:ilvl="1">
      <w:start w:val="1"/>
      <w:numFmt w:val="bullet"/>
      <w:pStyle w:val="Bullets2"/>
      <w:lvlText w:val=""/>
      <w:lvlJc w:val="left"/>
      <w:pPr>
        <w:tabs>
          <w:tab w:val="num" w:pos="567"/>
        </w:tabs>
        <w:ind w:left="567" w:hanging="283"/>
      </w:pPr>
      <w:rPr>
        <w:rFonts w:ascii="Symbol" w:hAnsi="Symbol" w:hint="default"/>
        <w:color w:val="58595B" w:themeColor="accent6"/>
      </w:rPr>
    </w:lvl>
    <w:lvl w:ilvl="2">
      <w:start w:val="1"/>
      <w:numFmt w:val="bullet"/>
      <w:pStyle w:val="Bullets3"/>
      <w:lvlText w:val=""/>
      <w:lvlJc w:val="left"/>
      <w:pPr>
        <w:tabs>
          <w:tab w:val="num" w:pos="851"/>
        </w:tabs>
        <w:ind w:left="851" w:hanging="284"/>
      </w:pPr>
      <w:rPr>
        <w:rFonts w:ascii="Symbol" w:hAnsi="Symbol" w:hint="default"/>
        <w:color w:val="C9DAAC" w:themeColor="accent2"/>
      </w:rPr>
    </w:lvl>
    <w:lvl w:ilvl="3">
      <w:start w:val="1"/>
      <w:numFmt w:val="bullet"/>
      <w:lvlText w:val=""/>
      <w:lvlJc w:val="left"/>
      <w:pPr>
        <w:tabs>
          <w:tab w:val="num" w:pos="1134"/>
        </w:tabs>
        <w:ind w:left="1134" w:hanging="283"/>
      </w:pPr>
      <w:rPr>
        <w:rFonts w:ascii="Symbol" w:hAnsi="Symbol" w:hint="default"/>
        <w:color w:val="CFD0D2" w:themeColor="accent3"/>
      </w:rPr>
    </w:lvl>
    <w:lvl w:ilvl="4">
      <w:start w:val="1"/>
      <w:numFmt w:val="bullet"/>
      <w:lvlText w:val=""/>
      <w:lvlJc w:val="left"/>
      <w:pPr>
        <w:tabs>
          <w:tab w:val="num" w:pos="1418"/>
        </w:tabs>
        <w:ind w:left="1418" w:hanging="284"/>
      </w:pPr>
      <w:rPr>
        <w:rFonts w:ascii="Symbol" w:hAnsi="Symbol" w:hint="default"/>
        <w:color w:val="808285" w:themeColor="accent5"/>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513FBC"/>
    <w:multiLevelType w:val="hybridMultilevel"/>
    <w:tmpl w:val="E0022754"/>
    <w:lvl w:ilvl="0" w:tplc="0809000F">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 w15:restartNumberingAfterBreak="0">
    <w:nsid w:val="21863D2A"/>
    <w:multiLevelType w:val="hybridMultilevel"/>
    <w:tmpl w:val="85C2C242"/>
    <w:lvl w:ilvl="0" w:tplc="F2A08BA2">
      <w:start w:val="1"/>
      <w:numFmt w:val="decimal"/>
      <w:lvlText w:val="%1)"/>
      <w:lvlJc w:val="left"/>
      <w:pPr>
        <w:ind w:left="1020" w:hanging="360"/>
      </w:pPr>
    </w:lvl>
    <w:lvl w:ilvl="1" w:tplc="442CA3E0">
      <w:start w:val="1"/>
      <w:numFmt w:val="decimal"/>
      <w:lvlText w:val="%2)"/>
      <w:lvlJc w:val="left"/>
      <w:pPr>
        <w:ind w:left="1020" w:hanging="360"/>
      </w:pPr>
    </w:lvl>
    <w:lvl w:ilvl="2" w:tplc="5E86A272">
      <w:start w:val="1"/>
      <w:numFmt w:val="decimal"/>
      <w:lvlText w:val="%3)"/>
      <w:lvlJc w:val="left"/>
      <w:pPr>
        <w:ind w:left="1020" w:hanging="360"/>
      </w:pPr>
    </w:lvl>
    <w:lvl w:ilvl="3" w:tplc="8DC8B3B6">
      <w:start w:val="1"/>
      <w:numFmt w:val="decimal"/>
      <w:lvlText w:val="%4)"/>
      <w:lvlJc w:val="left"/>
      <w:pPr>
        <w:ind w:left="1020" w:hanging="360"/>
      </w:pPr>
    </w:lvl>
    <w:lvl w:ilvl="4" w:tplc="BE58A802">
      <w:start w:val="1"/>
      <w:numFmt w:val="decimal"/>
      <w:lvlText w:val="%5)"/>
      <w:lvlJc w:val="left"/>
      <w:pPr>
        <w:ind w:left="1020" w:hanging="360"/>
      </w:pPr>
    </w:lvl>
    <w:lvl w:ilvl="5" w:tplc="BF2448F8">
      <w:start w:val="1"/>
      <w:numFmt w:val="decimal"/>
      <w:lvlText w:val="%6)"/>
      <w:lvlJc w:val="left"/>
      <w:pPr>
        <w:ind w:left="1020" w:hanging="360"/>
      </w:pPr>
    </w:lvl>
    <w:lvl w:ilvl="6" w:tplc="E19E2884">
      <w:start w:val="1"/>
      <w:numFmt w:val="decimal"/>
      <w:lvlText w:val="%7)"/>
      <w:lvlJc w:val="left"/>
      <w:pPr>
        <w:ind w:left="1020" w:hanging="360"/>
      </w:pPr>
    </w:lvl>
    <w:lvl w:ilvl="7" w:tplc="D76CD31A">
      <w:start w:val="1"/>
      <w:numFmt w:val="decimal"/>
      <w:lvlText w:val="%8)"/>
      <w:lvlJc w:val="left"/>
      <w:pPr>
        <w:ind w:left="1020" w:hanging="360"/>
      </w:pPr>
    </w:lvl>
    <w:lvl w:ilvl="8" w:tplc="365E0BE6">
      <w:start w:val="1"/>
      <w:numFmt w:val="decimal"/>
      <w:lvlText w:val="%9)"/>
      <w:lvlJc w:val="left"/>
      <w:pPr>
        <w:ind w:left="1020" w:hanging="360"/>
      </w:pPr>
    </w:lvl>
  </w:abstractNum>
  <w:abstractNum w:abstractNumId="5" w15:restartNumberingAfterBreak="0">
    <w:nsid w:val="2892105C"/>
    <w:multiLevelType w:val="hybridMultilevel"/>
    <w:tmpl w:val="86D4E980"/>
    <w:lvl w:ilvl="0" w:tplc="5E8EDF16">
      <w:start w:val="1"/>
      <w:numFmt w:val="decimal"/>
      <w:lvlText w:val="%1)"/>
      <w:lvlJc w:val="left"/>
      <w:pPr>
        <w:ind w:left="720" w:hanging="360"/>
      </w:pPr>
    </w:lvl>
    <w:lvl w:ilvl="1" w:tplc="F2B8450A">
      <w:start w:val="1"/>
      <w:numFmt w:val="decimal"/>
      <w:lvlText w:val="%2)"/>
      <w:lvlJc w:val="left"/>
      <w:pPr>
        <w:ind w:left="720" w:hanging="360"/>
      </w:pPr>
    </w:lvl>
    <w:lvl w:ilvl="2" w:tplc="DCA64FB6">
      <w:start w:val="1"/>
      <w:numFmt w:val="decimal"/>
      <w:lvlText w:val="%3)"/>
      <w:lvlJc w:val="left"/>
      <w:pPr>
        <w:ind w:left="720" w:hanging="360"/>
      </w:pPr>
    </w:lvl>
    <w:lvl w:ilvl="3" w:tplc="78A030D2">
      <w:start w:val="1"/>
      <w:numFmt w:val="decimal"/>
      <w:lvlText w:val="%4)"/>
      <w:lvlJc w:val="left"/>
      <w:pPr>
        <w:ind w:left="720" w:hanging="360"/>
      </w:pPr>
    </w:lvl>
    <w:lvl w:ilvl="4" w:tplc="5C5E15B6">
      <w:start w:val="1"/>
      <w:numFmt w:val="decimal"/>
      <w:lvlText w:val="%5)"/>
      <w:lvlJc w:val="left"/>
      <w:pPr>
        <w:ind w:left="720" w:hanging="360"/>
      </w:pPr>
    </w:lvl>
    <w:lvl w:ilvl="5" w:tplc="654A6088">
      <w:start w:val="1"/>
      <w:numFmt w:val="decimal"/>
      <w:lvlText w:val="%6)"/>
      <w:lvlJc w:val="left"/>
      <w:pPr>
        <w:ind w:left="720" w:hanging="360"/>
      </w:pPr>
    </w:lvl>
    <w:lvl w:ilvl="6" w:tplc="A4B41174">
      <w:start w:val="1"/>
      <w:numFmt w:val="decimal"/>
      <w:lvlText w:val="%7)"/>
      <w:lvlJc w:val="left"/>
      <w:pPr>
        <w:ind w:left="720" w:hanging="360"/>
      </w:pPr>
    </w:lvl>
    <w:lvl w:ilvl="7" w:tplc="D696D940">
      <w:start w:val="1"/>
      <w:numFmt w:val="decimal"/>
      <w:lvlText w:val="%8)"/>
      <w:lvlJc w:val="left"/>
      <w:pPr>
        <w:ind w:left="720" w:hanging="360"/>
      </w:pPr>
    </w:lvl>
    <w:lvl w:ilvl="8" w:tplc="15BAD1E6">
      <w:start w:val="1"/>
      <w:numFmt w:val="decimal"/>
      <w:lvlText w:val="%9)"/>
      <w:lvlJc w:val="left"/>
      <w:pPr>
        <w:ind w:left="720" w:hanging="360"/>
      </w:pPr>
    </w:lvl>
  </w:abstractNum>
  <w:abstractNum w:abstractNumId="6" w15:restartNumberingAfterBreak="0">
    <w:nsid w:val="318D227F"/>
    <w:multiLevelType w:val="multilevel"/>
    <w:tmpl w:val="1778BEA0"/>
    <w:styleLink w:val="AFMENumbering"/>
    <w:lvl w:ilvl="0">
      <w:start w:val="1"/>
      <w:numFmt w:val="none"/>
      <w:pStyle w:val="TOCHeading"/>
      <w:suff w:val="nothing"/>
      <w:lvlText w:val=""/>
      <w:lvlJc w:val="left"/>
      <w:pPr>
        <w:ind w:left="0" w:firstLine="0"/>
      </w:pPr>
      <w:rPr>
        <w:rFonts w:hint="default"/>
      </w:rPr>
    </w:lvl>
    <w:lvl w:ilvl="1">
      <w:start w:val="1"/>
      <w:numFmt w:val="decimal"/>
      <w:lvlRestart w:val="0"/>
      <w:pStyle w:val="Level1"/>
      <w:lvlText w:val="%2"/>
      <w:lvlJc w:val="left"/>
      <w:pPr>
        <w:tabs>
          <w:tab w:val="num" w:pos="567"/>
        </w:tabs>
        <w:ind w:left="567" w:hanging="567"/>
      </w:pPr>
      <w:rPr>
        <w:rFonts w:hint="default"/>
      </w:rPr>
    </w:lvl>
    <w:lvl w:ilvl="2">
      <w:start w:val="1"/>
      <w:numFmt w:val="decimal"/>
      <w:pStyle w:val="Level2"/>
      <w:lvlText w:val="%2.%3"/>
      <w:lvlJc w:val="left"/>
      <w:pPr>
        <w:tabs>
          <w:tab w:val="num" w:pos="567"/>
        </w:tabs>
        <w:ind w:left="567" w:hanging="567"/>
      </w:pPr>
      <w:rPr>
        <w:rFonts w:hint="default"/>
      </w:rPr>
    </w:lvl>
    <w:lvl w:ilvl="3">
      <w:start w:val="1"/>
      <w:numFmt w:val="lowerLetter"/>
      <w:pStyle w:val="Level3"/>
      <w:lvlText w:val="%4)"/>
      <w:lvlJc w:val="left"/>
      <w:pPr>
        <w:tabs>
          <w:tab w:val="num" w:pos="567"/>
        </w:tabs>
        <w:ind w:left="567" w:hanging="567"/>
      </w:pPr>
      <w:rPr>
        <w:rFonts w:hint="default"/>
      </w:rPr>
    </w:lvl>
    <w:lvl w:ilvl="4">
      <w:start w:val="1"/>
      <w:numFmt w:val="lowerRoman"/>
      <w:pStyle w:val="Level4"/>
      <w:lvlText w:val="%5."/>
      <w:lvlJc w:val="left"/>
      <w:pPr>
        <w:tabs>
          <w:tab w:val="num" w:pos="567"/>
        </w:tabs>
        <w:ind w:left="567" w:hanging="567"/>
      </w:pPr>
      <w:rPr>
        <w:rFonts w:hint="default"/>
      </w:rPr>
    </w:lvl>
    <w:lvl w:ilvl="5">
      <w:start w:val="1"/>
      <w:numFmt w:val="lowerLetter"/>
      <w:pStyle w:val="Level5"/>
      <w:lvlText w:val="%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6C1CEA"/>
    <w:multiLevelType w:val="multilevel"/>
    <w:tmpl w:val="023E8784"/>
    <w:numStyleLink w:val="AFMEBullets"/>
  </w:abstractNum>
  <w:abstractNum w:abstractNumId="8" w15:restartNumberingAfterBreak="0">
    <w:nsid w:val="429A4975"/>
    <w:multiLevelType w:val="hybridMultilevel"/>
    <w:tmpl w:val="C8064424"/>
    <w:lvl w:ilvl="0" w:tplc="87B496B2">
      <w:start w:val="1"/>
      <w:numFmt w:val="decimal"/>
      <w:lvlText w:val="%1)"/>
      <w:lvlJc w:val="left"/>
      <w:pPr>
        <w:ind w:left="1020" w:hanging="360"/>
      </w:pPr>
    </w:lvl>
    <w:lvl w:ilvl="1" w:tplc="B43254D0">
      <w:start w:val="1"/>
      <w:numFmt w:val="decimal"/>
      <w:lvlText w:val="%2)"/>
      <w:lvlJc w:val="left"/>
      <w:pPr>
        <w:ind w:left="1020" w:hanging="360"/>
      </w:pPr>
    </w:lvl>
    <w:lvl w:ilvl="2" w:tplc="4364D942">
      <w:start w:val="1"/>
      <w:numFmt w:val="decimal"/>
      <w:lvlText w:val="%3)"/>
      <w:lvlJc w:val="left"/>
      <w:pPr>
        <w:ind w:left="1020" w:hanging="360"/>
      </w:pPr>
    </w:lvl>
    <w:lvl w:ilvl="3" w:tplc="6FAA62C2">
      <w:start w:val="1"/>
      <w:numFmt w:val="decimal"/>
      <w:lvlText w:val="%4)"/>
      <w:lvlJc w:val="left"/>
      <w:pPr>
        <w:ind w:left="1020" w:hanging="360"/>
      </w:pPr>
    </w:lvl>
    <w:lvl w:ilvl="4" w:tplc="16423386">
      <w:start w:val="1"/>
      <w:numFmt w:val="decimal"/>
      <w:lvlText w:val="%5)"/>
      <w:lvlJc w:val="left"/>
      <w:pPr>
        <w:ind w:left="1020" w:hanging="360"/>
      </w:pPr>
    </w:lvl>
    <w:lvl w:ilvl="5" w:tplc="0486D5C6">
      <w:start w:val="1"/>
      <w:numFmt w:val="decimal"/>
      <w:lvlText w:val="%6)"/>
      <w:lvlJc w:val="left"/>
      <w:pPr>
        <w:ind w:left="1020" w:hanging="360"/>
      </w:pPr>
    </w:lvl>
    <w:lvl w:ilvl="6" w:tplc="C0260382">
      <w:start w:val="1"/>
      <w:numFmt w:val="decimal"/>
      <w:lvlText w:val="%7)"/>
      <w:lvlJc w:val="left"/>
      <w:pPr>
        <w:ind w:left="1020" w:hanging="360"/>
      </w:pPr>
    </w:lvl>
    <w:lvl w:ilvl="7" w:tplc="EB060464">
      <w:start w:val="1"/>
      <w:numFmt w:val="decimal"/>
      <w:lvlText w:val="%8)"/>
      <w:lvlJc w:val="left"/>
      <w:pPr>
        <w:ind w:left="1020" w:hanging="360"/>
      </w:pPr>
    </w:lvl>
    <w:lvl w:ilvl="8" w:tplc="BA3E6258">
      <w:start w:val="1"/>
      <w:numFmt w:val="decimal"/>
      <w:lvlText w:val="%9)"/>
      <w:lvlJc w:val="left"/>
      <w:pPr>
        <w:ind w:left="1020" w:hanging="360"/>
      </w:pPr>
    </w:lvl>
  </w:abstractNum>
  <w:abstractNum w:abstractNumId="9" w15:restartNumberingAfterBreak="0">
    <w:nsid w:val="56B81AB1"/>
    <w:multiLevelType w:val="multilevel"/>
    <w:tmpl w:val="1778BEA0"/>
    <w:numStyleLink w:val="AFMENumbering"/>
  </w:abstractNum>
  <w:abstractNum w:abstractNumId="10" w15:restartNumberingAfterBreak="0">
    <w:nsid w:val="63CF3971"/>
    <w:multiLevelType w:val="hybridMultilevel"/>
    <w:tmpl w:val="D6A4003E"/>
    <w:lvl w:ilvl="0" w:tplc="297E440C">
      <w:numFmt w:val="bullet"/>
      <w:lvlText w:val="-"/>
      <w:lvlJc w:val="left"/>
      <w:pPr>
        <w:ind w:left="720" w:hanging="360"/>
      </w:pPr>
      <w:rPr>
        <w:rFonts w:ascii="Aptos" w:eastAsia="Aptos" w:hAnsi="Aptos" w:cs="Apto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A481810"/>
    <w:multiLevelType w:val="hybridMultilevel"/>
    <w:tmpl w:val="AE8CA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723294"/>
    <w:multiLevelType w:val="hybridMultilevel"/>
    <w:tmpl w:val="22B620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B245A87"/>
    <w:multiLevelType w:val="multilevel"/>
    <w:tmpl w:val="7254854C"/>
    <w:styleLink w:val="Sources"/>
    <w:lvl w:ilvl="0">
      <w:start w:val="1"/>
      <w:numFmt w:val="none"/>
      <w:pStyle w:val="Source"/>
      <w:suff w:val="space"/>
      <w:lvlText w:val="Source:"/>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CA1841"/>
    <w:multiLevelType w:val="multilevel"/>
    <w:tmpl w:val="6CBCC10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5" w15:restartNumberingAfterBreak="0">
    <w:nsid w:val="7EC106B0"/>
    <w:multiLevelType w:val="hybridMultilevel"/>
    <w:tmpl w:val="84F2B79E"/>
    <w:lvl w:ilvl="0" w:tplc="D6749E2A">
      <w:start w:val="1"/>
      <w:numFmt w:val="decimal"/>
      <w:lvlText w:val="%1)"/>
      <w:lvlJc w:val="left"/>
      <w:pPr>
        <w:ind w:left="1020" w:hanging="360"/>
      </w:pPr>
    </w:lvl>
    <w:lvl w:ilvl="1" w:tplc="25B63F7A">
      <w:start w:val="1"/>
      <w:numFmt w:val="decimal"/>
      <w:lvlText w:val="%2)"/>
      <w:lvlJc w:val="left"/>
      <w:pPr>
        <w:ind w:left="1020" w:hanging="360"/>
      </w:pPr>
    </w:lvl>
    <w:lvl w:ilvl="2" w:tplc="B554CE7C">
      <w:start w:val="1"/>
      <w:numFmt w:val="decimal"/>
      <w:lvlText w:val="%3)"/>
      <w:lvlJc w:val="left"/>
      <w:pPr>
        <w:ind w:left="1020" w:hanging="360"/>
      </w:pPr>
    </w:lvl>
    <w:lvl w:ilvl="3" w:tplc="FE441C58">
      <w:start w:val="1"/>
      <w:numFmt w:val="decimal"/>
      <w:lvlText w:val="%4)"/>
      <w:lvlJc w:val="left"/>
      <w:pPr>
        <w:ind w:left="1020" w:hanging="360"/>
      </w:pPr>
    </w:lvl>
    <w:lvl w:ilvl="4" w:tplc="DC22B060">
      <w:start w:val="1"/>
      <w:numFmt w:val="decimal"/>
      <w:lvlText w:val="%5)"/>
      <w:lvlJc w:val="left"/>
      <w:pPr>
        <w:ind w:left="1020" w:hanging="360"/>
      </w:pPr>
    </w:lvl>
    <w:lvl w:ilvl="5" w:tplc="D7906F4A">
      <w:start w:val="1"/>
      <w:numFmt w:val="decimal"/>
      <w:lvlText w:val="%6)"/>
      <w:lvlJc w:val="left"/>
      <w:pPr>
        <w:ind w:left="1020" w:hanging="360"/>
      </w:pPr>
    </w:lvl>
    <w:lvl w:ilvl="6" w:tplc="D78CC87A">
      <w:start w:val="1"/>
      <w:numFmt w:val="decimal"/>
      <w:lvlText w:val="%7)"/>
      <w:lvlJc w:val="left"/>
      <w:pPr>
        <w:ind w:left="1020" w:hanging="360"/>
      </w:pPr>
    </w:lvl>
    <w:lvl w:ilvl="7" w:tplc="75ACCD8A">
      <w:start w:val="1"/>
      <w:numFmt w:val="decimal"/>
      <w:lvlText w:val="%8)"/>
      <w:lvlJc w:val="left"/>
      <w:pPr>
        <w:ind w:left="1020" w:hanging="360"/>
      </w:pPr>
    </w:lvl>
    <w:lvl w:ilvl="8" w:tplc="C2525068">
      <w:start w:val="1"/>
      <w:numFmt w:val="decimal"/>
      <w:lvlText w:val="%9)"/>
      <w:lvlJc w:val="left"/>
      <w:pPr>
        <w:ind w:left="1020" w:hanging="360"/>
      </w:pPr>
    </w:lvl>
  </w:abstractNum>
  <w:abstractNum w:abstractNumId="16" w15:restartNumberingAfterBreak="0">
    <w:nsid w:val="7ED504D5"/>
    <w:multiLevelType w:val="hybridMultilevel"/>
    <w:tmpl w:val="389C40B4"/>
    <w:lvl w:ilvl="0" w:tplc="911ED2A6">
      <w:start w:val="1"/>
      <w:numFmt w:val="decimal"/>
      <w:lvlText w:val="%1)"/>
      <w:lvlJc w:val="left"/>
      <w:pPr>
        <w:ind w:left="1020" w:hanging="360"/>
      </w:pPr>
    </w:lvl>
    <w:lvl w:ilvl="1" w:tplc="DE96CB6A">
      <w:start w:val="1"/>
      <w:numFmt w:val="decimal"/>
      <w:lvlText w:val="%2)"/>
      <w:lvlJc w:val="left"/>
      <w:pPr>
        <w:ind w:left="1020" w:hanging="360"/>
      </w:pPr>
    </w:lvl>
    <w:lvl w:ilvl="2" w:tplc="45A8BD62">
      <w:start w:val="1"/>
      <w:numFmt w:val="decimal"/>
      <w:lvlText w:val="%3)"/>
      <w:lvlJc w:val="left"/>
      <w:pPr>
        <w:ind w:left="1020" w:hanging="360"/>
      </w:pPr>
    </w:lvl>
    <w:lvl w:ilvl="3" w:tplc="E2B48FC4">
      <w:start w:val="1"/>
      <w:numFmt w:val="decimal"/>
      <w:lvlText w:val="%4)"/>
      <w:lvlJc w:val="left"/>
      <w:pPr>
        <w:ind w:left="1020" w:hanging="360"/>
      </w:pPr>
    </w:lvl>
    <w:lvl w:ilvl="4" w:tplc="F230D9F0">
      <w:start w:val="1"/>
      <w:numFmt w:val="decimal"/>
      <w:lvlText w:val="%5)"/>
      <w:lvlJc w:val="left"/>
      <w:pPr>
        <w:ind w:left="1020" w:hanging="360"/>
      </w:pPr>
    </w:lvl>
    <w:lvl w:ilvl="5" w:tplc="58F8AF5C">
      <w:start w:val="1"/>
      <w:numFmt w:val="decimal"/>
      <w:lvlText w:val="%6)"/>
      <w:lvlJc w:val="left"/>
      <w:pPr>
        <w:ind w:left="1020" w:hanging="360"/>
      </w:pPr>
    </w:lvl>
    <w:lvl w:ilvl="6" w:tplc="F1340526">
      <w:start w:val="1"/>
      <w:numFmt w:val="decimal"/>
      <w:lvlText w:val="%7)"/>
      <w:lvlJc w:val="left"/>
      <w:pPr>
        <w:ind w:left="1020" w:hanging="360"/>
      </w:pPr>
    </w:lvl>
    <w:lvl w:ilvl="7" w:tplc="C9CAD514">
      <w:start w:val="1"/>
      <w:numFmt w:val="decimal"/>
      <w:lvlText w:val="%8)"/>
      <w:lvlJc w:val="left"/>
      <w:pPr>
        <w:ind w:left="1020" w:hanging="360"/>
      </w:pPr>
    </w:lvl>
    <w:lvl w:ilvl="8" w:tplc="E9842018">
      <w:start w:val="1"/>
      <w:numFmt w:val="decimal"/>
      <w:lvlText w:val="%9)"/>
      <w:lvlJc w:val="left"/>
      <w:pPr>
        <w:ind w:left="1020" w:hanging="360"/>
      </w:pPr>
    </w:lvl>
  </w:abstractNum>
  <w:num w:numId="1" w16cid:durableId="1081636000">
    <w:abstractNumId w:val="6"/>
  </w:num>
  <w:num w:numId="2" w16cid:durableId="1805387485">
    <w:abstractNumId w:val="2"/>
  </w:num>
  <w:num w:numId="3" w16cid:durableId="158271134">
    <w:abstractNumId w:val="13"/>
  </w:num>
  <w:num w:numId="4" w16cid:durableId="1482111077">
    <w:abstractNumId w:val="9"/>
  </w:num>
  <w:num w:numId="5" w16cid:durableId="1670020196">
    <w:abstractNumId w:val="7"/>
  </w:num>
  <w:num w:numId="6" w16cid:durableId="2072847160">
    <w:abstractNumId w:val="11"/>
  </w:num>
  <w:num w:numId="7" w16cid:durableId="1996101922">
    <w:abstractNumId w:val="3"/>
  </w:num>
  <w:num w:numId="8" w16cid:durableId="629481153">
    <w:abstractNumId w:val="14"/>
  </w:num>
  <w:num w:numId="9" w16cid:durableId="1552303494">
    <w:abstractNumId w:val="0"/>
  </w:num>
  <w:num w:numId="10" w16cid:durableId="104154627">
    <w:abstractNumId w:val="1"/>
  </w:num>
  <w:num w:numId="11" w16cid:durableId="1352367931">
    <w:abstractNumId w:val="16"/>
  </w:num>
  <w:num w:numId="12" w16cid:durableId="1754233214">
    <w:abstractNumId w:val="4"/>
  </w:num>
  <w:num w:numId="13" w16cid:durableId="1941990522">
    <w:abstractNumId w:val="5"/>
  </w:num>
  <w:num w:numId="14" w16cid:durableId="188186197">
    <w:abstractNumId w:val="15"/>
  </w:num>
  <w:num w:numId="15" w16cid:durableId="608974028">
    <w:abstractNumId w:val="8"/>
  </w:num>
  <w:num w:numId="16" w16cid:durableId="1968777332">
    <w:abstractNumId w:val="12"/>
  </w:num>
  <w:num w:numId="17" w16cid:durableId="8464041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sjS2tDAytjC2NDJQ0lEKTi0uzszPAykwrQUAcgGySiwAAAA="/>
  </w:docVars>
  <w:rsids>
    <w:rsidRoot w:val="005C2802"/>
    <w:rsid w:val="00001352"/>
    <w:rsid w:val="00002D70"/>
    <w:rsid w:val="00003A8E"/>
    <w:rsid w:val="000042A9"/>
    <w:rsid w:val="000102B3"/>
    <w:rsid w:val="000116BA"/>
    <w:rsid w:val="00012576"/>
    <w:rsid w:val="0001624E"/>
    <w:rsid w:val="00016CBB"/>
    <w:rsid w:val="000200E8"/>
    <w:rsid w:val="00021379"/>
    <w:rsid w:val="0002463F"/>
    <w:rsid w:val="00024DE5"/>
    <w:rsid w:val="00026B4C"/>
    <w:rsid w:val="00033277"/>
    <w:rsid w:val="0003411A"/>
    <w:rsid w:val="00036C01"/>
    <w:rsid w:val="00036FE9"/>
    <w:rsid w:val="00037642"/>
    <w:rsid w:val="000459D8"/>
    <w:rsid w:val="00047156"/>
    <w:rsid w:val="00051024"/>
    <w:rsid w:val="000516E0"/>
    <w:rsid w:val="00051F0B"/>
    <w:rsid w:val="000539CC"/>
    <w:rsid w:val="000557D0"/>
    <w:rsid w:val="00056860"/>
    <w:rsid w:val="0006061F"/>
    <w:rsid w:val="000643DC"/>
    <w:rsid w:val="000678E7"/>
    <w:rsid w:val="00071782"/>
    <w:rsid w:val="000739AA"/>
    <w:rsid w:val="00076011"/>
    <w:rsid w:val="000762CD"/>
    <w:rsid w:val="000772C9"/>
    <w:rsid w:val="00077F04"/>
    <w:rsid w:val="000806C8"/>
    <w:rsid w:val="00081B2A"/>
    <w:rsid w:val="000840E1"/>
    <w:rsid w:val="00084561"/>
    <w:rsid w:val="00086DDC"/>
    <w:rsid w:val="000924F1"/>
    <w:rsid w:val="000926A4"/>
    <w:rsid w:val="00092B1A"/>
    <w:rsid w:val="00093CA5"/>
    <w:rsid w:val="00093CE7"/>
    <w:rsid w:val="0009491F"/>
    <w:rsid w:val="0009515A"/>
    <w:rsid w:val="00096486"/>
    <w:rsid w:val="00097266"/>
    <w:rsid w:val="000A0540"/>
    <w:rsid w:val="000A0B12"/>
    <w:rsid w:val="000A2679"/>
    <w:rsid w:val="000A2C15"/>
    <w:rsid w:val="000A5444"/>
    <w:rsid w:val="000A6BCC"/>
    <w:rsid w:val="000A70ED"/>
    <w:rsid w:val="000A7EE6"/>
    <w:rsid w:val="000B02C2"/>
    <w:rsid w:val="000B6808"/>
    <w:rsid w:val="000C0544"/>
    <w:rsid w:val="000C2B85"/>
    <w:rsid w:val="000C3762"/>
    <w:rsid w:val="000C380A"/>
    <w:rsid w:val="000C5FE3"/>
    <w:rsid w:val="000D02C7"/>
    <w:rsid w:val="000D227A"/>
    <w:rsid w:val="000D52FE"/>
    <w:rsid w:val="000D63F1"/>
    <w:rsid w:val="000D6F64"/>
    <w:rsid w:val="000D7561"/>
    <w:rsid w:val="000E086F"/>
    <w:rsid w:val="000E3B63"/>
    <w:rsid w:val="000E4F1D"/>
    <w:rsid w:val="000E508E"/>
    <w:rsid w:val="000E76F7"/>
    <w:rsid w:val="000F0BED"/>
    <w:rsid w:val="000F1373"/>
    <w:rsid w:val="000F348E"/>
    <w:rsid w:val="000F62B9"/>
    <w:rsid w:val="000F6737"/>
    <w:rsid w:val="000F6871"/>
    <w:rsid w:val="000F7DBB"/>
    <w:rsid w:val="000F7F60"/>
    <w:rsid w:val="001052FF"/>
    <w:rsid w:val="00106C3A"/>
    <w:rsid w:val="00110178"/>
    <w:rsid w:val="0011150C"/>
    <w:rsid w:val="00113C0E"/>
    <w:rsid w:val="00114455"/>
    <w:rsid w:val="001175C6"/>
    <w:rsid w:val="001215CC"/>
    <w:rsid w:val="00122067"/>
    <w:rsid w:val="00124D4C"/>
    <w:rsid w:val="00131106"/>
    <w:rsid w:val="0013202B"/>
    <w:rsid w:val="001347DA"/>
    <w:rsid w:val="00135A0E"/>
    <w:rsid w:val="00140A63"/>
    <w:rsid w:val="0014486A"/>
    <w:rsid w:val="00146014"/>
    <w:rsid w:val="0014603B"/>
    <w:rsid w:val="00146474"/>
    <w:rsid w:val="001502C1"/>
    <w:rsid w:val="00151386"/>
    <w:rsid w:val="00151B8C"/>
    <w:rsid w:val="00153470"/>
    <w:rsid w:val="00154357"/>
    <w:rsid w:val="00154FA7"/>
    <w:rsid w:val="00156E97"/>
    <w:rsid w:val="00160503"/>
    <w:rsid w:val="001607A7"/>
    <w:rsid w:val="00164C0D"/>
    <w:rsid w:val="00165276"/>
    <w:rsid w:val="001654CC"/>
    <w:rsid w:val="00167D5E"/>
    <w:rsid w:val="00173511"/>
    <w:rsid w:val="001748FA"/>
    <w:rsid w:val="0017680C"/>
    <w:rsid w:val="00187C66"/>
    <w:rsid w:val="00187D34"/>
    <w:rsid w:val="00190CA3"/>
    <w:rsid w:val="001911DC"/>
    <w:rsid w:val="00191C8C"/>
    <w:rsid w:val="00191FC0"/>
    <w:rsid w:val="00192834"/>
    <w:rsid w:val="001973E2"/>
    <w:rsid w:val="001A2A47"/>
    <w:rsid w:val="001A2CB6"/>
    <w:rsid w:val="001A4258"/>
    <w:rsid w:val="001B0434"/>
    <w:rsid w:val="001B1F39"/>
    <w:rsid w:val="001B3FA5"/>
    <w:rsid w:val="001B4416"/>
    <w:rsid w:val="001C006B"/>
    <w:rsid w:val="001C0ECC"/>
    <w:rsid w:val="001C1F5F"/>
    <w:rsid w:val="001C2006"/>
    <w:rsid w:val="001C397E"/>
    <w:rsid w:val="001C5CA7"/>
    <w:rsid w:val="001C5EE0"/>
    <w:rsid w:val="001D08E3"/>
    <w:rsid w:val="001D32D8"/>
    <w:rsid w:val="001D33A6"/>
    <w:rsid w:val="001D3598"/>
    <w:rsid w:val="001D5B6E"/>
    <w:rsid w:val="001D7E1E"/>
    <w:rsid w:val="001E0F22"/>
    <w:rsid w:val="001E169A"/>
    <w:rsid w:val="001E2604"/>
    <w:rsid w:val="001E47AF"/>
    <w:rsid w:val="001F11D7"/>
    <w:rsid w:val="001F3C32"/>
    <w:rsid w:val="0020032C"/>
    <w:rsid w:val="00201802"/>
    <w:rsid w:val="002114F6"/>
    <w:rsid w:val="00213383"/>
    <w:rsid w:val="00213C4A"/>
    <w:rsid w:val="00214048"/>
    <w:rsid w:val="002145F7"/>
    <w:rsid w:val="00216DE1"/>
    <w:rsid w:val="00217665"/>
    <w:rsid w:val="0022478E"/>
    <w:rsid w:val="0022718D"/>
    <w:rsid w:val="00233EF8"/>
    <w:rsid w:val="00234919"/>
    <w:rsid w:val="00236430"/>
    <w:rsid w:val="00236CDF"/>
    <w:rsid w:val="00237167"/>
    <w:rsid w:val="00241545"/>
    <w:rsid w:val="00241DEB"/>
    <w:rsid w:val="00242D30"/>
    <w:rsid w:val="002452A8"/>
    <w:rsid w:val="00245698"/>
    <w:rsid w:val="00252706"/>
    <w:rsid w:val="002527F0"/>
    <w:rsid w:val="0025525A"/>
    <w:rsid w:val="00255BE4"/>
    <w:rsid w:val="00261D7D"/>
    <w:rsid w:val="0026244A"/>
    <w:rsid w:val="00262710"/>
    <w:rsid w:val="0026352C"/>
    <w:rsid w:val="00265772"/>
    <w:rsid w:val="002660E9"/>
    <w:rsid w:val="00266534"/>
    <w:rsid w:val="00267954"/>
    <w:rsid w:val="00267A6E"/>
    <w:rsid w:val="00270621"/>
    <w:rsid w:val="00270A88"/>
    <w:rsid w:val="002735A4"/>
    <w:rsid w:val="00273846"/>
    <w:rsid w:val="002779D3"/>
    <w:rsid w:val="00277BBE"/>
    <w:rsid w:val="00282272"/>
    <w:rsid w:val="002838D6"/>
    <w:rsid w:val="002844ED"/>
    <w:rsid w:val="002853EA"/>
    <w:rsid w:val="00285EED"/>
    <w:rsid w:val="00286953"/>
    <w:rsid w:val="00295101"/>
    <w:rsid w:val="00295499"/>
    <w:rsid w:val="0029584F"/>
    <w:rsid w:val="00296887"/>
    <w:rsid w:val="00296C39"/>
    <w:rsid w:val="0029728C"/>
    <w:rsid w:val="00297752"/>
    <w:rsid w:val="002A0BF8"/>
    <w:rsid w:val="002A0E6B"/>
    <w:rsid w:val="002A11C1"/>
    <w:rsid w:val="002A1BC2"/>
    <w:rsid w:val="002A28C6"/>
    <w:rsid w:val="002A3069"/>
    <w:rsid w:val="002A3E78"/>
    <w:rsid w:val="002A4C76"/>
    <w:rsid w:val="002A4F9C"/>
    <w:rsid w:val="002A5285"/>
    <w:rsid w:val="002A53ED"/>
    <w:rsid w:val="002A5BFD"/>
    <w:rsid w:val="002A6AAB"/>
    <w:rsid w:val="002B2603"/>
    <w:rsid w:val="002B4343"/>
    <w:rsid w:val="002B5C2A"/>
    <w:rsid w:val="002B7F4C"/>
    <w:rsid w:val="002C5818"/>
    <w:rsid w:val="002C74AD"/>
    <w:rsid w:val="002D0489"/>
    <w:rsid w:val="002D19A8"/>
    <w:rsid w:val="002D1C4B"/>
    <w:rsid w:val="002D1FFC"/>
    <w:rsid w:val="002D2428"/>
    <w:rsid w:val="002D57D0"/>
    <w:rsid w:val="002D7AF3"/>
    <w:rsid w:val="002E0B9D"/>
    <w:rsid w:val="002E0C82"/>
    <w:rsid w:val="002E32CC"/>
    <w:rsid w:val="002E5366"/>
    <w:rsid w:val="00301C0A"/>
    <w:rsid w:val="003028F4"/>
    <w:rsid w:val="00302D9D"/>
    <w:rsid w:val="00303BCB"/>
    <w:rsid w:val="00304D57"/>
    <w:rsid w:val="003072B6"/>
    <w:rsid w:val="003150B1"/>
    <w:rsid w:val="00316820"/>
    <w:rsid w:val="00317338"/>
    <w:rsid w:val="003204C5"/>
    <w:rsid w:val="00321B95"/>
    <w:rsid w:val="003227A2"/>
    <w:rsid w:val="00324917"/>
    <w:rsid w:val="0032521E"/>
    <w:rsid w:val="0032693E"/>
    <w:rsid w:val="00326D33"/>
    <w:rsid w:val="003302D1"/>
    <w:rsid w:val="00331058"/>
    <w:rsid w:val="0033122B"/>
    <w:rsid w:val="0033522B"/>
    <w:rsid w:val="00335A72"/>
    <w:rsid w:val="00340618"/>
    <w:rsid w:val="00341E95"/>
    <w:rsid w:val="003433CB"/>
    <w:rsid w:val="00345787"/>
    <w:rsid w:val="0035072E"/>
    <w:rsid w:val="00352CB7"/>
    <w:rsid w:val="00353215"/>
    <w:rsid w:val="003544F8"/>
    <w:rsid w:val="003559DD"/>
    <w:rsid w:val="00355B4E"/>
    <w:rsid w:val="003564D1"/>
    <w:rsid w:val="00357F79"/>
    <w:rsid w:val="003618DD"/>
    <w:rsid w:val="003649BF"/>
    <w:rsid w:val="00365D44"/>
    <w:rsid w:val="00367D08"/>
    <w:rsid w:val="00372139"/>
    <w:rsid w:val="00373853"/>
    <w:rsid w:val="0037646D"/>
    <w:rsid w:val="00381FF6"/>
    <w:rsid w:val="0038315E"/>
    <w:rsid w:val="00383C69"/>
    <w:rsid w:val="003861E8"/>
    <w:rsid w:val="003869CC"/>
    <w:rsid w:val="003878B1"/>
    <w:rsid w:val="003878B2"/>
    <w:rsid w:val="003921E1"/>
    <w:rsid w:val="00392D39"/>
    <w:rsid w:val="0039385E"/>
    <w:rsid w:val="003942F1"/>
    <w:rsid w:val="003943B8"/>
    <w:rsid w:val="00394D9E"/>
    <w:rsid w:val="0039682F"/>
    <w:rsid w:val="00396C52"/>
    <w:rsid w:val="00396C9F"/>
    <w:rsid w:val="00397228"/>
    <w:rsid w:val="003A237B"/>
    <w:rsid w:val="003A2926"/>
    <w:rsid w:val="003A3C16"/>
    <w:rsid w:val="003A4790"/>
    <w:rsid w:val="003A5290"/>
    <w:rsid w:val="003A62E9"/>
    <w:rsid w:val="003A65D0"/>
    <w:rsid w:val="003B15C6"/>
    <w:rsid w:val="003B4390"/>
    <w:rsid w:val="003B4A16"/>
    <w:rsid w:val="003B5A9B"/>
    <w:rsid w:val="003C01F6"/>
    <w:rsid w:val="003C1E78"/>
    <w:rsid w:val="003C262C"/>
    <w:rsid w:val="003C4F5F"/>
    <w:rsid w:val="003C77F2"/>
    <w:rsid w:val="003D2374"/>
    <w:rsid w:val="003D3804"/>
    <w:rsid w:val="003D4CF7"/>
    <w:rsid w:val="003D592E"/>
    <w:rsid w:val="003E0C01"/>
    <w:rsid w:val="003E1239"/>
    <w:rsid w:val="003E327F"/>
    <w:rsid w:val="003E411D"/>
    <w:rsid w:val="003E650D"/>
    <w:rsid w:val="003E6654"/>
    <w:rsid w:val="003E7775"/>
    <w:rsid w:val="003F038F"/>
    <w:rsid w:val="003F1F9B"/>
    <w:rsid w:val="003F4966"/>
    <w:rsid w:val="00405180"/>
    <w:rsid w:val="00405296"/>
    <w:rsid w:val="0040707B"/>
    <w:rsid w:val="00411038"/>
    <w:rsid w:val="004127B7"/>
    <w:rsid w:val="0041443D"/>
    <w:rsid w:val="00416E23"/>
    <w:rsid w:val="00416FC6"/>
    <w:rsid w:val="00417C49"/>
    <w:rsid w:val="00417EBC"/>
    <w:rsid w:val="00421AA6"/>
    <w:rsid w:val="00421D98"/>
    <w:rsid w:val="00433E3A"/>
    <w:rsid w:val="00434C72"/>
    <w:rsid w:val="00434D02"/>
    <w:rsid w:val="00435428"/>
    <w:rsid w:val="00436A6B"/>
    <w:rsid w:val="00442114"/>
    <w:rsid w:val="00443E0C"/>
    <w:rsid w:val="0044490B"/>
    <w:rsid w:val="00444D80"/>
    <w:rsid w:val="00446763"/>
    <w:rsid w:val="004538E8"/>
    <w:rsid w:val="00456567"/>
    <w:rsid w:val="004605A7"/>
    <w:rsid w:val="004605E1"/>
    <w:rsid w:val="00465070"/>
    <w:rsid w:val="00466389"/>
    <w:rsid w:val="004663CA"/>
    <w:rsid w:val="00471BAE"/>
    <w:rsid w:val="0047345A"/>
    <w:rsid w:val="00473614"/>
    <w:rsid w:val="00474648"/>
    <w:rsid w:val="00480DF1"/>
    <w:rsid w:val="004856C5"/>
    <w:rsid w:val="004938DC"/>
    <w:rsid w:val="00494A06"/>
    <w:rsid w:val="004968D6"/>
    <w:rsid w:val="00496915"/>
    <w:rsid w:val="004A3134"/>
    <w:rsid w:val="004A3967"/>
    <w:rsid w:val="004A4206"/>
    <w:rsid w:val="004A5D9A"/>
    <w:rsid w:val="004A7121"/>
    <w:rsid w:val="004A774D"/>
    <w:rsid w:val="004A791E"/>
    <w:rsid w:val="004A7C07"/>
    <w:rsid w:val="004A7DC1"/>
    <w:rsid w:val="004B101E"/>
    <w:rsid w:val="004C3FCC"/>
    <w:rsid w:val="004C6650"/>
    <w:rsid w:val="004D04B3"/>
    <w:rsid w:val="004D0D22"/>
    <w:rsid w:val="004D4296"/>
    <w:rsid w:val="004D51FB"/>
    <w:rsid w:val="004D7356"/>
    <w:rsid w:val="004E4D0B"/>
    <w:rsid w:val="004E710C"/>
    <w:rsid w:val="004E7116"/>
    <w:rsid w:val="004E730E"/>
    <w:rsid w:val="004F1620"/>
    <w:rsid w:val="004F3572"/>
    <w:rsid w:val="004F6313"/>
    <w:rsid w:val="004F77A5"/>
    <w:rsid w:val="005024ED"/>
    <w:rsid w:val="0050285D"/>
    <w:rsid w:val="00504DF2"/>
    <w:rsid w:val="00507A22"/>
    <w:rsid w:val="00507CF7"/>
    <w:rsid w:val="005141F5"/>
    <w:rsid w:val="0051422A"/>
    <w:rsid w:val="00517AC3"/>
    <w:rsid w:val="005200D8"/>
    <w:rsid w:val="00520322"/>
    <w:rsid w:val="0052037A"/>
    <w:rsid w:val="005215BC"/>
    <w:rsid w:val="0052316F"/>
    <w:rsid w:val="005239A3"/>
    <w:rsid w:val="0052532E"/>
    <w:rsid w:val="00526BB8"/>
    <w:rsid w:val="00526EB4"/>
    <w:rsid w:val="00530598"/>
    <w:rsid w:val="005308D8"/>
    <w:rsid w:val="00531429"/>
    <w:rsid w:val="00531991"/>
    <w:rsid w:val="00535CDA"/>
    <w:rsid w:val="005362A5"/>
    <w:rsid w:val="005365C0"/>
    <w:rsid w:val="005377F1"/>
    <w:rsid w:val="00541E1B"/>
    <w:rsid w:val="00542B6F"/>
    <w:rsid w:val="00545BD3"/>
    <w:rsid w:val="00546C7C"/>
    <w:rsid w:val="00547954"/>
    <w:rsid w:val="00547DAF"/>
    <w:rsid w:val="00550088"/>
    <w:rsid w:val="005510A9"/>
    <w:rsid w:val="00552A6B"/>
    <w:rsid w:val="00557668"/>
    <w:rsid w:val="00563D48"/>
    <w:rsid w:val="00563F84"/>
    <w:rsid w:val="005652DE"/>
    <w:rsid w:val="0056611D"/>
    <w:rsid w:val="005702FF"/>
    <w:rsid w:val="00572C85"/>
    <w:rsid w:val="005741A1"/>
    <w:rsid w:val="005744C7"/>
    <w:rsid w:val="005760DE"/>
    <w:rsid w:val="00582B8C"/>
    <w:rsid w:val="00583303"/>
    <w:rsid w:val="00585DDC"/>
    <w:rsid w:val="005871AB"/>
    <w:rsid w:val="0059177B"/>
    <w:rsid w:val="00591A49"/>
    <w:rsid w:val="00592E0F"/>
    <w:rsid w:val="005935F7"/>
    <w:rsid w:val="00596DB6"/>
    <w:rsid w:val="005A26D4"/>
    <w:rsid w:val="005B07C0"/>
    <w:rsid w:val="005B33D2"/>
    <w:rsid w:val="005B4F8A"/>
    <w:rsid w:val="005B7888"/>
    <w:rsid w:val="005C0D02"/>
    <w:rsid w:val="005C1BDC"/>
    <w:rsid w:val="005C2802"/>
    <w:rsid w:val="005C5760"/>
    <w:rsid w:val="005C70D8"/>
    <w:rsid w:val="005D35C0"/>
    <w:rsid w:val="005D4240"/>
    <w:rsid w:val="005D47A9"/>
    <w:rsid w:val="005D4D8F"/>
    <w:rsid w:val="005E246D"/>
    <w:rsid w:val="005E4DDA"/>
    <w:rsid w:val="005F0A4E"/>
    <w:rsid w:val="005F3DE6"/>
    <w:rsid w:val="005F52D3"/>
    <w:rsid w:val="005F6A81"/>
    <w:rsid w:val="005F7CB7"/>
    <w:rsid w:val="00604F99"/>
    <w:rsid w:val="00605F27"/>
    <w:rsid w:val="00606BFE"/>
    <w:rsid w:val="006121F5"/>
    <w:rsid w:val="006139E3"/>
    <w:rsid w:val="00614DF8"/>
    <w:rsid w:val="00620DE8"/>
    <w:rsid w:val="006228E3"/>
    <w:rsid w:val="0062299D"/>
    <w:rsid w:val="00622BEC"/>
    <w:rsid w:val="00622EC6"/>
    <w:rsid w:val="0062496F"/>
    <w:rsid w:val="00624BB4"/>
    <w:rsid w:val="00626C66"/>
    <w:rsid w:val="00627211"/>
    <w:rsid w:val="00627AF0"/>
    <w:rsid w:val="00633A6A"/>
    <w:rsid w:val="00636CB7"/>
    <w:rsid w:val="00642CC0"/>
    <w:rsid w:val="00657CC1"/>
    <w:rsid w:val="00661BA2"/>
    <w:rsid w:val="0066200C"/>
    <w:rsid w:val="00662539"/>
    <w:rsid w:val="006644E4"/>
    <w:rsid w:val="00664A20"/>
    <w:rsid w:val="00666D5E"/>
    <w:rsid w:val="00680810"/>
    <w:rsid w:val="00681BF7"/>
    <w:rsid w:val="00683456"/>
    <w:rsid w:val="006842B3"/>
    <w:rsid w:val="00685232"/>
    <w:rsid w:val="00685B20"/>
    <w:rsid w:val="00686BAD"/>
    <w:rsid w:val="006907D6"/>
    <w:rsid w:val="006909FC"/>
    <w:rsid w:val="006916E4"/>
    <w:rsid w:val="00691FF6"/>
    <w:rsid w:val="00692FF7"/>
    <w:rsid w:val="00693AD2"/>
    <w:rsid w:val="00697239"/>
    <w:rsid w:val="006972E6"/>
    <w:rsid w:val="006A0342"/>
    <w:rsid w:val="006A132D"/>
    <w:rsid w:val="006A40EB"/>
    <w:rsid w:val="006B1434"/>
    <w:rsid w:val="006B4293"/>
    <w:rsid w:val="006B45C9"/>
    <w:rsid w:val="006B6543"/>
    <w:rsid w:val="006B68BF"/>
    <w:rsid w:val="006B7D66"/>
    <w:rsid w:val="006C1215"/>
    <w:rsid w:val="006C14FE"/>
    <w:rsid w:val="006C1A39"/>
    <w:rsid w:val="006C50DD"/>
    <w:rsid w:val="006C655D"/>
    <w:rsid w:val="006C7BD9"/>
    <w:rsid w:val="006D11C7"/>
    <w:rsid w:val="006D1911"/>
    <w:rsid w:val="006D2047"/>
    <w:rsid w:val="006D2519"/>
    <w:rsid w:val="006D4B52"/>
    <w:rsid w:val="006D5F0F"/>
    <w:rsid w:val="006E0140"/>
    <w:rsid w:val="006E09F1"/>
    <w:rsid w:val="006E1D85"/>
    <w:rsid w:val="006E2F61"/>
    <w:rsid w:val="006E5B76"/>
    <w:rsid w:val="006E792A"/>
    <w:rsid w:val="006F22D7"/>
    <w:rsid w:val="006F52B3"/>
    <w:rsid w:val="00701ACF"/>
    <w:rsid w:val="00702DAD"/>
    <w:rsid w:val="00703A58"/>
    <w:rsid w:val="00704A22"/>
    <w:rsid w:val="00706FC5"/>
    <w:rsid w:val="007118F0"/>
    <w:rsid w:val="00713EDD"/>
    <w:rsid w:val="007150BF"/>
    <w:rsid w:val="00715831"/>
    <w:rsid w:val="00715B53"/>
    <w:rsid w:val="00716A4D"/>
    <w:rsid w:val="00716BF7"/>
    <w:rsid w:val="0071783C"/>
    <w:rsid w:val="00717F68"/>
    <w:rsid w:val="007205FD"/>
    <w:rsid w:val="007207D5"/>
    <w:rsid w:val="00721532"/>
    <w:rsid w:val="0072211A"/>
    <w:rsid w:val="00722181"/>
    <w:rsid w:val="00722963"/>
    <w:rsid w:val="0072407C"/>
    <w:rsid w:val="007301C7"/>
    <w:rsid w:val="00731907"/>
    <w:rsid w:val="00732630"/>
    <w:rsid w:val="00733DBB"/>
    <w:rsid w:val="00734C82"/>
    <w:rsid w:val="00736EC4"/>
    <w:rsid w:val="007372AB"/>
    <w:rsid w:val="007377E8"/>
    <w:rsid w:val="007422DC"/>
    <w:rsid w:val="00743AE7"/>
    <w:rsid w:val="00743D5A"/>
    <w:rsid w:val="007572E0"/>
    <w:rsid w:val="00760F04"/>
    <w:rsid w:val="00765CC7"/>
    <w:rsid w:val="00770991"/>
    <w:rsid w:val="00770FA5"/>
    <w:rsid w:val="007730F4"/>
    <w:rsid w:val="00774DF6"/>
    <w:rsid w:val="007752C2"/>
    <w:rsid w:val="0078122B"/>
    <w:rsid w:val="00782EB0"/>
    <w:rsid w:val="00791EF8"/>
    <w:rsid w:val="0079611B"/>
    <w:rsid w:val="00796607"/>
    <w:rsid w:val="00797B8D"/>
    <w:rsid w:val="007A04FF"/>
    <w:rsid w:val="007A2B7F"/>
    <w:rsid w:val="007A3DFF"/>
    <w:rsid w:val="007B3EC4"/>
    <w:rsid w:val="007B6297"/>
    <w:rsid w:val="007B7B28"/>
    <w:rsid w:val="007C2EA3"/>
    <w:rsid w:val="007C437F"/>
    <w:rsid w:val="007C52CB"/>
    <w:rsid w:val="007C6CDC"/>
    <w:rsid w:val="007C7058"/>
    <w:rsid w:val="007C786C"/>
    <w:rsid w:val="007C7ABD"/>
    <w:rsid w:val="007D0440"/>
    <w:rsid w:val="007D0750"/>
    <w:rsid w:val="007D37B1"/>
    <w:rsid w:val="007D69DF"/>
    <w:rsid w:val="007E0E64"/>
    <w:rsid w:val="007E297F"/>
    <w:rsid w:val="007F2BA5"/>
    <w:rsid w:val="007F3302"/>
    <w:rsid w:val="007F3F72"/>
    <w:rsid w:val="007F41E4"/>
    <w:rsid w:val="007F5E90"/>
    <w:rsid w:val="008001CB"/>
    <w:rsid w:val="00803A1D"/>
    <w:rsid w:val="00803C56"/>
    <w:rsid w:val="008047FA"/>
    <w:rsid w:val="00810951"/>
    <w:rsid w:val="00810D07"/>
    <w:rsid w:val="008121B5"/>
    <w:rsid w:val="00812646"/>
    <w:rsid w:val="0081386B"/>
    <w:rsid w:val="00813A28"/>
    <w:rsid w:val="00814FA8"/>
    <w:rsid w:val="00822267"/>
    <w:rsid w:val="00824A65"/>
    <w:rsid w:val="00825B0D"/>
    <w:rsid w:val="008266EE"/>
    <w:rsid w:val="00826E07"/>
    <w:rsid w:val="008326C1"/>
    <w:rsid w:val="00833119"/>
    <w:rsid w:val="00833F9D"/>
    <w:rsid w:val="00833FC7"/>
    <w:rsid w:val="00835F45"/>
    <w:rsid w:val="00836AF5"/>
    <w:rsid w:val="00836F8B"/>
    <w:rsid w:val="00837769"/>
    <w:rsid w:val="0084122B"/>
    <w:rsid w:val="00841CE6"/>
    <w:rsid w:val="00844C69"/>
    <w:rsid w:val="00847AF0"/>
    <w:rsid w:val="008564C7"/>
    <w:rsid w:val="0085740D"/>
    <w:rsid w:val="00857497"/>
    <w:rsid w:val="0086167C"/>
    <w:rsid w:val="00861EEB"/>
    <w:rsid w:val="008643B3"/>
    <w:rsid w:val="00867E31"/>
    <w:rsid w:val="00873CFD"/>
    <w:rsid w:val="00874486"/>
    <w:rsid w:val="008777BB"/>
    <w:rsid w:val="00877C93"/>
    <w:rsid w:val="00880223"/>
    <w:rsid w:val="00880C2C"/>
    <w:rsid w:val="00882A96"/>
    <w:rsid w:val="008836F1"/>
    <w:rsid w:val="00883903"/>
    <w:rsid w:val="008846EE"/>
    <w:rsid w:val="008849C7"/>
    <w:rsid w:val="0088504B"/>
    <w:rsid w:val="00887A20"/>
    <w:rsid w:val="0089043C"/>
    <w:rsid w:val="0089569B"/>
    <w:rsid w:val="008A239F"/>
    <w:rsid w:val="008A3140"/>
    <w:rsid w:val="008A7F40"/>
    <w:rsid w:val="008B2A46"/>
    <w:rsid w:val="008B47F9"/>
    <w:rsid w:val="008B4F48"/>
    <w:rsid w:val="008C0413"/>
    <w:rsid w:val="008C2E9A"/>
    <w:rsid w:val="008C2EFB"/>
    <w:rsid w:val="008D02D3"/>
    <w:rsid w:val="008D0407"/>
    <w:rsid w:val="008D067E"/>
    <w:rsid w:val="008D13F9"/>
    <w:rsid w:val="008D3914"/>
    <w:rsid w:val="008D474C"/>
    <w:rsid w:val="008D53B6"/>
    <w:rsid w:val="008D77B2"/>
    <w:rsid w:val="008E1884"/>
    <w:rsid w:val="008F292E"/>
    <w:rsid w:val="008F3CC1"/>
    <w:rsid w:val="008F3FA6"/>
    <w:rsid w:val="008F68D6"/>
    <w:rsid w:val="00900BD3"/>
    <w:rsid w:val="00901375"/>
    <w:rsid w:val="00902DA5"/>
    <w:rsid w:val="0090766A"/>
    <w:rsid w:val="00911A73"/>
    <w:rsid w:val="00912B39"/>
    <w:rsid w:val="00913724"/>
    <w:rsid w:val="009140B8"/>
    <w:rsid w:val="00914290"/>
    <w:rsid w:val="0092120A"/>
    <w:rsid w:val="0092232D"/>
    <w:rsid w:val="009238F8"/>
    <w:rsid w:val="00923C02"/>
    <w:rsid w:val="00923F8B"/>
    <w:rsid w:val="0092415D"/>
    <w:rsid w:val="00925707"/>
    <w:rsid w:val="009258FA"/>
    <w:rsid w:val="00926076"/>
    <w:rsid w:val="00926F96"/>
    <w:rsid w:val="00932FEF"/>
    <w:rsid w:val="00933B2D"/>
    <w:rsid w:val="00933E84"/>
    <w:rsid w:val="00935382"/>
    <w:rsid w:val="0095146F"/>
    <w:rsid w:val="009515C5"/>
    <w:rsid w:val="00952D45"/>
    <w:rsid w:val="009530B2"/>
    <w:rsid w:val="00953CE4"/>
    <w:rsid w:val="0095419B"/>
    <w:rsid w:val="009554FE"/>
    <w:rsid w:val="00955781"/>
    <w:rsid w:val="00957573"/>
    <w:rsid w:val="00961010"/>
    <w:rsid w:val="009646FA"/>
    <w:rsid w:val="00965832"/>
    <w:rsid w:val="00965EF7"/>
    <w:rsid w:val="00967021"/>
    <w:rsid w:val="00967B69"/>
    <w:rsid w:val="009704A9"/>
    <w:rsid w:val="009721E4"/>
    <w:rsid w:val="00972606"/>
    <w:rsid w:val="009729A8"/>
    <w:rsid w:val="009761DE"/>
    <w:rsid w:val="009767F6"/>
    <w:rsid w:val="00977CEB"/>
    <w:rsid w:val="0098027D"/>
    <w:rsid w:val="00980CB3"/>
    <w:rsid w:val="00982DD2"/>
    <w:rsid w:val="009878D3"/>
    <w:rsid w:val="00987E25"/>
    <w:rsid w:val="00997662"/>
    <w:rsid w:val="009A2346"/>
    <w:rsid w:val="009A31A4"/>
    <w:rsid w:val="009A47C1"/>
    <w:rsid w:val="009A4922"/>
    <w:rsid w:val="009A61D2"/>
    <w:rsid w:val="009A77A7"/>
    <w:rsid w:val="009B145D"/>
    <w:rsid w:val="009B2A8B"/>
    <w:rsid w:val="009B2B48"/>
    <w:rsid w:val="009B3E1A"/>
    <w:rsid w:val="009B7529"/>
    <w:rsid w:val="009C5E08"/>
    <w:rsid w:val="009C6C18"/>
    <w:rsid w:val="009C6D32"/>
    <w:rsid w:val="009D192A"/>
    <w:rsid w:val="009D2CAA"/>
    <w:rsid w:val="009D3F89"/>
    <w:rsid w:val="009D4500"/>
    <w:rsid w:val="009E188A"/>
    <w:rsid w:val="009E5BEE"/>
    <w:rsid w:val="009E6471"/>
    <w:rsid w:val="009E6552"/>
    <w:rsid w:val="009E7073"/>
    <w:rsid w:val="009F10FB"/>
    <w:rsid w:val="009F17CD"/>
    <w:rsid w:val="009F36A4"/>
    <w:rsid w:val="009F4EA9"/>
    <w:rsid w:val="009F5BC3"/>
    <w:rsid w:val="009F6995"/>
    <w:rsid w:val="009F7541"/>
    <w:rsid w:val="00A01796"/>
    <w:rsid w:val="00A0729D"/>
    <w:rsid w:val="00A10B10"/>
    <w:rsid w:val="00A11A0E"/>
    <w:rsid w:val="00A121B9"/>
    <w:rsid w:val="00A13ED6"/>
    <w:rsid w:val="00A14A36"/>
    <w:rsid w:val="00A15806"/>
    <w:rsid w:val="00A16101"/>
    <w:rsid w:val="00A17092"/>
    <w:rsid w:val="00A1751C"/>
    <w:rsid w:val="00A17B14"/>
    <w:rsid w:val="00A20366"/>
    <w:rsid w:val="00A204DA"/>
    <w:rsid w:val="00A21A81"/>
    <w:rsid w:val="00A21B83"/>
    <w:rsid w:val="00A23B0B"/>
    <w:rsid w:val="00A26476"/>
    <w:rsid w:val="00A313B8"/>
    <w:rsid w:val="00A333CF"/>
    <w:rsid w:val="00A341CC"/>
    <w:rsid w:val="00A36248"/>
    <w:rsid w:val="00A37FCC"/>
    <w:rsid w:val="00A42D4C"/>
    <w:rsid w:val="00A44F1F"/>
    <w:rsid w:val="00A451A3"/>
    <w:rsid w:val="00A45C0D"/>
    <w:rsid w:val="00A45CC3"/>
    <w:rsid w:val="00A500C0"/>
    <w:rsid w:val="00A5045A"/>
    <w:rsid w:val="00A50538"/>
    <w:rsid w:val="00A519D7"/>
    <w:rsid w:val="00A52083"/>
    <w:rsid w:val="00A52DB9"/>
    <w:rsid w:val="00A55682"/>
    <w:rsid w:val="00A600CA"/>
    <w:rsid w:val="00A60CC8"/>
    <w:rsid w:val="00A63325"/>
    <w:rsid w:val="00A6499B"/>
    <w:rsid w:val="00A649BF"/>
    <w:rsid w:val="00A71DE2"/>
    <w:rsid w:val="00A72AEB"/>
    <w:rsid w:val="00A73932"/>
    <w:rsid w:val="00A74514"/>
    <w:rsid w:val="00A75C13"/>
    <w:rsid w:val="00A80DEA"/>
    <w:rsid w:val="00A8210C"/>
    <w:rsid w:val="00A83B0F"/>
    <w:rsid w:val="00A864B8"/>
    <w:rsid w:val="00A912B5"/>
    <w:rsid w:val="00A9331E"/>
    <w:rsid w:val="00A9396D"/>
    <w:rsid w:val="00A940D1"/>
    <w:rsid w:val="00A9563D"/>
    <w:rsid w:val="00AA24F9"/>
    <w:rsid w:val="00AA39EE"/>
    <w:rsid w:val="00AA3E6A"/>
    <w:rsid w:val="00AA497B"/>
    <w:rsid w:val="00AA4CC8"/>
    <w:rsid w:val="00AA5187"/>
    <w:rsid w:val="00AA561E"/>
    <w:rsid w:val="00AA6E59"/>
    <w:rsid w:val="00AA7DE6"/>
    <w:rsid w:val="00AB1438"/>
    <w:rsid w:val="00AB2F63"/>
    <w:rsid w:val="00AB369E"/>
    <w:rsid w:val="00AB5023"/>
    <w:rsid w:val="00AB649E"/>
    <w:rsid w:val="00AC057F"/>
    <w:rsid w:val="00AC26A3"/>
    <w:rsid w:val="00AC69D3"/>
    <w:rsid w:val="00AD1019"/>
    <w:rsid w:val="00AD523F"/>
    <w:rsid w:val="00AD57DB"/>
    <w:rsid w:val="00AD69B8"/>
    <w:rsid w:val="00AE0A1C"/>
    <w:rsid w:val="00AE267C"/>
    <w:rsid w:val="00AE4E1B"/>
    <w:rsid w:val="00AE53D6"/>
    <w:rsid w:val="00AE70A0"/>
    <w:rsid w:val="00AE7863"/>
    <w:rsid w:val="00AF43CA"/>
    <w:rsid w:val="00AF4755"/>
    <w:rsid w:val="00AF494D"/>
    <w:rsid w:val="00AF49B0"/>
    <w:rsid w:val="00AF5B00"/>
    <w:rsid w:val="00AF62E1"/>
    <w:rsid w:val="00AF68D7"/>
    <w:rsid w:val="00B0076A"/>
    <w:rsid w:val="00B01080"/>
    <w:rsid w:val="00B02155"/>
    <w:rsid w:val="00B03333"/>
    <w:rsid w:val="00B0364C"/>
    <w:rsid w:val="00B05459"/>
    <w:rsid w:val="00B05AC0"/>
    <w:rsid w:val="00B07A69"/>
    <w:rsid w:val="00B11386"/>
    <w:rsid w:val="00B11FEB"/>
    <w:rsid w:val="00B125C7"/>
    <w:rsid w:val="00B17A27"/>
    <w:rsid w:val="00B202F4"/>
    <w:rsid w:val="00B253D8"/>
    <w:rsid w:val="00B25789"/>
    <w:rsid w:val="00B267BA"/>
    <w:rsid w:val="00B316BC"/>
    <w:rsid w:val="00B320D7"/>
    <w:rsid w:val="00B3364E"/>
    <w:rsid w:val="00B3688F"/>
    <w:rsid w:val="00B378D3"/>
    <w:rsid w:val="00B443C7"/>
    <w:rsid w:val="00B44521"/>
    <w:rsid w:val="00B44D3A"/>
    <w:rsid w:val="00B4796F"/>
    <w:rsid w:val="00B52BE0"/>
    <w:rsid w:val="00B5519D"/>
    <w:rsid w:val="00B57D10"/>
    <w:rsid w:val="00B61F0C"/>
    <w:rsid w:val="00B629C6"/>
    <w:rsid w:val="00B64F87"/>
    <w:rsid w:val="00B66A87"/>
    <w:rsid w:val="00B6722F"/>
    <w:rsid w:val="00B673D4"/>
    <w:rsid w:val="00B7167E"/>
    <w:rsid w:val="00B71831"/>
    <w:rsid w:val="00B71970"/>
    <w:rsid w:val="00B76192"/>
    <w:rsid w:val="00B77A50"/>
    <w:rsid w:val="00B808F2"/>
    <w:rsid w:val="00B83699"/>
    <w:rsid w:val="00B837E9"/>
    <w:rsid w:val="00B83FF4"/>
    <w:rsid w:val="00B84C8E"/>
    <w:rsid w:val="00B9387C"/>
    <w:rsid w:val="00B95534"/>
    <w:rsid w:val="00BA4614"/>
    <w:rsid w:val="00BB22A2"/>
    <w:rsid w:val="00BC2D3E"/>
    <w:rsid w:val="00BC515C"/>
    <w:rsid w:val="00BC5421"/>
    <w:rsid w:val="00BC686E"/>
    <w:rsid w:val="00BC7427"/>
    <w:rsid w:val="00BD2545"/>
    <w:rsid w:val="00BD45BC"/>
    <w:rsid w:val="00BD7E10"/>
    <w:rsid w:val="00BE6DB9"/>
    <w:rsid w:val="00BE7413"/>
    <w:rsid w:val="00BE7CB2"/>
    <w:rsid w:val="00BF15C3"/>
    <w:rsid w:val="00BF4DB6"/>
    <w:rsid w:val="00BF714E"/>
    <w:rsid w:val="00BF7247"/>
    <w:rsid w:val="00C00719"/>
    <w:rsid w:val="00C014F9"/>
    <w:rsid w:val="00C01C63"/>
    <w:rsid w:val="00C02AED"/>
    <w:rsid w:val="00C03D6B"/>
    <w:rsid w:val="00C112D6"/>
    <w:rsid w:val="00C114C4"/>
    <w:rsid w:val="00C129CF"/>
    <w:rsid w:val="00C1347F"/>
    <w:rsid w:val="00C143AE"/>
    <w:rsid w:val="00C14C40"/>
    <w:rsid w:val="00C17B90"/>
    <w:rsid w:val="00C208DB"/>
    <w:rsid w:val="00C23119"/>
    <w:rsid w:val="00C2348C"/>
    <w:rsid w:val="00C24EE0"/>
    <w:rsid w:val="00C26428"/>
    <w:rsid w:val="00C26521"/>
    <w:rsid w:val="00C272D9"/>
    <w:rsid w:val="00C27328"/>
    <w:rsid w:val="00C27A28"/>
    <w:rsid w:val="00C319DC"/>
    <w:rsid w:val="00C31C18"/>
    <w:rsid w:val="00C32571"/>
    <w:rsid w:val="00C33B6F"/>
    <w:rsid w:val="00C366F1"/>
    <w:rsid w:val="00C37689"/>
    <w:rsid w:val="00C42475"/>
    <w:rsid w:val="00C42E2B"/>
    <w:rsid w:val="00C43802"/>
    <w:rsid w:val="00C463D6"/>
    <w:rsid w:val="00C5056D"/>
    <w:rsid w:val="00C53047"/>
    <w:rsid w:val="00C548AF"/>
    <w:rsid w:val="00C56C8F"/>
    <w:rsid w:val="00C60A8C"/>
    <w:rsid w:val="00C60AD0"/>
    <w:rsid w:val="00C616CA"/>
    <w:rsid w:val="00C63531"/>
    <w:rsid w:val="00C63B6A"/>
    <w:rsid w:val="00C65391"/>
    <w:rsid w:val="00C71226"/>
    <w:rsid w:val="00C71FBF"/>
    <w:rsid w:val="00C721E2"/>
    <w:rsid w:val="00C7292D"/>
    <w:rsid w:val="00C73959"/>
    <w:rsid w:val="00C76F6E"/>
    <w:rsid w:val="00C80ED3"/>
    <w:rsid w:val="00C87C89"/>
    <w:rsid w:val="00C90BAE"/>
    <w:rsid w:val="00C925E9"/>
    <w:rsid w:val="00C92868"/>
    <w:rsid w:val="00C97840"/>
    <w:rsid w:val="00CA1AF6"/>
    <w:rsid w:val="00CA4DF3"/>
    <w:rsid w:val="00CA5635"/>
    <w:rsid w:val="00CB03D3"/>
    <w:rsid w:val="00CB1944"/>
    <w:rsid w:val="00CB52A2"/>
    <w:rsid w:val="00CB5DEB"/>
    <w:rsid w:val="00CB5FBE"/>
    <w:rsid w:val="00CB632D"/>
    <w:rsid w:val="00CC007E"/>
    <w:rsid w:val="00CC1439"/>
    <w:rsid w:val="00CC3707"/>
    <w:rsid w:val="00CD1D70"/>
    <w:rsid w:val="00CD3E6D"/>
    <w:rsid w:val="00CD4992"/>
    <w:rsid w:val="00CD56F5"/>
    <w:rsid w:val="00CE0780"/>
    <w:rsid w:val="00CE10FF"/>
    <w:rsid w:val="00CE2970"/>
    <w:rsid w:val="00CE2EFD"/>
    <w:rsid w:val="00CE4C5E"/>
    <w:rsid w:val="00CE558A"/>
    <w:rsid w:val="00CE5754"/>
    <w:rsid w:val="00CE6D6F"/>
    <w:rsid w:val="00CE6EDE"/>
    <w:rsid w:val="00CE7B53"/>
    <w:rsid w:val="00CF03E5"/>
    <w:rsid w:val="00CF0EFC"/>
    <w:rsid w:val="00CF247B"/>
    <w:rsid w:val="00CF26CF"/>
    <w:rsid w:val="00CF4371"/>
    <w:rsid w:val="00CF77DC"/>
    <w:rsid w:val="00CF7F9D"/>
    <w:rsid w:val="00D007B3"/>
    <w:rsid w:val="00D01418"/>
    <w:rsid w:val="00D01810"/>
    <w:rsid w:val="00D01CFC"/>
    <w:rsid w:val="00D0287A"/>
    <w:rsid w:val="00D02C99"/>
    <w:rsid w:val="00D02F97"/>
    <w:rsid w:val="00D05B3A"/>
    <w:rsid w:val="00D067C2"/>
    <w:rsid w:val="00D07553"/>
    <w:rsid w:val="00D11F67"/>
    <w:rsid w:val="00D14BF0"/>
    <w:rsid w:val="00D152A5"/>
    <w:rsid w:val="00D158AD"/>
    <w:rsid w:val="00D15DBF"/>
    <w:rsid w:val="00D16098"/>
    <w:rsid w:val="00D173C8"/>
    <w:rsid w:val="00D245B9"/>
    <w:rsid w:val="00D2496E"/>
    <w:rsid w:val="00D24CBC"/>
    <w:rsid w:val="00D26762"/>
    <w:rsid w:val="00D26FD6"/>
    <w:rsid w:val="00D2732B"/>
    <w:rsid w:val="00D27373"/>
    <w:rsid w:val="00D323FE"/>
    <w:rsid w:val="00D33CB0"/>
    <w:rsid w:val="00D35459"/>
    <w:rsid w:val="00D37949"/>
    <w:rsid w:val="00D42B06"/>
    <w:rsid w:val="00D44F4F"/>
    <w:rsid w:val="00D520E6"/>
    <w:rsid w:val="00D5255F"/>
    <w:rsid w:val="00D53885"/>
    <w:rsid w:val="00D551F6"/>
    <w:rsid w:val="00D561FB"/>
    <w:rsid w:val="00D56BBF"/>
    <w:rsid w:val="00D577F0"/>
    <w:rsid w:val="00D6164B"/>
    <w:rsid w:val="00D61D4A"/>
    <w:rsid w:val="00D62BD9"/>
    <w:rsid w:val="00D64C74"/>
    <w:rsid w:val="00D65A50"/>
    <w:rsid w:val="00D66ECB"/>
    <w:rsid w:val="00D67E19"/>
    <w:rsid w:val="00D70E95"/>
    <w:rsid w:val="00D7399E"/>
    <w:rsid w:val="00D7443A"/>
    <w:rsid w:val="00D75CF6"/>
    <w:rsid w:val="00D77F00"/>
    <w:rsid w:val="00D8169A"/>
    <w:rsid w:val="00D84505"/>
    <w:rsid w:val="00D85811"/>
    <w:rsid w:val="00D863B0"/>
    <w:rsid w:val="00D86FD7"/>
    <w:rsid w:val="00D874C4"/>
    <w:rsid w:val="00D903BC"/>
    <w:rsid w:val="00D914BB"/>
    <w:rsid w:val="00DA0A7E"/>
    <w:rsid w:val="00DA27AD"/>
    <w:rsid w:val="00DA3125"/>
    <w:rsid w:val="00DA34C0"/>
    <w:rsid w:val="00DB4032"/>
    <w:rsid w:val="00DB4AEE"/>
    <w:rsid w:val="00DB554C"/>
    <w:rsid w:val="00DB5D87"/>
    <w:rsid w:val="00DB6EB4"/>
    <w:rsid w:val="00DC0710"/>
    <w:rsid w:val="00DC117D"/>
    <w:rsid w:val="00DC1400"/>
    <w:rsid w:val="00DC2DEA"/>
    <w:rsid w:val="00DC48C1"/>
    <w:rsid w:val="00DC7524"/>
    <w:rsid w:val="00DD26FD"/>
    <w:rsid w:val="00DD28E7"/>
    <w:rsid w:val="00DD654F"/>
    <w:rsid w:val="00DE1D79"/>
    <w:rsid w:val="00DE7E6F"/>
    <w:rsid w:val="00DF0AF1"/>
    <w:rsid w:val="00DF0FC7"/>
    <w:rsid w:val="00DF301C"/>
    <w:rsid w:val="00DF4F8A"/>
    <w:rsid w:val="00DF5A3A"/>
    <w:rsid w:val="00E004E8"/>
    <w:rsid w:val="00E009F8"/>
    <w:rsid w:val="00E03217"/>
    <w:rsid w:val="00E055F5"/>
    <w:rsid w:val="00E0599C"/>
    <w:rsid w:val="00E10A2E"/>
    <w:rsid w:val="00E11D53"/>
    <w:rsid w:val="00E15DD7"/>
    <w:rsid w:val="00E163E0"/>
    <w:rsid w:val="00E16D10"/>
    <w:rsid w:val="00E20AD2"/>
    <w:rsid w:val="00E2221A"/>
    <w:rsid w:val="00E235C3"/>
    <w:rsid w:val="00E23E31"/>
    <w:rsid w:val="00E30824"/>
    <w:rsid w:val="00E3486C"/>
    <w:rsid w:val="00E40E37"/>
    <w:rsid w:val="00E413D8"/>
    <w:rsid w:val="00E44847"/>
    <w:rsid w:val="00E44ABE"/>
    <w:rsid w:val="00E50AFF"/>
    <w:rsid w:val="00E5328C"/>
    <w:rsid w:val="00E5336E"/>
    <w:rsid w:val="00E536EB"/>
    <w:rsid w:val="00E5483E"/>
    <w:rsid w:val="00E558A5"/>
    <w:rsid w:val="00E55B58"/>
    <w:rsid w:val="00E55E11"/>
    <w:rsid w:val="00E611A4"/>
    <w:rsid w:val="00E615AA"/>
    <w:rsid w:val="00E62B80"/>
    <w:rsid w:val="00E65DE2"/>
    <w:rsid w:val="00E65ED4"/>
    <w:rsid w:val="00E6696E"/>
    <w:rsid w:val="00E76C12"/>
    <w:rsid w:val="00E809E7"/>
    <w:rsid w:val="00E835C6"/>
    <w:rsid w:val="00E83AD4"/>
    <w:rsid w:val="00E86129"/>
    <w:rsid w:val="00E86461"/>
    <w:rsid w:val="00E877B2"/>
    <w:rsid w:val="00E922C3"/>
    <w:rsid w:val="00E927A9"/>
    <w:rsid w:val="00E92A13"/>
    <w:rsid w:val="00E92C01"/>
    <w:rsid w:val="00E942F7"/>
    <w:rsid w:val="00E94F0E"/>
    <w:rsid w:val="00E97043"/>
    <w:rsid w:val="00EA41BE"/>
    <w:rsid w:val="00EA47E3"/>
    <w:rsid w:val="00EA662A"/>
    <w:rsid w:val="00EA72B5"/>
    <w:rsid w:val="00EA7BA1"/>
    <w:rsid w:val="00EB29D8"/>
    <w:rsid w:val="00EB3807"/>
    <w:rsid w:val="00EB6517"/>
    <w:rsid w:val="00EB7D40"/>
    <w:rsid w:val="00EC11BB"/>
    <w:rsid w:val="00EC162F"/>
    <w:rsid w:val="00EC4048"/>
    <w:rsid w:val="00EC4ABC"/>
    <w:rsid w:val="00EC4BF9"/>
    <w:rsid w:val="00EC5AAB"/>
    <w:rsid w:val="00EC6B4F"/>
    <w:rsid w:val="00ED03B5"/>
    <w:rsid w:val="00ED0601"/>
    <w:rsid w:val="00ED095B"/>
    <w:rsid w:val="00ED3D81"/>
    <w:rsid w:val="00ED5095"/>
    <w:rsid w:val="00EE1B2D"/>
    <w:rsid w:val="00EE2CE6"/>
    <w:rsid w:val="00EE379C"/>
    <w:rsid w:val="00EE4B11"/>
    <w:rsid w:val="00EE4F66"/>
    <w:rsid w:val="00EF0702"/>
    <w:rsid w:val="00EF2A83"/>
    <w:rsid w:val="00EF39E4"/>
    <w:rsid w:val="00EF79DF"/>
    <w:rsid w:val="00F00464"/>
    <w:rsid w:val="00F01EA4"/>
    <w:rsid w:val="00F02177"/>
    <w:rsid w:val="00F02FC8"/>
    <w:rsid w:val="00F035D4"/>
    <w:rsid w:val="00F07721"/>
    <w:rsid w:val="00F07E53"/>
    <w:rsid w:val="00F10F3D"/>
    <w:rsid w:val="00F17C4B"/>
    <w:rsid w:val="00F218CF"/>
    <w:rsid w:val="00F25196"/>
    <w:rsid w:val="00F30A56"/>
    <w:rsid w:val="00F30A73"/>
    <w:rsid w:val="00F31AF4"/>
    <w:rsid w:val="00F3464A"/>
    <w:rsid w:val="00F356F9"/>
    <w:rsid w:val="00F36B8D"/>
    <w:rsid w:val="00F36E2B"/>
    <w:rsid w:val="00F37E75"/>
    <w:rsid w:val="00F40E6C"/>
    <w:rsid w:val="00F40EA7"/>
    <w:rsid w:val="00F429B3"/>
    <w:rsid w:val="00F42AE3"/>
    <w:rsid w:val="00F4328F"/>
    <w:rsid w:val="00F43BAC"/>
    <w:rsid w:val="00F43C1A"/>
    <w:rsid w:val="00F4689B"/>
    <w:rsid w:val="00F50711"/>
    <w:rsid w:val="00F51D81"/>
    <w:rsid w:val="00F54142"/>
    <w:rsid w:val="00F647F1"/>
    <w:rsid w:val="00F67AC5"/>
    <w:rsid w:val="00F7353A"/>
    <w:rsid w:val="00F73646"/>
    <w:rsid w:val="00F76B32"/>
    <w:rsid w:val="00F806BA"/>
    <w:rsid w:val="00F83837"/>
    <w:rsid w:val="00F85C6C"/>
    <w:rsid w:val="00F871DC"/>
    <w:rsid w:val="00F92E75"/>
    <w:rsid w:val="00F9324B"/>
    <w:rsid w:val="00F933BC"/>
    <w:rsid w:val="00F93511"/>
    <w:rsid w:val="00F93E16"/>
    <w:rsid w:val="00F9506D"/>
    <w:rsid w:val="00F95D27"/>
    <w:rsid w:val="00F972DC"/>
    <w:rsid w:val="00FA097B"/>
    <w:rsid w:val="00FA1AAF"/>
    <w:rsid w:val="00FA2906"/>
    <w:rsid w:val="00FA608E"/>
    <w:rsid w:val="00FB1672"/>
    <w:rsid w:val="00FB34C5"/>
    <w:rsid w:val="00FB4182"/>
    <w:rsid w:val="00FB4D63"/>
    <w:rsid w:val="00FB5F22"/>
    <w:rsid w:val="00FB68A2"/>
    <w:rsid w:val="00FB692A"/>
    <w:rsid w:val="00FB79BB"/>
    <w:rsid w:val="00FC10D3"/>
    <w:rsid w:val="00FC31CC"/>
    <w:rsid w:val="00FC50E1"/>
    <w:rsid w:val="00FC5BF4"/>
    <w:rsid w:val="00FD2C53"/>
    <w:rsid w:val="00FD6FAE"/>
    <w:rsid w:val="00FE1955"/>
    <w:rsid w:val="00FE2193"/>
    <w:rsid w:val="00FE70EB"/>
    <w:rsid w:val="00FE77BF"/>
    <w:rsid w:val="00FF0EC5"/>
    <w:rsid w:val="00FF3F44"/>
    <w:rsid w:val="00FF6C79"/>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2B95C"/>
  <w15:docId w15:val="{C3A9911C-8338-4567-9775-340265FD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imes New Roman"/>
        <w:lang w:val="en-GB" w:eastAsia="en-GB" w:bidi="ar-SA"/>
      </w:rPr>
    </w:rPrDefault>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2" w:unhideWhenUsed="1" w:qFormat="1"/>
    <w:lsdException w:name="heading 3" w:semiHidden="1" w:uiPriority="2" w:unhideWhenUsed="1"/>
    <w:lsdException w:name="heading 4" w:semiHidden="1" w:unhideWhenUsed="1" w:qFormat="1"/>
    <w:lsdException w:name="heading 5" w:semiHidden="1" w:unhideWhenUsed="1" w:qFormat="1"/>
    <w:lsdException w:name="heading 6" w:semiHidden="1" w:uiPriority="34" w:unhideWhenUsed="1" w:qFormat="1"/>
    <w:lsdException w:name="heading 7" w:semiHidden="1" w:uiPriority="34" w:unhideWhenUsed="1" w:qFormat="1"/>
    <w:lsdException w:name="heading 8" w:semiHidden="1" w:uiPriority="34" w:unhideWhenUsed="1" w:qFormat="1"/>
    <w:lsdException w:name="heading 9" w:semiHidden="1" w:uiPriority="3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2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7F41E4"/>
    <w:pPr>
      <w:spacing w:line="260" w:lineRule="atLeast"/>
    </w:pPr>
    <w:rPr>
      <w:sz w:val="22"/>
      <w:szCs w:val="22"/>
    </w:rPr>
  </w:style>
  <w:style w:type="paragraph" w:styleId="Heading1">
    <w:name w:val="heading 1"/>
    <w:basedOn w:val="Normal"/>
    <w:next w:val="BodyText"/>
    <w:link w:val="Heading1Char"/>
    <w:uiPriority w:val="2"/>
    <w:qFormat/>
    <w:rsid w:val="007F41E4"/>
    <w:pPr>
      <w:spacing w:before="240" w:after="120"/>
      <w:outlineLvl w:val="0"/>
    </w:pPr>
    <w:rPr>
      <w:b/>
    </w:rPr>
  </w:style>
  <w:style w:type="paragraph" w:styleId="Heading2">
    <w:name w:val="heading 2"/>
    <w:basedOn w:val="Heading1"/>
    <w:next w:val="BodyText"/>
    <w:link w:val="Heading2Char"/>
    <w:uiPriority w:val="2"/>
    <w:qFormat/>
    <w:rsid w:val="007F41E4"/>
    <w:pPr>
      <w:numPr>
        <w:ilvl w:val="1"/>
      </w:numPr>
      <w:spacing w:after="0"/>
      <w:outlineLvl w:val="1"/>
    </w:pPr>
  </w:style>
  <w:style w:type="paragraph" w:styleId="Heading3">
    <w:name w:val="heading 3"/>
    <w:basedOn w:val="Normal"/>
    <w:next w:val="BodyText"/>
    <w:link w:val="Heading3Char"/>
    <w:uiPriority w:val="2"/>
    <w:rsid w:val="007F41E4"/>
    <w:pPr>
      <w:keepNext/>
      <w:keepLines/>
      <w:spacing w:before="240"/>
      <w:outlineLvl w:val="2"/>
    </w:pPr>
    <w:rPr>
      <w:rFonts w:eastAsiaTheme="majorEastAsia" w:cstheme="majorBidi"/>
      <w:color w:val="78A22F" w:themeColor="accent1"/>
      <w:szCs w:val="24"/>
    </w:rPr>
  </w:style>
  <w:style w:type="paragraph" w:styleId="Heading4">
    <w:name w:val="heading 4"/>
    <w:basedOn w:val="Normal"/>
    <w:next w:val="BodyText"/>
    <w:link w:val="Heading4Char"/>
    <w:uiPriority w:val="99"/>
    <w:rsid w:val="007F41E4"/>
    <w:pPr>
      <w:keepNext/>
      <w:keepLines/>
      <w:outlineLvl w:val="3"/>
    </w:pPr>
    <w:rPr>
      <w:rFonts w:eastAsiaTheme="majorEastAsia" w:cstheme="majorBidi"/>
      <w:b/>
      <w:iCs/>
      <w:color w:val="808285" w:themeColor="accent5"/>
    </w:rPr>
  </w:style>
  <w:style w:type="paragraph" w:styleId="Heading5">
    <w:name w:val="heading 5"/>
    <w:basedOn w:val="Normal"/>
    <w:next w:val="BodyText"/>
    <w:link w:val="Heading5Char"/>
    <w:uiPriority w:val="99"/>
    <w:rsid w:val="007F41E4"/>
    <w:pPr>
      <w:keepNext/>
      <w:keepLines/>
      <w:outlineLvl w:val="4"/>
    </w:pPr>
    <w:rPr>
      <w:rFonts w:eastAsiaTheme="majorEastAsia" w:cstheme="majorBid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rsid w:val="007F41E4"/>
    <w:pPr>
      <w:tabs>
        <w:tab w:val="center" w:pos="4513"/>
        <w:tab w:val="right" w:pos="9026"/>
      </w:tabs>
      <w:spacing w:line="240" w:lineRule="auto"/>
      <w:jc w:val="right"/>
    </w:pPr>
    <w:rPr>
      <w:rFonts w:asciiTheme="majorHAnsi" w:hAnsiTheme="majorHAnsi"/>
      <w:sz w:val="18"/>
    </w:rPr>
  </w:style>
  <w:style w:type="character" w:customStyle="1" w:styleId="HeaderChar">
    <w:name w:val="Header Char"/>
    <w:basedOn w:val="DefaultParagraphFont"/>
    <w:link w:val="Header"/>
    <w:uiPriority w:val="29"/>
    <w:rsid w:val="007F41E4"/>
    <w:rPr>
      <w:rFonts w:asciiTheme="majorHAnsi" w:hAnsiTheme="majorHAnsi"/>
      <w:sz w:val="18"/>
      <w:szCs w:val="22"/>
    </w:rPr>
  </w:style>
  <w:style w:type="paragraph" w:styleId="Footer">
    <w:name w:val="footer"/>
    <w:basedOn w:val="Normal"/>
    <w:link w:val="FooterChar"/>
    <w:uiPriority w:val="29"/>
    <w:rsid w:val="007F41E4"/>
    <w:pPr>
      <w:tabs>
        <w:tab w:val="center" w:pos="4513"/>
        <w:tab w:val="right" w:pos="9026"/>
      </w:tabs>
      <w:spacing w:line="240" w:lineRule="auto"/>
      <w:ind w:right="397"/>
    </w:pPr>
    <w:rPr>
      <w:rFonts w:asciiTheme="majorHAnsi" w:hAnsiTheme="majorHAnsi"/>
      <w:color w:val="78A22F" w:themeColor="accent1"/>
      <w:sz w:val="18"/>
    </w:rPr>
  </w:style>
  <w:style w:type="character" w:customStyle="1" w:styleId="FooterChar">
    <w:name w:val="Footer Char"/>
    <w:basedOn w:val="DefaultParagraphFont"/>
    <w:link w:val="Footer"/>
    <w:uiPriority w:val="29"/>
    <w:rsid w:val="007F41E4"/>
    <w:rPr>
      <w:rFonts w:asciiTheme="majorHAnsi" w:hAnsiTheme="majorHAnsi"/>
      <w:color w:val="78A22F" w:themeColor="accent1"/>
      <w:sz w:val="18"/>
      <w:szCs w:val="22"/>
    </w:rPr>
  </w:style>
  <w:style w:type="paragraph" w:customStyle="1" w:styleId="FooterHeading">
    <w:name w:val="Footer Heading"/>
    <w:basedOn w:val="Normal"/>
    <w:uiPriority w:val="29"/>
    <w:rsid w:val="007F41E4"/>
    <w:pPr>
      <w:spacing w:line="220" w:lineRule="atLeast"/>
    </w:pPr>
    <w:rPr>
      <w:rFonts w:asciiTheme="majorHAnsi" w:eastAsiaTheme="minorEastAsia" w:hAnsiTheme="majorHAnsi" w:cstheme="minorBidi"/>
      <w:b/>
      <w:color w:val="78A22F" w:themeColor="accent1"/>
      <w:sz w:val="18"/>
    </w:rPr>
  </w:style>
  <w:style w:type="paragraph" w:customStyle="1" w:styleId="FooterOffices">
    <w:name w:val="Footer Offices"/>
    <w:basedOn w:val="Normal"/>
    <w:uiPriority w:val="27"/>
    <w:rsid w:val="007F41E4"/>
    <w:pPr>
      <w:spacing w:line="220" w:lineRule="atLeast"/>
    </w:pPr>
    <w:rPr>
      <w:rFonts w:eastAsiaTheme="minorEastAsia" w:cstheme="minorBidi"/>
      <w:color w:val="000000" w:themeColor="text1"/>
      <w:sz w:val="18"/>
    </w:rPr>
  </w:style>
  <w:style w:type="paragraph" w:customStyle="1" w:styleId="FooterRegistration">
    <w:name w:val="Footer Registration"/>
    <w:basedOn w:val="FooterOffices"/>
    <w:uiPriority w:val="29"/>
    <w:rsid w:val="007F41E4"/>
    <w:rPr>
      <w:sz w:val="14"/>
    </w:rPr>
  </w:style>
  <w:style w:type="paragraph" w:styleId="Title">
    <w:name w:val="Title"/>
    <w:next w:val="Subtitle"/>
    <w:link w:val="TitleChar"/>
    <w:uiPriority w:val="8"/>
    <w:qFormat/>
    <w:rsid w:val="007F41E4"/>
    <w:pPr>
      <w:pBdr>
        <w:top w:val="single" w:sz="8" w:space="5" w:color="78A22F" w:themeColor="accent1"/>
      </w:pBdr>
      <w:spacing w:line="320" w:lineRule="atLeast"/>
    </w:pPr>
    <w:rPr>
      <w:rFonts w:asciiTheme="majorHAnsi" w:eastAsiaTheme="majorEastAsia" w:hAnsiTheme="majorHAnsi" w:cstheme="majorBidi"/>
      <w:b/>
      <w:color w:val="78A22F" w:themeColor="accent1"/>
      <w:sz w:val="32"/>
      <w:szCs w:val="32"/>
    </w:rPr>
  </w:style>
  <w:style w:type="character" w:customStyle="1" w:styleId="TitleChar">
    <w:name w:val="Title Char"/>
    <w:basedOn w:val="DefaultParagraphFont"/>
    <w:link w:val="Title"/>
    <w:uiPriority w:val="8"/>
    <w:rsid w:val="007F41E4"/>
    <w:rPr>
      <w:rFonts w:asciiTheme="majorHAnsi" w:eastAsiaTheme="majorEastAsia" w:hAnsiTheme="majorHAnsi" w:cstheme="majorBidi"/>
      <w:b/>
      <w:color w:val="78A22F" w:themeColor="accent1"/>
      <w:sz w:val="32"/>
      <w:szCs w:val="32"/>
    </w:rPr>
  </w:style>
  <w:style w:type="character" w:styleId="Hyperlink">
    <w:name w:val="Hyperlink"/>
    <w:uiPriority w:val="99"/>
    <w:unhideWhenUsed/>
    <w:rsid w:val="007F41E4"/>
    <w:rPr>
      <w:color w:val="78A22F" w:themeColor="accent1"/>
      <w:u w:val="single"/>
    </w:rPr>
  </w:style>
  <w:style w:type="character" w:styleId="FollowedHyperlink">
    <w:name w:val="FollowedHyperlink"/>
    <w:basedOn w:val="DefaultParagraphFont"/>
    <w:uiPriority w:val="99"/>
    <w:semiHidden/>
    <w:unhideWhenUsed/>
    <w:rsid w:val="007F41E4"/>
    <w:rPr>
      <w:color w:val="800080" w:themeColor="followedHyperlink"/>
      <w:u w:val="single"/>
    </w:rPr>
  </w:style>
  <w:style w:type="character" w:customStyle="1" w:styleId="Heading1Char">
    <w:name w:val="Heading 1 Char"/>
    <w:basedOn w:val="DefaultParagraphFont"/>
    <w:link w:val="Heading1"/>
    <w:uiPriority w:val="2"/>
    <w:rsid w:val="007F41E4"/>
    <w:rPr>
      <w:b/>
      <w:sz w:val="22"/>
      <w:szCs w:val="22"/>
    </w:rPr>
  </w:style>
  <w:style w:type="character" w:customStyle="1" w:styleId="Heading2Char">
    <w:name w:val="Heading 2 Char"/>
    <w:basedOn w:val="DefaultParagraphFont"/>
    <w:link w:val="Heading2"/>
    <w:uiPriority w:val="2"/>
    <w:rsid w:val="007F41E4"/>
    <w:rPr>
      <w:b/>
      <w:sz w:val="22"/>
      <w:szCs w:val="22"/>
    </w:rPr>
  </w:style>
  <w:style w:type="character" w:customStyle="1" w:styleId="Heading3Char">
    <w:name w:val="Heading 3 Char"/>
    <w:basedOn w:val="DefaultParagraphFont"/>
    <w:link w:val="Heading3"/>
    <w:uiPriority w:val="2"/>
    <w:rsid w:val="007F41E4"/>
    <w:rPr>
      <w:rFonts w:eastAsiaTheme="majorEastAsia" w:cstheme="majorBidi"/>
      <w:color w:val="78A22F" w:themeColor="accent1"/>
      <w:sz w:val="22"/>
      <w:szCs w:val="24"/>
    </w:rPr>
  </w:style>
  <w:style w:type="character" w:customStyle="1" w:styleId="Heading4Char">
    <w:name w:val="Heading 4 Char"/>
    <w:basedOn w:val="DefaultParagraphFont"/>
    <w:link w:val="Heading4"/>
    <w:uiPriority w:val="99"/>
    <w:rsid w:val="007F41E4"/>
    <w:rPr>
      <w:rFonts w:eastAsiaTheme="majorEastAsia" w:cstheme="majorBidi"/>
      <w:b/>
      <w:iCs/>
      <w:color w:val="808285" w:themeColor="accent5"/>
      <w:sz w:val="22"/>
      <w:szCs w:val="22"/>
    </w:rPr>
  </w:style>
  <w:style w:type="paragraph" w:styleId="Subtitle">
    <w:name w:val="Subtitle"/>
    <w:next w:val="Date"/>
    <w:link w:val="SubtitleChar"/>
    <w:uiPriority w:val="9"/>
    <w:qFormat/>
    <w:rsid w:val="007F41E4"/>
    <w:pPr>
      <w:spacing w:line="320" w:lineRule="atLeast"/>
    </w:pPr>
    <w:rPr>
      <w:rFonts w:eastAsiaTheme="majorEastAsia" w:cstheme="majorBidi"/>
      <w:b/>
      <w:sz w:val="28"/>
      <w:szCs w:val="26"/>
    </w:rPr>
  </w:style>
  <w:style w:type="character" w:customStyle="1" w:styleId="SubtitleChar">
    <w:name w:val="Subtitle Char"/>
    <w:basedOn w:val="DefaultParagraphFont"/>
    <w:link w:val="Subtitle"/>
    <w:uiPriority w:val="9"/>
    <w:rsid w:val="007F41E4"/>
    <w:rPr>
      <w:rFonts w:eastAsiaTheme="majorEastAsia" w:cstheme="majorBidi"/>
      <w:b/>
      <w:sz w:val="28"/>
      <w:szCs w:val="26"/>
    </w:rPr>
  </w:style>
  <w:style w:type="paragraph" w:customStyle="1" w:styleId="CoverDate">
    <w:name w:val="CoverDate"/>
    <w:basedOn w:val="Normal"/>
    <w:uiPriority w:val="25"/>
    <w:qFormat/>
    <w:rsid w:val="00EC4BF9"/>
    <w:pPr>
      <w:spacing w:before="120" w:after="120"/>
    </w:pPr>
    <w:rPr>
      <w:rFonts w:asciiTheme="majorHAnsi" w:hAnsiTheme="majorHAnsi"/>
      <w:sz w:val="36"/>
    </w:rPr>
  </w:style>
  <w:style w:type="character" w:customStyle="1" w:styleId="Heading5Char">
    <w:name w:val="Heading 5 Char"/>
    <w:basedOn w:val="DefaultParagraphFont"/>
    <w:link w:val="Heading5"/>
    <w:uiPriority w:val="99"/>
    <w:rsid w:val="007F41E4"/>
    <w:rPr>
      <w:rFonts w:eastAsiaTheme="majorEastAsia" w:cstheme="majorBidi"/>
      <w:sz w:val="18"/>
      <w:szCs w:val="22"/>
    </w:rPr>
  </w:style>
  <w:style w:type="paragraph" w:styleId="BalloonText">
    <w:name w:val="Balloon Text"/>
    <w:basedOn w:val="Normal"/>
    <w:link w:val="BalloonTextChar"/>
    <w:uiPriority w:val="99"/>
    <w:semiHidden/>
    <w:unhideWhenUsed/>
    <w:rsid w:val="007F41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1E4"/>
    <w:rPr>
      <w:rFonts w:ascii="Segoe UI" w:hAnsi="Segoe UI" w:cs="Segoe UI"/>
      <w:sz w:val="18"/>
      <w:szCs w:val="18"/>
    </w:rPr>
  </w:style>
  <w:style w:type="paragraph" w:customStyle="1" w:styleId="Subject">
    <w:name w:val="Subject"/>
    <w:basedOn w:val="BodyText"/>
    <w:next w:val="BodyTextIndented2"/>
    <w:uiPriority w:val="13"/>
    <w:qFormat/>
    <w:rsid w:val="007F41E4"/>
    <w:pPr>
      <w:spacing w:before="60" w:after="60"/>
      <w:jc w:val="left"/>
    </w:pPr>
    <w:rPr>
      <w:rFonts w:asciiTheme="majorHAnsi" w:hAnsiTheme="majorHAnsi"/>
      <w:b/>
      <w:color w:val="78A22F" w:themeColor="accent1"/>
    </w:rPr>
  </w:style>
  <w:style w:type="paragraph" w:styleId="NoSpacing">
    <w:name w:val="No Spacing"/>
    <w:uiPriority w:val="99"/>
    <w:semiHidden/>
    <w:qFormat/>
    <w:rsid w:val="007F41E4"/>
    <w:pPr>
      <w:jc w:val="both"/>
    </w:pPr>
    <w:rPr>
      <w:sz w:val="22"/>
      <w:szCs w:val="22"/>
    </w:rPr>
  </w:style>
  <w:style w:type="paragraph" w:customStyle="1" w:styleId="Subject2">
    <w:name w:val="Subject2"/>
    <w:basedOn w:val="BodyText"/>
    <w:next w:val="BodyTextIndented2"/>
    <w:uiPriority w:val="13"/>
    <w:qFormat/>
    <w:rsid w:val="007F41E4"/>
    <w:pPr>
      <w:spacing w:before="60" w:after="60"/>
      <w:jc w:val="left"/>
    </w:pPr>
    <w:rPr>
      <w:rFonts w:asciiTheme="majorHAnsi" w:hAnsiTheme="majorHAnsi"/>
      <w:b/>
      <w:color w:val="58595B" w:themeColor="accent6"/>
    </w:rPr>
  </w:style>
  <w:style w:type="numbering" w:customStyle="1" w:styleId="AFMENumbering">
    <w:name w:val="AFME Numbering"/>
    <w:uiPriority w:val="99"/>
    <w:rsid w:val="007F41E4"/>
    <w:pPr>
      <w:numPr>
        <w:numId w:val="1"/>
      </w:numPr>
    </w:pPr>
  </w:style>
  <w:style w:type="numbering" w:customStyle="1" w:styleId="AFMEBullets">
    <w:name w:val="AFME Bullets"/>
    <w:uiPriority w:val="99"/>
    <w:rsid w:val="007F41E4"/>
    <w:pPr>
      <w:numPr>
        <w:numId w:val="2"/>
      </w:numPr>
    </w:pPr>
  </w:style>
  <w:style w:type="paragraph" w:styleId="ListParagraph">
    <w:name w:val="List Paragraph"/>
    <w:basedOn w:val="Normal"/>
    <w:uiPriority w:val="34"/>
    <w:qFormat/>
    <w:rsid w:val="007F41E4"/>
    <w:pPr>
      <w:ind w:left="720"/>
      <w:contextualSpacing/>
    </w:pPr>
  </w:style>
  <w:style w:type="paragraph" w:customStyle="1" w:styleId="Bullets1">
    <w:name w:val="Bullets 1"/>
    <w:basedOn w:val="Normal"/>
    <w:uiPriority w:val="4"/>
    <w:qFormat/>
    <w:rsid w:val="007F41E4"/>
    <w:pPr>
      <w:numPr>
        <w:numId w:val="5"/>
      </w:numPr>
      <w:spacing w:after="120"/>
      <w:contextualSpacing/>
    </w:pPr>
  </w:style>
  <w:style w:type="paragraph" w:customStyle="1" w:styleId="Bullets2">
    <w:name w:val="Bullets 2"/>
    <w:basedOn w:val="Bullets1"/>
    <w:uiPriority w:val="4"/>
    <w:qFormat/>
    <w:rsid w:val="007F41E4"/>
    <w:pPr>
      <w:numPr>
        <w:ilvl w:val="1"/>
      </w:numPr>
    </w:pPr>
  </w:style>
  <w:style w:type="paragraph" w:customStyle="1" w:styleId="Bullets3">
    <w:name w:val="Bullets 3"/>
    <w:basedOn w:val="Bullets2"/>
    <w:uiPriority w:val="4"/>
    <w:unhideWhenUsed/>
    <w:rsid w:val="007F41E4"/>
    <w:pPr>
      <w:numPr>
        <w:ilvl w:val="2"/>
      </w:numPr>
    </w:pPr>
  </w:style>
  <w:style w:type="paragraph" w:styleId="BodyText">
    <w:name w:val="Body Text"/>
    <w:basedOn w:val="Normal"/>
    <w:link w:val="BodyTextChar"/>
    <w:qFormat/>
    <w:rsid w:val="007F41E4"/>
    <w:pPr>
      <w:spacing w:after="120"/>
      <w:jc w:val="both"/>
    </w:pPr>
  </w:style>
  <w:style w:type="character" w:customStyle="1" w:styleId="BodyTextChar">
    <w:name w:val="Body Text Char"/>
    <w:basedOn w:val="DefaultParagraphFont"/>
    <w:link w:val="BodyText"/>
    <w:rsid w:val="007F41E4"/>
    <w:rPr>
      <w:sz w:val="22"/>
      <w:szCs w:val="22"/>
    </w:rPr>
  </w:style>
  <w:style w:type="paragraph" w:styleId="FootnoteText">
    <w:name w:val="footnote text"/>
    <w:basedOn w:val="Normal"/>
    <w:link w:val="FootnoteTextChar"/>
    <w:uiPriority w:val="99"/>
    <w:rsid w:val="007F41E4"/>
    <w:pPr>
      <w:spacing w:line="240" w:lineRule="auto"/>
    </w:pPr>
    <w:rPr>
      <w:rFonts w:asciiTheme="majorHAnsi" w:hAnsiTheme="majorHAnsi"/>
      <w:sz w:val="14"/>
    </w:rPr>
  </w:style>
  <w:style w:type="character" w:customStyle="1" w:styleId="FootnoteTextChar">
    <w:name w:val="Footnote Text Char"/>
    <w:basedOn w:val="DefaultParagraphFont"/>
    <w:link w:val="FootnoteText"/>
    <w:uiPriority w:val="99"/>
    <w:rsid w:val="007F41E4"/>
    <w:rPr>
      <w:rFonts w:asciiTheme="majorHAnsi" w:hAnsiTheme="majorHAnsi"/>
      <w:sz w:val="14"/>
      <w:szCs w:val="22"/>
    </w:rPr>
  </w:style>
  <w:style w:type="character" w:styleId="FootnoteReference">
    <w:name w:val="footnote reference"/>
    <w:basedOn w:val="DefaultParagraphFont"/>
    <w:uiPriority w:val="99"/>
    <w:semiHidden/>
    <w:unhideWhenUsed/>
    <w:rsid w:val="007F41E4"/>
    <w:rPr>
      <w:vertAlign w:val="superscript"/>
    </w:rPr>
  </w:style>
  <w:style w:type="paragraph" w:customStyle="1" w:styleId="GreenLine">
    <w:name w:val="Green Line"/>
    <w:basedOn w:val="Normal"/>
    <w:next w:val="BodyText"/>
    <w:uiPriority w:val="23"/>
    <w:qFormat/>
    <w:rsid w:val="007F41E4"/>
    <w:pPr>
      <w:pBdr>
        <w:bottom w:val="single" w:sz="8" w:space="1" w:color="78A22F" w:themeColor="accent1"/>
      </w:pBdr>
      <w:spacing w:after="240"/>
    </w:pPr>
    <w:rPr>
      <w:rFonts w:asciiTheme="majorHAnsi" w:hAnsiTheme="majorHAnsi"/>
      <w:color w:val="78A22F" w:themeColor="accent1"/>
    </w:rPr>
  </w:style>
  <w:style w:type="paragraph" w:customStyle="1" w:styleId="BodyTextIndented2">
    <w:name w:val="Body Text Indented 2"/>
    <w:basedOn w:val="BodyText"/>
    <w:uiPriority w:val="1"/>
    <w:rsid w:val="007F41E4"/>
    <w:pPr>
      <w:ind w:left="284"/>
    </w:pPr>
  </w:style>
  <w:style w:type="table" w:styleId="TableGrid">
    <w:name w:val="Table Grid"/>
    <w:basedOn w:val="TableNormal"/>
    <w:uiPriority w:val="59"/>
    <w:rsid w:val="007F41E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CoverOffices">
    <w:name w:val="Back Cover Offices"/>
    <w:basedOn w:val="Normal"/>
    <w:uiPriority w:val="29"/>
    <w:rsid w:val="007F41E4"/>
    <w:rPr>
      <w:rFonts w:asciiTheme="majorHAnsi" w:hAnsiTheme="majorHAnsi" w:cstheme="majorHAnsi"/>
      <w:b/>
      <w:color w:val="78A22F" w:themeColor="accent1"/>
    </w:rPr>
  </w:style>
  <w:style w:type="paragraph" w:customStyle="1" w:styleId="BackCoverNames">
    <w:name w:val="Back Cover Names"/>
    <w:basedOn w:val="Normal"/>
    <w:link w:val="BackCoverNamesChar"/>
    <w:uiPriority w:val="29"/>
    <w:rsid w:val="007F41E4"/>
    <w:rPr>
      <w:b/>
      <w:color w:val="58595B" w:themeColor="text2"/>
    </w:rPr>
  </w:style>
  <w:style w:type="paragraph" w:customStyle="1" w:styleId="BackCoverURL">
    <w:name w:val="Back Cover URL"/>
    <w:basedOn w:val="BackCoverOffices"/>
    <w:uiPriority w:val="29"/>
    <w:rsid w:val="007F41E4"/>
    <w:rPr>
      <w:b w:val="0"/>
    </w:rPr>
  </w:style>
  <w:style w:type="character" w:customStyle="1" w:styleId="BackCoverNamesChar">
    <w:name w:val="Back Cover Names Char"/>
    <w:basedOn w:val="DefaultParagraphFont"/>
    <w:link w:val="BackCoverNames"/>
    <w:uiPriority w:val="29"/>
    <w:rsid w:val="007F41E4"/>
    <w:rPr>
      <w:b/>
      <w:color w:val="58595B" w:themeColor="text2"/>
      <w:sz w:val="22"/>
      <w:szCs w:val="22"/>
    </w:rPr>
  </w:style>
  <w:style w:type="paragraph" w:styleId="TOC1">
    <w:name w:val="toc 1"/>
    <w:basedOn w:val="Normal"/>
    <w:next w:val="Normal"/>
    <w:autoRedefine/>
    <w:uiPriority w:val="39"/>
    <w:rsid w:val="007F41E4"/>
    <w:pPr>
      <w:spacing w:before="60" w:after="60" w:line="240" w:lineRule="auto"/>
    </w:pPr>
    <w:rPr>
      <w:rFonts w:asciiTheme="majorHAnsi" w:hAnsiTheme="majorHAnsi"/>
      <w:b/>
      <w:color w:val="78A22F" w:themeColor="accent1"/>
      <w:sz w:val="18"/>
    </w:rPr>
  </w:style>
  <w:style w:type="paragraph" w:styleId="TOC2">
    <w:name w:val="toc 2"/>
    <w:basedOn w:val="Normal"/>
    <w:next w:val="Normal"/>
    <w:autoRedefine/>
    <w:uiPriority w:val="39"/>
    <w:rsid w:val="007F41E4"/>
    <w:pPr>
      <w:spacing w:line="240" w:lineRule="auto"/>
      <w:ind w:left="397" w:hanging="284"/>
    </w:pPr>
    <w:rPr>
      <w:rFonts w:asciiTheme="majorHAnsi" w:hAnsiTheme="majorHAnsi"/>
      <w:b/>
      <w:sz w:val="16"/>
    </w:rPr>
  </w:style>
  <w:style w:type="paragraph" w:styleId="TOC3">
    <w:name w:val="toc 3"/>
    <w:basedOn w:val="Normal"/>
    <w:next w:val="Normal"/>
    <w:autoRedefine/>
    <w:uiPriority w:val="39"/>
    <w:rsid w:val="007F41E4"/>
    <w:pPr>
      <w:spacing w:line="240" w:lineRule="auto"/>
      <w:ind w:left="624" w:hanging="397"/>
    </w:pPr>
    <w:rPr>
      <w:sz w:val="16"/>
    </w:rPr>
  </w:style>
  <w:style w:type="paragraph" w:styleId="Quote">
    <w:name w:val="Quote"/>
    <w:basedOn w:val="Normal"/>
    <w:next w:val="Normal"/>
    <w:link w:val="QuoteChar"/>
    <w:uiPriority w:val="99"/>
    <w:semiHidden/>
    <w:qFormat/>
    <w:rsid w:val="007F41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7F41E4"/>
    <w:rPr>
      <w:i/>
      <w:iCs/>
      <w:color w:val="404040" w:themeColor="text1" w:themeTint="BF"/>
      <w:sz w:val="22"/>
      <w:szCs w:val="22"/>
    </w:rPr>
  </w:style>
  <w:style w:type="paragraph" w:styleId="TOCHeading">
    <w:name w:val="TOC Heading"/>
    <w:basedOn w:val="Normal"/>
    <w:next w:val="Normal"/>
    <w:uiPriority w:val="24"/>
    <w:rsid w:val="007F41E4"/>
    <w:pPr>
      <w:numPr>
        <w:numId w:val="4"/>
      </w:numPr>
      <w:pBdr>
        <w:bottom w:val="single" w:sz="8" w:space="1" w:color="78A22F" w:themeColor="accent1"/>
      </w:pBdr>
      <w:spacing w:after="240" w:line="360" w:lineRule="atLeast"/>
    </w:pPr>
    <w:rPr>
      <w:rFonts w:asciiTheme="majorHAnsi" w:hAnsiTheme="majorHAnsi"/>
      <w:color w:val="78A22F" w:themeColor="accent1"/>
      <w:sz w:val="32"/>
    </w:rPr>
  </w:style>
  <w:style w:type="paragraph" w:customStyle="1" w:styleId="Source">
    <w:name w:val="Source"/>
    <w:basedOn w:val="BodyText"/>
    <w:next w:val="BodyText"/>
    <w:uiPriority w:val="15"/>
    <w:qFormat/>
    <w:rsid w:val="007F41E4"/>
    <w:pPr>
      <w:numPr>
        <w:numId w:val="3"/>
      </w:numPr>
      <w:jc w:val="right"/>
    </w:pPr>
    <w:rPr>
      <w:rFonts w:asciiTheme="majorHAnsi" w:hAnsiTheme="majorHAnsi"/>
      <w:i/>
      <w:color w:val="58595B" w:themeColor="text2"/>
      <w:sz w:val="16"/>
    </w:rPr>
  </w:style>
  <w:style w:type="numbering" w:customStyle="1" w:styleId="Sources">
    <w:name w:val="Sources"/>
    <w:uiPriority w:val="99"/>
    <w:rsid w:val="007F41E4"/>
    <w:pPr>
      <w:numPr>
        <w:numId w:val="3"/>
      </w:numPr>
    </w:pPr>
  </w:style>
  <w:style w:type="paragraph" w:customStyle="1" w:styleId="Charts">
    <w:name w:val="Charts"/>
    <w:basedOn w:val="Normal"/>
    <w:next w:val="Source"/>
    <w:uiPriority w:val="14"/>
    <w:qFormat/>
    <w:rsid w:val="007F41E4"/>
    <w:pPr>
      <w:spacing w:line="240" w:lineRule="auto"/>
    </w:pPr>
    <w:rPr>
      <w:noProof/>
    </w:rPr>
  </w:style>
  <w:style w:type="paragraph" w:customStyle="1" w:styleId="Pictures">
    <w:name w:val="Pictures"/>
    <w:basedOn w:val="BodyText"/>
    <w:next w:val="Source"/>
    <w:uiPriority w:val="14"/>
    <w:rsid w:val="007F41E4"/>
  </w:style>
  <w:style w:type="paragraph" w:customStyle="1" w:styleId="Notes">
    <w:name w:val="Notes"/>
    <w:basedOn w:val="Normal"/>
    <w:next w:val="BodyText"/>
    <w:uiPriority w:val="17"/>
    <w:qFormat/>
    <w:rsid w:val="007F41E4"/>
    <w:pPr>
      <w:spacing w:after="120"/>
    </w:pPr>
    <w:rPr>
      <w:b/>
      <w:sz w:val="16"/>
    </w:rPr>
  </w:style>
  <w:style w:type="paragraph" w:customStyle="1" w:styleId="SectionHeading">
    <w:name w:val="Section Heading"/>
    <w:basedOn w:val="BodyText"/>
    <w:next w:val="Level1"/>
    <w:uiPriority w:val="11"/>
    <w:qFormat/>
    <w:rsid w:val="007F41E4"/>
    <w:pPr>
      <w:pBdr>
        <w:bottom w:val="single" w:sz="8" w:space="1" w:color="78A22F" w:themeColor="accent1"/>
      </w:pBdr>
      <w:spacing w:line="360" w:lineRule="atLeast"/>
      <w:jc w:val="left"/>
    </w:pPr>
    <w:rPr>
      <w:rFonts w:asciiTheme="majorHAnsi" w:hAnsiTheme="majorHAnsi"/>
      <w:color w:val="78A22F" w:themeColor="accent1"/>
      <w:sz w:val="32"/>
    </w:rPr>
  </w:style>
  <w:style w:type="paragraph" w:customStyle="1" w:styleId="BodyTextIndented1">
    <w:name w:val="Body Text Indented 1"/>
    <w:basedOn w:val="BodyText"/>
    <w:uiPriority w:val="1"/>
    <w:qFormat/>
    <w:rsid w:val="007F41E4"/>
    <w:pPr>
      <w:ind w:left="567"/>
    </w:pPr>
  </w:style>
  <w:style w:type="paragraph" w:customStyle="1" w:styleId="CoverTitle">
    <w:name w:val="Cover Title"/>
    <w:basedOn w:val="BodyText"/>
    <w:next w:val="CoverSubtitle"/>
    <w:uiPriority w:val="25"/>
    <w:qFormat/>
    <w:rsid w:val="007F41E4"/>
    <w:pPr>
      <w:spacing w:after="360" w:line="240" w:lineRule="auto"/>
      <w:jc w:val="left"/>
    </w:pPr>
    <w:rPr>
      <w:rFonts w:asciiTheme="majorHAnsi" w:hAnsiTheme="majorHAnsi"/>
      <w:b/>
      <w:color w:val="78A22F" w:themeColor="accent1"/>
      <w:sz w:val="72"/>
    </w:rPr>
  </w:style>
  <w:style w:type="paragraph" w:customStyle="1" w:styleId="BodyTextHighlight">
    <w:name w:val="Body Text Highlight"/>
    <w:basedOn w:val="BodyText"/>
    <w:next w:val="BodyText"/>
    <w:link w:val="BodyTextHighlightChar"/>
    <w:uiPriority w:val="7"/>
    <w:rsid w:val="007F41E4"/>
    <w:rPr>
      <w:rFonts w:asciiTheme="majorHAnsi" w:hAnsiTheme="majorHAnsi" w:cstheme="majorHAnsi"/>
      <w:b/>
      <w:color w:val="58595B" w:themeColor="text2"/>
    </w:rPr>
  </w:style>
  <w:style w:type="paragraph" w:customStyle="1" w:styleId="NormalHighlight">
    <w:name w:val="Normal Highlight"/>
    <w:basedOn w:val="Normal"/>
    <w:next w:val="Normal"/>
    <w:link w:val="NormalHighlightChar"/>
    <w:uiPriority w:val="7"/>
    <w:qFormat/>
    <w:rsid w:val="007F41E4"/>
    <w:rPr>
      <w:noProof/>
      <w:color w:val="78A22F" w:themeColor="accent1"/>
    </w:rPr>
  </w:style>
  <w:style w:type="paragraph" w:customStyle="1" w:styleId="Level1">
    <w:name w:val="Level 1"/>
    <w:basedOn w:val="BodyText"/>
    <w:next w:val="BodyTextIndented1"/>
    <w:uiPriority w:val="12"/>
    <w:qFormat/>
    <w:rsid w:val="007F41E4"/>
    <w:pPr>
      <w:numPr>
        <w:ilvl w:val="1"/>
        <w:numId w:val="4"/>
      </w:numPr>
      <w:spacing w:before="60" w:after="60"/>
    </w:pPr>
    <w:rPr>
      <w:rFonts w:asciiTheme="majorHAnsi" w:hAnsiTheme="majorHAnsi"/>
      <w:b/>
      <w:color w:val="78A22F" w:themeColor="accent1"/>
    </w:rPr>
  </w:style>
  <w:style w:type="paragraph" w:customStyle="1" w:styleId="Level2">
    <w:name w:val="Level 2"/>
    <w:basedOn w:val="BodyText"/>
    <w:next w:val="BodyTextIndented1"/>
    <w:uiPriority w:val="12"/>
    <w:qFormat/>
    <w:rsid w:val="007F41E4"/>
    <w:pPr>
      <w:numPr>
        <w:ilvl w:val="2"/>
        <w:numId w:val="4"/>
      </w:numPr>
      <w:spacing w:before="60" w:after="60"/>
    </w:pPr>
    <w:rPr>
      <w:rFonts w:asciiTheme="majorHAnsi" w:hAnsiTheme="majorHAnsi"/>
      <w:b/>
      <w:color w:val="58595B" w:themeColor="text2"/>
    </w:rPr>
  </w:style>
  <w:style w:type="paragraph" w:customStyle="1" w:styleId="Level3">
    <w:name w:val="Level 3"/>
    <w:basedOn w:val="BodyText"/>
    <w:next w:val="BodyTextIndented1"/>
    <w:uiPriority w:val="12"/>
    <w:rsid w:val="007F41E4"/>
    <w:pPr>
      <w:numPr>
        <w:ilvl w:val="3"/>
        <w:numId w:val="4"/>
      </w:numPr>
      <w:spacing w:before="60" w:after="60"/>
    </w:pPr>
    <w:rPr>
      <w:rFonts w:asciiTheme="majorHAnsi" w:hAnsiTheme="majorHAnsi"/>
      <w:color w:val="58595B" w:themeColor="text2"/>
    </w:rPr>
  </w:style>
  <w:style w:type="paragraph" w:customStyle="1" w:styleId="Level4">
    <w:name w:val="Level 4"/>
    <w:basedOn w:val="BodyText"/>
    <w:next w:val="BodyTextIndented1"/>
    <w:uiPriority w:val="12"/>
    <w:rsid w:val="007F41E4"/>
    <w:pPr>
      <w:numPr>
        <w:ilvl w:val="4"/>
        <w:numId w:val="4"/>
      </w:numPr>
      <w:spacing w:before="60" w:after="60"/>
    </w:pPr>
    <w:rPr>
      <w:rFonts w:asciiTheme="majorHAnsi" w:hAnsiTheme="majorHAnsi"/>
      <w:color w:val="58595B" w:themeColor="text2"/>
      <w:sz w:val="18"/>
    </w:rPr>
  </w:style>
  <w:style w:type="paragraph" w:customStyle="1" w:styleId="Level5">
    <w:name w:val="Level 5"/>
    <w:basedOn w:val="BodyText"/>
    <w:next w:val="BodyTextIndented1"/>
    <w:uiPriority w:val="12"/>
    <w:rsid w:val="007F41E4"/>
    <w:pPr>
      <w:numPr>
        <w:ilvl w:val="5"/>
        <w:numId w:val="4"/>
      </w:numPr>
      <w:spacing w:before="60" w:after="60"/>
    </w:pPr>
    <w:rPr>
      <w:rFonts w:asciiTheme="majorHAnsi" w:hAnsiTheme="majorHAnsi"/>
      <w:sz w:val="18"/>
    </w:rPr>
  </w:style>
  <w:style w:type="paragraph" w:customStyle="1" w:styleId="CoverSubtitle">
    <w:name w:val="Cover Subtitle"/>
    <w:basedOn w:val="BodyText"/>
    <w:next w:val="CoverDate0"/>
    <w:uiPriority w:val="26"/>
    <w:qFormat/>
    <w:rsid w:val="007F41E4"/>
    <w:pPr>
      <w:spacing w:after="360"/>
      <w:jc w:val="left"/>
    </w:pPr>
    <w:rPr>
      <w:rFonts w:asciiTheme="majorHAnsi" w:hAnsiTheme="majorHAnsi"/>
      <w:sz w:val="52"/>
    </w:rPr>
  </w:style>
  <w:style w:type="paragraph" w:customStyle="1" w:styleId="CoverFooterHeading">
    <w:name w:val="Cover Footer Heading"/>
    <w:basedOn w:val="BodyText"/>
    <w:uiPriority w:val="29"/>
    <w:rsid w:val="007F41E4"/>
    <w:pPr>
      <w:spacing w:after="0" w:line="220" w:lineRule="atLeast"/>
      <w:ind w:left="397"/>
      <w:jc w:val="left"/>
    </w:pPr>
    <w:rPr>
      <w:rFonts w:asciiTheme="majorHAnsi" w:hAnsiTheme="majorHAnsi"/>
      <w:color w:val="78A22F" w:themeColor="accent1"/>
    </w:rPr>
  </w:style>
  <w:style w:type="paragraph" w:customStyle="1" w:styleId="BodyTextBold">
    <w:name w:val="Body Text Bold"/>
    <w:basedOn w:val="BodyText"/>
    <w:next w:val="BodyText"/>
    <w:link w:val="BodyTextBoldChar"/>
    <w:uiPriority w:val="1"/>
    <w:qFormat/>
    <w:rsid w:val="007F41E4"/>
    <w:rPr>
      <w:b/>
      <w:noProof/>
    </w:rPr>
  </w:style>
  <w:style w:type="paragraph" w:styleId="Date">
    <w:name w:val="Date"/>
    <w:basedOn w:val="CoverDate0"/>
    <w:next w:val="Heading1"/>
    <w:link w:val="DateChar"/>
    <w:uiPriority w:val="10"/>
    <w:qFormat/>
    <w:rsid w:val="007F41E4"/>
    <w:pPr>
      <w:pBdr>
        <w:bottom w:val="single" w:sz="8" w:space="5" w:color="78A22F" w:themeColor="accent1"/>
      </w:pBdr>
      <w:spacing w:before="0" w:after="240"/>
    </w:pPr>
    <w:rPr>
      <w:rFonts w:asciiTheme="minorHAnsi" w:hAnsiTheme="minorHAnsi"/>
      <w:sz w:val="22"/>
    </w:rPr>
  </w:style>
  <w:style w:type="character" w:customStyle="1" w:styleId="DateChar">
    <w:name w:val="Date Char"/>
    <w:basedOn w:val="DefaultParagraphFont"/>
    <w:link w:val="Date"/>
    <w:uiPriority w:val="10"/>
    <w:rsid w:val="007F41E4"/>
    <w:rPr>
      <w:sz w:val="22"/>
      <w:szCs w:val="22"/>
    </w:rPr>
  </w:style>
  <w:style w:type="paragraph" w:customStyle="1" w:styleId="Subject3">
    <w:name w:val="Subject3"/>
    <w:basedOn w:val="BodyText"/>
    <w:next w:val="BodyTextIndented2"/>
    <w:uiPriority w:val="13"/>
    <w:rsid w:val="007F41E4"/>
    <w:pPr>
      <w:spacing w:before="60" w:after="60"/>
    </w:pPr>
    <w:rPr>
      <w:rFonts w:asciiTheme="majorHAnsi" w:hAnsiTheme="majorHAnsi"/>
      <w:color w:val="58595B" w:themeColor="text2"/>
    </w:rPr>
  </w:style>
  <w:style w:type="paragraph" w:customStyle="1" w:styleId="Reportheader">
    <w:name w:val="Report header"/>
    <w:basedOn w:val="Header"/>
    <w:uiPriority w:val="29"/>
    <w:rsid w:val="007F41E4"/>
    <w:rPr>
      <w:b/>
      <w:color w:val="78A22F" w:themeColor="accent1"/>
      <w:sz w:val="22"/>
    </w:rPr>
  </w:style>
  <w:style w:type="paragraph" w:customStyle="1" w:styleId="CoverDate0">
    <w:name w:val="Cover Date"/>
    <w:basedOn w:val="Normal"/>
    <w:next w:val="BodyText"/>
    <w:uiPriority w:val="27"/>
    <w:qFormat/>
    <w:rsid w:val="007F41E4"/>
    <w:pPr>
      <w:spacing w:before="120" w:after="120"/>
    </w:pPr>
    <w:rPr>
      <w:rFonts w:asciiTheme="majorHAnsi" w:hAnsiTheme="majorHAnsi"/>
      <w:sz w:val="36"/>
    </w:rPr>
  </w:style>
  <w:style w:type="paragraph" w:customStyle="1" w:styleId="NormalBold">
    <w:name w:val="Normal Bold"/>
    <w:basedOn w:val="Normal"/>
    <w:next w:val="Normal"/>
    <w:uiPriority w:val="5"/>
    <w:qFormat/>
    <w:rsid w:val="007F41E4"/>
    <w:rPr>
      <w:b/>
    </w:rPr>
  </w:style>
  <w:style w:type="character" w:customStyle="1" w:styleId="NormalHighlightChar">
    <w:name w:val="Normal Highlight Char"/>
    <w:basedOn w:val="DefaultParagraphFont"/>
    <w:link w:val="NormalHighlight"/>
    <w:uiPriority w:val="7"/>
    <w:rsid w:val="007F41E4"/>
    <w:rPr>
      <w:noProof/>
      <w:color w:val="78A22F" w:themeColor="accent1"/>
      <w:sz w:val="22"/>
      <w:szCs w:val="22"/>
    </w:rPr>
  </w:style>
  <w:style w:type="character" w:customStyle="1" w:styleId="BodyTextBoldChar">
    <w:name w:val="Body Text Bold Char"/>
    <w:basedOn w:val="BodyTextChar"/>
    <w:link w:val="BodyTextBold"/>
    <w:uiPriority w:val="1"/>
    <w:rsid w:val="007F41E4"/>
    <w:rPr>
      <w:b/>
      <w:noProof/>
      <w:sz w:val="22"/>
      <w:szCs w:val="22"/>
    </w:rPr>
  </w:style>
  <w:style w:type="character" w:customStyle="1" w:styleId="BodyTextHighlightChar">
    <w:name w:val="Body Text Highlight Char"/>
    <w:basedOn w:val="BodyTextChar"/>
    <w:link w:val="BodyTextHighlight"/>
    <w:uiPriority w:val="7"/>
    <w:rsid w:val="007F41E4"/>
    <w:rPr>
      <w:rFonts w:asciiTheme="majorHAnsi" w:hAnsiTheme="majorHAnsi" w:cstheme="majorHAnsi"/>
      <w:b/>
      <w:color w:val="58595B" w:themeColor="text2"/>
      <w:sz w:val="22"/>
      <w:szCs w:val="22"/>
    </w:rPr>
  </w:style>
  <w:style w:type="paragraph" w:customStyle="1" w:styleId="AFMEPagenumber">
    <w:name w:val="AFME Page number"/>
    <w:basedOn w:val="Footer"/>
    <w:uiPriority w:val="29"/>
    <w:qFormat/>
    <w:rsid w:val="007F41E4"/>
    <w:pPr>
      <w:ind w:right="0"/>
      <w:jc w:val="right"/>
    </w:pPr>
    <w:rPr>
      <w:b/>
    </w:rPr>
  </w:style>
  <w:style w:type="paragraph" w:customStyle="1" w:styleId="AFMEFullName">
    <w:name w:val="AFME Full Name"/>
    <w:basedOn w:val="BodyTextBold"/>
    <w:uiPriority w:val="29"/>
    <w:qFormat/>
    <w:rsid w:val="007F41E4"/>
    <w:pPr>
      <w:spacing w:before="400" w:after="0"/>
      <w:jc w:val="right"/>
    </w:pPr>
    <w:rPr>
      <w:sz w:val="18"/>
      <w:szCs w:val="18"/>
    </w:rPr>
  </w:style>
  <w:style w:type="paragraph" w:customStyle="1" w:styleId="AFMEContactEmail">
    <w:name w:val="AFME Contact Email"/>
    <w:basedOn w:val="NormalHighlight"/>
    <w:next w:val="Normal"/>
    <w:uiPriority w:val="28"/>
    <w:qFormat/>
    <w:rsid w:val="007F41E4"/>
    <w:pPr>
      <w:spacing w:before="120" w:after="120"/>
    </w:pPr>
  </w:style>
  <w:style w:type="paragraph" w:customStyle="1" w:styleId="FooterLegal-letter">
    <w:name w:val="Footer Legal -  letter"/>
    <w:basedOn w:val="FooterOffices"/>
    <w:uiPriority w:val="29"/>
    <w:rsid w:val="007F41E4"/>
    <w:pPr>
      <w:spacing w:line="180" w:lineRule="atLeast"/>
      <w:ind w:left="-794"/>
    </w:pPr>
    <w:rPr>
      <w:sz w:val="14"/>
    </w:rPr>
  </w:style>
  <w:style w:type="paragraph" w:customStyle="1" w:styleId="FooterHeading-letter">
    <w:name w:val="Footer Heading - letter"/>
    <w:basedOn w:val="FooterHeading"/>
    <w:uiPriority w:val="29"/>
    <w:qFormat/>
    <w:rsid w:val="007F41E4"/>
    <w:pPr>
      <w:ind w:left="-794"/>
    </w:pPr>
  </w:style>
  <w:style w:type="paragraph" w:customStyle="1" w:styleId="FooterOffices-letter">
    <w:name w:val="Footer Offices - letter"/>
    <w:basedOn w:val="FooterOffices"/>
    <w:uiPriority w:val="29"/>
    <w:qFormat/>
    <w:rsid w:val="007F41E4"/>
    <w:pPr>
      <w:ind w:left="-794"/>
    </w:pPr>
  </w:style>
  <w:style w:type="paragraph" w:customStyle="1" w:styleId="Default">
    <w:name w:val="Default"/>
    <w:rsid w:val="00AE267C"/>
    <w:pPr>
      <w:autoSpaceDE w:val="0"/>
      <w:autoSpaceDN w:val="0"/>
      <w:adjustRightInd w:val="0"/>
      <w:spacing w:before="120"/>
      <w:jc w:val="both"/>
    </w:pPr>
    <w:rPr>
      <w:rFonts w:ascii="Cambria" w:eastAsiaTheme="minorHAnsi" w:hAnsi="Cambria" w:cs="Cambria"/>
      <w:color w:val="000000"/>
      <w:sz w:val="24"/>
      <w:szCs w:val="24"/>
      <w:lang w:val="en-US" w:eastAsia="en-US"/>
    </w:rPr>
  </w:style>
  <w:style w:type="character" w:styleId="UnresolvedMention">
    <w:name w:val="Unresolved Mention"/>
    <w:basedOn w:val="DefaultParagraphFont"/>
    <w:uiPriority w:val="99"/>
    <w:semiHidden/>
    <w:unhideWhenUsed/>
    <w:rsid w:val="00622EC6"/>
    <w:rPr>
      <w:color w:val="605E5C"/>
      <w:shd w:val="clear" w:color="auto" w:fill="E1DFDD"/>
    </w:rPr>
  </w:style>
  <w:style w:type="character" w:styleId="CommentReference">
    <w:name w:val="annotation reference"/>
    <w:basedOn w:val="DefaultParagraphFont"/>
    <w:uiPriority w:val="99"/>
    <w:semiHidden/>
    <w:unhideWhenUsed/>
    <w:rsid w:val="008D53B6"/>
    <w:rPr>
      <w:sz w:val="16"/>
      <w:szCs w:val="16"/>
    </w:rPr>
  </w:style>
  <w:style w:type="paragraph" w:styleId="CommentText">
    <w:name w:val="annotation text"/>
    <w:basedOn w:val="Normal"/>
    <w:link w:val="CommentTextChar"/>
    <w:uiPriority w:val="99"/>
    <w:unhideWhenUsed/>
    <w:rsid w:val="008D53B6"/>
    <w:pPr>
      <w:spacing w:line="240" w:lineRule="auto"/>
    </w:pPr>
    <w:rPr>
      <w:sz w:val="20"/>
      <w:szCs w:val="20"/>
    </w:rPr>
  </w:style>
  <w:style w:type="character" w:customStyle="1" w:styleId="CommentTextChar">
    <w:name w:val="Comment Text Char"/>
    <w:basedOn w:val="DefaultParagraphFont"/>
    <w:link w:val="CommentText"/>
    <w:uiPriority w:val="99"/>
    <w:rsid w:val="008D53B6"/>
  </w:style>
  <w:style w:type="paragraph" w:styleId="CommentSubject">
    <w:name w:val="annotation subject"/>
    <w:basedOn w:val="CommentText"/>
    <w:next w:val="CommentText"/>
    <w:link w:val="CommentSubjectChar"/>
    <w:uiPriority w:val="99"/>
    <w:semiHidden/>
    <w:unhideWhenUsed/>
    <w:rsid w:val="008D53B6"/>
    <w:rPr>
      <w:b/>
      <w:bCs/>
    </w:rPr>
  </w:style>
  <w:style w:type="character" w:customStyle="1" w:styleId="CommentSubjectChar">
    <w:name w:val="Comment Subject Char"/>
    <w:basedOn w:val="CommentTextChar"/>
    <w:link w:val="CommentSubject"/>
    <w:uiPriority w:val="99"/>
    <w:semiHidden/>
    <w:rsid w:val="008D53B6"/>
    <w:rPr>
      <w:b/>
      <w:bCs/>
    </w:rPr>
  </w:style>
  <w:style w:type="paragraph" w:styleId="Revision">
    <w:name w:val="Revision"/>
    <w:hidden/>
    <w:uiPriority w:val="99"/>
    <w:semiHidden/>
    <w:rsid w:val="00C56C8F"/>
    <w:rPr>
      <w:sz w:val="22"/>
      <w:szCs w:val="22"/>
    </w:rPr>
  </w:style>
  <w:style w:type="paragraph" w:styleId="NormalWeb">
    <w:name w:val="Normal (Web)"/>
    <w:basedOn w:val="Normal"/>
    <w:uiPriority w:val="99"/>
    <w:semiHidden/>
    <w:unhideWhenUsed/>
    <w:rsid w:val="005652DE"/>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CorpodelTesto">
    <w:name w:val="Corpo del Testo"/>
    <w:basedOn w:val="Normal"/>
    <w:uiPriority w:val="99"/>
    <w:rsid w:val="004A3967"/>
    <w:pPr>
      <w:spacing w:after="240" w:line="240" w:lineRule="auto"/>
      <w:jc w:val="both"/>
    </w:pPr>
    <w:rPr>
      <w:rFonts w:ascii="Verdana" w:eastAsia="Times New Roman" w:hAnsi="Verdana" w:cs="Verdana"/>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7532">
      <w:bodyDiv w:val="1"/>
      <w:marLeft w:val="0"/>
      <w:marRight w:val="0"/>
      <w:marTop w:val="0"/>
      <w:marBottom w:val="0"/>
      <w:divBdr>
        <w:top w:val="none" w:sz="0" w:space="0" w:color="auto"/>
        <w:left w:val="none" w:sz="0" w:space="0" w:color="auto"/>
        <w:bottom w:val="none" w:sz="0" w:space="0" w:color="auto"/>
        <w:right w:val="none" w:sz="0" w:space="0" w:color="auto"/>
      </w:divBdr>
    </w:div>
    <w:div w:id="158230339">
      <w:bodyDiv w:val="1"/>
      <w:marLeft w:val="0"/>
      <w:marRight w:val="0"/>
      <w:marTop w:val="0"/>
      <w:marBottom w:val="0"/>
      <w:divBdr>
        <w:top w:val="none" w:sz="0" w:space="0" w:color="auto"/>
        <w:left w:val="none" w:sz="0" w:space="0" w:color="auto"/>
        <w:bottom w:val="none" w:sz="0" w:space="0" w:color="auto"/>
        <w:right w:val="none" w:sz="0" w:space="0" w:color="auto"/>
      </w:divBdr>
    </w:div>
    <w:div w:id="179440589">
      <w:bodyDiv w:val="1"/>
      <w:marLeft w:val="0"/>
      <w:marRight w:val="0"/>
      <w:marTop w:val="0"/>
      <w:marBottom w:val="0"/>
      <w:divBdr>
        <w:top w:val="none" w:sz="0" w:space="0" w:color="auto"/>
        <w:left w:val="none" w:sz="0" w:space="0" w:color="auto"/>
        <w:bottom w:val="none" w:sz="0" w:space="0" w:color="auto"/>
        <w:right w:val="none" w:sz="0" w:space="0" w:color="auto"/>
      </w:divBdr>
    </w:div>
    <w:div w:id="244412896">
      <w:bodyDiv w:val="1"/>
      <w:marLeft w:val="0"/>
      <w:marRight w:val="0"/>
      <w:marTop w:val="0"/>
      <w:marBottom w:val="0"/>
      <w:divBdr>
        <w:top w:val="none" w:sz="0" w:space="0" w:color="auto"/>
        <w:left w:val="none" w:sz="0" w:space="0" w:color="auto"/>
        <w:bottom w:val="none" w:sz="0" w:space="0" w:color="auto"/>
        <w:right w:val="none" w:sz="0" w:space="0" w:color="auto"/>
      </w:divBdr>
    </w:div>
    <w:div w:id="361633192">
      <w:bodyDiv w:val="1"/>
      <w:marLeft w:val="0"/>
      <w:marRight w:val="0"/>
      <w:marTop w:val="0"/>
      <w:marBottom w:val="0"/>
      <w:divBdr>
        <w:top w:val="none" w:sz="0" w:space="0" w:color="auto"/>
        <w:left w:val="none" w:sz="0" w:space="0" w:color="auto"/>
        <w:bottom w:val="none" w:sz="0" w:space="0" w:color="auto"/>
        <w:right w:val="none" w:sz="0" w:space="0" w:color="auto"/>
      </w:divBdr>
    </w:div>
    <w:div w:id="367148796">
      <w:bodyDiv w:val="1"/>
      <w:marLeft w:val="0"/>
      <w:marRight w:val="0"/>
      <w:marTop w:val="0"/>
      <w:marBottom w:val="0"/>
      <w:divBdr>
        <w:top w:val="none" w:sz="0" w:space="0" w:color="auto"/>
        <w:left w:val="none" w:sz="0" w:space="0" w:color="auto"/>
        <w:bottom w:val="none" w:sz="0" w:space="0" w:color="auto"/>
        <w:right w:val="none" w:sz="0" w:space="0" w:color="auto"/>
      </w:divBdr>
    </w:div>
    <w:div w:id="435364720">
      <w:bodyDiv w:val="1"/>
      <w:marLeft w:val="0"/>
      <w:marRight w:val="0"/>
      <w:marTop w:val="0"/>
      <w:marBottom w:val="0"/>
      <w:divBdr>
        <w:top w:val="none" w:sz="0" w:space="0" w:color="auto"/>
        <w:left w:val="none" w:sz="0" w:space="0" w:color="auto"/>
        <w:bottom w:val="none" w:sz="0" w:space="0" w:color="auto"/>
        <w:right w:val="none" w:sz="0" w:space="0" w:color="auto"/>
      </w:divBdr>
    </w:div>
    <w:div w:id="441153289">
      <w:bodyDiv w:val="1"/>
      <w:marLeft w:val="0"/>
      <w:marRight w:val="0"/>
      <w:marTop w:val="0"/>
      <w:marBottom w:val="0"/>
      <w:divBdr>
        <w:top w:val="none" w:sz="0" w:space="0" w:color="auto"/>
        <w:left w:val="none" w:sz="0" w:space="0" w:color="auto"/>
        <w:bottom w:val="none" w:sz="0" w:space="0" w:color="auto"/>
        <w:right w:val="none" w:sz="0" w:space="0" w:color="auto"/>
      </w:divBdr>
    </w:div>
    <w:div w:id="519707092">
      <w:bodyDiv w:val="1"/>
      <w:marLeft w:val="0"/>
      <w:marRight w:val="0"/>
      <w:marTop w:val="0"/>
      <w:marBottom w:val="0"/>
      <w:divBdr>
        <w:top w:val="none" w:sz="0" w:space="0" w:color="auto"/>
        <w:left w:val="none" w:sz="0" w:space="0" w:color="auto"/>
        <w:bottom w:val="none" w:sz="0" w:space="0" w:color="auto"/>
        <w:right w:val="none" w:sz="0" w:space="0" w:color="auto"/>
      </w:divBdr>
      <w:divsChild>
        <w:div w:id="1856649581">
          <w:marLeft w:val="0"/>
          <w:marRight w:val="0"/>
          <w:marTop w:val="0"/>
          <w:marBottom w:val="0"/>
          <w:divBdr>
            <w:top w:val="none" w:sz="0" w:space="0" w:color="auto"/>
            <w:left w:val="none" w:sz="0" w:space="0" w:color="auto"/>
            <w:bottom w:val="none" w:sz="0" w:space="0" w:color="auto"/>
            <w:right w:val="none" w:sz="0" w:space="0" w:color="auto"/>
          </w:divBdr>
          <w:divsChild>
            <w:div w:id="1489983030">
              <w:marLeft w:val="75"/>
              <w:marRight w:val="75"/>
              <w:marTop w:val="375"/>
              <w:marBottom w:val="75"/>
              <w:divBdr>
                <w:top w:val="none" w:sz="0" w:space="0" w:color="auto"/>
                <w:left w:val="none" w:sz="0" w:space="0" w:color="auto"/>
                <w:bottom w:val="none" w:sz="0" w:space="0" w:color="auto"/>
                <w:right w:val="none" w:sz="0" w:space="0" w:color="auto"/>
              </w:divBdr>
              <w:divsChild>
                <w:div w:id="4889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74523">
      <w:bodyDiv w:val="1"/>
      <w:marLeft w:val="0"/>
      <w:marRight w:val="0"/>
      <w:marTop w:val="0"/>
      <w:marBottom w:val="0"/>
      <w:divBdr>
        <w:top w:val="none" w:sz="0" w:space="0" w:color="auto"/>
        <w:left w:val="none" w:sz="0" w:space="0" w:color="auto"/>
        <w:bottom w:val="none" w:sz="0" w:space="0" w:color="auto"/>
        <w:right w:val="none" w:sz="0" w:space="0" w:color="auto"/>
      </w:divBdr>
    </w:div>
    <w:div w:id="625282379">
      <w:bodyDiv w:val="1"/>
      <w:marLeft w:val="0"/>
      <w:marRight w:val="0"/>
      <w:marTop w:val="0"/>
      <w:marBottom w:val="0"/>
      <w:divBdr>
        <w:top w:val="none" w:sz="0" w:space="0" w:color="auto"/>
        <w:left w:val="none" w:sz="0" w:space="0" w:color="auto"/>
        <w:bottom w:val="none" w:sz="0" w:space="0" w:color="auto"/>
        <w:right w:val="none" w:sz="0" w:space="0" w:color="auto"/>
      </w:divBdr>
    </w:div>
    <w:div w:id="677729154">
      <w:bodyDiv w:val="1"/>
      <w:marLeft w:val="0"/>
      <w:marRight w:val="0"/>
      <w:marTop w:val="0"/>
      <w:marBottom w:val="0"/>
      <w:divBdr>
        <w:top w:val="none" w:sz="0" w:space="0" w:color="auto"/>
        <w:left w:val="none" w:sz="0" w:space="0" w:color="auto"/>
        <w:bottom w:val="none" w:sz="0" w:space="0" w:color="auto"/>
        <w:right w:val="none" w:sz="0" w:space="0" w:color="auto"/>
      </w:divBdr>
    </w:div>
    <w:div w:id="737047885">
      <w:bodyDiv w:val="1"/>
      <w:marLeft w:val="0"/>
      <w:marRight w:val="0"/>
      <w:marTop w:val="0"/>
      <w:marBottom w:val="0"/>
      <w:divBdr>
        <w:top w:val="none" w:sz="0" w:space="0" w:color="auto"/>
        <w:left w:val="none" w:sz="0" w:space="0" w:color="auto"/>
        <w:bottom w:val="none" w:sz="0" w:space="0" w:color="auto"/>
        <w:right w:val="none" w:sz="0" w:space="0" w:color="auto"/>
      </w:divBdr>
    </w:div>
    <w:div w:id="819691254">
      <w:bodyDiv w:val="1"/>
      <w:marLeft w:val="0"/>
      <w:marRight w:val="0"/>
      <w:marTop w:val="0"/>
      <w:marBottom w:val="0"/>
      <w:divBdr>
        <w:top w:val="none" w:sz="0" w:space="0" w:color="auto"/>
        <w:left w:val="none" w:sz="0" w:space="0" w:color="auto"/>
        <w:bottom w:val="none" w:sz="0" w:space="0" w:color="auto"/>
        <w:right w:val="none" w:sz="0" w:space="0" w:color="auto"/>
      </w:divBdr>
    </w:div>
    <w:div w:id="824274420">
      <w:bodyDiv w:val="1"/>
      <w:marLeft w:val="0"/>
      <w:marRight w:val="0"/>
      <w:marTop w:val="0"/>
      <w:marBottom w:val="0"/>
      <w:divBdr>
        <w:top w:val="none" w:sz="0" w:space="0" w:color="auto"/>
        <w:left w:val="none" w:sz="0" w:space="0" w:color="auto"/>
        <w:bottom w:val="none" w:sz="0" w:space="0" w:color="auto"/>
        <w:right w:val="none" w:sz="0" w:space="0" w:color="auto"/>
      </w:divBdr>
    </w:div>
    <w:div w:id="889997082">
      <w:bodyDiv w:val="1"/>
      <w:marLeft w:val="0"/>
      <w:marRight w:val="0"/>
      <w:marTop w:val="0"/>
      <w:marBottom w:val="0"/>
      <w:divBdr>
        <w:top w:val="none" w:sz="0" w:space="0" w:color="auto"/>
        <w:left w:val="none" w:sz="0" w:space="0" w:color="auto"/>
        <w:bottom w:val="none" w:sz="0" w:space="0" w:color="auto"/>
        <w:right w:val="none" w:sz="0" w:space="0" w:color="auto"/>
      </w:divBdr>
    </w:div>
    <w:div w:id="962417750">
      <w:bodyDiv w:val="1"/>
      <w:marLeft w:val="0"/>
      <w:marRight w:val="0"/>
      <w:marTop w:val="0"/>
      <w:marBottom w:val="0"/>
      <w:divBdr>
        <w:top w:val="none" w:sz="0" w:space="0" w:color="auto"/>
        <w:left w:val="none" w:sz="0" w:space="0" w:color="auto"/>
        <w:bottom w:val="none" w:sz="0" w:space="0" w:color="auto"/>
        <w:right w:val="none" w:sz="0" w:space="0" w:color="auto"/>
      </w:divBdr>
    </w:div>
    <w:div w:id="979462470">
      <w:bodyDiv w:val="1"/>
      <w:marLeft w:val="0"/>
      <w:marRight w:val="0"/>
      <w:marTop w:val="0"/>
      <w:marBottom w:val="0"/>
      <w:divBdr>
        <w:top w:val="none" w:sz="0" w:space="0" w:color="auto"/>
        <w:left w:val="none" w:sz="0" w:space="0" w:color="auto"/>
        <w:bottom w:val="none" w:sz="0" w:space="0" w:color="auto"/>
        <w:right w:val="none" w:sz="0" w:space="0" w:color="auto"/>
      </w:divBdr>
    </w:div>
    <w:div w:id="1059982618">
      <w:bodyDiv w:val="1"/>
      <w:marLeft w:val="0"/>
      <w:marRight w:val="0"/>
      <w:marTop w:val="0"/>
      <w:marBottom w:val="0"/>
      <w:divBdr>
        <w:top w:val="none" w:sz="0" w:space="0" w:color="auto"/>
        <w:left w:val="none" w:sz="0" w:space="0" w:color="auto"/>
        <w:bottom w:val="none" w:sz="0" w:space="0" w:color="auto"/>
        <w:right w:val="none" w:sz="0" w:space="0" w:color="auto"/>
      </w:divBdr>
    </w:div>
    <w:div w:id="1138910404">
      <w:bodyDiv w:val="1"/>
      <w:marLeft w:val="0"/>
      <w:marRight w:val="0"/>
      <w:marTop w:val="0"/>
      <w:marBottom w:val="0"/>
      <w:divBdr>
        <w:top w:val="none" w:sz="0" w:space="0" w:color="auto"/>
        <w:left w:val="none" w:sz="0" w:space="0" w:color="auto"/>
        <w:bottom w:val="none" w:sz="0" w:space="0" w:color="auto"/>
        <w:right w:val="none" w:sz="0" w:space="0" w:color="auto"/>
      </w:divBdr>
      <w:divsChild>
        <w:div w:id="2018842671">
          <w:marLeft w:val="0"/>
          <w:marRight w:val="0"/>
          <w:marTop w:val="0"/>
          <w:marBottom w:val="0"/>
          <w:divBdr>
            <w:top w:val="none" w:sz="0" w:space="0" w:color="auto"/>
            <w:left w:val="none" w:sz="0" w:space="0" w:color="auto"/>
            <w:bottom w:val="none" w:sz="0" w:space="0" w:color="auto"/>
            <w:right w:val="none" w:sz="0" w:space="0" w:color="auto"/>
          </w:divBdr>
          <w:divsChild>
            <w:div w:id="1843811247">
              <w:marLeft w:val="75"/>
              <w:marRight w:val="75"/>
              <w:marTop w:val="375"/>
              <w:marBottom w:val="75"/>
              <w:divBdr>
                <w:top w:val="none" w:sz="0" w:space="0" w:color="auto"/>
                <w:left w:val="none" w:sz="0" w:space="0" w:color="auto"/>
                <w:bottom w:val="none" w:sz="0" w:space="0" w:color="auto"/>
                <w:right w:val="none" w:sz="0" w:space="0" w:color="auto"/>
              </w:divBdr>
              <w:divsChild>
                <w:div w:id="8849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7727">
      <w:bodyDiv w:val="1"/>
      <w:marLeft w:val="0"/>
      <w:marRight w:val="0"/>
      <w:marTop w:val="0"/>
      <w:marBottom w:val="0"/>
      <w:divBdr>
        <w:top w:val="none" w:sz="0" w:space="0" w:color="auto"/>
        <w:left w:val="none" w:sz="0" w:space="0" w:color="auto"/>
        <w:bottom w:val="none" w:sz="0" w:space="0" w:color="auto"/>
        <w:right w:val="none" w:sz="0" w:space="0" w:color="auto"/>
      </w:divBdr>
    </w:div>
    <w:div w:id="1361121964">
      <w:bodyDiv w:val="1"/>
      <w:marLeft w:val="0"/>
      <w:marRight w:val="0"/>
      <w:marTop w:val="0"/>
      <w:marBottom w:val="0"/>
      <w:divBdr>
        <w:top w:val="none" w:sz="0" w:space="0" w:color="auto"/>
        <w:left w:val="none" w:sz="0" w:space="0" w:color="auto"/>
        <w:bottom w:val="none" w:sz="0" w:space="0" w:color="auto"/>
        <w:right w:val="none" w:sz="0" w:space="0" w:color="auto"/>
      </w:divBdr>
    </w:div>
    <w:div w:id="1368676914">
      <w:bodyDiv w:val="1"/>
      <w:marLeft w:val="0"/>
      <w:marRight w:val="0"/>
      <w:marTop w:val="0"/>
      <w:marBottom w:val="0"/>
      <w:divBdr>
        <w:top w:val="none" w:sz="0" w:space="0" w:color="auto"/>
        <w:left w:val="none" w:sz="0" w:space="0" w:color="auto"/>
        <w:bottom w:val="none" w:sz="0" w:space="0" w:color="auto"/>
        <w:right w:val="none" w:sz="0" w:space="0" w:color="auto"/>
      </w:divBdr>
    </w:div>
    <w:div w:id="1469008288">
      <w:bodyDiv w:val="1"/>
      <w:marLeft w:val="0"/>
      <w:marRight w:val="0"/>
      <w:marTop w:val="0"/>
      <w:marBottom w:val="0"/>
      <w:divBdr>
        <w:top w:val="none" w:sz="0" w:space="0" w:color="auto"/>
        <w:left w:val="none" w:sz="0" w:space="0" w:color="auto"/>
        <w:bottom w:val="none" w:sz="0" w:space="0" w:color="auto"/>
        <w:right w:val="none" w:sz="0" w:space="0" w:color="auto"/>
      </w:divBdr>
    </w:div>
    <w:div w:id="1598054748">
      <w:bodyDiv w:val="1"/>
      <w:marLeft w:val="0"/>
      <w:marRight w:val="0"/>
      <w:marTop w:val="0"/>
      <w:marBottom w:val="0"/>
      <w:divBdr>
        <w:top w:val="none" w:sz="0" w:space="0" w:color="auto"/>
        <w:left w:val="none" w:sz="0" w:space="0" w:color="auto"/>
        <w:bottom w:val="none" w:sz="0" w:space="0" w:color="auto"/>
        <w:right w:val="none" w:sz="0" w:space="0" w:color="auto"/>
      </w:divBdr>
    </w:div>
    <w:div w:id="1751082053">
      <w:bodyDiv w:val="1"/>
      <w:marLeft w:val="0"/>
      <w:marRight w:val="0"/>
      <w:marTop w:val="0"/>
      <w:marBottom w:val="0"/>
      <w:divBdr>
        <w:top w:val="none" w:sz="0" w:space="0" w:color="auto"/>
        <w:left w:val="none" w:sz="0" w:space="0" w:color="auto"/>
        <w:bottom w:val="none" w:sz="0" w:space="0" w:color="auto"/>
        <w:right w:val="none" w:sz="0" w:space="0" w:color="auto"/>
      </w:divBdr>
    </w:div>
    <w:div w:id="1783496970">
      <w:bodyDiv w:val="1"/>
      <w:marLeft w:val="0"/>
      <w:marRight w:val="0"/>
      <w:marTop w:val="0"/>
      <w:marBottom w:val="0"/>
      <w:divBdr>
        <w:top w:val="none" w:sz="0" w:space="0" w:color="auto"/>
        <w:left w:val="none" w:sz="0" w:space="0" w:color="auto"/>
        <w:bottom w:val="none" w:sz="0" w:space="0" w:color="auto"/>
        <w:right w:val="none" w:sz="0" w:space="0" w:color="auto"/>
      </w:divBdr>
    </w:div>
    <w:div w:id="1787503249">
      <w:bodyDiv w:val="1"/>
      <w:marLeft w:val="0"/>
      <w:marRight w:val="0"/>
      <w:marTop w:val="0"/>
      <w:marBottom w:val="0"/>
      <w:divBdr>
        <w:top w:val="none" w:sz="0" w:space="0" w:color="auto"/>
        <w:left w:val="none" w:sz="0" w:space="0" w:color="auto"/>
        <w:bottom w:val="none" w:sz="0" w:space="0" w:color="auto"/>
        <w:right w:val="none" w:sz="0" w:space="0" w:color="auto"/>
      </w:divBdr>
    </w:div>
    <w:div w:id="1943418503">
      <w:bodyDiv w:val="1"/>
      <w:marLeft w:val="0"/>
      <w:marRight w:val="0"/>
      <w:marTop w:val="0"/>
      <w:marBottom w:val="0"/>
      <w:divBdr>
        <w:top w:val="none" w:sz="0" w:space="0" w:color="auto"/>
        <w:left w:val="none" w:sz="0" w:space="0" w:color="auto"/>
        <w:bottom w:val="none" w:sz="0" w:space="0" w:color="auto"/>
        <w:right w:val="none" w:sz="0" w:space="0" w:color="auto"/>
      </w:divBdr>
    </w:div>
    <w:div w:id="1951013073">
      <w:bodyDiv w:val="1"/>
      <w:marLeft w:val="0"/>
      <w:marRight w:val="0"/>
      <w:marTop w:val="0"/>
      <w:marBottom w:val="0"/>
      <w:divBdr>
        <w:top w:val="none" w:sz="0" w:space="0" w:color="auto"/>
        <w:left w:val="none" w:sz="0" w:space="0" w:color="auto"/>
        <w:bottom w:val="none" w:sz="0" w:space="0" w:color="auto"/>
        <w:right w:val="none" w:sz="0" w:space="0" w:color="auto"/>
      </w:divBdr>
    </w:div>
    <w:div w:id="1982422496">
      <w:bodyDiv w:val="1"/>
      <w:marLeft w:val="0"/>
      <w:marRight w:val="0"/>
      <w:marTop w:val="0"/>
      <w:marBottom w:val="0"/>
      <w:divBdr>
        <w:top w:val="none" w:sz="0" w:space="0" w:color="auto"/>
        <w:left w:val="none" w:sz="0" w:space="0" w:color="auto"/>
        <w:bottom w:val="none" w:sz="0" w:space="0" w:color="auto"/>
        <w:right w:val="none" w:sz="0" w:space="0" w:color="auto"/>
      </w:divBdr>
    </w:div>
    <w:div w:id="200195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tance.usherwood@afme.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cesgar.es/wp-content/uploads/2023/03/9.-Circular-4-2017-ANEJO-9-riesgo-de-credito.pdf" TargetMode="External"/><Relationship Id="rId1" Type="http://schemas.openxmlformats.org/officeDocument/2006/relationships/hyperlink" Target="https://www.europarl.europa.eu/RegData/etudes/IDAN/2025/773693/ECTI_IDA(2025)773693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orgio.Botta\Association%20for%20Financial%20Markets%20in%20Europe\Templates%20-%20Docs\Consultation%20Response.dotx" TargetMode="External"/></Relationships>
</file>

<file path=word/theme/theme1.xml><?xml version="1.0" encoding="utf-8"?>
<a:theme xmlns:a="http://schemas.openxmlformats.org/drawingml/2006/main" name="AFME">
  <a:themeElements>
    <a:clrScheme name="AFME">
      <a:dk1>
        <a:sysClr val="windowText" lastClr="000000"/>
      </a:dk1>
      <a:lt1>
        <a:sysClr val="window" lastClr="FFFFFF"/>
      </a:lt1>
      <a:dk2>
        <a:srgbClr val="58595B"/>
      </a:dk2>
      <a:lt2>
        <a:srgbClr val="CFD0D2"/>
      </a:lt2>
      <a:accent1>
        <a:srgbClr val="78A22F"/>
      </a:accent1>
      <a:accent2>
        <a:srgbClr val="C9DAAC"/>
      </a:accent2>
      <a:accent3>
        <a:srgbClr val="CFD0D2"/>
      </a:accent3>
      <a:accent4>
        <a:srgbClr val="A7A9AC"/>
      </a:accent4>
      <a:accent5>
        <a:srgbClr val="808285"/>
      </a:accent5>
      <a:accent6>
        <a:srgbClr val="58595B"/>
      </a:accent6>
      <a:hlink>
        <a:srgbClr val="0000FF"/>
      </a:hlink>
      <a:folHlink>
        <a:srgbClr val="800080"/>
      </a:folHlink>
    </a:clrScheme>
    <a:fontScheme name="AFME">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FME" id="{46E60531-B48E-4EE8-9BA3-C3F6A6429AB7}" vid="{DFAD1022-53B1-402F-87A4-C9D8E056B1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7ce1f5-2c56-47ad-b749-5bb5591f77e2">
      <Terms xmlns="http://schemas.microsoft.com/office/infopath/2007/PartnerControls"/>
    </lcf76f155ced4ddcb4097134ff3c332f>
    <TaxCatchAll xmlns="d1b8dd77-ed2a-4c1e-b97c-212b9deaab20" xsi:nil="true"/>
    <SharedWithUsers xmlns="d1b8dd77-ed2a-4c1e-b97c-212b9deaab20">
      <UserInfo>
        <DisplayName>Oliver Moullin</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D73ECF6C751A4098465AC8F534C294" ma:contentTypeVersion="18" ma:contentTypeDescription="Create a new document." ma:contentTypeScope="" ma:versionID="8132f88d358bdc4a8f302b8ff5e47fb5">
  <xsd:schema xmlns:xsd="http://www.w3.org/2001/XMLSchema" xmlns:xs="http://www.w3.org/2001/XMLSchema" xmlns:p="http://schemas.microsoft.com/office/2006/metadata/properties" xmlns:ns2="b67ce1f5-2c56-47ad-b749-5bb5591f77e2" xmlns:ns3="d1b8dd77-ed2a-4c1e-b97c-212b9deaab20" targetNamespace="http://schemas.microsoft.com/office/2006/metadata/properties" ma:root="true" ma:fieldsID="4657c6582432f651235036870ae4e9a2" ns2:_="" ns3:_="">
    <xsd:import namespace="b67ce1f5-2c56-47ad-b749-5bb5591f77e2"/>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ce1f5-2c56-47ad-b749-5bb5591f7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7ba114-990e-42ed-b636-daed5a22fb37}" ma:internalName="TaxCatchAll" ma:showField="CatchAllData" ma:web="d1b8dd77-ed2a-4c1e-b97c-212b9deaa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9687B-5F6F-45AA-A0FA-849D5A334148}">
  <ds:schemaRefs>
    <ds:schemaRef ds:uri="http://schemas.microsoft.com/sharepoint/v3/contenttype/forms"/>
  </ds:schemaRefs>
</ds:datastoreItem>
</file>

<file path=customXml/itemProps2.xml><?xml version="1.0" encoding="utf-8"?>
<ds:datastoreItem xmlns:ds="http://schemas.openxmlformats.org/officeDocument/2006/customXml" ds:itemID="{AD1FAD3B-D102-43F6-9C2A-E19326C12546}">
  <ds:schemaRefs>
    <ds:schemaRef ds:uri="http://schemas.microsoft.com/office/2006/documentManagement/types"/>
    <ds:schemaRef ds:uri="http://purl.org/dc/elements/1.1/"/>
    <ds:schemaRef ds:uri="http://schemas.microsoft.com/office/infopath/2007/PartnerControls"/>
    <ds:schemaRef ds:uri="b67ce1f5-2c56-47ad-b749-5bb5591f77e2"/>
    <ds:schemaRef ds:uri="d1b8dd77-ed2a-4c1e-b97c-212b9deaab20"/>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86081CE-0271-4721-AF94-C3BDF29CE3F2}">
  <ds:schemaRefs>
    <ds:schemaRef ds:uri="http://schemas.openxmlformats.org/officeDocument/2006/bibliography"/>
  </ds:schemaRefs>
</ds:datastoreItem>
</file>

<file path=customXml/itemProps4.xml><?xml version="1.0" encoding="utf-8"?>
<ds:datastoreItem xmlns:ds="http://schemas.openxmlformats.org/officeDocument/2006/customXml" ds:itemID="{805C6646-7C32-46DB-88B5-237948A75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ce1f5-2c56-47ad-b749-5bb5591f77e2"/>
    <ds:schemaRef ds:uri="d1b8dd77-ed2a-4c1e-b97c-212b9dea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Consultation Response</Template>
  <TotalTime>13</TotalTime>
  <Pages>10</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Capgemini UK plc</Company>
  <LinksUpToDate>false</LinksUpToDate>
  <CharactersWithSpaces>29737</CharactersWithSpaces>
  <SharedDoc>false</SharedDoc>
  <HLinks>
    <vt:vector size="36" baseType="variant">
      <vt:variant>
        <vt:i4>6553617</vt:i4>
      </vt:variant>
      <vt:variant>
        <vt:i4>6</vt:i4>
      </vt:variant>
      <vt:variant>
        <vt:i4>0</vt:i4>
      </vt:variant>
      <vt:variant>
        <vt:i4>5</vt:i4>
      </vt:variant>
      <vt:variant>
        <vt:lpwstr>mailto:Carolina.Cazzarolli@afme.eu</vt:lpwstr>
      </vt:variant>
      <vt:variant>
        <vt:lpwstr/>
      </vt:variant>
      <vt:variant>
        <vt:i4>4325419</vt:i4>
      </vt:variant>
      <vt:variant>
        <vt:i4>3</vt:i4>
      </vt:variant>
      <vt:variant>
        <vt:i4>0</vt:i4>
      </vt:variant>
      <vt:variant>
        <vt:i4>5</vt:i4>
      </vt:variant>
      <vt:variant>
        <vt:lpwstr>mailto:Giorgio.Botta@afme.eu</vt:lpwstr>
      </vt:variant>
      <vt:variant>
        <vt:lpwstr/>
      </vt:variant>
      <vt:variant>
        <vt:i4>6488090</vt:i4>
      </vt:variant>
      <vt:variant>
        <vt:i4>0</vt:i4>
      </vt:variant>
      <vt:variant>
        <vt:i4>0</vt:i4>
      </vt:variant>
      <vt:variant>
        <vt:i4>5</vt:i4>
      </vt:variant>
      <vt:variant>
        <vt:lpwstr>mailto:Oliver.Moullin@afme.eu</vt:lpwstr>
      </vt:variant>
      <vt:variant>
        <vt:lpwstr/>
      </vt:variant>
      <vt:variant>
        <vt:i4>5046332</vt:i4>
      </vt:variant>
      <vt:variant>
        <vt:i4>6</vt:i4>
      </vt:variant>
      <vt:variant>
        <vt:i4>0</vt:i4>
      </vt:variant>
      <vt:variant>
        <vt:i4>5</vt:i4>
      </vt:variant>
      <vt:variant>
        <vt:lpwstr>https://ec.europa.eu/finance/docs/law/230613-communication-sustainable-finance_en.pdf</vt:lpwstr>
      </vt:variant>
      <vt:variant>
        <vt:lpwstr/>
      </vt:variant>
      <vt:variant>
        <vt:i4>3866708</vt:i4>
      </vt:variant>
      <vt:variant>
        <vt:i4>3</vt:i4>
      </vt:variant>
      <vt:variant>
        <vt:i4>0</vt:i4>
      </vt:variant>
      <vt:variant>
        <vt:i4>5</vt:i4>
      </vt:variant>
      <vt:variant>
        <vt:lpwstr>https://ec.europa.eu/finance/docs/law/230613-staff-working-document-esg-usability_en.pdf</vt:lpwstr>
      </vt:variant>
      <vt:variant>
        <vt:lpwstr/>
      </vt:variant>
      <vt:variant>
        <vt:i4>5242948</vt:i4>
      </vt:variant>
      <vt:variant>
        <vt:i4>0</vt:i4>
      </vt:variant>
      <vt:variant>
        <vt:i4>0</vt:i4>
      </vt:variant>
      <vt:variant>
        <vt:i4>5</vt:i4>
      </vt:variant>
      <vt:variant>
        <vt:lpwstr>https://www.afme.eu/Portals/0/DispatchFeaturedImages/AFME EFRAG (1)-1.pdf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Botta</dc:creator>
  <cp:keywords/>
  <cp:lastModifiedBy>Constance Usherwood</cp:lastModifiedBy>
  <cp:revision>11</cp:revision>
  <cp:lastPrinted>2025-10-15T13:32:00Z</cp:lastPrinted>
  <dcterms:created xsi:type="dcterms:W3CDTF">2025-10-15T13:29:00Z</dcterms:created>
  <dcterms:modified xsi:type="dcterms:W3CDTF">2025-10-15T13:42:00Z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0x010100ABD73ECF6C751A4098465AC8F534C294</vt:lpwstr>
  </property>
  <property fmtid="{D5CDD505-2E9C-101B-9397-08002B2CF9AE}" pid="3" name="MediaServiceImageTags">
    <vt:lpwstr/>
  </property>
</Properties>
</file>