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AB0" w14:textId="5FD0C529" w:rsidR="002F0431" w:rsidRPr="0064273E" w:rsidRDefault="00ED110F" w:rsidP="00845635">
      <w:pPr>
        <w:spacing w:after="100" w:line="259" w:lineRule="auto"/>
        <w:jc w:val="right"/>
        <w:rPr>
          <w:rFonts w:asciiTheme="majorHAnsi" w:hAnsiTheme="majorHAnsi"/>
          <w:szCs w:val="22"/>
          <w:lang w:val="en-US"/>
        </w:rPr>
      </w:pPr>
      <w:r>
        <w:rPr>
          <w:rFonts w:asciiTheme="majorHAnsi" w:hAnsiTheme="majorHAnsi"/>
          <w:szCs w:val="22"/>
          <w:lang w:val="en-US"/>
        </w:rPr>
        <w:t>1</w:t>
      </w:r>
      <w:r w:rsidR="00111282">
        <w:rPr>
          <w:rFonts w:asciiTheme="majorHAnsi" w:hAnsiTheme="majorHAnsi"/>
          <w:szCs w:val="22"/>
          <w:lang w:val="en-US"/>
        </w:rPr>
        <w:t>9</w:t>
      </w:r>
      <w:r w:rsidR="00BA51E2" w:rsidRPr="0064273E">
        <w:rPr>
          <w:rFonts w:asciiTheme="majorHAnsi" w:hAnsiTheme="majorHAnsi"/>
          <w:szCs w:val="22"/>
          <w:lang w:val="en-US"/>
        </w:rPr>
        <w:t>.</w:t>
      </w:r>
      <w:r w:rsidR="00F208FC">
        <w:rPr>
          <w:rFonts w:asciiTheme="majorHAnsi" w:hAnsiTheme="majorHAnsi"/>
          <w:szCs w:val="22"/>
          <w:lang w:val="en-US"/>
        </w:rPr>
        <w:t>08</w:t>
      </w:r>
      <w:r w:rsidR="00BA51E2" w:rsidRPr="0064273E">
        <w:rPr>
          <w:rFonts w:asciiTheme="majorHAnsi" w:hAnsiTheme="majorHAnsi"/>
          <w:szCs w:val="22"/>
          <w:lang w:val="en-US"/>
        </w:rPr>
        <w:t>.</w:t>
      </w:r>
      <w:r w:rsidR="007F4462" w:rsidRPr="0064273E">
        <w:rPr>
          <w:rFonts w:asciiTheme="majorHAnsi" w:hAnsiTheme="majorHAnsi"/>
          <w:szCs w:val="22"/>
          <w:lang w:val="en-US"/>
        </w:rPr>
        <w:t>202</w:t>
      </w:r>
      <w:r w:rsidR="007F07FE" w:rsidRPr="0064273E">
        <w:rPr>
          <w:rFonts w:asciiTheme="majorHAnsi" w:hAnsiTheme="majorHAnsi"/>
          <w:szCs w:val="22"/>
          <w:lang w:val="en-US"/>
        </w:rPr>
        <w:t>5</w:t>
      </w:r>
    </w:p>
    <w:p w14:paraId="76756CD7" w14:textId="77777777" w:rsidR="00F208FC" w:rsidRPr="00F208FC" w:rsidRDefault="00C25406" w:rsidP="00F208FC">
      <w:pPr>
        <w:jc w:val="center"/>
        <w:rPr>
          <w:b/>
          <w:bCs/>
          <w:sz w:val="28"/>
          <w:szCs w:val="28"/>
          <w:lang w:val="en-US"/>
        </w:rPr>
      </w:pPr>
      <w:r w:rsidRPr="00C25406">
        <w:rPr>
          <w:b/>
          <w:bCs/>
          <w:sz w:val="28"/>
          <w:szCs w:val="28"/>
          <w:lang w:val="en-US"/>
        </w:rPr>
        <w:t xml:space="preserve">EBA </w:t>
      </w:r>
      <w:r w:rsidR="00F208FC" w:rsidRPr="00F208FC">
        <w:rPr>
          <w:b/>
          <w:bCs/>
          <w:sz w:val="28"/>
          <w:szCs w:val="28"/>
          <w:lang w:val="en-US"/>
        </w:rPr>
        <w:t xml:space="preserve">consultation on amended disclosure requirements for ESG risks, equity exposures and aggregate </w:t>
      </w:r>
      <w:proofErr w:type="gramStart"/>
      <w:r w:rsidR="00F208FC" w:rsidRPr="00F208FC">
        <w:rPr>
          <w:b/>
          <w:bCs/>
          <w:sz w:val="28"/>
          <w:szCs w:val="28"/>
          <w:lang w:val="en-US"/>
        </w:rPr>
        <w:t>exposure</w:t>
      </w:r>
      <w:proofErr w:type="gramEnd"/>
      <w:r w:rsidR="00F208FC" w:rsidRPr="00F208FC">
        <w:rPr>
          <w:b/>
          <w:bCs/>
          <w:sz w:val="28"/>
          <w:szCs w:val="28"/>
          <w:lang w:val="en-US"/>
        </w:rPr>
        <w:t xml:space="preserve"> to shadow banking entities</w:t>
      </w:r>
    </w:p>
    <w:p w14:paraId="2A3645D6" w14:textId="11DD767C" w:rsidR="00396922" w:rsidRPr="00C25406" w:rsidRDefault="00396922" w:rsidP="00845635">
      <w:pPr>
        <w:jc w:val="center"/>
        <w:rPr>
          <w:rFonts w:cstheme="minorHAnsi"/>
          <w:b/>
          <w:bCs/>
          <w:lang w:val="en-US"/>
        </w:rPr>
      </w:pPr>
      <w:r w:rsidRPr="00396922">
        <w:rPr>
          <w:rFonts w:cstheme="minorHAnsi"/>
          <w:b/>
          <w:bCs/>
          <w:lang w:val="en-US"/>
        </w:rPr>
        <w:t xml:space="preserve">Comments </w:t>
      </w:r>
      <w:r w:rsidRPr="00C25406">
        <w:rPr>
          <w:rFonts w:cstheme="minorHAnsi"/>
          <w:b/>
          <w:bCs/>
          <w:lang w:val="en-US"/>
        </w:rPr>
        <w:t>of the Austrian Banking Industry</w:t>
      </w:r>
    </w:p>
    <w:p w14:paraId="111CE79A" w14:textId="77777777" w:rsidR="00642256" w:rsidRPr="00C25406" w:rsidRDefault="00642256" w:rsidP="00BE3F95">
      <w:pPr>
        <w:rPr>
          <w:rFonts w:cstheme="minorHAnsi"/>
          <w:b/>
          <w:bCs/>
          <w:u w:val="single"/>
          <w:lang w:val="en-US"/>
        </w:rPr>
      </w:pPr>
    </w:p>
    <w:p w14:paraId="15A37911" w14:textId="77777777" w:rsidR="001464FF" w:rsidRPr="001464FF" w:rsidRDefault="001464FF" w:rsidP="001464FF">
      <w:pPr>
        <w:pBdr>
          <w:top w:val="single" w:sz="4" w:space="1" w:color="auto"/>
          <w:left w:val="single" w:sz="4" w:space="4" w:color="auto"/>
          <w:bottom w:val="single" w:sz="4" w:space="1" w:color="auto"/>
          <w:right w:val="single" w:sz="4" w:space="4" w:color="auto"/>
        </w:pBdr>
        <w:rPr>
          <w:rFonts w:asciiTheme="majorHAnsi" w:hAnsiTheme="majorHAnsi" w:cs="Calibri"/>
          <w:szCs w:val="22"/>
          <w:lang w:val="en-US"/>
        </w:rPr>
      </w:pPr>
      <w:r w:rsidRPr="001464FF">
        <w:rPr>
          <w:rFonts w:asciiTheme="majorHAnsi" w:hAnsiTheme="majorHAnsi" w:cs="Calibri"/>
          <w:i/>
          <w:iCs/>
          <w:szCs w:val="22"/>
          <w:lang w:val="en-US"/>
        </w:rPr>
        <w:t>Q1.</w:t>
      </w:r>
      <w:r w:rsidRPr="001464FF">
        <w:rPr>
          <w:rFonts w:asciiTheme="majorHAnsi" w:hAnsiTheme="majorHAnsi" w:cs="Calibri"/>
          <w:szCs w:val="22"/>
          <w:lang w:val="en-US"/>
        </w:rPr>
        <w:t xml:space="preserve"> </w:t>
      </w:r>
      <w:r w:rsidRPr="001464FF">
        <w:rPr>
          <w:rFonts w:asciiTheme="majorHAnsi" w:eastAsia="Calibri" w:hAnsiTheme="majorHAnsi" w:cs="Calibri"/>
          <w:szCs w:val="22"/>
          <w:lang w:val="en-US"/>
        </w:rPr>
        <w:t xml:space="preserve">Do you have any comments on the proposed set of information for </w:t>
      </w:r>
      <w:proofErr w:type="gramStart"/>
      <w:r w:rsidRPr="001464FF">
        <w:rPr>
          <w:rFonts w:asciiTheme="majorHAnsi" w:eastAsia="Calibri" w:hAnsiTheme="majorHAnsi" w:cs="Calibri"/>
          <w:szCs w:val="22"/>
          <w:lang w:val="en-US"/>
        </w:rPr>
        <w:t>Large</w:t>
      </w:r>
      <w:proofErr w:type="gramEnd"/>
      <w:r w:rsidRPr="001464FF">
        <w:rPr>
          <w:rFonts w:asciiTheme="majorHAnsi" w:eastAsia="Calibri" w:hAnsiTheme="majorHAnsi" w:cs="Calibri"/>
          <w:szCs w:val="22"/>
          <w:lang w:val="en-US"/>
        </w:rPr>
        <w:t xml:space="preserve"> institutions?</w:t>
      </w:r>
    </w:p>
    <w:p w14:paraId="5371C413" w14:textId="77777777" w:rsidR="001464FF" w:rsidRDefault="001464FF" w:rsidP="001464FF">
      <w:pPr>
        <w:rPr>
          <w:rFonts w:asciiTheme="majorHAnsi" w:hAnsiTheme="majorHAnsi" w:cs="Calibri"/>
          <w:szCs w:val="22"/>
          <w:lang w:val="en-US"/>
        </w:rPr>
      </w:pPr>
    </w:p>
    <w:p w14:paraId="3B685133" w14:textId="1928F5FE" w:rsid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We welcome the alignment between the Article 8 disclosure and the disclosure of templates 7 and 8. Additionally, the option to disclose the BTAR on a voluntary basis is appreciated.</w:t>
      </w:r>
    </w:p>
    <w:p w14:paraId="40FBDBB8" w14:textId="77777777" w:rsidR="001464FF" w:rsidRPr="001464FF" w:rsidRDefault="001464FF" w:rsidP="001464FF">
      <w:pPr>
        <w:rPr>
          <w:rFonts w:asciiTheme="majorHAnsi" w:hAnsiTheme="majorHAnsi" w:cs="Calibri"/>
          <w:szCs w:val="22"/>
          <w:lang w:val="en-US"/>
        </w:rPr>
      </w:pPr>
    </w:p>
    <w:p w14:paraId="2BFFEB11" w14:textId="77777777" w:rsidR="001464FF" w:rsidRP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Furthermore, we would like to note that, in accordance with Article 449a(3) CRR III, templates for the disclosure of ESG risks must not request information not mentioned in Article 430(1)(h) CRR III.</w:t>
      </w:r>
    </w:p>
    <w:p w14:paraId="13E9C757" w14:textId="77777777" w:rsidR="001464FF" w:rsidRPr="001464FF" w:rsidRDefault="001464FF" w:rsidP="001464FF">
      <w:pPr>
        <w:pStyle w:val="ListParagraph1000"/>
        <w:spacing w:after="120"/>
        <w:ind w:left="0"/>
        <w:contextualSpacing w:val="0"/>
        <w:rPr>
          <w:rFonts w:asciiTheme="majorHAnsi" w:eastAsiaTheme="minorHAnsi" w:hAnsiTheme="majorHAnsi" w:cs="Calibri"/>
          <w:sz w:val="22"/>
          <w:szCs w:val="22"/>
          <w:lang w:val="en-US" w:eastAsia="en-US"/>
        </w:rPr>
      </w:pPr>
    </w:p>
    <w:p w14:paraId="0A91181F" w14:textId="77777777" w:rsidR="001464FF" w:rsidRPr="001464FF" w:rsidRDefault="001464FF" w:rsidP="001464FF">
      <w:pPr>
        <w:pBdr>
          <w:top w:val="single" w:sz="4" w:space="1" w:color="auto"/>
          <w:left w:val="single" w:sz="4" w:space="4" w:color="auto"/>
          <w:bottom w:val="single" w:sz="4" w:space="1" w:color="auto"/>
          <w:right w:val="single" w:sz="4" w:space="4" w:color="auto"/>
        </w:pBdr>
        <w:rPr>
          <w:rFonts w:asciiTheme="majorHAnsi" w:hAnsiTheme="majorHAnsi" w:cs="Calibri"/>
          <w:i/>
          <w:szCs w:val="22"/>
          <w:lang w:val="en-US"/>
        </w:rPr>
      </w:pPr>
      <w:r w:rsidRPr="001464FF">
        <w:rPr>
          <w:rFonts w:asciiTheme="majorHAnsi" w:hAnsiTheme="majorHAnsi" w:cs="Calibri"/>
          <w:i/>
          <w:iCs/>
          <w:szCs w:val="22"/>
          <w:lang w:val="en-US"/>
        </w:rPr>
        <w:t xml:space="preserve">Q2. Do you have any comments on the simplified set of information for Other listed institutions and </w:t>
      </w:r>
      <w:proofErr w:type="gramStart"/>
      <w:r w:rsidRPr="001464FF">
        <w:rPr>
          <w:rFonts w:asciiTheme="majorHAnsi" w:hAnsiTheme="majorHAnsi" w:cs="Calibri"/>
          <w:i/>
          <w:iCs/>
          <w:szCs w:val="22"/>
          <w:lang w:val="en-US"/>
        </w:rPr>
        <w:t>Large</w:t>
      </w:r>
      <w:proofErr w:type="gramEnd"/>
      <w:r w:rsidRPr="001464FF">
        <w:rPr>
          <w:rFonts w:asciiTheme="majorHAnsi" w:hAnsiTheme="majorHAnsi" w:cs="Calibri"/>
          <w:i/>
          <w:iCs/>
          <w:szCs w:val="22"/>
          <w:lang w:val="en-US"/>
        </w:rPr>
        <w:t xml:space="preserve"> subsidiaries?</w:t>
      </w:r>
    </w:p>
    <w:p w14:paraId="7B57039F" w14:textId="77777777" w:rsidR="001464FF" w:rsidRPr="001464FF" w:rsidRDefault="001464FF" w:rsidP="001464FF">
      <w:pPr>
        <w:pStyle w:val="ListParagraph1000"/>
        <w:spacing w:after="120"/>
        <w:ind w:left="0"/>
        <w:contextualSpacing w:val="0"/>
        <w:rPr>
          <w:rFonts w:asciiTheme="majorHAnsi" w:eastAsiaTheme="minorHAnsi" w:hAnsiTheme="majorHAnsi" w:cs="Calibri"/>
          <w:sz w:val="22"/>
          <w:szCs w:val="22"/>
          <w:lang w:val="en-US" w:eastAsia="en-US"/>
        </w:rPr>
      </w:pPr>
      <w:r w:rsidRPr="001464FF">
        <w:rPr>
          <w:rFonts w:asciiTheme="majorHAnsi" w:eastAsiaTheme="minorHAnsi" w:hAnsiTheme="majorHAnsi" w:cs="Calibri"/>
          <w:sz w:val="22"/>
          <w:szCs w:val="22"/>
          <w:lang w:val="en-US" w:eastAsia="en-US"/>
        </w:rPr>
        <w:t>In Template 1 the disclosure requirement</w:t>
      </w:r>
    </w:p>
    <w:p w14:paraId="5432EAF7" w14:textId="77777777" w:rsidR="001464FF" w:rsidRPr="001464FF" w:rsidRDefault="001464FF" w:rsidP="001464FF">
      <w:pPr>
        <w:pStyle w:val="ListParagraph1000"/>
        <w:spacing w:after="120"/>
        <w:ind w:left="0"/>
        <w:contextualSpacing w:val="0"/>
        <w:rPr>
          <w:rFonts w:asciiTheme="majorHAnsi" w:eastAsiaTheme="minorHAnsi" w:hAnsiTheme="majorHAnsi" w:cs="Calibri"/>
          <w:i/>
          <w:iCs/>
          <w:sz w:val="22"/>
          <w:szCs w:val="22"/>
          <w:lang w:val="en-US" w:eastAsia="en-US"/>
        </w:rPr>
      </w:pPr>
      <w:r w:rsidRPr="001464FF">
        <w:rPr>
          <w:rFonts w:asciiTheme="majorHAnsi" w:eastAsiaTheme="minorHAnsi" w:hAnsiTheme="majorHAnsi" w:cs="Calibri"/>
          <w:i/>
          <w:iCs/>
          <w:sz w:val="22"/>
          <w:szCs w:val="22"/>
          <w:lang w:val="en-US" w:eastAsia="en-US"/>
        </w:rPr>
        <w:t>(c)</w:t>
      </w:r>
      <w:r w:rsidRPr="001464FF">
        <w:rPr>
          <w:rFonts w:asciiTheme="majorHAnsi" w:eastAsiaTheme="minorHAnsi" w:hAnsiTheme="majorHAnsi" w:cs="Calibri"/>
          <w:i/>
          <w:iCs/>
          <w:sz w:val="22"/>
          <w:szCs w:val="22"/>
          <w:lang w:val="en-US" w:eastAsia="en-US"/>
        </w:rPr>
        <w:tab/>
        <w:t>Current investment activities and (future) investment targets towards environmental objectives and EU Taxonomy-aligned activities</w:t>
      </w:r>
      <w:r w:rsidRPr="001464FF">
        <w:rPr>
          <w:rFonts w:asciiTheme="majorHAnsi" w:eastAsiaTheme="minorHAnsi" w:hAnsiTheme="majorHAnsi" w:cs="Calibri"/>
          <w:i/>
          <w:iCs/>
          <w:sz w:val="22"/>
          <w:szCs w:val="22"/>
          <w:lang w:val="en-US" w:eastAsia="en-US"/>
        </w:rPr>
        <w:tab/>
      </w:r>
    </w:p>
    <w:p w14:paraId="406CD77A" w14:textId="77777777" w:rsidR="001464FF" w:rsidRP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 xml:space="preserve">for Other listed and </w:t>
      </w:r>
      <w:proofErr w:type="gramStart"/>
      <w:r w:rsidRPr="001464FF">
        <w:rPr>
          <w:rFonts w:asciiTheme="majorHAnsi" w:hAnsiTheme="majorHAnsi" w:cs="Calibri"/>
          <w:szCs w:val="22"/>
          <w:lang w:val="en-US"/>
        </w:rPr>
        <w:t>Large</w:t>
      </w:r>
      <w:proofErr w:type="gramEnd"/>
      <w:r w:rsidRPr="001464FF">
        <w:rPr>
          <w:rFonts w:asciiTheme="majorHAnsi" w:hAnsiTheme="majorHAnsi" w:cs="Calibri"/>
          <w:szCs w:val="22"/>
          <w:lang w:val="en-US"/>
        </w:rPr>
        <w:t xml:space="preserve"> subsidiaries should be deleted. </w:t>
      </w:r>
    </w:p>
    <w:p w14:paraId="03300E9D" w14:textId="77777777" w:rsidR="001464FF" w:rsidRDefault="001464FF" w:rsidP="001464FF">
      <w:pPr>
        <w:rPr>
          <w:rFonts w:asciiTheme="majorHAnsi" w:hAnsiTheme="majorHAnsi" w:cs="Calibri"/>
          <w:szCs w:val="22"/>
          <w:lang w:val="en-US"/>
        </w:rPr>
      </w:pPr>
    </w:p>
    <w:p w14:paraId="2A9343AE" w14:textId="4E7BEC96" w:rsidR="001464FF" w:rsidRP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Otherwise, for those institutions that are out of scope of the Taxonomy Regulation a taxonomy conformity assessment obligation would be implemented via the backdoor.</w:t>
      </w:r>
      <w:r w:rsidRPr="001464FF">
        <w:rPr>
          <w:rFonts w:asciiTheme="majorHAnsi" w:hAnsiTheme="majorHAnsi" w:cs="Calibri"/>
          <w:szCs w:val="22"/>
          <w:lang w:val="en-US"/>
        </w:rPr>
        <w:br/>
      </w:r>
    </w:p>
    <w:p w14:paraId="6E983450" w14:textId="77777777" w:rsidR="001464FF" w:rsidRPr="001464FF" w:rsidRDefault="001464FF" w:rsidP="001464FF">
      <w:pPr>
        <w:pStyle w:val="Default"/>
        <w:pBdr>
          <w:top w:val="single" w:sz="4" w:space="1" w:color="auto"/>
          <w:left w:val="single" w:sz="4" w:space="4" w:color="auto"/>
          <w:bottom w:val="single" w:sz="4" w:space="1" w:color="auto"/>
          <w:right w:val="single" w:sz="4" w:space="4" w:color="auto"/>
        </w:pBdr>
        <w:spacing w:after="120"/>
        <w:rPr>
          <w:rFonts w:asciiTheme="majorHAnsi" w:hAnsiTheme="majorHAnsi" w:cs="Calibri"/>
          <w:b/>
          <w:bCs/>
          <w:i/>
          <w:iCs/>
          <w:sz w:val="22"/>
          <w:szCs w:val="22"/>
          <w:lang w:val="en-US"/>
        </w:rPr>
      </w:pPr>
      <w:r w:rsidRPr="001464FF">
        <w:rPr>
          <w:rFonts w:asciiTheme="majorHAnsi" w:hAnsiTheme="majorHAnsi" w:cs="Calibri"/>
          <w:i/>
          <w:iCs/>
          <w:color w:val="auto"/>
          <w:sz w:val="22"/>
          <w:szCs w:val="22"/>
          <w:lang w:val="en-US"/>
        </w:rPr>
        <w:t>Q3. Do you have any comments on the simplified set of information proposed for SNCI and other non-listed institutions?</w:t>
      </w:r>
    </w:p>
    <w:p w14:paraId="601BD38D" w14:textId="2C518DCD" w:rsid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 xml:space="preserve">In general, we support the reduced disclosure requirements for </w:t>
      </w:r>
      <w:proofErr w:type="gramStart"/>
      <w:r w:rsidRPr="001464FF">
        <w:rPr>
          <w:rFonts w:asciiTheme="majorHAnsi" w:hAnsiTheme="majorHAnsi" w:cs="Calibri"/>
          <w:szCs w:val="22"/>
          <w:lang w:val="en-US"/>
        </w:rPr>
        <w:t>SN</w:t>
      </w:r>
      <w:r w:rsidR="00A80B59">
        <w:rPr>
          <w:rFonts w:asciiTheme="majorHAnsi" w:hAnsiTheme="majorHAnsi" w:cs="Calibri"/>
          <w:szCs w:val="22"/>
          <w:lang w:val="en-US"/>
        </w:rPr>
        <w:t>C</w:t>
      </w:r>
      <w:r w:rsidRPr="001464FF">
        <w:rPr>
          <w:rFonts w:asciiTheme="majorHAnsi" w:hAnsiTheme="majorHAnsi" w:cs="Calibri"/>
          <w:szCs w:val="22"/>
          <w:lang w:val="en-US"/>
        </w:rPr>
        <w:t>I</w:t>
      </w:r>
      <w:proofErr w:type="gramEnd"/>
      <w:r w:rsidRPr="001464FF">
        <w:rPr>
          <w:rFonts w:asciiTheme="majorHAnsi" w:hAnsiTheme="majorHAnsi" w:cs="Calibri"/>
          <w:szCs w:val="22"/>
          <w:lang w:val="en-US"/>
        </w:rPr>
        <w:t xml:space="preserve"> and that the proportionality principle was respected in this regard.</w:t>
      </w:r>
    </w:p>
    <w:p w14:paraId="42B79D21" w14:textId="77777777" w:rsidR="001464FF" w:rsidRPr="001464FF" w:rsidRDefault="001464FF" w:rsidP="001464FF">
      <w:pPr>
        <w:rPr>
          <w:rFonts w:asciiTheme="majorHAnsi" w:hAnsiTheme="majorHAnsi" w:cs="Calibri"/>
          <w:szCs w:val="22"/>
          <w:lang w:val="en-US"/>
        </w:rPr>
      </w:pPr>
    </w:p>
    <w:p w14:paraId="268FB70B" w14:textId="691BA806" w:rsidR="001464FF" w:rsidRDefault="001464FF" w:rsidP="001464FF">
      <w:pPr>
        <w:rPr>
          <w:rFonts w:asciiTheme="majorHAnsi" w:hAnsiTheme="majorHAnsi" w:cs="Calibri"/>
          <w:szCs w:val="22"/>
          <w:lang w:val="en-US"/>
        </w:rPr>
      </w:pPr>
      <w:r w:rsidRPr="001464FF">
        <w:rPr>
          <w:rFonts w:asciiTheme="majorHAnsi" w:hAnsiTheme="majorHAnsi" w:cs="Calibri"/>
          <w:szCs w:val="22"/>
          <w:lang w:val="en-US"/>
        </w:rPr>
        <w:t xml:space="preserve">Ensuring that SNCIs are not overburdened by disclosure requirements is essential to preserve the competitiveness of locally active banks while still upholding transparency and achieving market discipline. </w:t>
      </w:r>
    </w:p>
    <w:p w14:paraId="28D7A032" w14:textId="77777777" w:rsidR="00A70194" w:rsidRDefault="00A70194" w:rsidP="001464FF">
      <w:pPr>
        <w:rPr>
          <w:rFonts w:asciiTheme="majorHAnsi" w:hAnsiTheme="majorHAnsi" w:cs="Calibri"/>
          <w:szCs w:val="22"/>
          <w:lang w:val="en-US"/>
        </w:rPr>
      </w:pPr>
    </w:p>
    <w:p w14:paraId="77B73A05" w14:textId="77777777" w:rsidR="00A70194" w:rsidRPr="00724920" w:rsidRDefault="00A70194" w:rsidP="00A70194">
      <w:pPr>
        <w:rPr>
          <w:lang w:val="en-US"/>
        </w:rPr>
      </w:pPr>
      <w:r w:rsidRPr="0053190E">
        <w:rPr>
          <w:lang w:val="en-US"/>
        </w:rPr>
        <w:t xml:space="preserve">That said, however, the question arises </w:t>
      </w:r>
      <w:r>
        <w:rPr>
          <w:lang w:val="en-US"/>
        </w:rPr>
        <w:t>on</w:t>
      </w:r>
      <w:r w:rsidRPr="0053190E">
        <w:rPr>
          <w:lang w:val="en-US"/>
        </w:rPr>
        <w:t xml:space="preserve"> </w:t>
      </w:r>
      <w:r>
        <w:rPr>
          <w:lang w:val="en-US"/>
        </w:rPr>
        <w:t>the articulation and aim of the</w:t>
      </w:r>
      <w:r w:rsidRPr="0053190E">
        <w:rPr>
          <w:lang w:val="en-US"/>
        </w:rPr>
        <w:t xml:space="preserve"> disclosure formats for SNCIs</w:t>
      </w:r>
      <w:r>
        <w:rPr>
          <w:lang w:val="en-US"/>
        </w:rPr>
        <w:t>, especially in the absence of the reporting framework</w:t>
      </w:r>
      <w:r w:rsidRPr="0053190E">
        <w:rPr>
          <w:lang w:val="en-US"/>
        </w:rPr>
        <w:t xml:space="preserve">. </w:t>
      </w:r>
      <w:r w:rsidRPr="00724920">
        <w:rPr>
          <w:lang w:val="en-US"/>
        </w:rPr>
        <w:t>It is one of the basic principles of the Basel IV regime that small and non-complex banks should be (completely) exempted from Pillar 3 disclosure requirements. In this vein, pursuant to Recital 53 CRR III EBA shall publish the disclosures of small and non-complex institutions, based on the information reported by those institutions to competent authorities and should thus significantly reduce the administrative burden to which small and non-complex institutions are subject.</w:t>
      </w:r>
    </w:p>
    <w:p w14:paraId="5FD8CC50" w14:textId="77777777" w:rsidR="008C704E" w:rsidRPr="00724920" w:rsidRDefault="008C704E" w:rsidP="00A70194">
      <w:pPr>
        <w:rPr>
          <w:lang w:val="en-US"/>
        </w:rPr>
      </w:pPr>
    </w:p>
    <w:p w14:paraId="2DA6D82A" w14:textId="785AB506" w:rsidR="00A70194" w:rsidRDefault="00A70194" w:rsidP="001464FF">
      <w:pPr>
        <w:rPr>
          <w:rFonts w:asciiTheme="majorHAnsi" w:hAnsiTheme="majorHAnsi" w:cs="Calibri"/>
          <w:szCs w:val="22"/>
          <w:lang w:val="en-US"/>
        </w:rPr>
      </w:pPr>
      <w:r w:rsidRPr="00724920">
        <w:rPr>
          <w:lang w:val="en-US"/>
        </w:rPr>
        <w:t xml:space="preserve">Moreover, according to Article 434(4) CRR III </w:t>
      </w:r>
      <w:r w:rsidR="00724920" w:rsidRPr="001464FF">
        <w:rPr>
          <w:rFonts w:asciiTheme="majorHAnsi" w:hAnsiTheme="majorHAnsi" w:cs="Calibri"/>
          <w:szCs w:val="22"/>
          <w:lang w:val="en-US"/>
        </w:rPr>
        <w:t>states that the EBA shall publish the disclosures of SNCIs on its website, based on the information reported by those institutions to the competent authorities in accordance with Article 430 CRR.</w:t>
      </w:r>
      <w:r>
        <w:rPr>
          <w:lang w:val="en-US"/>
        </w:rPr>
        <w:t xml:space="preserve"> </w:t>
      </w:r>
    </w:p>
    <w:p w14:paraId="5C63AD8A" w14:textId="64509B89" w:rsidR="00320001" w:rsidRPr="001464FF" w:rsidRDefault="0093761C" w:rsidP="001464FF">
      <w:pPr>
        <w:rPr>
          <w:rFonts w:asciiTheme="majorHAnsi" w:hAnsiTheme="majorHAnsi" w:cs="Calibri"/>
          <w:szCs w:val="22"/>
          <w:lang w:val="en-US"/>
        </w:rPr>
      </w:pPr>
      <w:r>
        <w:rPr>
          <w:rFonts w:asciiTheme="majorHAnsi" w:hAnsiTheme="majorHAnsi" w:cs="Calibri"/>
          <w:szCs w:val="22"/>
          <w:lang w:val="en-US"/>
        </w:rPr>
        <w:t xml:space="preserve">This aspect should be clarified. </w:t>
      </w:r>
    </w:p>
    <w:p w14:paraId="26999B3F" w14:textId="77777777" w:rsidR="001464FF" w:rsidRPr="001464FF" w:rsidRDefault="001464FF" w:rsidP="001464FF">
      <w:pPr>
        <w:rPr>
          <w:rFonts w:asciiTheme="majorHAnsi" w:hAnsiTheme="majorHAnsi" w:cs="Calibri"/>
          <w:szCs w:val="22"/>
          <w:lang w:val="en-US"/>
        </w:rPr>
      </w:pPr>
    </w:p>
    <w:p w14:paraId="3C3F9EC3" w14:textId="77777777" w:rsidR="001464FF" w:rsidRPr="001464FF" w:rsidRDefault="001464FF" w:rsidP="001464FF">
      <w:pPr>
        <w:pStyle w:val="Default"/>
        <w:pBdr>
          <w:top w:val="single" w:sz="4" w:space="1" w:color="auto"/>
          <w:left w:val="single" w:sz="4" w:space="4" w:color="auto"/>
          <w:bottom w:val="single" w:sz="4" w:space="1" w:color="auto"/>
          <w:right w:val="single" w:sz="4" w:space="4" w:color="auto"/>
        </w:pBdr>
        <w:spacing w:after="120"/>
        <w:rPr>
          <w:rFonts w:asciiTheme="majorHAnsi" w:hAnsiTheme="majorHAnsi" w:cs="Calibri"/>
          <w:i/>
          <w:color w:val="auto"/>
          <w:sz w:val="22"/>
          <w:szCs w:val="22"/>
          <w:lang w:val="en-US"/>
        </w:rPr>
      </w:pPr>
      <w:r w:rsidRPr="001464FF">
        <w:rPr>
          <w:rFonts w:asciiTheme="majorHAnsi" w:hAnsiTheme="majorHAnsi" w:cs="Calibri"/>
          <w:i/>
          <w:iCs/>
          <w:color w:val="auto"/>
          <w:sz w:val="22"/>
          <w:szCs w:val="22"/>
          <w:lang w:val="en-US"/>
        </w:rPr>
        <w:t xml:space="preserve">Q4. Do you have any comments on the proposed approach based on materiality principle to reduce the frequency (from semi-annual to annual) of specific templates (qualitative, template 3, and templates 6-10) for </w:t>
      </w:r>
      <w:proofErr w:type="gramStart"/>
      <w:r w:rsidRPr="001464FF">
        <w:rPr>
          <w:rFonts w:asciiTheme="majorHAnsi" w:hAnsiTheme="majorHAnsi" w:cs="Calibri"/>
          <w:i/>
          <w:iCs/>
          <w:color w:val="auto"/>
          <w:sz w:val="22"/>
          <w:szCs w:val="22"/>
          <w:lang w:val="en-US"/>
        </w:rPr>
        <w:t>large listed</w:t>
      </w:r>
      <w:proofErr w:type="gramEnd"/>
      <w:r w:rsidRPr="001464FF">
        <w:rPr>
          <w:rFonts w:asciiTheme="majorHAnsi" w:hAnsiTheme="majorHAnsi" w:cs="Calibri"/>
          <w:i/>
          <w:iCs/>
          <w:color w:val="auto"/>
          <w:sz w:val="22"/>
          <w:szCs w:val="22"/>
          <w:lang w:val="en-US"/>
        </w:rPr>
        <w:t xml:space="preserve"> institutions?</w:t>
      </w:r>
    </w:p>
    <w:p w14:paraId="6FBA7D06" w14:textId="77777777" w:rsidR="001464FF" w:rsidRPr="001464FF" w:rsidRDefault="001464FF" w:rsidP="001464FF">
      <w:pPr>
        <w:pStyle w:val="ListParagraph1000"/>
        <w:spacing w:after="120"/>
        <w:ind w:left="0"/>
        <w:contextualSpacing w:val="0"/>
        <w:rPr>
          <w:rFonts w:asciiTheme="majorHAnsi" w:eastAsiaTheme="minorHAnsi" w:hAnsiTheme="majorHAnsi" w:cs="Calibri"/>
          <w:sz w:val="22"/>
          <w:szCs w:val="22"/>
          <w:lang w:val="en-US" w:eastAsia="en-US"/>
        </w:rPr>
      </w:pPr>
      <w:r w:rsidRPr="001464FF">
        <w:rPr>
          <w:rFonts w:asciiTheme="majorHAnsi" w:eastAsiaTheme="minorHAnsi" w:hAnsiTheme="majorHAnsi" w:cs="Calibri"/>
          <w:sz w:val="22"/>
          <w:szCs w:val="22"/>
          <w:lang w:val="en-US" w:eastAsia="en-US"/>
        </w:rPr>
        <w:t xml:space="preserve">We believe that the frequency reduction is an appropriate step in terms of burden reduction. Particularly, the qualitative information is very apt for yearly submissions as it is highly unlikely to witness unexpected massive changes in strategy and controls over the course of 6-months submissions. The same reasoning applies to the templates in question (3, 6-10). </w:t>
      </w:r>
    </w:p>
    <w:p w14:paraId="605B3561" w14:textId="77777777" w:rsidR="001464FF" w:rsidRPr="001464FF" w:rsidRDefault="001464FF" w:rsidP="001464FF">
      <w:pPr>
        <w:pStyle w:val="ListParagraph1000"/>
        <w:spacing w:after="120"/>
        <w:ind w:left="0"/>
        <w:contextualSpacing w:val="0"/>
        <w:rPr>
          <w:rFonts w:asciiTheme="majorHAnsi" w:eastAsiaTheme="minorHAnsi" w:hAnsiTheme="majorHAnsi" w:cs="Calibri"/>
          <w:sz w:val="22"/>
          <w:szCs w:val="22"/>
          <w:lang w:val="en-US" w:eastAsia="en-US"/>
        </w:rPr>
      </w:pPr>
    </w:p>
    <w:p w14:paraId="261BC127" w14:textId="7ECD712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b/>
          <w:bCs/>
          <w:i/>
          <w:iCs/>
          <w:sz w:val="22"/>
          <w:szCs w:val="22"/>
          <w:lang w:val="en-US"/>
        </w:rPr>
      </w:pPr>
      <w:r w:rsidRPr="001464FF">
        <w:rPr>
          <w:rStyle w:val="normaltextrun"/>
          <w:rFonts w:asciiTheme="majorHAnsi" w:hAnsiTheme="majorHAnsi" w:cs="Calibri"/>
          <w:i/>
          <w:iCs/>
          <w:sz w:val="22"/>
          <w:szCs w:val="22"/>
          <w:lang w:val="en-US"/>
        </w:rPr>
        <w:t xml:space="preserve">Q5. </w:t>
      </w:r>
      <w:r w:rsidR="00EF3BC1" w:rsidRPr="00EF3BC1">
        <w:rPr>
          <w:rFonts w:asciiTheme="majorHAnsi" w:hAnsiTheme="majorHAnsi" w:cs="Calibri"/>
          <w:i/>
          <w:sz w:val="22"/>
          <w:szCs w:val="22"/>
          <w:lang w:val="en-US"/>
        </w:rPr>
        <w:t>Do you have any comments on the transitional provisions and on the overall content of section 3.5 of the consultation paper?</w:t>
      </w:r>
    </w:p>
    <w:p w14:paraId="08474B1E" w14:textId="779EB78C" w:rsidR="004F274C" w:rsidRDefault="004F274C" w:rsidP="001464FF">
      <w:pPr>
        <w:pStyle w:val="ListParagraph1000"/>
        <w:spacing w:after="120"/>
        <w:ind w:left="0"/>
        <w:contextualSpacing w:val="0"/>
        <w:rPr>
          <w:rFonts w:asciiTheme="majorHAnsi" w:eastAsiaTheme="minorHAnsi" w:hAnsiTheme="majorHAnsi" w:cs="Calibri"/>
          <w:sz w:val="22"/>
          <w:szCs w:val="22"/>
          <w:lang w:val="en-US" w:eastAsia="en-US"/>
        </w:rPr>
      </w:pPr>
      <w:r w:rsidRPr="004F274C">
        <w:rPr>
          <w:rFonts w:asciiTheme="majorHAnsi" w:eastAsiaTheme="minorHAnsi" w:hAnsiTheme="majorHAnsi" w:cs="Calibri"/>
          <w:sz w:val="22"/>
          <w:szCs w:val="22"/>
          <w:lang w:val="en-US" w:eastAsia="en-US"/>
        </w:rPr>
        <w:t xml:space="preserve">We </w:t>
      </w:r>
      <w:r w:rsidR="00CB725C">
        <w:rPr>
          <w:rFonts w:asciiTheme="majorHAnsi" w:eastAsiaTheme="minorHAnsi" w:hAnsiTheme="majorHAnsi" w:cs="Calibri"/>
          <w:sz w:val="22"/>
          <w:szCs w:val="22"/>
          <w:lang w:val="en-US" w:eastAsia="en-US"/>
        </w:rPr>
        <w:t xml:space="preserve">support the </w:t>
      </w:r>
      <w:r w:rsidR="000A4204">
        <w:rPr>
          <w:rFonts w:asciiTheme="majorHAnsi" w:eastAsiaTheme="minorHAnsi" w:hAnsiTheme="majorHAnsi" w:cs="Calibri"/>
          <w:sz w:val="22"/>
          <w:szCs w:val="22"/>
          <w:lang w:val="en-US" w:eastAsia="en-US"/>
        </w:rPr>
        <w:t xml:space="preserve">proposed approach to suspend the </w:t>
      </w:r>
      <w:r w:rsidRPr="004F274C">
        <w:rPr>
          <w:rFonts w:asciiTheme="majorHAnsi" w:eastAsiaTheme="minorHAnsi" w:hAnsiTheme="majorHAnsi" w:cs="Calibri"/>
          <w:sz w:val="22"/>
          <w:szCs w:val="22"/>
          <w:lang w:val="en-US" w:eastAsia="en-US"/>
        </w:rPr>
        <w:t>disclosure obligations</w:t>
      </w:r>
      <w:r w:rsidR="00DD7389" w:rsidRPr="00DD7389">
        <w:rPr>
          <w:rFonts w:asciiTheme="majorHAnsi" w:eastAsiaTheme="minorHAnsi" w:hAnsiTheme="majorHAnsi" w:cs="Calibri"/>
          <w:sz w:val="22"/>
          <w:szCs w:val="22"/>
          <w:lang w:val="en-US" w:eastAsia="en-US"/>
        </w:rPr>
        <w:t xml:space="preserve"> </w:t>
      </w:r>
      <w:r w:rsidRPr="004F274C">
        <w:rPr>
          <w:rFonts w:asciiTheme="majorHAnsi" w:eastAsiaTheme="minorHAnsi" w:hAnsiTheme="majorHAnsi" w:cs="Calibri"/>
          <w:sz w:val="22"/>
          <w:szCs w:val="22"/>
          <w:lang w:val="en-US" w:eastAsia="en-US"/>
        </w:rPr>
        <w:t xml:space="preserve">for the Green Asset Ratio (GAR) and Taxonomy Regulation templates (6 to 10) </w:t>
      </w:r>
      <w:r w:rsidR="000A1ABE">
        <w:rPr>
          <w:rFonts w:asciiTheme="majorHAnsi" w:eastAsiaTheme="minorHAnsi" w:hAnsiTheme="majorHAnsi" w:cs="Calibri"/>
          <w:sz w:val="22"/>
          <w:szCs w:val="22"/>
          <w:lang w:val="en-US" w:eastAsia="en-US"/>
        </w:rPr>
        <w:t>for large, listed institutions</w:t>
      </w:r>
      <w:r w:rsidR="000A1ABE" w:rsidRPr="004F274C">
        <w:rPr>
          <w:rFonts w:asciiTheme="majorHAnsi" w:eastAsiaTheme="minorHAnsi" w:hAnsiTheme="majorHAnsi" w:cs="Calibri"/>
          <w:sz w:val="22"/>
          <w:szCs w:val="22"/>
          <w:lang w:val="en-US" w:eastAsia="en-US"/>
        </w:rPr>
        <w:t xml:space="preserve"> </w:t>
      </w:r>
      <w:r w:rsidRPr="004F274C">
        <w:rPr>
          <w:rFonts w:asciiTheme="majorHAnsi" w:eastAsiaTheme="minorHAnsi" w:hAnsiTheme="majorHAnsi" w:cs="Calibri"/>
          <w:sz w:val="22"/>
          <w:szCs w:val="22"/>
          <w:lang w:val="en-US" w:eastAsia="en-US"/>
        </w:rPr>
        <w:t>until the end of 2026</w:t>
      </w:r>
      <w:r>
        <w:rPr>
          <w:rFonts w:asciiTheme="majorHAnsi" w:eastAsiaTheme="minorHAnsi" w:hAnsiTheme="majorHAnsi" w:cs="Calibri"/>
          <w:sz w:val="22"/>
          <w:szCs w:val="22"/>
          <w:lang w:val="en-US" w:eastAsia="en-US"/>
        </w:rPr>
        <w:t xml:space="preserve">. </w:t>
      </w:r>
    </w:p>
    <w:p w14:paraId="11CDB2C3" w14:textId="79EC0030" w:rsidR="001464FF" w:rsidRPr="001464FF" w:rsidRDefault="001464FF" w:rsidP="001464FF">
      <w:pPr>
        <w:pStyle w:val="ListParagraph1000"/>
        <w:spacing w:after="120"/>
        <w:ind w:left="0"/>
        <w:contextualSpacing w:val="0"/>
        <w:rPr>
          <w:rFonts w:asciiTheme="majorHAnsi" w:eastAsiaTheme="minorHAnsi" w:hAnsiTheme="majorHAnsi" w:cs="Calibri"/>
          <w:sz w:val="22"/>
          <w:szCs w:val="22"/>
          <w:lang w:val="en-US" w:eastAsia="en-US"/>
        </w:rPr>
      </w:pPr>
      <w:r w:rsidRPr="001464FF">
        <w:rPr>
          <w:rFonts w:asciiTheme="majorHAnsi" w:eastAsiaTheme="minorHAnsi" w:hAnsiTheme="majorHAnsi" w:cs="Calibri"/>
          <w:sz w:val="22"/>
          <w:szCs w:val="22"/>
          <w:lang w:val="en-US" w:eastAsia="en-US"/>
        </w:rPr>
        <w:t xml:space="preserve">We support the proposed transitional provision for large non-listed institutions, other institutions, SNCIs and large subsidiaries to apply the ITS proposed in this Consultation Paper from the reference date of 31 December 2026 onwards. Until that reference date, the disclosure obligations introduced by CRR III on ESG-related risks under the EBA Pillar 3 ITS should not apply to those entities. The same grace period should likewise cover the new disclosures on the aggregate exposure to shadow banking entities and amendments on equity exposures, for all institutions. </w:t>
      </w:r>
    </w:p>
    <w:p w14:paraId="1B4FA228" w14:textId="77777777" w:rsidR="001464FF" w:rsidRPr="001464FF" w:rsidRDefault="001464FF" w:rsidP="001464FF">
      <w:pPr>
        <w:pStyle w:val="ListParagraph1000"/>
        <w:spacing w:after="120"/>
        <w:ind w:left="0"/>
        <w:contextualSpacing w:val="0"/>
        <w:rPr>
          <w:rFonts w:asciiTheme="majorHAnsi" w:hAnsiTheme="majorHAnsi" w:cs="Calibri"/>
          <w:sz w:val="22"/>
          <w:szCs w:val="22"/>
        </w:rPr>
      </w:pPr>
      <w:r w:rsidRPr="001464FF">
        <w:rPr>
          <w:rStyle w:val="eop"/>
          <w:rFonts w:asciiTheme="majorHAnsi" w:hAnsiTheme="majorHAnsi" w:cs="Calibri"/>
          <w:sz w:val="22"/>
          <w:szCs w:val="22"/>
        </w:rPr>
        <w:t> </w:t>
      </w:r>
    </w:p>
    <w:p w14:paraId="14453089" w14:textId="4557DA2C" w:rsidR="00BA012B" w:rsidRPr="00BA012B" w:rsidRDefault="001464FF" w:rsidP="001464FF">
      <w:pPr>
        <w:pStyle w:val="paragraph"/>
        <w:pBdr>
          <w:top w:val="single" w:sz="4" w:space="1" w:color="000000"/>
          <w:left w:val="single" w:sz="4" w:space="4" w:color="000000"/>
          <w:bottom w:val="single" w:sz="4" w:space="0" w:color="000000"/>
          <w:right w:val="single" w:sz="4" w:space="4" w:color="000000"/>
        </w:pBdr>
        <w:spacing w:before="0" w:beforeAutospacing="0" w:after="120" w:afterAutospacing="0"/>
        <w:textAlignment w:val="baseline"/>
        <w:rPr>
          <w:rStyle w:val="normaltextrun"/>
          <w:rFonts w:asciiTheme="majorHAnsi" w:hAnsiTheme="majorHAnsi" w:cs="Calibri"/>
          <w:i/>
          <w:iCs/>
          <w:sz w:val="22"/>
          <w:szCs w:val="22"/>
          <w:lang w:val="en-US"/>
        </w:rPr>
      </w:pPr>
      <w:r w:rsidRPr="001464FF">
        <w:rPr>
          <w:rStyle w:val="normaltextrun"/>
          <w:rFonts w:asciiTheme="majorHAnsi" w:hAnsiTheme="majorHAnsi" w:cs="Calibri"/>
          <w:i/>
          <w:iCs/>
          <w:sz w:val="22"/>
          <w:szCs w:val="22"/>
          <w:lang w:val="en-US"/>
        </w:rPr>
        <w:t xml:space="preserve">Q6. </w:t>
      </w:r>
      <w:r w:rsidR="00BA012B" w:rsidRPr="00557274">
        <w:rPr>
          <w:rFonts w:asciiTheme="majorHAnsi" w:hAnsiTheme="majorHAnsi" w:cs="Calibri"/>
          <w:i/>
          <w:iCs/>
          <w:sz w:val="22"/>
          <w:szCs w:val="22"/>
          <w:lang w:val="en-US"/>
        </w:rPr>
        <w:t>Do you have any comments on the proposed amendments to Table 1 and Table 3?</w:t>
      </w:r>
    </w:p>
    <w:p w14:paraId="590C9EAA" w14:textId="33C174DE" w:rsidR="001464FF" w:rsidRPr="001464FF" w:rsidRDefault="00BA012B" w:rsidP="001464FF">
      <w:pPr>
        <w:pStyle w:val="paragraph"/>
        <w:pBdr>
          <w:top w:val="single" w:sz="4" w:space="1" w:color="000000"/>
          <w:left w:val="single" w:sz="4" w:space="4" w:color="000000"/>
          <w:bottom w:val="single" w:sz="4" w:space="0" w:color="000000"/>
          <w:right w:val="single" w:sz="4" w:space="4" w:color="000000"/>
        </w:pBdr>
        <w:spacing w:before="0" w:beforeAutospacing="0" w:after="120" w:afterAutospacing="0"/>
        <w:textAlignment w:val="baseline"/>
        <w:rPr>
          <w:rFonts w:asciiTheme="majorHAnsi" w:hAnsiTheme="majorHAnsi" w:cs="Calibri"/>
          <w:sz w:val="22"/>
          <w:szCs w:val="22"/>
        </w:rPr>
      </w:pPr>
      <w:r>
        <w:rPr>
          <w:rStyle w:val="normaltextrun"/>
          <w:rFonts w:asciiTheme="majorHAnsi" w:hAnsiTheme="majorHAnsi" w:cs="Calibri"/>
          <w:i/>
          <w:iCs/>
          <w:sz w:val="22"/>
          <w:szCs w:val="22"/>
          <w:lang w:val="en-US"/>
        </w:rPr>
        <w:t xml:space="preserve">Q7. </w:t>
      </w:r>
      <w:r w:rsidR="001464FF" w:rsidRPr="001464FF">
        <w:rPr>
          <w:rStyle w:val="normaltextrun"/>
          <w:rFonts w:asciiTheme="majorHAnsi" w:hAnsiTheme="majorHAnsi" w:cs="Calibri"/>
          <w:i/>
          <w:iCs/>
          <w:sz w:val="22"/>
          <w:szCs w:val="22"/>
          <w:lang w:val="en-US"/>
        </w:rPr>
        <w:t>Do you have any further suggestions on Table 1A?</w:t>
      </w:r>
    </w:p>
    <w:p w14:paraId="0968E3F5" w14:textId="5316C7F0"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4606F338" w14:textId="059FD563"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w:t>
      </w:r>
      <w:r w:rsidR="00BE7B65">
        <w:rPr>
          <w:rStyle w:val="normaltextrun"/>
          <w:rFonts w:asciiTheme="majorHAnsi" w:hAnsiTheme="majorHAnsi" w:cs="Calibri"/>
          <w:i/>
          <w:iCs/>
          <w:sz w:val="22"/>
          <w:szCs w:val="22"/>
          <w:lang w:val="en-US"/>
        </w:rPr>
        <w:t>8</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on the proposed additions and deletions to the sector breakdown?</w:t>
      </w:r>
    </w:p>
    <w:p w14:paraId="5960D495" w14:textId="7DE28061"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1B9E1E90" w14:textId="30897BD7"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w:t>
      </w:r>
      <w:r w:rsidR="00BE7B65">
        <w:rPr>
          <w:rStyle w:val="normaltextrun"/>
          <w:rFonts w:asciiTheme="majorHAnsi" w:hAnsiTheme="majorHAnsi" w:cs="Calibri"/>
          <w:i/>
          <w:iCs/>
          <w:sz w:val="22"/>
          <w:szCs w:val="22"/>
          <w:lang w:val="en-US"/>
        </w:rPr>
        <w:t>9</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views with regards to the update of the templates to NACE 2.1?</w:t>
      </w:r>
    </w:p>
    <w:p w14:paraId="6ACA1622" w14:textId="1733D191" w:rsidR="001464FF" w:rsidRDefault="001464FF" w:rsidP="001464FF">
      <w:pPr>
        <w:spacing w:after="120"/>
        <w:rPr>
          <w:rStyle w:val="eop"/>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293DB173" w14:textId="2925F1E0" w:rsidR="00557274" w:rsidRPr="00557274" w:rsidRDefault="00557274" w:rsidP="00557274">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i/>
          <w:iCs/>
          <w:sz w:val="22"/>
          <w:szCs w:val="22"/>
        </w:rPr>
      </w:pPr>
      <w:r w:rsidRPr="00557274">
        <w:rPr>
          <w:rFonts w:asciiTheme="majorHAnsi" w:hAnsiTheme="majorHAnsi" w:cs="Calibri"/>
          <w:i/>
          <w:iCs/>
          <w:sz w:val="22"/>
          <w:szCs w:val="22"/>
        </w:rPr>
        <w:t xml:space="preserve">Q10. Do you have any views with regards to NACE code K – Telecommunication, computer programming, consulting, computing infrastructure and other information service activities, and in particular K 63 - Computing infrastructure, data processing, hosting and other information service activities, whether these sectors should be rather allocated in the template under section Exposures towards sectors that highly contribute to climate change? </w:t>
      </w:r>
    </w:p>
    <w:p w14:paraId="7CF8BAD6" w14:textId="77777777" w:rsidR="00557274" w:rsidRDefault="00557274" w:rsidP="00557274">
      <w:pPr>
        <w:spacing w:after="120"/>
        <w:rPr>
          <w:rStyle w:val="eop"/>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43432DD3" w14:textId="2700784A" w:rsidR="00557274" w:rsidRPr="00557274" w:rsidRDefault="00557274" w:rsidP="00557274">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i/>
          <w:iCs/>
          <w:sz w:val="22"/>
          <w:szCs w:val="22"/>
        </w:rPr>
      </w:pPr>
      <w:r w:rsidRPr="00557274">
        <w:rPr>
          <w:rFonts w:asciiTheme="majorHAnsi" w:hAnsiTheme="majorHAnsi" w:cs="Calibri"/>
          <w:i/>
          <w:iCs/>
          <w:sz w:val="22"/>
          <w:szCs w:val="22"/>
        </w:rPr>
        <w:t>Q11. Do you have any comments on the inclusion of row “Coverage of portfolio with use of proxies (according to PCAF)”?</w:t>
      </w:r>
    </w:p>
    <w:p w14:paraId="52174C21" w14:textId="77777777" w:rsidR="00557274" w:rsidRDefault="00557274" w:rsidP="00557274">
      <w:pPr>
        <w:spacing w:after="120"/>
        <w:rPr>
          <w:rStyle w:val="eop"/>
          <w:rFonts w:asciiTheme="majorHAnsi" w:hAnsiTheme="majorHAnsi" w:cs="Calibri"/>
          <w:szCs w:val="22"/>
          <w:lang w:val="en-US"/>
        </w:rPr>
      </w:pPr>
      <w:r w:rsidRPr="00855001">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0B84210E" w14:textId="77777777" w:rsidR="00557274" w:rsidRPr="00855001" w:rsidRDefault="00557274" w:rsidP="00557274">
      <w:pPr>
        <w:spacing w:after="120"/>
        <w:rPr>
          <w:rFonts w:asciiTheme="majorHAnsi" w:hAnsiTheme="majorHAnsi" w:cs="Calibri"/>
          <w:szCs w:val="22"/>
          <w:lang w:val="en-US"/>
        </w:rPr>
      </w:pPr>
    </w:p>
    <w:p w14:paraId="65114061" w14:textId="77777777" w:rsidR="003F4163" w:rsidRDefault="003F4163">
      <w:pPr>
        <w:rPr>
          <w:rStyle w:val="normaltextrun"/>
          <w:rFonts w:asciiTheme="majorHAnsi" w:hAnsiTheme="majorHAnsi" w:cs="Calibri"/>
          <w:i/>
          <w:iCs/>
          <w:szCs w:val="22"/>
          <w:lang w:val="en-US" w:eastAsia="en-US"/>
        </w:rPr>
      </w:pPr>
      <w:r>
        <w:rPr>
          <w:rStyle w:val="normaltextrun"/>
          <w:rFonts w:asciiTheme="majorHAnsi" w:hAnsiTheme="majorHAnsi" w:cs="Calibri"/>
          <w:i/>
          <w:iCs/>
          <w:szCs w:val="22"/>
          <w:lang w:val="en-US"/>
        </w:rPr>
        <w:br w:type="page"/>
      </w:r>
    </w:p>
    <w:p w14:paraId="221E0558" w14:textId="61DFA8D8" w:rsidR="001464FF" w:rsidRPr="001464FF" w:rsidRDefault="003F4163"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Pr>
          <w:rStyle w:val="normaltextrun"/>
          <w:rFonts w:asciiTheme="majorHAnsi" w:hAnsiTheme="majorHAnsi" w:cs="Calibri"/>
          <w:i/>
          <w:iCs/>
          <w:sz w:val="22"/>
          <w:szCs w:val="22"/>
          <w:lang w:val="en-US"/>
        </w:rPr>
        <w:lastRenderedPageBreak/>
        <w:t>Q</w:t>
      </w:r>
      <w:r w:rsidR="00BE7B65">
        <w:rPr>
          <w:rStyle w:val="normaltextrun"/>
          <w:rFonts w:asciiTheme="majorHAnsi" w:hAnsiTheme="majorHAnsi" w:cs="Calibri"/>
          <w:i/>
          <w:iCs/>
          <w:sz w:val="22"/>
          <w:szCs w:val="22"/>
          <w:lang w:val="en-US"/>
        </w:rPr>
        <w:t>12</w:t>
      </w:r>
      <w:r w:rsidR="001464FF" w:rsidRPr="001464FF">
        <w:rPr>
          <w:rStyle w:val="normaltextrun"/>
          <w:rFonts w:asciiTheme="majorHAnsi" w:hAnsiTheme="majorHAnsi" w:cs="Calibri"/>
          <w:i/>
          <w:iCs/>
          <w:sz w:val="22"/>
          <w:szCs w:val="22"/>
          <w:lang w:val="en-US"/>
        </w:rPr>
        <w:t>. Do you have any further comments on Template 1?</w:t>
      </w:r>
    </w:p>
    <w:p w14:paraId="74BFC407" w14:textId="77777777" w:rsidR="001464FF" w:rsidRPr="001464FF" w:rsidRDefault="001464FF" w:rsidP="001464FF">
      <w:pPr>
        <w:pStyle w:val="paragraph"/>
        <w:spacing w:before="0" w:beforeAutospacing="0" w:after="120" w:afterAutospacing="0"/>
        <w:textAlignment w:val="baseline"/>
        <w:rPr>
          <w:rFonts w:asciiTheme="majorHAnsi" w:hAnsiTheme="majorHAnsi" w:cs="Calibri"/>
          <w:sz w:val="22"/>
          <w:szCs w:val="22"/>
          <w:lang w:val="en-US"/>
        </w:rPr>
      </w:pPr>
      <w:r w:rsidRPr="001464FF">
        <w:rPr>
          <w:rFonts w:asciiTheme="majorHAnsi" w:hAnsiTheme="majorHAnsi" w:cs="Calibri"/>
          <w:sz w:val="22"/>
          <w:szCs w:val="22"/>
          <w:lang w:val="en-US"/>
        </w:rPr>
        <w:t xml:space="preserve">Point (c) </w:t>
      </w:r>
    </w:p>
    <w:p w14:paraId="7BD0302F" w14:textId="77777777" w:rsidR="001464FF" w:rsidRPr="001464FF" w:rsidRDefault="001464FF" w:rsidP="001464FF">
      <w:pPr>
        <w:pStyle w:val="ListParagraph1000"/>
        <w:spacing w:after="120"/>
        <w:ind w:left="0"/>
        <w:contextualSpacing w:val="0"/>
        <w:rPr>
          <w:rFonts w:asciiTheme="majorHAnsi" w:eastAsiaTheme="minorHAnsi" w:hAnsiTheme="majorHAnsi" w:cs="Calibri"/>
          <w:i/>
          <w:iCs/>
          <w:sz w:val="22"/>
          <w:szCs w:val="22"/>
          <w:lang w:val="en-US" w:eastAsia="en-US"/>
        </w:rPr>
      </w:pPr>
      <w:r w:rsidRPr="001464FF">
        <w:rPr>
          <w:rFonts w:asciiTheme="majorHAnsi" w:eastAsiaTheme="minorHAnsi" w:hAnsiTheme="majorHAnsi" w:cs="Calibri"/>
          <w:i/>
          <w:iCs/>
          <w:sz w:val="22"/>
          <w:szCs w:val="22"/>
          <w:lang w:val="en-US" w:eastAsia="en-US"/>
        </w:rPr>
        <w:t xml:space="preserve">“Of which environmentally sustainable (CCM)” </w:t>
      </w:r>
    </w:p>
    <w:p w14:paraId="7CD56DC9" w14:textId="65AF1C08" w:rsidR="001464FF" w:rsidRPr="001464FF" w:rsidRDefault="001464FF" w:rsidP="001464FF">
      <w:pPr>
        <w:pStyle w:val="paragraph"/>
        <w:spacing w:before="0" w:beforeAutospacing="0" w:after="120" w:afterAutospacing="0"/>
        <w:textAlignment w:val="baseline"/>
        <w:rPr>
          <w:rFonts w:asciiTheme="majorHAnsi" w:hAnsiTheme="majorHAnsi" w:cs="Calibri"/>
          <w:sz w:val="22"/>
          <w:szCs w:val="22"/>
          <w:lang w:val="en-US"/>
        </w:rPr>
      </w:pPr>
      <w:r w:rsidRPr="001464FF">
        <w:rPr>
          <w:rFonts w:asciiTheme="majorHAnsi" w:hAnsiTheme="majorHAnsi" w:cs="Calibri"/>
          <w:sz w:val="22"/>
          <w:szCs w:val="22"/>
          <w:lang w:val="en-US"/>
        </w:rPr>
        <w:t>should be deleted, as otherwise institutions that will not be subject to the Taxonomy Regulation would be subject to a sort of taxonomy audit obligation. If a deletion shouldn’t be possible, an explanation should be provided stating that these institutions only need to prepare reports based on the key performance indicators (KPIs) disclosed by their counterparties.</w:t>
      </w:r>
      <w:r w:rsidR="00FD42A4" w:rsidRPr="00FD42A4">
        <w:rPr>
          <w:rFonts w:ascii="Inter" w:hAnsi="Inter"/>
          <w:sz w:val="22"/>
          <w:szCs w:val="20"/>
          <w:lang w:val="en-US"/>
        </w:rPr>
        <w:t xml:space="preserve"> </w:t>
      </w:r>
      <w:r w:rsidR="00FD42A4" w:rsidRPr="00FD42A4">
        <w:rPr>
          <w:rFonts w:asciiTheme="majorHAnsi" w:hAnsiTheme="majorHAnsi" w:cs="Calibri"/>
          <w:sz w:val="22"/>
          <w:szCs w:val="22"/>
          <w:lang w:val="en-US"/>
        </w:rPr>
        <w:t xml:space="preserve">Alternatively, it could be defined that the frequency of this </w:t>
      </w:r>
      <w:proofErr w:type="gramStart"/>
      <w:r w:rsidR="00FD42A4" w:rsidRPr="00FD42A4">
        <w:rPr>
          <w:rFonts w:asciiTheme="majorHAnsi" w:hAnsiTheme="majorHAnsi" w:cs="Calibri"/>
          <w:sz w:val="22"/>
          <w:szCs w:val="22"/>
          <w:lang w:val="en-US"/>
        </w:rPr>
        <w:t>particular column</w:t>
      </w:r>
      <w:proofErr w:type="gramEnd"/>
      <w:r w:rsidR="00FD42A4" w:rsidRPr="00FD42A4">
        <w:rPr>
          <w:rFonts w:asciiTheme="majorHAnsi" w:hAnsiTheme="majorHAnsi" w:cs="Calibri"/>
          <w:sz w:val="22"/>
          <w:szCs w:val="22"/>
          <w:lang w:val="en-US"/>
        </w:rPr>
        <w:t xml:space="preserve"> is aligned with the frequency of Taxonomy disclosure (namely, Templates 6-8)</w:t>
      </w:r>
      <w:r w:rsidR="00540EAE">
        <w:rPr>
          <w:rFonts w:asciiTheme="majorHAnsi" w:hAnsiTheme="majorHAnsi" w:cs="Calibri"/>
          <w:sz w:val="22"/>
          <w:szCs w:val="22"/>
          <w:lang w:val="en-US"/>
        </w:rPr>
        <w:t>.</w:t>
      </w:r>
    </w:p>
    <w:p w14:paraId="48EF2E3F" w14:textId="245B2A88" w:rsidR="001464FF" w:rsidRPr="001464FF" w:rsidRDefault="001464FF" w:rsidP="009B4672">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jc w:val="left"/>
        <w:textAlignment w:val="baseline"/>
        <w:rPr>
          <w:rFonts w:asciiTheme="majorHAnsi" w:hAnsiTheme="majorHAnsi" w:cs="Calibri"/>
          <w:i/>
          <w:iCs/>
          <w:sz w:val="22"/>
          <w:szCs w:val="22"/>
          <w:lang w:val="en-US"/>
        </w:rPr>
      </w:pPr>
      <w:r w:rsidRPr="001464FF">
        <w:rPr>
          <w:rStyle w:val="normaltextrun"/>
          <w:rFonts w:asciiTheme="majorHAnsi" w:hAnsiTheme="majorHAnsi" w:cs="Calibri"/>
          <w:i/>
          <w:iCs/>
          <w:sz w:val="22"/>
          <w:szCs w:val="22"/>
          <w:lang w:val="en-US"/>
        </w:rPr>
        <w:t>Q1</w:t>
      </w:r>
      <w:r w:rsidR="009B4672">
        <w:rPr>
          <w:rStyle w:val="normaltextrun"/>
          <w:rFonts w:asciiTheme="majorHAnsi" w:hAnsiTheme="majorHAnsi" w:cs="Calibri"/>
          <w:i/>
          <w:iCs/>
          <w:sz w:val="22"/>
          <w:szCs w:val="22"/>
          <w:lang w:val="en-US"/>
        </w:rPr>
        <w:t>3</w:t>
      </w:r>
      <w:r w:rsidRPr="001464FF">
        <w:rPr>
          <w:rStyle w:val="normaltextrun"/>
          <w:rFonts w:asciiTheme="majorHAnsi" w:hAnsiTheme="majorHAnsi" w:cs="Calibri"/>
          <w:i/>
          <w:iCs/>
          <w:sz w:val="22"/>
          <w:szCs w:val="22"/>
          <w:lang w:val="en-US"/>
        </w:rPr>
        <w:t xml:space="preserve">.  Do you have any comments or alternative suggestions </w:t>
      </w:r>
      <w:r w:rsidR="009B4672">
        <w:rPr>
          <w:rStyle w:val="normaltextrun"/>
          <w:rFonts w:asciiTheme="majorHAnsi" w:hAnsiTheme="majorHAnsi" w:cs="Calibri"/>
          <w:i/>
          <w:iCs/>
          <w:sz w:val="22"/>
          <w:szCs w:val="22"/>
          <w:lang w:val="en-US"/>
        </w:rPr>
        <w:t>o</w:t>
      </w:r>
      <w:r w:rsidR="009B4672" w:rsidRPr="009B4672">
        <w:rPr>
          <w:rFonts w:asciiTheme="majorHAnsi" w:hAnsiTheme="majorHAnsi" w:cs="Calibri"/>
          <w:i/>
          <w:iCs/>
          <w:sz w:val="22"/>
          <w:szCs w:val="22"/>
          <w:lang w:val="en-US"/>
        </w:rPr>
        <w:t xml:space="preserve">n Template 1A </w:t>
      </w:r>
      <w:r w:rsidRPr="001464FF">
        <w:rPr>
          <w:rStyle w:val="normaltextrun"/>
          <w:rFonts w:asciiTheme="majorHAnsi" w:hAnsiTheme="majorHAnsi" w:cs="Calibri"/>
          <w:i/>
          <w:iCs/>
          <w:sz w:val="22"/>
          <w:szCs w:val="22"/>
          <w:lang w:val="en-US"/>
        </w:rPr>
        <w:t>for SNCIs and other institutions that are not listed, regarding the sector breakdown?</w:t>
      </w:r>
    </w:p>
    <w:p w14:paraId="5E8A901E" w14:textId="5890A275"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6C12D056" w14:textId="3B93FEE2"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Q1</w:t>
      </w:r>
      <w:r w:rsidR="009B4672">
        <w:rPr>
          <w:rStyle w:val="normaltextrun"/>
          <w:rFonts w:asciiTheme="majorHAnsi" w:hAnsiTheme="majorHAnsi" w:cs="Calibri"/>
          <w:i/>
          <w:iCs/>
          <w:sz w:val="22"/>
          <w:szCs w:val="22"/>
          <w:lang w:val="en-US"/>
        </w:rPr>
        <w:t>4</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 xml:space="preserve">Do you have any additional suggestions how to adjust Template 1A for SNCIs and other institutions that are not listed? </w:t>
      </w:r>
    </w:p>
    <w:p w14:paraId="3A258E39" w14:textId="5D8B0C7F" w:rsidR="001464FF" w:rsidRPr="00855001" w:rsidRDefault="001464FF" w:rsidP="001464FF">
      <w:pPr>
        <w:spacing w:after="120"/>
        <w:rPr>
          <w:rFonts w:asciiTheme="majorHAnsi" w:hAnsiTheme="majorHAnsi" w:cs="Calibri"/>
          <w:szCs w:val="22"/>
          <w:lang w:val="en-US"/>
        </w:rPr>
      </w:pPr>
      <w:r w:rsidRPr="00855001">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7773A021" w14:textId="733A58AE"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Q1</w:t>
      </w:r>
      <w:r w:rsidR="009B4672">
        <w:rPr>
          <w:rStyle w:val="normaltextrun"/>
          <w:rFonts w:asciiTheme="majorHAnsi" w:hAnsiTheme="majorHAnsi" w:cs="Calibri"/>
          <w:i/>
          <w:iCs/>
          <w:sz w:val="22"/>
          <w:szCs w:val="22"/>
          <w:lang w:val="en-US"/>
        </w:rPr>
        <w:t>5</w:t>
      </w:r>
      <w:r w:rsidRPr="001464FF">
        <w:rPr>
          <w:rStyle w:val="normaltextrun"/>
          <w:rFonts w:asciiTheme="majorHAnsi" w:hAnsiTheme="majorHAnsi" w:cs="Calibri"/>
          <w:i/>
          <w:iCs/>
          <w:sz w:val="22"/>
          <w:szCs w:val="22"/>
          <w:lang w:val="en-US"/>
        </w:rPr>
        <w:t>.  Do you have any further comments on Template 1A?</w:t>
      </w:r>
    </w:p>
    <w:p w14:paraId="16B32182" w14:textId="05C63A25"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53803CFF" w14:textId="5DE7E60C"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i/>
          <w:iCs/>
          <w:sz w:val="22"/>
          <w:szCs w:val="22"/>
          <w:lang w:val="en-US"/>
        </w:rPr>
      </w:pPr>
      <w:r w:rsidRPr="001464FF">
        <w:rPr>
          <w:rStyle w:val="normaltextrun"/>
          <w:rFonts w:asciiTheme="majorHAnsi" w:hAnsiTheme="majorHAnsi" w:cs="Calibri"/>
          <w:i/>
          <w:iCs/>
          <w:sz w:val="22"/>
          <w:szCs w:val="22"/>
          <w:lang w:val="en-US"/>
        </w:rPr>
        <w:t>Q1</w:t>
      </w:r>
      <w:r w:rsidR="00126542">
        <w:rPr>
          <w:rStyle w:val="normaltextrun"/>
          <w:rFonts w:asciiTheme="majorHAnsi" w:hAnsiTheme="majorHAnsi" w:cs="Calibri"/>
          <w:i/>
          <w:iCs/>
          <w:sz w:val="22"/>
          <w:szCs w:val="22"/>
          <w:lang w:val="en-US"/>
        </w:rPr>
        <w:t>6</w:t>
      </w:r>
      <w:r w:rsidRPr="001464FF">
        <w:rPr>
          <w:rStyle w:val="normaltextrun"/>
          <w:rFonts w:asciiTheme="majorHAnsi" w:hAnsiTheme="majorHAnsi" w:cs="Calibri"/>
          <w:i/>
          <w:iCs/>
          <w:sz w:val="22"/>
          <w:szCs w:val="22"/>
          <w:lang w:val="en-US"/>
        </w:rPr>
        <w:t>.  Should Template 2 in addition include separate information on EPC labels estimated and about the share of EPC labels that can be estimated?</w:t>
      </w:r>
    </w:p>
    <w:p w14:paraId="7E932853" w14:textId="0E8F504B"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634A6BB0" w14:textId="265C752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Q1</w:t>
      </w:r>
      <w:r w:rsidR="00126542">
        <w:rPr>
          <w:rStyle w:val="normaltextrun"/>
          <w:rFonts w:asciiTheme="majorHAnsi" w:hAnsiTheme="majorHAnsi" w:cs="Calibri"/>
          <w:i/>
          <w:iCs/>
          <w:sz w:val="22"/>
          <w:szCs w:val="22"/>
          <w:lang w:val="en-US"/>
        </w:rPr>
        <w:t>7</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Should rows 2, 3 and 4 and 7, 8 and 9 for the EP score continue to include estimates or should it only include actual information on energy consumption, akin to the same rows for EPC labels?</w:t>
      </w:r>
    </w:p>
    <w:p w14:paraId="2BEFE1EE" w14:textId="13135162" w:rsidR="001464FF" w:rsidRPr="00855001" w:rsidRDefault="001464FF" w:rsidP="001464FF">
      <w:pPr>
        <w:spacing w:after="120"/>
        <w:rPr>
          <w:rFonts w:asciiTheme="majorHAnsi" w:hAnsiTheme="majorHAnsi" w:cs="Calibri"/>
          <w:szCs w:val="22"/>
          <w:lang w:val="en-US"/>
        </w:rPr>
      </w:pPr>
      <w:r w:rsidRPr="001464FF">
        <w:rPr>
          <w:rStyle w:val="eop"/>
          <w:rFonts w:asciiTheme="majorHAnsi" w:hAnsiTheme="majorHAnsi" w:cs="Calibri"/>
          <w:szCs w:val="22"/>
          <w:lang w:val="en-US"/>
        </w:rPr>
        <w:t>NA </w:t>
      </w:r>
      <w:r w:rsidRPr="00855001">
        <w:rPr>
          <w:rStyle w:val="eop"/>
          <w:rFonts w:asciiTheme="majorHAnsi" w:hAnsiTheme="majorHAnsi" w:cs="Calibri"/>
          <w:szCs w:val="22"/>
          <w:lang w:val="en-US"/>
        </w:rPr>
        <w:t> </w:t>
      </w:r>
    </w:p>
    <w:p w14:paraId="06337D22" w14:textId="6EC506C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Q1</w:t>
      </w:r>
      <w:r w:rsidR="00D266B6">
        <w:rPr>
          <w:rStyle w:val="normaltextrun"/>
          <w:rFonts w:asciiTheme="majorHAnsi" w:hAnsiTheme="majorHAnsi" w:cs="Calibri"/>
          <w:i/>
          <w:iCs/>
          <w:sz w:val="22"/>
          <w:szCs w:val="22"/>
          <w:lang w:val="en-US"/>
        </w:rPr>
        <w:t>8</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on the inclusion of information on covered bonds?</w:t>
      </w:r>
    </w:p>
    <w:p w14:paraId="1EED1DA6" w14:textId="7FB514AA"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68CB07D7" w14:textId="3E8F2793"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Q1</w:t>
      </w:r>
      <w:r w:rsidR="00D266B6">
        <w:rPr>
          <w:rStyle w:val="normaltextrun"/>
          <w:rFonts w:asciiTheme="majorHAnsi" w:hAnsiTheme="majorHAnsi" w:cs="Calibri"/>
          <w:i/>
          <w:iCs/>
          <w:sz w:val="22"/>
          <w:szCs w:val="22"/>
          <w:lang w:val="en-US"/>
        </w:rPr>
        <w:t>9</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 xml:space="preserve">Do you have any comments on the breakdown included in columns b to </w:t>
      </w:r>
      <w:proofErr w:type="spellStart"/>
      <w:r w:rsidRPr="001464FF">
        <w:rPr>
          <w:rFonts w:asciiTheme="majorHAnsi" w:hAnsiTheme="majorHAnsi" w:cs="Calibri"/>
          <w:i/>
          <w:iCs/>
          <w:sz w:val="22"/>
          <w:szCs w:val="22"/>
        </w:rPr>
        <w:t>g</w:t>
      </w:r>
      <w:proofErr w:type="spellEnd"/>
      <w:r w:rsidRPr="001464FF">
        <w:rPr>
          <w:rFonts w:asciiTheme="majorHAnsi" w:hAnsiTheme="majorHAnsi" w:cs="Calibri"/>
          <w:i/>
          <w:iCs/>
          <w:sz w:val="22"/>
          <w:szCs w:val="22"/>
        </w:rPr>
        <w:t xml:space="preserve"> on the levels of energy performance?</w:t>
      </w:r>
    </w:p>
    <w:p w14:paraId="14894976" w14:textId="343AB030" w:rsidR="001464FF" w:rsidRPr="00855001" w:rsidRDefault="001464FF" w:rsidP="001464FF">
      <w:pPr>
        <w:spacing w:after="120"/>
        <w:rPr>
          <w:rFonts w:asciiTheme="majorHAnsi" w:hAnsiTheme="majorHAnsi" w:cs="Calibri"/>
          <w:szCs w:val="22"/>
          <w:lang w:val="en-US"/>
        </w:rPr>
      </w:pPr>
      <w:r w:rsidRPr="00855001">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71D3F56D" w14:textId="2C588863"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w:t>
      </w:r>
      <w:r w:rsidR="00D266B6">
        <w:rPr>
          <w:rStyle w:val="normaltextrun"/>
          <w:rFonts w:asciiTheme="majorHAnsi" w:hAnsiTheme="majorHAnsi" w:cs="Calibri"/>
          <w:i/>
          <w:iCs/>
          <w:sz w:val="22"/>
          <w:szCs w:val="22"/>
          <w:lang w:val="en-US"/>
        </w:rPr>
        <w:t>20</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further comments on Template 2?</w:t>
      </w:r>
    </w:p>
    <w:p w14:paraId="755EEC8F" w14:textId="79BEC2B3" w:rsidR="001464FF" w:rsidRPr="001464FF" w:rsidRDefault="001464FF" w:rsidP="001464FF">
      <w:pPr>
        <w:spacing w:after="120"/>
        <w:rPr>
          <w:rFonts w:asciiTheme="majorHAnsi" w:eastAsiaTheme="minorEastAsia" w:hAnsiTheme="majorHAnsi" w:cs="Calibri"/>
          <w:szCs w:val="22"/>
          <w:lang w:val="en-US"/>
        </w:rPr>
      </w:pPr>
      <w:r w:rsidRPr="001464FF">
        <w:rPr>
          <w:rStyle w:val="normaltextrun"/>
          <w:rFonts w:asciiTheme="majorHAnsi" w:hAnsiTheme="majorHAnsi" w:cs="Calibri"/>
          <w:szCs w:val="22"/>
          <w:lang w:val="en-US"/>
        </w:rPr>
        <w:t>NA</w:t>
      </w:r>
      <w:r w:rsidRPr="00855001">
        <w:rPr>
          <w:rStyle w:val="eop"/>
          <w:rFonts w:asciiTheme="majorHAnsi" w:hAnsiTheme="majorHAnsi" w:cs="Calibri"/>
          <w:szCs w:val="22"/>
          <w:lang w:val="en-US"/>
        </w:rPr>
        <w:t> </w:t>
      </w:r>
      <w:r w:rsidRPr="001464FF">
        <w:rPr>
          <w:rFonts w:eastAsiaTheme="minorEastAsia"/>
          <w:lang w:val="en-US"/>
        </w:rPr>
        <w:t> </w:t>
      </w:r>
    </w:p>
    <w:p w14:paraId="55A62641" w14:textId="60F104C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w:t>
      </w:r>
      <w:r w:rsidR="00D27A73">
        <w:rPr>
          <w:rStyle w:val="normaltextrun"/>
          <w:rFonts w:asciiTheme="majorHAnsi" w:hAnsiTheme="majorHAnsi" w:cs="Calibri"/>
          <w:i/>
          <w:iCs/>
          <w:sz w:val="22"/>
          <w:szCs w:val="22"/>
          <w:lang w:val="en-US"/>
        </w:rPr>
        <w:t>21</w:t>
      </w:r>
      <w:r w:rsidRPr="001464FF">
        <w:rPr>
          <w:rStyle w:val="normaltextrun"/>
          <w:rFonts w:asciiTheme="majorHAnsi" w:hAnsiTheme="majorHAnsi" w:cs="Calibri"/>
          <w:i/>
          <w:iCs/>
          <w:sz w:val="22"/>
          <w:szCs w:val="22"/>
          <w:lang w:val="en-US"/>
        </w:rPr>
        <w:t>. Do you have any comments on Template 3?</w:t>
      </w:r>
    </w:p>
    <w:p w14:paraId="3E84ECD3" w14:textId="3D633A5A" w:rsidR="001464FF" w:rsidRPr="001464FF" w:rsidRDefault="001464FF" w:rsidP="001464FF">
      <w:pPr>
        <w:spacing w:after="120"/>
        <w:rPr>
          <w:rFonts w:asciiTheme="majorHAnsi" w:eastAsiaTheme="minorEastAsia" w:hAnsiTheme="majorHAnsi" w:cs="Calibri"/>
          <w:szCs w:val="22"/>
          <w:lang w:val="en-US"/>
        </w:rPr>
      </w:pPr>
      <w:r w:rsidRPr="001464FF">
        <w:rPr>
          <w:rStyle w:val="eop"/>
          <w:rFonts w:asciiTheme="majorHAnsi" w:hAnsiTheme="majorHAnsi" w:cs="Calibri"/>
          <w:szCs w:val="22"/>
          <w:lang w:val="en-US"/>
        </w:rPr>
        <w:t>NA </w:t>
      </w:r>
    </w:p>
    <w:p w14:paraId="1238CE0E" w14:textId="3305B953"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w:t>
      </w:r>
      <w:r w:rsidR="00D27A73">
        <w:rPr>
          <w:rStyle w:val="normaltextrun"/>
          <w:rFonts w:asciiTheme="majorHAnsi" w:hAnsiTheme="majorHAnsi" w:cs="Calibri"/>
          <w:i/>
          <w:iCs/>
          <w:sz w:val="22"/>
          <w:szCs w:val="22"/>
          <w:lang w:val="en-US"/>
        </w:rPr>
        <w:t>22</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with the proposals on Template 4 and the instructions?</w:t>
      </w:r>
    </w:p>
    <w:p w14:paraId="462007C4" w14:textId="72822987"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0E82DF59" w14:textId="01E1A3C1"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3</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views on whether this template could be improved with some more granular information in the rows, by requesting e.g. split by sector of counterparty or other?</w:t>
      </w:r>
    </w:p>
    <w:p w14:paraId="3D8CCBDF" w14:textId="38AFC081"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37DC2E63" w14:textId="53DAAAD7"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lastRenderedPageBreak/>
        <w:t>Q2</w:t>
      </w:r>
      <w:r w:rsidR="00D27A73">
        <w:rPr>
          <w:rStyle w:val="normaltextrun"/>
          <w:rFonts w:asciiTheme="majorHAnsi" w:hAnsiTheme="majorHAnsi" w:cs="Calibri"/>
          <w:i/>
          <w:iCs/>
          <w:sz w:val="22"/>
          <w:szCs w:val="22"/>
          <w:lang w:val="en-US"/>
        </w:rPr>
        <w:t>4</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 xml:space="preserve">Do you have any further comments on Template 4? </w:t>
      </w:r>
    </w:p>
    <w:p w14:paraId="33670E30" w14:textId="20173011" w:rsidR="001464FF" w:rsidRPr="00D27A73"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D27A73">
        <w:rPr>
          <w:rStyle w:val="eop"/>
          <w:rFonts w:asciiTheme="majorHAnsi" w:hAnsiTheme="majorHAnsi" w:cs="Calibri"/>
          <w:szCs w:val="22"/>
          <w:lang w:val="en-US"/>
        </w:rPr>
        <w:t> </w:t>
      </w:r>
    </w:p>
    <w:p w14:paraId="764D347E" w14:textId="467BA5C5"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5</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 xml:space="preserve">Do you have any comments on the proposal using NUTS level 3 breakdown for </w:t>
      </w:r>
      <w:proofErr w:type="gramStart"/>
      <w:r w:rsidRPr="001464FF">
        <w:rPr>
          <w:rFonts w:asciiTheme="majorHAnsi" w:hAnsiTheme="majorHAnsi" w:cs="Calibri"/>
          <w:i/>
          <w:iCs/>
          <w:sz w:val="22"/>
          <w:szCs w:val="22"/>
        </w:rPr>
        <w:t>Large</w:t>
      </w:r>
      <w:proofErr w:type="gramEnd"/>
      <w:r w:rsidRPr="001464FF">
        <w:rPr>
          <w:rFonts w:asciiTheme="majorHAnsi" w:hAnsiTheme="majorHAnsi" w:cs="Calibri"/>
          <w:i/>
          <w:iCs/>
          <w:sz w:val="22"/>
          <w:szCs w:val="22"/>
        </w:rPr>
        <w:t xml:space="preserve"> institutions and NUTS level 2 for Other listed institutions and Large subsidiaries? Would NUTS level 2 breakdown be sufficient for </w:t>
      </w:r>
      <w:proofErr w:type="gramStart"/>
      <w:r w:rsidRPr="001464FF">
        <w:rPr>
          <w:rFonts w:asciiTheme="majorHAnsi" w:hAnsiTheme="majorHAnsi" w:cs="Calibri"/>
          <w:i/>
          <w:iCs/>
          <w:sz w:val="22"/>
          <w:szCs w:val="22"/>
        </w:rPr>
        <w:t>Large</w:t>
      </w:r>
      <w:proofErr w:type="gramEnd"/>
      <w:r w:rsidRPr="001464FF">
        <w:rPr>
          <w:rFonts w:asciiTheme="majorHAnsi" w:hAnsiTheme="majorHAnsi" w:cs="Calibri"/>
          <w:i/>
          <w:iCs/>
          <w:sz w:val="22"/>
          <w:szCs w:val="22"/>
        </w:rPr>
        <w:t xml:space="preserve"> institutions as well? </w:t>
      </w:r>
    </w:p>
    <w:p w14:paraId="1C128787" w14:textId="76A53BDE" w:rsidR="001464FF" w:rsidRPr="00855001" w:rsidRDefault="001464FF" w:rsidP="001464FF">
      <w:pPr>
        <w:spacing w:after="120"/>
        <w:rPr>
          <w:rFonts w:asciiTheme="majorHAnsi" w:hAnsiTheme="majorHAnsi" w:cs="Calibri"/>
          <w:szCs w:val="22"/>
          <w:lang w:val="en-US"/>
        </w:rPr>
      </w:pPr>
      <w:r w:rsidRPr="00855001">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5E6E4228" w14:textId="7C4A30ED"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6</w:t>
      </w:r>
      <w:r w:rsidRPr="001464FF">
        <w:rPr>
          <w:rStyle w:val="normaltextrun"/>
          <w:rFonts w:asciiTheme="majorHAnsi" w:hAnsiTheme="majorHAnsi" w:cs="Calibri"/>
          <w:i/>
          <w:iCs/>
          <w:sz w:val="22"/>
          <w:szCs w:val="22"/>
          <w:lang w:val="en-US"/>
        </w:rPr>
        <w:t xml:space="preserve">.  Do you have any comments on the instructions for the accompanying narrative and on whether they are comprehensive and clear? </w:t>
      </w:r>
    </w:p>
    <w:p w14:paraId="1274C762" w14:textId="5E9630ED"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19182814" w14:textId="5BDD55AF"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7</w:t>
      </w:r>
      <w:r w:rsidRPr="001464FF">
        <w:rPr>
          <w:rStyle w:val="normaltextrun"/>
          <w:rFonts w:asciiTheme="majorHAnsi" w:hAnsiTheme="majorHAnsi" w:cs="Calibri"/>
          <w:i/>
          <w:iCs/>
          <w:sz w:val="22"/>
          <w:szCs w:val="22"/>
          <w:lang w:val="en-US"/>
        </w:rPr>
        <w:t>. Do you have any further comments on Template 5 and on its simplified version Template 5A?</w:t>
      </w:r>
    </w:p>
    <w:p w14:paraId="16B4F7AD" w14:textId="48A67B75" w:rsidR="001464FF" w:rsidRPr="00855001" w:rsidRDefault="001464FF" w:rsidP="001464FF">
      <w:pPr>
        <w:spacing w:after="120"/>
        <w:rPr>
          <w:rFonts w:asciiTheme="majorHAnsi" w:hAnsiTheme="majorHAnsi" w:cs="Calibri"/>
          <w:szCs w:val="22"/>
          <w:lang w:val="en-US"/>
        </w:rPr>
      </w:pPr>
      <w:r w:rsidRPr="001464FF">
        <w:rPr>
          <w:rStyle w:val="eop"/>
          <w:rFonts w:asciiTheme="majorHAnsi" w:hAnsiTheme="majorHAnsi" w:cs="Calibri"/>
          <w:szCs w:val="22"/>
          <w:lang w:val="en-US"/>
        </w:rPr>
        <w:t>NA </w:t>
      </w:r>
      <w:r w:rsidRPr="00855001">
        <w:rPr>
          <w:rStyle w:val="eop"/>
          <w:rFonts w:asciiTheme="majorHAnsi" w:hAnsiTheme="majorHAnsi" w:cs="Calibri"/>
          <w:szCs w:val="22"/>
          <w:lang w:val="en-US"/>
        </w:rPr>
        <w:t> </w:t>
      </w:r>
    </w:p>
    <w:p w14:paraId="29603350" w14:textId="3CC848B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8</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on the proposal to fully align templates on the GAR, that is, templates 7 and 8, with those under the Taxonomy delegated act by replacing the templates with a direct cross reference to the delegated act?</w:t>
      </w:r>
    </w:p>
    <w:p w14:paraId="3BCCED5C" w14:textId="4BCA026E"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2FEF1233" w14:textId="44C5CC16"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Q2</w:t>
      </w:r>
      <w:r w:rsidR="00D27A73">
        <w:rPr>
          <w:rStyle w:val="normaltextrun"/>
          <w:rFonts w:asciiTheme="majorHAnsi" w:hAnsiTheme="majorHAnsi" w:cs="Calibri"/>
          <w:i/>
          <w:iCs/>
          <w:sz w:val="22"/>
          <w:szCs w:val="22"/>
          <w:lang w:val="en-US"/>
        </w:rPr>
        <w:t>9</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on the proposal related the BTAR and to keep it voluntary?</w:t>
      </w:r>
    </w:p>
    <w:p w14:paraId="0AAC6E63" w14:textId="5638A81D"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r w:rsidRPr="00855001">
        <w:rPr>
          <w:rStyle w:val="eop"/>
          <w:rFonts w:asciiTheme="majorHAnsi" w:hAnsiTheme="majorHAnsi" w:cs="Calibri"/>
          <w:szCs w:val="22"/>
          <w:lang w:val="en-US"/>
        </w:rPr>
        <w:t> </w:t>
      </w:r>
    </w:p>
    <w:p w14:paraId="338F563B" w14:textId="0088B6C1"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w:t>
      </w:r>
      <w:r w:rsidR="00D27A73">
        <w:rPr>
          <w:rStyle w:val="normaltextrun"/>
          <w:rFonts w:asciiTheme="majorHAnsi" w:hAnsiTheme="majorHAnsi" w:cs="Calibri"/>
          <w:i/>
          <w:iCs/>
          <w:sz w:val="22"/>
          <w:szCs w:val="22"/>
          <w:lang w:val="en-US"/>
        </w:rPr>
        <w:t>30</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you have any comments regarding the adjustments to template 10?</w:t>
      </w:r>
    </w:p>
    <w:p w14:paraId="1D49850E" w14:textId="6A168EEC" w:rsidR="001464FF" w:rsidRPr="001464FF"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p>
    <w:p w14:paraId="2C6BE9CD" w14:textId="5193DEED"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i/>
          <w:iCs/>
          <w:sz w:val="22"/>
          <w:szCs w:val="22"/>
        </w:rPr>
      </w:pPr>
      <w:r w:rsidRPr="001464FF">
        <w:rPr>
          <w:rStyle w:val="normaltextrun"/>
          <w:rFonts w:asciiTheme="majorHAnsi" w:hAnsiTheme="majorHAnsi" w:cs="Calibri"/>
          <w:i/>
          <w:iCs/>
          <w:sz w:val="22"/>
          <w:szCs w:val="22"/>
          <w:lang w:val="en-US"/>
        </w:rPr>
        <w:t>Q</w:t>
      </w:r>
      <w:r w:rsidR="001541AE">
        <w:rPr>
          <w:rStyle w:val="normaltextrun"/>
          <w:rFonts w:asciiTheme="majorHAnsi" w:hAnsiTheme="majorHAnsi" w:cs="Calibri"/>
          <w:i/>
          <w:iCs/>
          <w:sz w:val="22"/>
          <w:szCs w:val="22"/>
          <w:lang w:val="en-US"/>
        </w:rPr>
        <w:t>31</w:t>
      </w:r>
      <w:r w:rsidRPr="001464FF">
        <w:rPr>
          <w:rFonts w:asciiTheme="majorHAnsi" w:hAnsiTheme="majorHAnsi" w:cs="Calibri"/>
          <w:i/>
          <w:iCs/>
          <w:sz w:val="22"/>
          <w:szCs w:val="22"/>
        </w:rPr>
        <w:t>. Do you have any further comments on the Consultation Paper Pillar 3 disclosures requirements on ESG risk?</w:t>
      </w:r>
    </w:p>
    <w:p w14:paraId="3972CCC1" w14:textId="4B56A388" w:rsidR="001464FF" w:rsidRPr="001464FF" w:rsidRDefault="001464FF" w:rsidP="001464FF">
      <w:pPr>
        <w:spacing w:after="120"/>
        <w:rPr>
          <w:rFonts w:asciiTheme="majorHAnsi" w:hAnsiTheme="majorHAnsi" w:cs="Calibri"/>
          <w:szCs w:val="22"/>
          <w:lang w:val="en-US"/>
        </w:rPr>
      </w:pPr>
      <w:r w:rsidRPr="001464FF">
        <w:rPr>
          <w:rStyle w:val="eop"/>
          <w:lang w:val="en-US"/>
        </w:rPr>
        <w:t>NA</w:t>
      </w:r>
      <w:r w:rsidRPr="001464FF">
        <w:rPr>
          <w:rStyle w:val="eop"/>
          <w:rFonts w:asciiTheme="majorHAnsi" w:hAnsiTheme="majorHAnsi" w:cs="Calibri"/>
          <w:szCs w:val="22"/>
          <w:lang w:val="en-US"/>
        </w:rPr>
        <w:t>  </w:t>
      </w:r>
    </w:p>
    <w:p w14:paraId="71135A77" w14:textId="6BA6FB0C"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w:t>
      </w:r>
      <w:r w:rsidR="001541AE">
        <w:rPr>
          <w:rStyle w:val="normaltextrun"/>
          <w:rFonts w:asciiTheme="majorHAnsi" w:hAnsiTheme="majorHAnsi" w:cs="Calibri"/>
          <w:i/>
          <w:iCs/>
          <w:sz w:val="22"/>
          <w:szCs w:val="22"/>
          <w:lang w:val="en-US"/>
        </w:rPr>
        <w:t>32</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 xml:space="preserve">Are the new template EU SB 1 and the related instructions clear to the respondents? If no, please motivate your response. </w:t>
      </w:r>
    </w:p>
    <w:p w14:paraId="47EC681B" w14:textId="55BC05FB"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855001">
        <w:rPr>
          <w:lang w:val="en-US"/>
        </w:rPr>
        <w:t>  </w:t>
      </w:r>
    </w:p>
    <w:p w14:paraId="3F1CCFE2" w14:textId="303B02D8"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Q3</w:t>
      </w:r>
      <w:r w:rsidR="001541AE">
        <w:rPr>
          <w:rStyle w:val="normaltextrun"/>
          <w:rFonts w:asciiTheme="majorHAnsi" w:hAnsiTheme="majorHAnsi" w:cs="Calibri"/>
          <w:i/>
          <w:iCs/>
          <w:sz w:val="22"/>
          <w:szCs w:val="22"/>
          <w:lang w:val="en-US"/>
        </w:rPr>
        <w:t>3</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the respondents agree that the new template EU SB 1 and the related instructions fit the purpose and meet the requirements set out in the underlying regulation?</w:t>
      </w:r>
    </w:p>
    <w:p w14:paraId="2E8B484D" w14:textId="6EF343F6" w:rsidR="001464FF" w:rsidRPr="00855001" w:rsidRDefault="001464FF" w:rsidP="001464FF">
      <w:pPr>
        <w:spacing w:after="120"/>
        <w:rPr>
          <w:rFonts w:asciiTheme="majorHAnsi" w:hAnsiTheme="majorHAnsi" w:cs="Calibri"/>
          <w:szCs w:val="22"/>
          <w:lang w:val="en-US"/>
        </w:rPr>
      </w:pPr>
      <w:r w:rsidRPr="00855001">
        <w:rPr>
          <w:lang w:val="en-US"/>
        </w:rPr>
        <w:t>NA </w:t>
      </w:r>
    </w:p>
    <w:p w14:paraId="30617B8E" w14:textId="190A0766"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Q3</w:t>
      </w:r>
      <w:r w:rsidR="001541AE">
        <w:rPr>
          <w:rStyle w:val="normaltextrun"/>
          <w:rFonts w:asciiTheme="majorHAnsi" w:hAnsiTheme="majorHAnsi" w:cs="Calibri"/>
          <w:i/>
          <w:iCs/>
          <w:sz w:val="22"/>
          <w:szCs w:val="22"/>
          <w:lang w:val="en-US"/>
        </w:rPr>
        <w:t>4</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Are the amended template EU CR 10.5 and the related instructions clear to the respondents? If no, please motivate your response</w:t>
      </w:r>
      <w:r w:rsidRPr="001464FF">
        <w:rPr>
          <w:rStyle w:val="normaltextrun"/>
          <w:rFonts w:asciiTheme="majorHAnsi" w:hAnsiTheme="majorHAnsi" w:cs="Calibri"/>
          <w:sz w:val="22"/>
          <w:szCs w:val="22"/>
          <w:lang w:val="en-US"/>
        </w:rPr>
        <w:t>.</w:t>
      </w:r>
    </w:p>
    <w:p w14:paraId="30CB308B" w14:textId="1AEFFE40" w:rsidR="001464FF" w:rsidRPr="00855001" w:rsidRDefault="001464FF" w:rsidP="001464FF">
      <w:pPr>
        <w:spacing w:after="120"/>
        <w:rPr>
          <w:rFonts w:asciiTheme="majorHAnsi" w:hAnsiTheme="majorHAnsi" w:cs="Calibri"/>
          <w:szCs w:val="22"/>
          <w:lang w:val="en-US"/>
        </w:rPr>
      </w:pPr>
      <w:r w:rsidRPr="001464FF">
        <w:rPr>
          <w:rStyle w:val="eop"/>
          <w:lang w:val="en-US"/>
        </w:rPr>
        <w:t>NA</w:t>
      </w:r>
      <w:r w:rsidRPr="00855001">
        <w:rPr>
          <w:lang w:val="en-US"/>
        </w:rPr>
        <w:t>  </w:t>
      </w:r>
    </w:p>
    <w:p w14:paraId="2E0F7AAA" w14:textId="64EC3C02"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color w:val="000000"/>
          <w:sz w:val="22"/>
          <w:szCs w:val="22"/>
        </w:rPr>
      </w:pPr>
      <w:r w:rsidRPr="001464FF">
        <w:rPr>
          <w:rStyle w:val="normaltextrun"/>
          <w:rFonts w:asciiTheme="majorHAnsi" w:hAnsiTheme="majorHAnsi" w:cs="Calibri"/>
          <w:i/>
          <w:iCs/>
          <w:sz w:val="22"/>
          <w:szCs w:val="22"/>
          <w:lang w:val="en-US"/>
        </w:rPr>
        <w:t>Q3</w:t>
      </w:r>
      <w:r w:rsidR="001541AE">
        <w:rPr>
          <w:rStyle w:val="normaltextrun"/>
          <w:rFonts w:asciiTheme="majorHAnsi" w:hAnsiTheme="majorHAnsi" w:cs="Calibri"/>
          <w:i/>
          <w:iCs/>
          <w:sz w:val="22"/>
          <w:szCs w:val="22"/>
          <w:lang w:val="en-US"/>
        </w:rPr>
        <w:t>5</w:t>
      </w:r>
      <w:r w:rsidRPr="001464FF">
        <w:rPr>
          <w:rStyle w:val="normaltextrun"/>
          <w:rFonts w:asciiTheme="majorHAnsi" w:hAnsiTheme="majorHAnsi" w:cs="Calibri"/>
          <w:i/>
          <w:iCs/>
          <w:sz w:val="22"/>
          <w:szCs w:val="22"/>
          <w:lang w:val="en-US"/>
        </w:rPr>
        <w:t xml:space="preserve">. </w:t>
      </w:r>
      <w:r w:rsidRPr="001464FF">
        <w:rPr>
          <w:rFonts w:asciiTheme="majorHAnsi" w:hAnsiTheme="majorHAnsi" w:cs="Calibri"/>
          <w:i/>
          <w:iCs/>
          <w:sz w:val="22"/>
          <w:szCs w:val="22"/>
        </w:rPr>
        <w:t>Do the respondents agree that the amended template EU CR 10.5 and the related instructions fit the purpose and meet the requirements set out in the underlying regulation?</w:t>
      </w:r>
    </w:p>
    <w:p w14:paraId="7F85A16B" w14:textId="43B8ED25" w:rsidR="001464FF" w:rsidRPr="00855001" w:rsidRDefault="001464FF" w:rsidP="001464FF">
      <w:pPr>
        <w:spacing w:after="120"/>
        <w:rPr>
          <w:rFonts w:asciiTheme="majorHAnsi" w:hAnsiTheme="majorHAnsi" w:cs="Calibri"/>
          <w:szCs w:val="22"/>
          <w:lang w:val="en-US"/>
        </w:rPr>
      </w:pPr>
      <w:r w:rsidRPr="00855001">
        <w:rPr>
          <w:rFonts w:asciiTheme="majorHAnsi" w:hAnsiTheme="majorHAnsi" w:cs="Calibri"/>
          <w:szCs w:val="22"/>
          <w:lang w:val="en-US"/>
        </w:rPr>
        <w:t>NA</w:t>
      </w:r>
      <w:r w:rsidRPr="00855001">
        <w:rPr>
          <w:lang w:val="en-US"/>
        </w:rPr>
        <w:t>  </w:t>
      </w:r>
    </w:p>
    <w:p w14:paraId="356BCE0B" w14:textId="4D8335DD" w:rsidR="001464FF" w:rsidRPr="001464FF" w:rsidRDefault="001464FF" w:rsidP="001464FF">
      <w:pPr>
        <w:pStyle w:val="paragraph"/>
        <w:pBdr>
          <w:top w:val="single" w:sz="4" w:space="1" w:color="000000"/>
          <w:left w:val="single" w:sz="4" w:space="4" w:color="000000"/>
          <w:bottom w:val="single" w:sz="4" w:space="1" w:color="000000"/>
          <w:right w:val="single" w:sz="4" w:space="4" w:color="000000"/>
        </w:pBdr>
        <w:spacing w:before="0" w:beforeAutospacing="0" w:after="120" w:afterAutospacing="0"/>
        <w:textAlignment w:val="baseline"/>
        <w:rPr>
          <w:rFonts w:asciiTheme="majorHAnsi" w:hAnsiTheme="majorHAnsi" w:cs="Calibri"/>
          <w:sz w:val="22"/>
          <w:szCs w:val="22"/>
        </w:rPr>
      </w:pPr>
      <w:r w:rsidRPr="001464FF">
        <w:rPr>
          <w:rStyle w:val="normaltextrun"/>
          <w:rFonts w:asciiTheme="majorHAnsi" w:hAnsiTheme="majorHAnsi" w:cs="Calibri"/>
          <w:i/>
          <w:iCs/>
          <w:sz w:val="22"/>
          <w:szCs w:val="22"/>
          <w:lang w:val="en-US"/>
        </w:rPr>
        <w:t>Q3</w:t>
      </w:r>
      <w:r w:rsidR="00B05772">
        <w:rPr>
          <w:rStyle w:val="normaltextrun"/>
          <w:rFonts w:asciiTheme="majorHAnsi" w:hAnsiTheme="majorHAnsi" w:cs="Calibri"/>
          <w:i/>
          <w:iCs/>
          <w:sz w:val="22"/>
          <w:szCs w:val="22"/>
          <w:lang w:val="en-US"/>
        </w:rPr>
        <w:t>6</w:t>
      </w:r>
      <w:r w:rsidRPr="001464FF">
        <w:rPr>
          <w:rStyle w:val="normaltextrun"/>
          <w:rFonts w:asciiTheme="majorHAnsi" w:hAnsiTheme="majorHAnsi" w:cs="Calibri"/>
          <w:i/>
          <w:iCs/>
          <w:sz w:val="22"/>
          <w:szCs w:val="22"/>
          <w:lang w:val="en-US"/>
        </w:rPr>
        <w:t xml:space="preserve">. </w:t>
      </w:r>
      <w:r w:rsidR="00B05772">
        <w:rPr>
          <w:rStyle w:val="normaltextrun"/>
          <w:rFonts w:asciiTheme="majorHAnsi" w:hAnsiTheme="majorHAnsi" w:cs="Calibri"/>
          <w:i/>
          <w:iCs/>
          <w:sz w:val="22"/>
          <w:szCs w:val="22"/>
          <w:lang w:val="en-US"/>
        </w:rPr>
        <w:t>D</w:t>
      </w:r>
      <w:r w:rsidRPr="001464FF">
        <w:rPr>
          <w:rFonts w:asciiTheme="majorHAnsi" w:hAnsiTheme="majorHAnsi" w:cs="Calibri"/>
          <w:i/>
          <w:iCs/>
          <w:sz w:val="22"/>
          <w:szCs w:val="22"/>
        </w:rPr>
        <w:t>o the respondents consider that the “mapping tool” appropriately reflects the mapping of the quantitative disclosure templates with supervisory reporting templates?</w:t>
      </w:r>
    </w:p>
    <w:p w14:paraId="2F54BBB5" w14:textId="25446F40" w:rsidR="00ED110F" w:rsidRPr="001464FF" w:rsidRDefault="001464FF" w:rsidP="00B05772">
      <w:pPr>
        <w:spacing w:after="120"/>
        <w:rPr>
          <w:rFonts w:asciiTheme="majorHAnsi" w:hAnsiTheme="majorHAnsi" w:cstheme="minorHAnsi"/>
          <w:szCs w:val="22"/>
          <w:lang w:val="en-US"/>
        </w:rPr>
      </w:pPr>
      <w:r w:rsidRPr="001464FF">
        <w:rPr>
          <w:rFonts w:asciiTheme="majorHAnsi" w:hAnsiTheme="majorHAnsi" w:cs="Calibri"/>
          <w:szCs w:val="22"/>
        </w:rPr>
        <w:t>NA</w:t>
      </w:r>
    </w:p>
    <w:sectPr w:rsidR="00ED110F" w:rsidRPr="001464FF" w:rsidSect="0064273E">
      <w:headerReference w:type="default" r:id="rId11"/>
      <w:footerReference w:type="default" r:id="rId12"/>
      <w:pgSz w:w="11906" w:h="16838"/>
      <w:pgMar w:top="1843" w:right="141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B96B" w14:textId="77777777" w:rsidR="009540E4" w:rsidRDefault="009540E4" w:rsidP="007F4462">
      <w:pPr>
        <w:spacing w:line="240" w:lineRule="auto"/>
      </w:pPr>
      <w:r>
        <w:separator/>
      </w:r>
    </w:p>
  </w:endnote>
  <w:endnote w:type="continuationSeparator" w:id="0">
    <w:p w14:paraId="4871C3A8" w14:textId="77777777" w:rsidR="009540E4" w:rsidRDefault="009540E4" w:rsidP="007F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9607"/>
      <w:docPartObj>
        <w:docPartGallery w:val="Page Numbers (Bottom of Page)"/>
        <w:docPartUnique/>
      </w:docPartObj>
    </w:sdtPr>
    <w:sdtEndPr/>
    <w:sdtContent>
      <w:p w14:paraId="1A043267" w14:textId="26F5660C" w:rsidR="00102AAB" w:rsidRPr="00102AAB" w:rsidRDefault="00102AAB" w:rsidP="00102AAB">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9A1C" w14:textId="77777777" w:rsidR="009540E4" w:rsidRDefault="009540E4" w:rsidP="007F4462">
      <w:pPr>
        <w:spacing w:line="240" w:lineRule="auto"/>
      </w:pPr>
      <w:r>
        <w:separator/>
      </w:r>
    </w:p>
  </w:footnote>
  <w:footnote w:type="continuationSeparator" w:id="0">
    <w:p w14:paraId="5C4E7F53" w14:textId="77777777" w:rsidR="009540E4" w:rsidRDefault="009540E4" w:rsidP="007F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A64E" w14:textId="710AEA6B" w:rsidR="007F4462" w:rsidRDefault="007F4462" w:rsidP="00102AAB">
    <w:pPr>
      <w:spacing w:line="240" w:lineRule="auto"/>
    </w:pPr>
    <w:r>
      <w:rPr>
        <w:noProof/>
        <w:lang w:val="de-AT" w:eastAsia="de-AT"/>
      </w:rPr>
      <w:drawing>
        <wp:anchor distT="0" distB="0" distL="114300" distR="114300" simplePos="0" relativeHeight="251659264" behindDoc="0" locked="1" layoutInCell="1" allowOverlap="1" wp14:anchorId="2B9F3358" wp14:editId="73489B81">
          <wp:simplePos x="0" y="0"/>
          <wp:positionH relativeFrom="margin">
            <wp:posOffset>3722370</wp:posOffset>
          </wp:positionH>
          <wp:positionV relativeFrom="page">
            <wp:posOffset>180975</wp:posOffset>
          </wp:positionV>
          <wp:extent cx="2210435" cy="861695"/>
          <wp:effectExtent l="0" t="0" r="0" b="0"/>
          <wp:wrapSquare wrapText="bothSides"/>
          <wp:docPr id="961389426" name="Grafik 96138942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5C3"/>
    <w:multiLevelType w:val="hybridMultilevel"/>
    <w:tmpl w:val="BEEC05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EA0979"/>
    <w:multiLevelType w:val="hybridMultilevel"/>
    <w:tmpl w:val="44DE65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E96910"/>
    <w:multiLevelType w:val="hybridMultilevel"/>
    <w:tmpl w:val="D4740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7E3F6E"/>
    <w:multiLevelType w:val="hybridMultilevel"/>
    <w:tmpl w:val="3A4858CE"/>
    <w:lvl w:ilvl="0" w:tplc="054C813A">
      <w:start w:val="1"/>
      <w:numFmt w:val="bullet"/>
      <w:lvlText w:val=""/>
      <w:lvlJc w:val="left"/>
      <w:pPr>
        <w:ind w:left="720" w:hanging="360"/>
      </w:pPr>
      <w:rPr>
        <w:rFonts w:ascii="Symbol" w:hAnsi="Symbol" w:hint="default"/>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855761"/>
    <w:multiLevelType w:val="hybridMultilevel"/>
    <w:tmpl w:val="CADC01BC"/>
    <w:lvl w:ilvl="0" w:tplc="24287096">
      <w:start w:val="17"/>
      <w:numFmt w:val="bullet"/>
      <w:lvlText w:val="-"/>
      <w:lvlJc w:val="left"/>
      <w:pPr>
        <w:ind w:left="1800" w:hanging="360"/>
      </w:pPr>
      <w:rPr>
        <w:rFonts w:ascii="Trebuchet MS" w:eastAsia="Times New Roman" w:hAnsi="Trebuchet MS"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5" w15:restartNumberingAfterBreak="0">
    <w:nsid w:val="18936D8E"/>
    <w:multiLevelType w:val="hybridMultilevel"/>
    <w:tmpl w:val="65A848AA"/>
    <w:lvl w:ilvl="0" w:tplc="0C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6F41F1"/>
    <w:multiLevelType w:val="hybridMultilevel"/>
    <w:tmpl w:val="AA7CC5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674F96"/>
    <w:multiLevelType w:val="hybridMultilevel"/>
    <w:tmpl w:val="FD6A89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1D5169B5"/>
    <w:multiLevelType w:val="hybridMultilevel"/>
    <w:tmpl w:val="16A2A6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1E804D82"/>
    <w:multiLevelType w:val="hybridMultilevel"/>
    <w:tmpl w:val="99689C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1CF4310"/>
    <w:multiLevelType w:val="hybridMultilevel"/>
    <w:tmpl w:val="EB4C898C"/>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1" w15:restartNumberingAfterBreak="0">
    <w:nsid w:val="240810EA"/>
    <w:multiLevelType w:val="hybridMultilevel"/>
    <w:tmpl w:val="488CAE6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57C506A"/>
    <w:multiLevelType w:val="hybridMultilevel"/>
    <w:tmpl w:val="62E0A5E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73D7EC0"/>
    <w:multiLevelType w:val="hybridMultilevel"/>
    <w:tmpl w:val="CB9A4BC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2BE52EEE"/>
    <w:multiLevelType w:val="hybridMultilevel"/>
    <w:tmpl w:val="462C9D1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AD0822"/>
    <w:multiLevelType w:val="hybridMultilevel"/>
    <w:tmpl w:val="717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31106E93"/>
    <w:multiLevelType w:val="hybridMultilevel"/>
    <w:tmpl w:val="ABDC8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B1548"/>
    <w:multiLevelType w:val="hybridMultilevel"/>
    <w:tmpl w:val="1A185610"/>
    <w:lvl w:ilvl="0" w:tplc="FEB8787E">
      <w:start w:val="17"/>
      <w:numFmt w:val="bullet"/>
      <w:lvlText w:val="-"/>
      <w:lvlJc w:val="left"/>
      <w:pPr>
        <w:ind w:left="2520" w:hanging="360"/>
      </w:pPr>
      <w:rPr>
        <w:rFonts w:ascii="Trebuchet MS" w:eastAsia="Times New Roman" w:hAnsi="Trebuchet MS" w:cs="Times New Roman" w:hint="default"/>
      </w:rPr>
    </w:lvl>
    <w:lvl w:ilvl="1" w:tplc="0C070003" w:tentative="1">
      <w:start w:val="1"/>
      <w:numFmt w:val="bullet"/>
      <w:lvlText w:val="o"/>
      <w:lvlJc w:val="left"/>
      <w:pPr>
        <w:ind w:left="3240" w:hanging="360"/>
      </w:pPr>
      <w:rPr>
        <w:rFonts w:ascii="Courier New" w:hAnsi="Courier New" w:cs="Courier New" w:hint="default"/>
      </w:rPr>
    </w:lvl>
    <w:lvl w:ilvl="2" w:tplc="0C070005" w:tentative="1">
      <w:start w:val="1"/>
      <w:numFmt w:val="bullet"/>
      <w:lvlText w:val=""/>
      <w:lvlJc w:val="left"/>
      <w:pPr>
        <w:ind w:left="3960" w:hanging="360"/>
      </w:pPr>
      <w:rPr>
        <w:rFonts w:ascii="Wingdings" w:hAnsi="Wingdings" w:hint="default"/>
      </w:rPr>
    </w:lvl>
    <w:lvl w:ilvl="3" w:tplc="0C070001" w:tentative="1">
      <w:start w:val="1"/>
      <w:numFmt w:val="bullet"/>
      <w:lvlText w:val=""/>
      <w:lvlJc w:val="left"/>
      <w:pPr>
        <w:ind w:left="4680" w:hanging="360"/>
      </w:pPr>
      <w:rPr>
        <w:rFonts w:ascii="Symbol" w:hAnsi="Symbol" w:hint="default"/>
      </w:rPr>
    </w:lvl>
    <w:lvl w:ilvl="4" w:tplc="0C070003" w:tentative="1">
      <w:start w:val="1"/>
      <w:numFmt w:val="bullet"/>
      <w:lvlText w:val="o"/>
      <w:lvlJc w:val="left"/>
      <w:pPr>
        <w:ind w:left="5400" w:hanging="360"/>
      </w:pPr>
      <w:rPr>
        <w:rFonts w:ascii="Courier New" w:hAnsi="Courier New" w:cs="Courier New" w:hint="default"/>
      </w:rPr>
    </w:lvl>
    <w:lvl w:ilvl="5" w:tplc="0C070005" w:tentative="1">
      <w:start w:val="1"/>
      <w:numFmt w:val="bullet"/>
      <w:lvlText w:val=""/>
      <w:lvlJc w:val="left"/>
      <w:pPr>
        <w:ind w:left="6120" w:hanging="360"/>
      </w:pPr>
      <w:rPr>
        <w:rFonts w:ascii="Wingdings" w:hAnsi="Wingdings" w:hint="default"/>
      </w:rPr>
    </w:lvl>
    <w:lvl w:ilvl="6" w:tplc="0C070001" w:tentative="1">
      <w:start w:val="1"/>
      <w:numFmt w:val="bullet"/>
      <w:lvlText w:val=""/>
      <w:lvlJc w:val="left"/>
      <w:pPr>
        <w:ind w:left="6840" w:hanging="360"/>
      </w:pPr>
      <w:rPr>
        <w:rFonts w:ascii="Symbol" w:hAnsi="Symbol" w:hint="default"/>
      </w:rPr>
    </w:lvl>
    <w:lvl w:ilvl="7" w:tplc="0C070003" w:tentative="1">
      <w:start w:val="1"/>
      <w:numFmt w:val="bullet"/>
      <w:lvlText w:val="o"/>
      <w:lvlJc w:val="left"/>
      <w:pPr>
        <w:ind w:left="7560" w:hanging="360"/>
      </w:pPr>
      <w:rPr>
        <w:rFonts w:ascii="Courier New" w:hAnsi="Courier New" w:cs="Courier New" w:hint="default"/>
      </w:rPr>
    </w:lvl>
    <w:lvl w:ilvl="8" w:tplc="0C070005" w:tentative="1">
      <w:start w:val="1"/>
      <w:numFmt w:val="bullet"/>
      <w:lvlText w:val=""/>
      <w:lvlJc w:val="left"/>
      <w:pPr>
        <w:ind w:left="8280" w:hanging="360"/>
      </w:pPr>
      <w:rPr>
        <w:rFonts w:ascii="Wingdings" w:hAnsi="Wingdings" w:hint="default"/>
      </w:rPr>
    </w:lvl>
  </w:abstractNum>
  <w:abstractNum w:abstractNumId="18" w15:restartNumberingAfterBreak="0">
    <w:nsid w:val="370A4BBF"/>
    <w:multiLevelType w:val="hybridMultilevel"/>
    <w:tmpl w:val="632264C2"/>
    <w:lvl w:ilvl="0" w:tplc="0C070003">
      <w:start w:val="1"/>
      <w:numFmt w:val="bullet"/>
      <w:lvlText w:val="o"/>
      <w:lvlJc w:val="left"/>
      <w:pPr>
        <w:ind w:left="720" w:hanging="360"/>
      </w:pPr>
      <w:rPr>
        <w:rFonts w:ascii="Courier New" w:hAnsi="Courier New" w:cs="Courier New" w:hint="default"/>
      </w:rPr>
    </w:lvl>
    <w:lvl w:ilvl="1" w:tplc="24287096">
      <w:start w:val="17"/>
      <w:numFmt w:val="bullet"/>
      <w:lvlText w:val="-"/>
      <w:lvlJc w:val="left"/>
      <w:pPr>
        <w:ind w:left="2160" w:hanging="360"/>
      </w:pPr>
      <w:rPr>
        <w:rFonts w:ascii="Trebuchet MS" w:eastAsia="Times New Roman" w:hAnsi="Trebuchet MS" w:cs="Times New Roman"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88C5EEA"/>
    <w:multiLevelType w:val="hybridMultilevel"/>
    <w:tmpl w:val="03F41650"/>
    <w:lvl w:ilvl="0" w:tplc="52C49CAA">
      <w:start w:val="1"/>
      <w:numFmt w:val="decimal"/>
      <w:lvlText w:val="%1."/>
      <w:lvlJc w:val="left"/>
      <w:pPr>
        <w:ind w:left="720" w:hanging="360"/>
      </w:pPr>
    </w:lvl>
    <w:lvl w:ilvl="1" w:tplc="9A7E605A">
      <w:start w:val="1"/>
      <w:numFmt w:val="lowerLetter"/>
      <w:lvlText w:val="%2."/>
      <w:lvlJc w:val="left"/>
      <w:pPr>
        <w:ind w:left="1440" w:hanging="360"/>
      </w:pPr>
    </w:lvl>
    <w:lvl w:ilvl="2" w:tplc="ECFC0F2A">
      <w:start w:val="1"/>
      <w:numFmt w:val="lowerRoman"/>
      <w:lvlText w:val="%3."/>
      <w:lvlJc w:val="right"/>
      <w:pPr>
        <w:ind w:left="2160" w:hanging="180"/>
      </w:pPr>
    </w:lvl>
    <w:lvl w:ilvl="3" w:tplc="17964472">
      <w:start w:val="1"/>
      <w:numFmt w:val="decimal"/>
      <w:lvlText w:val="%4."/>
      <w:lvlJc w:val="left"/>
      <w:pPr>
        <w:ind w:left="2880" w:hanging="360"/>
      </w:pPr>
    </w:lvl>
    <w:lvl w:ilvl="4" w:tplc="1826A8C8">
      <w:start w:val="1"/>
      <w:numFmt w:val="lowerLetter"/>
      <w:lvlText w:val="%5."/>
      <w:lvlJc w:val="left"/>
      <w:pPr>
        <w:ind w:left="3600" w:hanging="360"/>
      </w:pPr>
    </w:lvl>
    <w:lvl w:ilvl="5" w:tplc="B17EB14A">
      <w:start w:val="1"/>
      <w:numFmt w:val="lowerRoman"/>
      <w:lvlText w:val="%6."/>
      <w:lvlJc w:val="right"/>
      <w:pPr>
        <w:ind w:left="4320" w:hanging="180"/>
      </w:pPr>
    </w:lvl>
    <w:lvl w:ilvl="6" w:tplc="0DA01D1A">
      <w:start w:val="1"/>
      <w:numFmt w:val="decimal"/>
      <w:lvlText w:val="%7."/>
      <w:lvlJc w:val="left"/>
      <w:pPr>
        <w:ind w:left="5040" w:hanging="360"/>
      </w:pPr>
    </w:lvl>
    <w:lvl w:ilvl="7" w:tplc="F244CDE4">
      <w:start w:val="1"/>
      <w:numFmt w:val="lowerLetter"/>
      <w:lvlText w:val="%8."/>
      <w:lvlJc w:val="left"/>
      <w:pPr>
        <w:ind w:left="5760" w:hanging="360"/>
      </w:pPr>
    </w:lvl>
    <w:lvl w:ilvl="8" w:tplc="2E20FF52">
      <w:start w:val="1"/>
      <w:numFmt w:val="lowerRoman"/>
      <w:lvlText w:val="%9."/>
      <w:lvlJc w:val="right"/>
      <w:pPr>
        <w:ind w:left="6480" w:hanging="180"/>
      </w:pPr>
    </w:lvl>
  </w:abstractNum>
  <w:abstractNum w:abstractNumId="20" w15:restartNumberingAfterBreak="0">
    <w:nsid w:val="3BDD4CDD"/>
    <w:multiLevelType w:val="hybridMultilevel"/>
    <w:tmpl w:val="1A6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DDB395D"/>
    <w:multiLevelType w:val="hybridMultilevel"/>
    <w:tmpl w:val="B526FF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4BB7C21"/>
    <w:multiLevelType w:val="hybridMultilevel"/>
    <w:tmpl w:val="AF4A4C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5EF170B"/>
    <w:multiLevelType w:val="hybridMultilevel"/>
    <w:tmpl w:val="7462482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72D44B7"/>
    <w:multiLevelType w:val="hybridMultilevel"/>
    <w:tmpl w:val="ECD0A8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4BFD7CD9"/>
    <w:multiLevelType w:val="hybridMultilevel"/>
    <w:tmpl w:val="D8164408"/>
    <w:lvl w:ilvl="0" w:tplc="F896486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C4C3EC5"/>
    <w:multiLevelType w:val="hybridMultilevel"/>
    <w:tmpl w:val="AE7C4E5E"/>
    <w:lvl w:ilvl="0" w:tplc="DFA2C93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C7A2BEA"/>
    <w:multiLevelType w:val="hybridMultilevel"/>
    <w:tmpl w:val="DBE6B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82255B1"/>
    <w:multiLevelType w:val="hybridMultilevel"/>
    <w:tmpl w:val="844836D0"/>
    <w:lvl w:ilvl="0" w:tplc="24287096">
      <w:start w:val="17"/>
      <w:numFmt w:val="bullet"/>
      <w:lvlText w:val="-"/>
      <w:lvlJc w:val="left"/>
      <w:pPr>
        <w:ind w:left="2160" w:hanging="360"/>
      </w:pPr>
      <w:rPr>
        <w:rFonts w:ascii="Trebuchet MS" w:eastAsia="Times New Roman" w:hAnsi="Trebuchet MS" w:cs="Times New Roman"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9" w15:restartNumberingAfterBreak="0">
    <w:nsid w:val="58296E1E"/>
    <w:multiLevelType w:val="hybridMultilevel"/>
    <w:tmpl w:val="9404E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D425E7"/>
    <w:multiLevelType w:val="hybridMultilevel"/>
    <w:tmpl w:val="B34859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595487A"/>
    <w:multiLevelType w:val="hybridMultilevel"/>
    <w:tmpl w:val="4C20ED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69120E0"/>
    <w:multiLevelType w:val="hybridMultilevel"/>
    <w:tmpl w:val="BC5228A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B83442A"/>
    <w:multiLevelType w:val="hybridMultilevel"/>
    <w:tmpl w:val="98FC7E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CA70BEC"/>
    <w:multiLevelType w:val="hybridMultilevel"/>
    <w:tmpl w:val="2408A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6618A"/>
    <w:multiLevelType w:val="hybridMultilevel"/>
    <w:tmpl w:val="92DEEE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6" w15:restartNumberingAfterBreak="0">
    <w:nsid w:val="77682943"/>
    <w:multiLevelType w:val="hybridMultilevel"/>
    <w:tmpl w:val="CC22D6C0"/>
    <w:lvl w:ilvl="0" w:tplc="054C813A">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86055750">
    <w:abstractNumId w:val="9"/>
  </w:num>
  <w:num w:numId="2" w16cid:durableId="1170679435">
    <w:abstractNumId w:val="6"/>
  </w:num>
  <w:num w:numId="3" w16cid:durableId="805201574">
    <w:abstractNumId w:val="35"/>
  </w:num>
  <w:num w:numId="4" w16cid:durableId="1174224545">
    <w:abstractNumId w:val="4"/>
  </w:num>
  <w:num w:numId="5" w16cid:durableId="1507405978">
    <w:abstractNumId w:val="17"/>
  </w:num>
  <w:num w:numId="6" w16cid:durableId="878588505">
    <w:abstractNumId w:val="26"/>
  </w:num>
  <w:num w:numId="7" w16cid:durableId="837229428">
    <w:abstractNumId w:val="18"/>
  </w:num>
  <w:num w:numId="8" w16cid:durableId="2042976082">
    <w:abstractNumId w:val="5"/>
  </w:num>
  <w:num w:numId="9" w16cid:durableId="636642400">
    <w:abstractNumId w:val="28"/>
  </w:num>
  <w:num w:numId="10" w16cid:durableId="2040161953">
    <w:abstractNumId w:val="33"/>
  </w:num>
  <w:num w:numId="11" w16cid:durableId="1286110862">
    <w:abstractNumId w:val="31"/>
  </w:num>
  <w:num w:numId="12" w16cid:durableId="933199857">
    <w:abstractNumId w:val="0"/>
  </w:num>
  <w:num w:numId="13" w16cid:durableId="905726561">
    <w:abstractNumId w:val="12"/>
  </w:num>
  <w:num w:numId="14" w16cid:durableId="438524651">
    <w:abstractNumId w:val="13"/>
  </w:num>
  <w:num w:numId="15" w16cid:durableId="1696997341">
    <w:abstractNumId w:val="7"/>
  </w:num>
  <w:num w:numId="16" w16cid:durableId="1633903082">
    <w:abstractNumId w:val="10"/>
  </w:num>
  <w:num w:numId="17" w16cid:durableId="761487746">
    <w:abstractNumId w:val="36"/>
  </w:num>
  <w:num w:numId="18" w16cid:durableId="1850412286">
    <w:abstractNumId w:val="3"/>
  </w:num>
  <w:num w:numId="19" w16cid:durableId="25177192">
    <w:abstractNumId w:val="22"/>
  </w:num>
  <w:num w:numId="20" w16cid:durableId="1225801823">
    <w:abstractNumId w:val="21"/>
  </w:num>
  <w:num w:numId="21" w16cid:durableId="304090981">
    <w:abstractNumId w:val="23"/>
  </w:num>
  <w:num w:numId="22" w16cid:durableId="1774936424">
    <w:abstractNumId w:val="1"/>
  </w:num>
  <w:num w:numId="23" w16cid:durableId="1790198386">
    <w:abstractNumId w:val="30"/>
  </w:num>
  <w:num w:numId="24" w16cid:durableId="20933157">
    <w:abstractNumId w:val="27"/>
  </w:num>
  <w:num w:numId="25" w16cid:durableId="883755617">
    <w:abstractNumId w:val="32"/>
  </w:num>
  <w:num w:numId="26" w16cid:durableId="1946502373">
    <w:abstractNumId w:val="20"/>
  </w:num>
  <w:num w:numId="27" w16cid:durableId="1480685660">
    <w:abstractNumId w:val="15"/>
  </w:num>
  <w:num w:numId="28" w16cid:durableId="391150598">
    <w:abstractNumId w:val="24"/>
  </w:num>
  <w:num w:numId="29" w16cid:durableId="1560478927">
    <w:abstractNumId w:val="8"/>
  </w:num>
  <w:num w:numId="30" w16cid:durableId="1671056148">
    <w:abstractNumId w:val="25"/>
  </w:num>
  <w:num w:numId="31" w16cid:durableId="2089885559">
    <w:abstractNumId w:val="19"/>
  </w:num>
  <w:num w:numId="32" w16cid:durableId="916280088">
    <w:abstractNumId w:val="34"/>
  </w:num>
  <w:num w:numId="33" w16cid:durableId="989208135">
    <w:abstractNumId w:val="16"/>
  </w:num>
  <w:num w:numId="34" w16cid:durableId="1310406594">
    <w:abstractNumId w:val="29"/>
  </w:num>
  <w:num w:numId="35" w16cid:durableId="864756041">
    <w:abstractNumId w:val="2"/>
  </w:num>
  <w:num w:numId="36" w16cid:durableId="148599619">
    <w:abstractNumId w:val="11"/>
  </w:num>
  <w:num w:numId="37" w16cid:durableId="2105614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BB"/>
    <w:rsid w:val="00002CAE"/>
    <w:rsid w:val="000056F5"/>
    <w:rsid w:val="00006256"/>
    <w:rsid w:val="0000713F"/>
    <w:rsid w:val="000127E2"/>
    <w:rsid w:val="00012D1A"/>
    <w:rsid w:val="00015B32"/>
    <w:rsid w:val="00016D43"/>
    <w:rsid w:val="00035DE7"/>
    <w:rsid w:val="0003719F"/>
    <w:rsid w:val="00041E2C"/>
    <w:rsid w:val="000608E2"/>
    <w:rsid w:val="00062E52"/>
    <w:rsid w:val="000641B8"/>
    <w:rsid w:val="00071001"/>
    <w:rsid w:val="00072412"/>
    <w:rsid w:val="00074C50"/>
    <w:rsid w:val="00075857"/>
    <w:rsid w:val="00081F10"/>
    <w:rsid w:val="00082C8C"/>
    <w:rsid w:val="00096503"/>
    <w:rsid w:val="000A0EEE"/>
    <w:rsid w:val="000A1ABE"/>
    <w:rsid w:val="000A4204"/>
    <w:rsid w:val="000A71B3"/>
    <w:rsid w:val="000A71EA"/>
    <w:rsid w:val="000B7855"/>
    <w:rsid w:val="000C385F"/>
    <w:rsid w:val="000C4EA0"/>
    <w:rsid w:val="000D607B"/>
    <w:rsid w:val="000D7CD2"/>
    <w:rsid w:val="000E02C8"/>
    <w:rsid w:val="000E57F4"/>
    <w:rsid w:val="000F1496"/>
    <w:rsid w:val="000F55F6"/>
    <w:rsid w:val="000F69DE"/>
    <w:rsid w:val="00102604"/>
    <w:rsid w:val="00102AAB"/>
    <w:rsid w:val="00102C32"/>
    <w:rsid w:val="00102E04"/>
    <w:rsid w:val="00103E15"/>
    <w:rsid w:val="00106C6F"/>
    <w:rsid w:val="00107F0F"/>
    <w:rsid w:val="00111282"/>
    <w:rsid w:val="00123FF7"/>
    <w:rsid w:val="00126542"/>
    <w:rsid w:val="001455FF"/>
    <w:rsid w:val="00145964"/>
    <w:rsid w:val="001464FF"/>
    <w:rsid w:val="0015182C"/>
    <w:rsid w:val="001541AE"/>
    <w:rsid w:val="00156DAF"/>
    <w:rsid w:val="00166D5F"/>
    <w:rsid w:val="001675EA"/>
    <w:rsid w:val="00193FBA"/>
    <w:rsid w:val="001A04D8"/>
    <w:rsid w:val="001A1F7F"/>
    <w:rsid w:val="001A26BE"/>
    <w:rsid w:val="001A4052"/>
    <w:rsid w:val="001C5380"/>
    <w:rsid w:val="001E01D2"/>
    <w:rsid w:val="001E2D12"/>
    <w:rsid w:val="001E5650"/>
    <w:rsid w:val="001F25D1"/>
    <w:rsid w:val="00200EC8"/>
    <w:rsid w:val="0020107C"/>
    <w:rsid w:val="00202A94"/>
    <w:rsid w:val="00207605"/>
    <w:rsid w:val="00213287"/>
    <w:rsid w:val="00220E0E"/>
    <w:rsid w:val="00222D92"/>
    <w:rsid w:val="00223DE1"/>
    <w:rsid w:val="00226ADD"/>
    <w:rsid w:val="002272DC"/>
    <w:rsid w:val="0023020C"/>
    <w:rsid w:val="00240497"/>
    <w:rsid w:val="00244A52"/>
    <w:rsid w:val="00250801"/>
    <w:rsid w:val="002535CA"/>
    <w:rsid w:val="00253970"/>
    <w:rsid w:val="00261C4B"/>
    <w:rsid w:val="00271D63"/>
    <w:rsid w:val="00277E56"/>
    <w:rsid w:val="00283BF5"/>
    <w:rsid w:val="002971D3"/>
    <w:rsid w:val="002A2E36"/>
    <w:rsid w:val="002A6A53"/>
    <w:rsid w:val="002A6FC7"/>
    <w:rsid w:val="002B0611"/>
    <w:rsid w:val="002B0C5A"/>
    <w:rsid w:val="002C1E20"/>
    <w:rsid w:val="002C33A7"/>
    <w:rsid w:val="002D4063"/>
    <w:rsid w:val="002D5AE1"/>
    <w:rsid w:val="002E3053"/>
    <w:rsid w:val="002E40B7"/>
    <w:rsid w:val="002E4BD5"/>
    <w:rsid w:val="002F0431"/>
    <w:rsid w:val="003134C7"/>
    <w:rsid w:val="00320001"/>
    <w:rsid w:val="003258AF"/>
    <w:rsid w:val="00326AD7"/>
    <w:rsid w:val="00331C9B"/>
    <w:rsid w:val="00332EBE"/>
    <w:rsid w:val="003351AC"/>
    <w:rsid w:val="00341140"/>
    <w:rsid w:val="00353145"/>
    <w:rsid w:val="00354C94"/>
    <w:rsid w:val="00356823"/>
    <w:rsid w:val="0036292F"/>
    <w:rsid w:val="003655B8"/>
    <w:rsid w:val="003661E7"/>
    <w:rsid w:val="0037643C"/>
    <w:rsid w:val="003779CB"/>
    <w:rsid w:val="00382B0A"/>
    <w:rsid w:val="00385222"/>
    <w:rsid w:val="003925AD"/>
    <w:rsid w:val="00396922"/>
    <w:rsid w:val="00397BD4"/>
    <w:rsid w:val="003A03DF"/>
    <w:rsid w:val="003C7BD4"/>
    <w:rsid w:val="003D1A2B"/>
    <w:rsid w:val="003D261A"/>
    <w:rsid w:val="003D53D2"/>
    <w:rsid w:val="003D621A"/>
    <w:rsid w:val="003D70C4"/>
    <w:rsid w:val="003D7AD3"/>
    <w:rsid w:val="003E3102"/>
    <w:rsid w:val="003F3096"/>
    <w:rsid w:val="003F4163"/>
    <w:rsid w:val="003F6C84"/>
    <w:rsid w:val="003F72E9"/>
    <w:rsid w:val="003F792D"/>
    <w:rsid w:val="00405E8D"/>
    <w:rsid w:val="004064B9"/>
    <w:rsid w:val="00411B54"/>
    <w:rsid w:val="004270E2"/>
    <w:rsid w:val="00433804"/>
    <w:rsid w:val="00442A54"/>
    <w:rsid w:val="00445917"/>
    <w:rsid w:val="00446AEB"/>
    <w:rsid w:val="00446BE3"/>
    <w:rsid w:val="00450DC1"/>
    <w:rsid w:val="00450E5E"/>
    <w:rsid w:val="0045136D"/>
    <w:rsid w:val="00454F8D"/>
    <w:rsid w:val="00464A78"/>
    <w:rsid w:val="00470A23"/>
    <w:rsid w:val="00471400"/>
    <w:rsid w:val="00482ED1"/>
    <w:rsid w:val="00484B00"/>
    <w:rsid w:val="004A0C5F"/>
    <w:rsid w:val="004A2074"/>
    <w:rsid w:val="004C5BD9"/>
    <w:rsid w:val="004D5B87"/>
    <w:rsid w:val="004F01C6"/>
    <w:rsid w:val="004F23C4"/>
    <w:rsid w:val="004F274C"/>
    <w:rsid w:val="005073AE"/>
    <w:rsid w:val="00513823"/>
    <w:rsid w:val="005154D9"/>
    <w:rsid w:val="005246B6"/>
    <w:rsid w:val="00527B54"/>
    <w:rsid w:val="00531490"/>
    <w:rsid w:val="00532C68"/>
    <w:rsid w:val="005344F4"/>
    <w:rsid w:val="00540EAE"/>
    <w:rsid w:val="005464E0"/>
    <w:rsid w:val="00547A59"/>
    <w:rsid w:val="005501F5"/>
    <w:rsid w:val="005534B9"/>
    <w:rsid w:val="00557274"/>
    <w:rsid w:val="005625A7"/>
    <w:rsid w:val="00582502"/>
    <w:rsid w:val="0059414D"/>
    <w:rsid w:val="00596D89"/>
    <w:rsid w:val="005A7E33"/>
    <w:rsid w:val="005B0909"/>
    <w:rsid w:val="005B46D0"/>
    <w:rsid w:val="005B7474"/>
    <w:rsid w:val="005B7B2B"/>
    <w:rsid w:val="005C5376"/>
    <w:rsid w:val="005C5DC0"/>
    <w:rsid w:val="005D0BA5"/>
    <w:rsid w:val="005D282D"/>
    <w:rsid w:val="005D3BF4"/>
    <w:rsid w:val="005D6B25"/>
    <w:rsid w:val="005D714A"/>
    <w:rsid w:val="005D7FBC"/>
    <w:rsid w:val="005E317C"/>
    <w:rsid w:val="005F6829"/>
    <w:rsid w:val="0060498F"/>
    <w:rsid w:val="00617DBA"/>
    <w:rsid w:val="00622599"/>
    <w:rsid w:val="00624170"/>
    <w:rsid w:val="00626C2B"/>
    <w:rsid w:val="00631FED"/>
    <w:rsid w:val="006327CF"/>
    <w:rsid w:val="00640476"/>
    <w:rsid w:val="00642256"/>
    <w:rsid w:val="0064273E"/>
    <w:rsid w:val="00662F3F"/>
    <w:rsid w:val="0066391E"/>
    <w:rsid w:val="00665515"/>
    <w:rsid w:val="00667712"/>
    <w:rsid w:val="0066781B"/>
    <w:rsid w:val="00693C90"/>
    <w:rsid w:val="006967E0"/>
    <w:rsid w:val="0069759C"/>
    <w:rsid w:val="006A6454"/>
    <w:rsid w:val="006A78D2"/>
    <w:rsid w:val="006B1064"/>
    <w:rsid w:val="006B464D"/>
    <w:rsid w:val="006C0AD9"/>
    <w:rsid w:val="006C3CB5"/>
    <w:rsid w:val="006C429B"/>
    <w:rsid w:val="006D58B7"/>
    <w:rsid w:val="006D6B4E"/>
    <w:rsid w:val="006E0005"/>
    <w:rsid w:val="006E1B06"/>
    <w:rsid w:val="006E2E0E"/>
    <w:rsid w:val="006E5EB7"/>
    <w:rsid w:val="006E6936"/>
    <w:rsid w:val="006F2C6D"/>
    <w:rsid w:val="007050C2"/>
    <w:rsid w:val="0071471A"/>
    <w:rsid w:val="00724920"/>
    <w:rsid w:val="0072603E"/>
    <w:rsid w:val="00733E21"/>
    <w:rsid w:val="007370B8"/>
    <w:rsid w:val="00737458"/>
    <w:rsid w:val="00741FC0"/>
    <w:rsid w:val="00744E03"/>
    <w:rsid w:val="00746591"/>
    <w:rsid w:val="007475BD"/>
    <w:rsid w:val="0075635E"/>
    <w:rsid w:val="007572B2"/>
    <w:rsid w:val="00757D59"/>
    <w:rsid w:val="007624B1"/>
    <w:rsid w:val="00764C39"/>
    <w:rsid w:val="00765216"/>
    <w:rsid w:val="00765322"/>
    <w:rsid w:val="00773EE0"/>
    <w:rsid w:val="007764E3"/>
    <w:rsid w:val="007766FC"/>
    <w:rsid w:val="00780333"/>
    <w:rsid w:val="007821BF"/>
    <w:rsid w:val="00782F87"/>
    <w:rsid w:val="00786DF5"/>
    <w:rsid w:val="007A6524"/>
    <w:rsid w:val="007C0666"/>
    <w:rsid w:val="007D472B"/>
    <w:rsid w:val="007E1A50"/>
    <w:rsid w:val="007E2915"/>
    <w:rsid w:val="007E3271"/>
    <w:rsid w:val="007F07FE"/>
    <w:rsid w:val="007F0DCC"/>
    <w:rsid w:val="007F4462"/>
    <w:rsid w:val="007F47AD"/>
    <w:rsid w:val="008042C9"/>
    <w:rsid w:val="00813C58"/>
    <w:rsid w:val="00813D37"/>
    <w:rsid w:val="008206A3"/>
    <w:rsid w:val="00822213"/>
    <w:rsid w:val="00831F79"/>
    <w:rsid w:val="00835A38"/>
    <w:rsid w:val="008401B3"/>
    <w:rsid w:val="00841B66"/>
    <w:rsid w:val="00845635"/>
    <w:rsid w:val="0085384E"/>
    <w:rsid w:val="0085473E"/>
    <w:rsid w:val="00855001"/>
    <w:rsid w:val="0085688E"/>
    <w:rsid w:val="00861D96"/>
    <w:rsid w:val="00864BB9"/>
    <w:rsid w:val="00870AF0"/>
    <w:rsid w:val="0087385E"/>
    <w:rsid w:val="00873B28"/>
    <w:rsid w:val="00873CCE"/>
    <w:rsid w:val="00875856"/>
    <w:rsid w:val="008862DB"/>
    <w:rsid w:val="00886998"/>
    <w:rsid w:val="00897409"/>
    <w:rsid w:val="008A0FF8"/>
    <w:rsid w:val="008A24DF"/>
    <w:rsid w:val="008A713B"/>
    <w:rsid w:val="008B3B02"/>
    <w:rsid w:val="008B46EE"/>
    <w:rsid w:val="008C5CC7"/>
    <w:rsid w:val="008C62EC"/>
    <w:rsid w:val="008C704E"/>
    <w:rsid w:val="008D08A5"/>
    <w:rsid w:val="008D6D1E"/>
    <w:rsid w:val="008F40A5"/>
    <w:rsid w:val="0090586A"/>
    <w:rsid w:val="00905D69"/>
    <w:rsid w:val="00915F51"/>
    <w:rsid w:val="0091731A"/>
    <w:rsid w:val="0093761C"/>
    <w:rsid w:val="00947228"/>
    <w:rsid w:val="009506EB"/>
    <w:rsid w:val="00951D89"/>
    <w:rsid w:val="009540E4"/>
    <w:rsid w:val="00954E0A"/>
    <w:rsid w:val="00961DE1"/>
    <w:rsid w:val="00964715"/>
    <w:rsid w:val="00976333"/>
    <w:rsid w:val="00982719"/>
    <w:rsid w:val="00990658"/>
    <w:rsid w:val="009A789A"/>
    <w:rsid w:val="009B14CE"/>
    <w:rsid w:val="009B1EBE"/>
    <w:rsid w:val="009B4672"/>
    <w:rsid w:val="009C58B4"/>
    <w:rsid w:val="009D2944"/>
    <w:rsid w:val="009D6188"/>
    <w:rsid w:val="009F7963"/>
    <w:rsid w:val="00A01D86"/>
    <w:rsid w:val="00A04226"/>
    <w:rsid w:val="00A07A71"/>
    <w:rsid w:val="00A17B8C"/>
    <w:rsid w:val="00A20932"/>
    <w:rsid w:val="00A26AF1"/>
    <w:rsid w:val="00A30D99"/>
    <w:rsid w:val="00A36A73"/>
    <w:rsid w:val="00A40993"/>
    <w:rsid w:val="00A40F7B"/>
    <w:rsid w:val="00A44660"/>
    <w:rsid w:val="00A646F8"/>
    <w:rsid w:val="00A675D0"/>
    <w:rsid w:val="00A70194"/>
    <w:rsid w:val="00A741F1"/>
    <w:rsid w:val="00A755D4"/>
    <w:rsid w:val="00A76C23"/>
    <w:rsid w:val="00A77064"/>
    <w:rsid w:val="00A80B59"/>
    <w:rsid w:val="00A8397F"/>
    <w:rsid w:val="00A90F8A"/>
    <w:rsid w:val="00AA0BE0"/>
    <w:rsid w:val="00AC1901"/>
    <w:rsid w:val="00AC215F"/>
    <w:rsid w:val="00AC28F5"/>
    <w:rsid w:val="00AC2936"/>
    <w:rsid w:val="00AC5E74"/>
    <w:rsid w:val="00AC617A"/>
    <w:rsid w:val="00AD057B"/>
    <w:rsid w:val="00AD104F"/>
    <w:rsid w:val="00AD16CA"/>
    <w:rsid w:val="00AD6225"/>
    <w:rsid w:val="00AE2B70"/>
    <w:rsid w:val="00AF0948"/>
    <w:rsid w:val="00B00BA6"/>
    <w:rsid w:val="00B05772"/>
    <w:rsid w:val="00B05EEA"/>
    <w:rsid w:val="00B06CD0"/>
    <w:rsid w:val="00B158EE"/>
    <w:rsid w:val="00B172D4"/>
    <w:rsid w:val="00B20F70"/>
    <w:rsid w:val="00B2256F"/>
    <w:rsid w:val="00B259C5"/>
    <w:rsid w:val="00B27DDA"/>
    <w:rsid w:val="00B30C0F"/>
    <w:rsid w:val="00B313B9"/>
    <w:rsid w:val="00B31B15"/>
    <w:rsid w:val="00B33663"/>
    <w:rsid w:val="00B3531E"/>
    <w:rsid w:val="00B56534"/>
    <w:rsid w:val="00B83F56"/>
    <w:rsid w:val="00B872A5"/>
    <w:rsid w:val="00B95721"/>
    <w:rsid w:val="00BA012B"/>
    <w:rsid w:val="00BA1C24"/>
    <w:rsid w:val="00BA48CC"/>
    <w:rsid w:val="00BA51E2"/>
    <w:rsid w:val="00BB4B43"/>
    <w:rsid w:val="00BB5056"/>
    <w:rsid w:val="00BB6754"/>
    <w:rsid w:val="00BC1A2D"/>
    <w:rsid w:val="00BC2477"/>
    <w:rsid w:val="00BC6C12"/>
    <w:rsid w:val="00BD35DF"/>
    <w:rsid w:val="00BD39D5"/>
    <w:rsid w:val="00BD5142"/>
    <w:rsid w:val="00BD567B"/>
    <w:rsid w:val="00BE1A89"/>
    <w:rsid w:val="00BE3F95"/>
    <w:rsid w:val="00BE717D"/>
    <w:rsid w:val="00BE79A7"/>
    <w:rsid w:val="00BE7B65"/>
    <w:rsid w:val="00BF2B69"/>
    <w:rsid w:val="00BF312C"/>
    <w:rsid w:val="00C009D1"/>
    <w:rsid w:val="00C04A90"/>
    <w:rsid w:val="00C07FB4"/>
    <w:rsid w:val="00C10E89"/>
    <w:rsid w:val="00C160EC"/>
    <w:rsid w:val="00C17B81"/>
    <w:rsid w:val="00C25406"/>
    <w:rsid w:val="00C36B74"/>
    <w:rsid w:val="00C41A97"/>
    <w:rsid w:val="00C42CFE"/>
    <w:rsid w:val="00C51E2B"/>
    <w:rsid w:val="00C5329E"/>
    <w:rsid w:val="00C65C5C"/>
    <w:rsid w:val="00C779A5"/>
    <w:rsid w:val="00C83D7A"/>
    <w:rsid w:val="00C8448C"/>
    <w:rsid w:val="00CB1F99"/>
    <w:rsid w:val="00CB4B04"/>
    <w:rsid w:val="00CB71CB"/>
    <w:rsid w:val="00CB725C"/>
    <w:rsid w:val="00CC56F1"/>
    <w:rsid w:val="00CD434B"/>
    <w:rsid w:val="00CD6209"/>
    <w:rsid w:val="00CD7345"/>
    <w:rsid w:val="00CE4DF9"/>
    <w:rsid w:val="00CE7A80"/>
    <w:rsid w:val="00CF5188"/>
    <w:rsid w:val="00CF54DF"/>
    <w:rsid w:val="00D00A67"/>
    <w:rsid w:val="00D00D00"/>
    <w:rsid w:val="00D10647"/>
    <w:rsid w:val="00D15CA5"/>
    <w:rsid w:val="00D230F7"/>
    <w:rsid w:val="00D237BC"/>
    <w:rsid w:val="00D266B6"/>
    <w:rsid w:val="00D27A73"/>
    <w:rsid w:val="00D306BB"/>
    <w:rsid w:val="00D314FD"/>
    <w:rsid w:val="00D416CB"/>
    <w:rsid w:val="00D4620F"/>
    <w:rsid w:val="00D4732E"/>
    <w:rsid w:val="00D5367E"/>
    <w:rsid w:val="00D55033"/>
    <w:rsid w:val="00D55BF3"/>
    <w:rsid w:val="00D60841"/>
    <w:rsid w:val="00D615F1"/>
    <w:rsid w:val="00D62C0B"/>
    <w:rsid w:val="00D6384B"/>
    <w:rsid w:val="00D710D2"/>
    <w:rsid w:val="00D8453B"/>
    <w:rsid w:val="00D86C87"/>
    <w:rsid w:val="00D90FF5"/>
    <w:rsid w:val="00D956B6"/>
    <w:rsid w:val="00D96F6A"/>
    <w:rsid w:val="00DA37ED"/>
    <w:rsid w:val="00DA4BB8"/>
    <w:rsid w:val="00DA5D6E"/>
    <w:rsid w:val="00DB3E70"/>
    <w:rsid w:val="00DB446C"/>
    <w:rsid w:val="00DB65F5"/>
    <w:rsid w:val="00DB6699"/>
    <w:rsid w:val="00DB79D5"/>
    <w:rsid w:val="00DC7BC0"/>
    <w:rsid w:val="00DD11C1"/>
    <w:rsid w:val="00DD288B"/>
    <w:rsid w:val="00DD6B4B"/>
    <w:rsid w:val="00DD7389"/>
    <w:rsid w:val="00DE0496"/>
    <w:rsid w:val="00DE4D07"/>
    <w:rsid w:val="00DE516A"/>
    <w:rsid w:val="00DE5505"/>
    <w:rsid w:val="00DE7501"/>
    <w:rsid w:val="00DF0080"/>
    <w:rsid w:val="00DF0F73"/>
    <w:rsid w:val="00DF3231"/>
    <w:rsid w:val="00DF3287"/>
    <w:rsid w:val="00E062AA"/>
    <w:rsid w:val="00E11A80"/>
    <w:rsid w:val="00E2582C"/>
    <w:rsid w:val="00E33347"/>
    <w:rsid w:val="00E3381F"/>
    <w:rsid w:val="00E33954"/>
    <w:rsid w:val="00E50617"/>
    <w:rsid w:val="00E51955"/>
    <w:rsid w:val="00E51FD3"/>
    <w:rsid w:val="00E57018"/>
    <w:rsid w:val="00E70AE7"/>
    <w:rsid w:val="00E736C4"/>
    <w:rsid w:val="00E76A26"/>
    <w:rsid w:val="00E778D0"/>
    <w:rsid w:val="00E77D81"/>
    <w:rsid w:val="00E8086C"/>
    <w:rsid w:val="00E80945"/>
    <w:rsid w:val="00E95F0C"/>
    <w:rsid w:val="00EA367F"/>
    <w:rsid w:val="00EA3EE5"/>
    <w:rsid w:val="00EA4A57"/>
    <w:rsid w:val="00EB1A07"/>
    <w:rsid w:val="00EB42A2"/>
    <w:rsid w:val="00EB432D"/>
    <w:rsid w:val="00EB5344"/>
    <w:rsid w:val="00EC23DE"/>
    <w:rsid w:val="00EC5392"/>
    <w:rsid w:val="00EC5E56"/>
    <w:rsid w:val="00EC6603"/>
    <w:rsid w:val="00ED110F"/>
    <w:rsid w:val="00ED26B7"/>
    <w:rsid w:val="00EE0505"/>
    <w:rsid w:val="00EE25FD"/>
    <w:rsid w:val="00EE3F9B"/>
    <w:rsid w:val="00EF3BC1"/>
    <w:rsid w:val="00F11A35"/>
    <w:rsid w:val="00F12014"/>
    <w:rsid w:val="00F208FC"/>
    <w:rsid w:val="00F2629E"/>
    <w:rsid w:val="00F31D66"/>
    <w:rsid w:val="00F325D3"/>
    <w:rsid w:val="00F35F7E"/>
    <w:rsid w:val="00F417CD"/>
    <w:rsid w:val="00F45B5D"/>
    <w:rsid w:val="00F5560C"/>
    <w:rsid w:val="00F56473"/>
    <w:rsid w:val="00F57A62"/>
    <w:rsid w:val="00F667E7"/>
    <w:rsid w:val="00F7001B"/>
    <w:rsid w:val="00F723C7"/>
    <w:rsid w:val="00F80B86"/>
    <w:rsid w:val="00F86929"/>
    <w:rsid w:val="00F93966"/>
    <w:rsid w:val="00F94622"/>
    <w:rsid w:val="00FA68C6"/>
    <w:rsid w:val="00FA7B80"/>
    <w:rsid w:val="00FB3022"/>
    <w:rsid w:val="00FB5F64"/>
    <w:rsid w:val="00FC6679"/>
    <w:rsid w:val="00FD3DA0"/>
    <w:rsid w:val="00FD42A4"/>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F9C8"/>
  <w15:chartTrackingRefBased/>
  <w15:docId w15:val="{B6FD80F8-1A75-4D27-8DFE-E1D62A8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6BB"/>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aliases w:val="List Paragraph Main,List first level,Paragraphe EI,Paragraphe de liste1,EC,List Paragraph,Bullet Points,Colorful List - Accent 11,Dot pt,F5 List Paragraph,Indicator Text,List Paragraph Char Char Char,List Paragraph11,List Paragraph2"/>
    <w:basedOn w:val="Standard"/>
    <w:link w:val="ListenabsatzZchn"/>
    <w:uiPriority w:val="34"/>
    <w:qFormat/>
    <w:rsid w:val="00D306BB"/>
    <w:pPr>
      <w:ind w:left="720"/>
      <w:contextualSpacing/>
    </w:pPr>
  </w:style>
  <w:style w:type="character" w:customStyle="1" w:styleId="ListenabsatzZchn">
    <w:name w:val="Listenabsatz Zchn"/>
    <w:aliases w:val="List Paragraph Main Zchn,List first level Zchn,Paragraphe EI Zchn,Paragraphe de liste1 Zchn,EC Zchn,List Paragraph Zchn,Bullet Points Zchn,Colorful List - Accent 11 Zchn,Dot pt Zchn,F5 List Paragraph Zchn,Indicator Text Zchn"/>
    <w:basedOn w:val="Absatz-Standardschriftart"/>
    <w:link w:val="Listenabsatz"/>
    <w:uiPriority w:val="34"/>
    <w:locked/>
    <w:rsid w:val="00D306BB"/>
    <w:rPr>
      <w:rFonts w:ascii="Trebuchet MS" w:hAnsi="Trebuchet MS" w:cs="Times New Roman"/>
      <w:szCs w:val="20"/>
      <w:lang w:val="de-DE" w:eastAsia="de-DE"/>
    </w:rPr>
  </w:style>
  <w:style w:type="paragraph" w:styleId="berarbeitung">
    <w:name w:val="Revision"/>
    <w:hidden/>
    <w:uiPriority w:val="99"/>
    <w:semiHidden/>
    <w:rsid w:val="00A8397F"/>
    <w:pPr>
      <w:spacing w:line="240" w:lineRule="auto"/>
    </w:pPr>
    <w:rPr>
      <w:rFonts w:ascii="Trebuchet MS" w:hAnsi="Trebuchet MS" w:cs="Times New Roman"/>
      <w:szCs w:val="20"/>
      <w:lang w:val="de-DE" w:eastAsia="de-DE"/>
    </w:rPr>
  </w:style>
  <w:style w:type="paragraph" w:styleId="Kopfzeile">
    <w:name w:val="header"/>
    <w:basedOn w:val="Standard"/>
    <w:link w:val="KopfzeileZchn"/>
    <w:uiPriority w:val="99"/>
    <w:unhideWhenUsed/>
    <w:rsid w:val="007F44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F4462"/>
    <w:rPr>
      <w:rFonts w:ascii="Trebuchet MS" w:hAnsi="Trebuchet MS" w:cs="Times New Roman"/>
      <w:szCs w:val="20"/>
      <w:lang w:val="de-DE" w:eastAsia="de-DE"/>
    </w:rPr>
  </w:style>
  <w:style w:type="paragraph" w:styleId="Fuzeile">
    <w:name w:val="footer"/>
    <w:basedOn w:val="Standard"/>
    <w:link w:val="FuzeileZchn"/>
    <w:uiPriority w:val="99"/>
    <w:unhideWhenUsed/>
    <w:rsid w:val="007F44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F4462"/>
    <w:rPr>
      <w:rFonts w:ascii="Trebuchet MS" w:hAnsi="Trebuchet MS" w:cs="Times New Roman"/>
      <w:szCs w:val="20"/>
      <w:lang w:val="de-DE" w:eastAsia="de-DE"/>
    </w:rPr>
  </w:style>
  <w:style w:type="character" w:styleId="Hyperlink">
    <w:name w:val="Hyperlink"/>
    <w:basedOn w:val="Absatz-Standardschriftart"/>
    <w:uiPriority w:val="99"/>
    <w:semiHidden/>
    <w:unhideWhenUsed/>
    <w:rsid w:val="00DA4BB8"/>
    <w:rPr>
      <w:color w:val="0000FF"/>
      <w:u w:val="single"/>
    </w:rPr>
  </w:style>
  <w:style w:type="character" w:styleId="Hervorhebung">
    <w:name w:val="Emphasis"/>
    <w:basedOn w:val="Absatz-Standardschriftart"/>
    <w:uiPriority w:val="20"/>
    <w:qFormat/>
    <w:rsid w:val="003D53D2"/>
    <w:rPr>
      <w:i/>
      <w:iCs/>
    </w:rPr>
  </w:style>
  <w:style w:type="paragraph" w:customStyle="1" w:styleId="xxmsonormal">
    <w:name w:val="x_xmsonormal"/>
    <w:basedOn w:val="Standard"/>
    <w:rsid w:val="00450E5E"/>
    <w:pPr>
      <w:spacing w:line="240" w:lineRule="auto"/>
    </w:pPr>
    <w:rPr>
      <w:rFonts w:ascii="Calibri" w:eastAsiaTheme="minorHAnsi" w:hAnsi="Calibri" w:cs="Calibri"/>
      <w:szCs w:val="22"/>
      <w:lang w:val="de-AT" w:eastAsia="de-AT"/>
    </w:rPr>
  </w:style>
  <w:style w:type="paragraph" w:styleId="StandardWeb">
    <w:name w:val="Normal (Web)"/>
    <w:basedOn w:val="Standard"/>
    <w:uiPriority w:val="99"/>
    <w:semiHidden/>
    <w:unhideWhenUsed/>
    <w:rsid w:val="007F07FE"/>
    <w:pPr>
      <w:spacing w:before="100" w:beforeAutospacing="1" w:after="100" w:afterAutospacing="1" w:line="240" w:lineRule="auto"/>
    </w:pPr>
    <w:rPr>
      <w:rFonts w:ascii="Calibri" w:eastAsiaTheme="minorHAnsi" w:hAnsi="Calibri" w:cs="Calibri"/>
      <w:szCs w:val="22"/>
      <w:lang w:val="de-AT" w:eastAsia="de-AT"/>
    </w:rPr>
  </w:style>
  <w:style w:type="character" w:styleId="Funotenzeichen">
    <w:name w:val="footnote reference"/>
    <w:basedOn w:val="Absatz-Standardschriftart"/>
    <w:uiPriority w:val="99"/>
    <w:semiHidden/>
    <w:unhideWhenUsed/>
    <w:rsid w:val="001A4052"/>
    <w:rPr>
      <w:vertAlign w:val="superscript"/>
    </w:rPr>
  </w:style>
  <w:style w:type="paragraph" w:customStyle="1" w:styleId="Default">
    <w:name w:val="Default"/>
    <w:rsid w:val="001464FF"/>
    <w:pPr>
      <w:autoSpaceDE w:val="0"/>
      <w:autoSpaceDN w:val="0"/>
      <w:adjustRightInd w:val="0"/>
      <w:spacing w:line="240" w:lineRule="auto"/>
      <w:jc w:val="both"/>
    </w:pPr>
    <w:rPr>
      <w:rFonts w:ascii="Arial" w:eastAsiaTheme="minorHAnsi" w:hAnsi="Arial" w:cs="Arial"/>
      <w:color w:val="000000"/>
      <w:sz w:val="24"/>
      <w:szCs w:val="24"/>
    </w:rPr>
  </w:style>
  <w:style w:type="paragraph" w:customStyle="1" w:styleId="ListParagraph1000">
    <w:name w:val="List Paragraph1000"/>
    <w:basedOn w:val="Standard"/>
    <w:uiPriority w:val="99"/>
    <w:qFormat/>
    <w:rsid w:val="001464FF"/>
    <w:pPr>
      <w:overflowPunct w:val="0"/>
      <w:autoSpaceDE w:val="0"/>
      <w:autoSpaceDN w:val="0"/>
      <w:adjustRightInd w:val="0"/>
      <w:spacing w:line="240" w:lineRule="auto"/>
      <w:ind w:left="720"/>
      <w:contextualSpacing/>
      <w:jc w:val="both"/>
      <w:textAlignment w:val="baseline"/>
    </w:pPr>
    <w:rPr>
      <w:rFonts w:ascii="Times New Roman" w:hAnsi="Times New Roman"/>
      <w:sz w:val="24"/>
      <w:szCs w:val="24"/>
      <w:lang w:val="en-GB" w:eastAsia="fr-FR"/>
    </w:rPr>
  </w:style>
  <w:style w:type="paragraph" w:customStyle="1" w:styleId="paragraph">
    <w:name w:val="paragraph"/>
    <w:basedOn w:val="Standard"/>
    <w:rsid w:val="001464FF"/>
    <w:pPr>
      <w:spacing w:before="100" w:beforeAutospacing="1" w:after="100" w:afterAutospacing="1" w:line="240" w:lineRule="auto"/>
      <w:jc w:val="both"/>
    </w:pPr>
    <w:rPr>
      <w:rFonts w:ascii="Times New Roman" w:hAnsi="Times New Roman"/>
      <w:sz w:val="24"/>
      <w:szCs w:val="24"/>
      <w:lang w:val="en-GB" w:eastAsia="en-US"/>
    </w:rPr>
  </w:style>
  <w:style w:type="character" w:customStyle="1" w:styleId="normaltextrun">
    <w:name w:val="normaltextrun"/>
    <w:basedOn w:val="Absatz-Standardschriftart"/>
    <w:rsid w:val="001464FF"/>
  </w:style>
  <w:style w:type="character" w:customStyle="1" w:styleId="eop">
    <w:name w:val="eop"/>
    <w:basedOn w:val="Absatz-Standardschriftart"/>
    <w:rsid w:val="001464FF"/>
  </w:style>
  <w:style w:type="character" w:customStyle="1" w:styleId="scxw256937698">
    <w:name w:val="scxw256937698"/>
    <w:basedOn w:val="Absatz-Standardschriftart"/>
    <w:rsid w:val="001464FF"/>
  </w:style>
  <w:style w:type="character" w:styleId="Kommentarzeichen">
    <w:name w:val="annotation reference"/>
    <w:basedOn w:val="Absatz-Standardschriftart"/>
    <w:uiPriority w:val="99"/>
    <w:semiHidden/>
    <w:unhideWhenUsed/>
    <w:rsid w:val="00250801"/>
    <w:rPr>
      <w:sz w:val="16"/>
      <w:szCs w:val="16"/>
    </w:rPr>
  </w:style>
  <w:style w:type="paragraph" w:styleId="Kommentartext">
    <w:name w:val="annotation text"/>
    <w:basedOn w:val="Standard"/>
    <w:link w:val="KommentartextZchn"/>
    <w:uiPriority w:val="99"/>
    <w:unhideWhenUsed/>
    <w:rsid w:val="00250801"/>
    <w:pPr>
      <w:spacing w:line="240" w:lineRule="auto"/>
    </w:pPr>
    <w:rPr>
      <w:sz w:val="20"/>
    </w:rPr>
  </w:style>
  <w:style w:type="character" w:customStyle="1" w:styleId="KommentartextZchn">
    <w:name w:val="Kommentartext Zchn"/>
    <w:basedOn w:val="Absatz-Standardschriftart"/>
    <w:link w:val="Kommentartext"/>
    <w:uiPriority w:val="99"/>
    <w:rsid w:val="00250801"/>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50801"/>
    <w:rPr>
      <w:b/>
      <w:bCs/>
    </w:rPr>
  </w:style>
  <w:style w:type="character" w:customStyle="1" w:styleId="KommentarthemaZchn">
    <w:name w:val="Kommentarthema Zchn"/>
    <w:basedOn w:val="KommentartextZchn"/>
    <w:link w:val="Kommentarthema"/>
    <w:uiPriority w:val="99"/>
    <w:semiHidden/>
    <w:rsid w:val="00250801"/>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43">
      <w:bodyDiv w:val="1"/>
      <w:marLeft w:val="0"/>
      <w:marRight w:val="0"/>
      <w:marTop w:val="0"/>
      <w:marBottom w:val="0"/>
      <w:divBdr>
        <w:top w:val="none" w:sz="0" w:space="0" w:color="auto"/>
        <w:left w:val="none" w:sz="0" w:space="0" w:color="auto"/>
        <w:bottom w:val="none" w:sz="0" w:space="0" w:color="auto"/>
        <w:right w:val="none" w:sz="0" w:space="0" w:color="auto"/>
      </w:divBdr>
      <w:divsChild>
        <w:div w:id="1920290348">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sChild>
                <w:div w:id="1745255840">
                  <w:marLeft w:val="0"/>
                  <w:marRight w:val="0"/>
                  <w:marTop w:val="0"/>
                  <w:marBottom w:val="0"/>
                  <w:divBdr>
                    <w:top w:val="none" w:sz="0" w:space="0" w:color="auto"/>
                    <w:left w:val="none" w:sz="0" w:space="0" w:color="auto"/>
                    <w:bottom w:val="none" w:sz="0" w:space="0" w:color="auto"/>
                    <w:right w:val="none" w:sz="0" w:space="0" w:color="auto"/>
                  </w:divBdr>
                  <w:divsChild>
                    <w:div w:id="506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17531">
      <w:bodyDiv w:val="1"/>
      <w:marLeft w:val="0"/>
      <w:marRight w:val="0"/>
      <w:marTop w:val="0"/>
      <w:marBottom w:val="0"/>
      <w:divBdr>
        <w:top w:val="none" w:sz="0" w:space="0" w:color="auto"/>
        <w:left w:val="none" w:sz="0" w:space="0" w:color="auto"/>
        <w:bottom w:val="none" w:sz="0" w:space="0" w:color="auto"/>
        <w:right w:val="none" w:sz="0" w:space="0" w:color="auto"/>
      </w:divBdr>
    </w:div>
    <w:div w:id="749473527">
      <w:bodyDiv w:val="1"/>
      <w:marLeft w:val="0"/>
      <w:marRight w:val="0"/>
      <w:marTop w:val="0"/>
      <w:marBottom w:val="0"/>
      <w:divBdr>
        <w:top w:val="none" w:sz="0" w:space="0" w:color="auto"/>
        <w:left w:val="none" w:sz="0" w:space="0" w:color="auto"/>
        <w:bottom w:val="none" w:sz="0" w:space="0" w:color="auto"/>
        <w:right w:val="none" w:sz="0" w:space="0" w:color="auto"/>
      </w:divBdr>
    </w:div>
    <w:div w:id="767314620">
      <w:bodyDiv w:val="1"/>
      <w:marLeft w:val="0"/>
      <w:marRight w:val="0"/>
      <w:marTop w:val="0"/>
      <w:marBottom w:val="0"/>
      <w:divBdr>
        <w:top w:val="none" w:sz="0" w:space="0" w:color="auto"/>
        <w:left w:val="none" w:sz="0" w:space="0" w:color="auto"/>
        <w:bottom w:val="none" w:sz="0" w:space="0" w:color="auto"/>
        <w:right w:val="none" w:sz="0" w:space="0" w:color="auto"/>
      </w:divBdr>
    </w:div>
    <w:div w:id="867183745">
      <w:bodyDiv w:val="1"/>
      <w:marLeft w:val="0"/>
      <w:marRight w:val="0"/>
      <w:marTop w:val="0"/>
      <w:marBottom w:val="0"/>
      <w:divBdr>
        <w:top w:val="none" w:sz="0" w:space="0" w:color="auto"/>
        <w:left w:val="none" w:sz="0" w:space="0" w:color="auto"/>
        <w:bottom w:val="none" w:sz="0" w:space="0" w:color="auto"/>
        <w:right w:val="none" w:sz="0" w:space="0" w:color="auto"/>
      </w:divBdr>
    </w:div>
    <w:div w:id="902258803">
      <w:bodyDiv w:val="1"/>
      <w:marLeft w:val="0"/>
      <w:marRight w:val="0"/>
      <w:marTop w:val="0"/>
      <w:marBottom w:val="0"/>
      <w:divBdr>
        <w:top w:val="none" w:sz="0" w:space="0" w:color="auto"/>
        <w:left w:val="none" w:sz="0" w:space="0" w:color="auto"/>
        <w:bottom w:val="none" w:sz="0" w:space="0" w:color="auto"/>
        <w:right w:val="none" w:sz="0" w:space="0" w:color="auto"/>
      </w:divBdr>
    </w:div>
    <w:div w:id="1335493192">
      <w:bodyDiv w:val="1"/>
      <w:marLeft w:val="0"/>
      <w:marRight w:val="0"/>
      <w:marTop w:val="0"/>
      <w:marBottom w:val="0"/>
      <w:divBdr>
        <w:top w:val="none" w:sz="0" w:space="0" w:color="auto"/>
        <w:left w:val="none" w:sz="0" w:space="0" w:color="auto"/>
        <w:bottom w:val="none" w:sz="0" w:space="0" w:color="auto"/>
        <w:right w:val="none" w:sz="0" w:space="0" w:color="auto"/>
      </w:divBdr>
      <w:divsChild>
        <w:div w:id="1888907821">
          <w:marLeft w:val="0"/>
          <w:marRight w:val="0"/>
          <w:marTop w:val="0"/>
          <w:marBottom w:val="0"/>
          <w:divBdr>
            <w:top w:val="none" w:sz="0" w:space="0" w:color="auto"/>
            <w:left w:val="none" w:sz="0" w:space="0" w:color="auto"/>
            <w:bottom w:val="none" w:sz="0" w:space="0" w:color="auto"/>
            <w:right w:val="none" w:sz="0" w:space="0" w:color="auto"/>
          </w:divBdr>
          <w:divsChild>
            <w:div w:id="1523546931">
              <w:marLeft w:val="0"/>
              <w:marRight w:val="0"/>
              <w:marTop w:val="0"/>
              <w:marBottom w:val="0"/>
              <w:divBdr>
                <w:top w:val="none" w:sz="0" w:space="0" w:color="auto"/>
                <w:left w:val="none" w:sz="0" w:space="0" w:color="auto"/>
                <w:bottom w:val="none" w:sz="0" w:space="0" w:color="auto"/>
                <w:right w:val="none" w:sz="0" w:space="0" w:color="auto"/>
              </w:divBdr>
              <w:divsChild>
                <w:div w:id="550461763">
                  <w:marLeft w:val="0"/>
                  <w:marRight w:val="0"/>
                  <w:marTop w:val="0"/>
                  <w:marBottom w:val="0"/>
                  <w:divBdr>
                    <w:top w:val="none" w:sz="0" w:space="0" w:color="auto"/>
                    <w:left w:val="none" w:sz="0" w:space="0" w:color="auto"/>
                    <w:bottom w:val="none" w:sz="0" w:space="0" w:color="auto"/>
                    <w:right w:val="none" w:sz="0" w:space="0" w:color="auto"/>
                  </w:divBdr>
                  <w:divsChild>
                    <w:div w:id="95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4854">
      <w:bodyDiv w:val="1"/>
      <w:marLeft w:val="0"/>
      <w:marRight w:val="0"/>
      <w:marTop w:val="0"/>
      <w:marBottom w:val="0"/>
      <w:divBdr>
        <w:top w:val="none" w:sz="0" w:space="0" w:color="auto"/>
        <w:left w:val="none" w:sz="0" w:space="0" w:color="auto"/>
        <w:bottom w:val="none" w:sz="0" w:space="0" w:color="auto"/>
        <w:right w:val="none" w:sz="0" w:space="0" w:color="auto"/>
      </w:divBdr>
    </w:div>
    <w:div w:id="1768572242">
      <w:bodyDiv w:val="1"/>
      <w:marLeft w:val="0"/>
      <w:marRight w:val="0"/>
      <w:marTop w:val="0"/>
      <w:marBottom w:val="0"/>
      <w:divBdr>
        <w:top w:val="none" w:sz="0" w:space="0" w:color="auto"/>
        <w:left w:val="none" w:sz="0" w:space="0" w:color="auto"/>
        <w:bottom w:val="none" w:sz="0" w:space="0" w:color="auto"/>
        <w:right w:val="none" w:sz="0" w:space="0" w:color="auto"/>
      </w:divBdr>
    </w:div>
    <w:div w:id="1903758204">
      <w:bodyDiv w:val="1"/>
      <w:marLeft w:val="0"/>
      <w:marRight w:val="0"/>
      <w:marTop w:val="0"/>
      <w:marBottom w:val="0"/>
      <w:divBdr>
        <w:top w:val="none" w:sz="0" w:space="0" w:color="auto"/>
        <w:left w:val="none" w:sz="0" w:space="0" w:color="auto"/>
        <w:bottom w:val="none" w:sz="0" w:space="0" w:color="auto"/>
        <w:right w:val="none" w:sz="0" w:space="0" w:color="auto"/>
      </w:divBdr>
    </w:div>
    <w:div w:id="1917594870">
      <w:bodyDiv w:val="1"/>
      <w:marLeft w:val="0"/>
      <w:marRight w:val="0"/>
      <w:marTop w:val="0"/>
      <w:marBottom w:val="0"/>
      <w:divBdr>
        <w:top w:val="none" w:sz="0" w:space="0" w:color="auto"/>
        <w:left w:val="none" w:sz="0" w:space="0" w:color="auto"/>
        <w:bottom w:val="none" w:sz="0" w:space="0" w:color="auto"/>
        <w:right w:val="none" w:sz="0" w:space="0" w:color="auto"/>
      </w:divBdr>
    </w:div>
    <w:div w:id="20839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E6D30954-D48E-4AAF-AD6C-C898BF30EC69}">
  <ds:schemaRefs>
    <ds:schemaRef ds:uri="http://schemas.openxmlformats.org/officeDocument/2006/bibliography"/>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7573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Horvath Philipp | WKOE</dc:creator>
  <cp:keywords/>
  <dc:description/>
  <cp:lastModifiedBy>Aslan Tugce | WKOE</cp:lastModifiedBy>
  <cp:revision>18</cp:revision>
  <dcterms:created xsi:type="dcterms:W3CDTF">2025-08-11T11:48:00Z</dcterms:created>
  <dcterms:modified xsi:type="dcterms:W3CDTF">2025-08-19T06:40:00Z</dcterms:modified>
</cp:coreProperties>
</file>