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DBEC0" w14:textId="51E180E1" w:rsidR="00B14B71" w:rsidRPr="00B14B71" w:rsidRDefault="00B14B71" w:rsidP="00B14B71">
      <w:pPr>
        <w:pStyle w:val="Bezodstpw"/>
        <w:rPr>
          <w:rFonts w:asciiTheme="minorHAnsi" w:hAnsiTheme="minorHAnsi" w:cstheme="minorHAnsi"/>
          <w:color w:val="000000" w:themeColor="text1"/>
          <w:sz w:val="28"/>
          <w:szCs w:val="28"/>
          <w:lang w:val="en-GB"/>
        </w:rPr>
      </w:pPr>
      <w:r w:rsidRPr="00081675">
        <w:rPr>
          <w:rFonts w:asciiTheme="minorHAnsi" w:eastAsia="Times New Roman" w:hAnsiTheme="minorHAnsi" w:cstheme="minorHAnsi"/>
          <w:color w:val="000000" w:themeColor="text1"/>
          <w:sz w:val="28"/>
          <w:szCs w:val="28"/>
          <w:lang w:val="en-GB"/>
        </w:rPr>
        <w:t>EBA Consultation Paper</w:t>
      </w:r>
      <w:r>
        <w:rPr>
          <w:rFonts w:asciiTheme="minorHAnsi" w:eastAsia="Times New Roman" w:hAnsiTheme="minorHAnsi" w:cstheme="minorHAnsi"/>
          <w:color w:val="000000" w:themeColor="text1"/>
          <w:sz w:val="28"/>
          <w:szCs w:val="28"/>
          <w:lang w:val="en-GB"/>
        </w:rPr>
        <w:t xml:space="preserve">: </w:t>
      </w:r>
      <w:r w:rsidRPr="00484D7B">
        <w:rPr>
          <w:rFonts w:asciiTheme="minorHAnsi" w:hAnsiTheme="minorHAnsi" w:cstheme="minorHAnsi"/>
          <w:color w:val="000000" w:themeColor="text1"/>
          <w:sz w:val="28"/>
          <w:szCs w:val="28"/>
          <w:lang w:val="en-GB"/>
        </w:rPr>
        <w:t>Draft Regulatory Technical Standards on the determination of the threshold</w:t>
      </w:r>
      <w:r>
        <w:rPr>
          <w:rFonts w:asciiTheme="minorHAnsi" w:hAnsiTheme="minorHAnsi" w:cstheme="minorHAnsi"/>
          <w:color w:val="000000" w:themeColor="text1"/>
          <w:sz w:val="28"/>
          <w:szCs w:val="28"/>
          <w:lang w:val="en-GB"/>
        </w:rPr>
        <w:t>- KDPW response</w:t>
      </w:r>
    </w:p>
    <w:p w14:paraId="6C58D123" w14:textId="77777777" w:rsidR="00B14B71" w:rsidRDefault="00B14B71" w:rsidP="0019175B">
      <w:pPr>
        <w:pStyle w:val="Default"/>
        <w:rPr>
          <w:sz w:val="32"/>
          <w:szCs w:val="32"/>
          <w:lang w:val="en-GB"/>
        </w:rPr>
      </w:pPr>
    </w:p>
    <w:p w14:paraId="4823D264" w14:textId="126CA093" w:rsidR="0019175B" w:rsidRPr="0019175B" w:rsidRDefault="0019175B" w:rsidP="0019175B">
      <w:pPr>
        <w:pStyle w:val="Default"/>
        <w:rPr>
          <w:sz w:val="32"/>
          <w:szCs w:val="32"/>
          <w:lang w:val="en-GB"/>
        </w:rPr>
      </w:pPr>
      <w:r w:rsidRPr="0019175B">
        <w:rPr>
          <w:sz w:val="32"/>
          <w:szCs w:val="32"/>
          <w:lang w:val="en-GB"/>
        </w:rPr>
        <w:t xml:space="preserve">5.3 Ad-hoc data collection template </w:t>
      </w:r>
    </w:p>
    <w:p w14:paraId="214B2783" w14:textId="77777777" w:rsidR="0019175B" w:rsidRDefault="0019175B" w:rsidP="0019175B">
      <w:pPr>
        <w:pStyle w:val="Default"/>
        <w:rPr>
          <w:sz w:val="22"/>
          <w:szCs w:val="22"/>
          <w:lang w:val="en-GB"/>
        </w:rPr>
      </w:pPr>
      <w:r w:rsidRPr="0019175B">
        <w:rPr>
          <w:sz w:val="22"/>
          <w:szCs w:val="22"/>
          <w:lang w:val="en-GB"/>
        </w:rPr>
        <w:t xml:space="preserve">In what follows, the template data fields are described, and instructions are provided on how to fill them in. Participation in this data collection is voluntary. CSDs should fill in all worksheets on a best effort basis. Where information is not available or not applicable, the corresponding cell should preferably be filled with “NA” </w:t>
      </w:r>
      <w:r w:rsidRPr="00B14B71">
        <w:rPr>
          <w:sz w:val="22"/>
          <w:szCs w:val="22"/>
          <w:lang w:val="en-GB"/>
        </w:rPr>
        <w:t>or left empty</w:t>
      </w:r>
      <w:r w:rsidRPr="00405B59">
        <w:rPr>
          <w:sz w:val="22"/>
          <w:szCs w:val="22"/>
          <w:highlight w:val="yellow"/>
          <w:lang w:val="en-GB"/>
        </w:rPr>
        <w:t>.</w:t>
      </w:r>
      <w:r w:rsidRPr="0019175B">
        <w:rPr>
          <w:sz w:val="22"/>
          <w:szCs w:val="22"/>
          <w:lang w:val="en-GB"/>
        </w:rPr>
        <w:t xml:space="preserve"> Also, CSDs must not fill in any arbitrary numbers to avoid error messages or warnings. </w:t>
      </w:r>
    </w:p>
    <w:p w14:paraId="25F3C70C" w14:textId="77777777" w:rsidR="0019175B" w:rsidRPr="0019175B" w:rsidRDefault="0019175B" w:rsidP="0019175B">
      <w:pPr>
        <w:pStyle w:val="Default"/>
        <w:rPr>
          <w:sz w:val="22"/>
          <w:szCs w:val="22"/>
          <w:lang w:val="en-GB"/>
        </w:rPr>
      </w:pPr>
    </w:p>
    <w:p w14:paraId="5B37969E" w14:textId="77777777" w:rsidR="0019175B" w:rsidRPr="00B14B71" w:rsidRDefault="0019175B" w:rsidP="0019175B">
      <w:pPr>
        <w:pStyle w:val="Default"/>
        <w:rPr>
          <w:b/>
          <w:bCs/>
          <w:sz w:val="23"/>
          <w:szCs w:val="23"/>
          <w:lang w:val="en-GB"/>
        </w:rPr>
      </w:pPr>
      <w:r w:rsidRPr="00B14B71">
        <w:rPr>
          <w:b/>
          <w:bCs/>
          <w:sz w:val="23"/>
          <w:szCs w:val="23"/>
          <w:lang w:val="en-GB"/>
        </w:rPr>
        <w:t xml:space="preserve">5.3.1 Banking activity of the CSD </w:t>
      </w:r>
    </w:p>
    <w:p w14:paraId="73DABC3A" w14:textId="2405A226" w:rsidR="0019175B" w:rsidRDefault="0019175B" w:rsidP="0019175B">
      <w:pPr>
        <w:pStyle w:val="Default"/>
        <w:rPr>
          <w:color w:val="EE0000"/>
          <w:sz w:val="22"/>
          <w:szCs w:val="22"/>
          <w:lang w:val="en-GB"/>
        </w:rPr>
      </w:pPr>
      <w:r w:rsidRPr="0019175B">
        <w:rPr>
          <w:sz w:val="22"/>
          <w:szCs w:val="22"/>
          <w:lang w:val="en-GB"/>
        </w:rPr>
        <w:t xml:space="preserve">Panel A - Banking-type ancillary services provided </w:t>
      </w:r>
      <w:r w:rsidR="00D575C7">
        <w:rPr>
          <w:sz w:val="22"/>
          <w:szCs w:val="22"/>
          <w:lang w:val="en-GB"/>
        </w:rPr>
        <w:t xml:space="preserve">- </w:t>
      </w:r>
      <w:r w:rsidR="00D575C7" w:rsidRPr="004A0184">
        <w:rPr>
          <w:rFonts w:ascii="Verdana" w:hAnsi="Verdana" w:cs="Verdana"/>
          <w:color w:val="EE0000"/>
          <w:sz w:val="16"/>
          <w:szCs w:val="16"/>
          <w:lang w:val="en-GB"/>
        </w:rPr>
        <w:t>KDPW do</w:t>
      </w:r>
      <w:r w:rsidR="00D575C7">
        <w:rPr>
          <w:rFonts w:ascii="Verdana" w:hAnsi="Verdana" w:cs="Verdana"/>
          <w:color w:val="EE0000"/>
          <w:sz w:val="16"/>
          <w:szCs w:val="16"/>
          <w:lang w:val="en-GB"/>
        </w:rPr>
        <w:t>es</w:t>
      </w:r>
      <w:r w:rsidR="00D575C7" w:rsidRPr="004A0184">
        <w:rPr>
          <w:rFonts w:ascii="Verdana" w:hAnsi="Verdana" w:cs="Verdana"/>
          <w:color w:val="EE0000"/>
          <w:sz w:val="16"/>
          <w:szCs w:val="16"/>
          <w:lang w:val="en-GB"/>
        </w:rPr>
        <w:t xml:space="preserve"> not provide </w:t>
      </w:r>
      <w:r w:rsidR="00D575C7" w:rsidRPr="004A0184">
        <w:rPr>
          <w:color w:val="EE0000"/>
          <w:sz w:val="22"/>
          <w:szCs w:val="22"/>
          <w:lang w:val="en-GB"/>
        </w:rPr>
        <w:t>Banking-type ancillary services</w:t>
      </w:r>
      <w:r w:rsidR="00D575C7">
        <w:rPr>
          <w:color w:val="EE0000"/>
          <w:sz w:val="22"/>
          <w:szCs w:val="22"/>
          <w:lang w:val="en-GB"/>
        </w:rPr>
        <w:t xml:space="preserve"> by itself</w:t>
      </w:r>
    </w:p>
    <w:p w14:paraId="48BF1B33" w14:textId="77777777" w:rsidR="00D575C7" w:rsidRPr="0019175B" w:rsidRDefault="00D575C7" w:rsidP="0019175B">
      <w:pPr>
        <w:pStyle w:val="Default"/>
        <w:rPr>
          <w:sz w:val="23"/>
          <w:szCs w:val="23"/>
          <w:lang w:val="en-GB"/>
        </w:rPr>
      </w:pPr>
    </w:p>
    <w:p w14:paraId="172AC9EC" w14:textId="1496072F" w:rsidR="00ED3DD3" w:rsidRDefault="0019175B">
      <w:pPr>
        <w:rPr>
          <w:rFonts w:cstheme="minorHAnsi"/>
          <w:lang w:val="en-GB"/>
        </w:rPr>
      </w:pPr>
      <w:r w:rsidRPr="0019175B">
        <w:rPr>
          <w:lang w:val="en-GB"/>
        </w:rPr>
        <w:t>Panel B1 - Cash settlement (in CSD own accounts)</w:t>
      </w:r>
      <w:r w:rsidR="00D575C7">
        <w:rPr>
          <w:lang w:val="en-GB"/>
        </w:rPr>
        <w:t xml:space="preserve"> - </w:t>
      </w:r>
      <w:r w:rsidR="00D575C7" w:rsidRPr="004A0184">
        <w:rPr>
          <w:rFonts w:ascii="Verdana" w:hAnsi="Verdana" w:cs="Verdana"/>
          <w:color w:val="EE0000"/>
          <w:sz w:val="16"/>
          <w:szCs w:val="16"/>
          <w:lang w:val="en-GB"/>
        </w:rPr>
        <w:t>KDPW do</w:t>
      </w:r>
      <w:r w:rsidR="00D575C7">
        <w:rPr>
          <w:rFonts w:ascii="Verdana" w:hAnsi="Verdana" w:cs="Verdana"/>
          <w:color w:val="EE0000"/>
          <w:sz w:val="16"/>
          <w:szCs w:val="16"/>
          <w:lang w:val="en-GB"/>
        </w:rPr>
        <w:t>es</w:t>
      </w:r>
      <w:r w:rsidR="00D575C7" w:rsidRPr="004A0184">
        <w:rPr>
          <w:rFonts w:ascii="Verdana" w:hAnsi="Verdana" w:cs="Verdana"/>
          <w:color w:val="EE0000"/>
          <w:sz w:val="16"/>
          <w:szCs w:val="16"/>
          <w:lang w:val="en-GB"/>
        </w:rPr>
        <w:t xml:space="preserve"> not provide</w:t>
      </w:r>
      <w:r w:rsidR="00D575C7">
        <w:rPr>
          <w:rFonts w:ascii="Verdana" w:hAnsi="Verdana" w:cs="Verdana"/>
          <w:color w:val="EE0000"/>
          <w:sz w:val="16"/>
          <w:szCs w:val="16"/>
          <w:lang w:val="en-GB"/>
        </w:rPr>
        <w:t xml:space="preserve"> </w:t>
      </w:r>
      <w:r w:rsidR="00D575C7" w:rsidRPr="005977EC">
        <w:rPr>
          <w:rFonts w:ascii="Verdana" w:hAnsi="Verdana" w:cs="Verdana"/>
          <w:color w:val="EE0000"/>
          <w:sz w:val="16"/>
          <w:szCs w:val="16"/>
          <w:lang w:val="en-GB"/>
        </w:rPr>
        <w:t xml:space="preserve">cash settlement through its own accounts </w:t>
      </w:r>
      <w:r w:rsidR="00D575C7" w:rsidRPr="00AE6D59">
        <w:rPr>
          <w:rFonts w:ascii="Verdana" w:hAnsi="Verdana" w:cs="Verdana"/>
          <w:color w:val="EE0000"/>
          <w:sz w:val="16"/>
          <w:szCs w:val="16"/>
          <w:lang w:val="en-GB"/>
        </w:rPr>
        <w:t>in accordance with Article 40(2) of the CSDR</w:t>
      </w:r>
    </w:p>
    <w:p w14:paraId="08157A8B" w14:textId="092966AA" w:rsidR="0019175B" w:rsidRDefault="0019175B">
      <w:pPr>
        <w:rPr>
          <w:rFonts w:cstheme="minorHAnsi"/>
          <w:lang w:val="en-GB"/>
        </w:rPr>
      </w:pPr>
      <w:r w:rsidRPr="0019175B">
        <w:rPr>
          <w:lang w:val="en-GB"/>
        </w:rPr>
        <w:t>Panel B2 - Cash settlement (via designated credit institution or designated banking CSD)</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13"/>
        <w:gridCol w:w="2364"/>
        <w:gridCol w:w="2410"/>
        <w:gridCol w:w="3260"/>
        <w:gridCol w:w="4111"/>
      </w:tblGrid>
      <w:tr w:rsidR="00640F20" w:rsidRPr="00B14B71" w14:paraId="4A9FD7BF" w14:textId="77777777" w:rsidTr="00640F20">
        <w:trPr>
          <w:trHeight w:val="1831"/>
        </w:trPr>
        <w:tc>
          <w:tcPr>
            <w:tcW w:w="1713" w:type="dxa"/>
            <w:tcBorders>
              <w:top w:val="none" w:sz="6" w:space="0" w:color="auto"/>
              <w:bottom w:val="none" w:sz="6" w:space="0" w:color="auto"/>
              <w:right w:val="none" w:sz="6" w:space="0" w:color="auto"/>
            </w:tcBorders>
            <w:shd w:val="clear" w:color="auto" w:fill="F2F2F2" w:themeFill="background1" w:themeFillShade="F2"/>
          </w:tcPr>
          <w:p w14:paraId="004EDAE7" w14:textId="3A57B861" w:rsidR="0019175B" w:rsidRPr="0019175B" w:rsidRDefault="0019175B">
            <w:pPr>
              <w:pStyle w:val="Default"/>
              <w:rPr>
                <w:rFonts w:ascii="Verdana" w:hAnsi="Verdana" w:cs="Verdana"/>
                <w:sz w:val="16"/>
                <w:szCs w:val="16"/>
                <w:lang w:val="en-GB"/>
              </w:rPr>
            </w:pPr>
            <w:r w:rsidRPr="0019175B">
              <w:rPr>
                <w:rFonts w:ascii="Verdana" w:hAnsi="Verdana" w:cs="Verdana"/>
                <w:sz w:val="16"/>
                <w:szCs w:val="16"/>
                <w:lang w:val="en-GB"/>
              </w:rPr>
              <w:t xml:space="preserve">Year </w:t>
            </w:r>
          </w:p>
        </w:tc>
        <w:tc>
          <w:tcPr>
            <w:tcW w:w="2364"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6C3091ED" w14:textId="5E993055" w:rsidR="0019175B" w:rsidRPr="0019175B" w:rsidRDefault="0019175B">
            <w:pPr>
              <w:pStyle w:val="Default"/>
              <w:rPr>
                <w:sz w:val="16"/>
                <w:szCs w:val="16"/>
                <w:lang w:val="en-GB"/>
              </w:rPr>
            </w:pPr>
            <w:r w:rsidRPr="0019175B">
              <w:rPr>
                <w:rFonts w:ascii="Verdana" w:hAnsi="Verdana" w:cs="Verdana"/>
                <w:sz w:val="16"/>
                <w:szCs w:val="16"/>
                <w:lang w:val="en-GB"/>
              </w:rPr>
              <w:t>Type: - Settlement In-</w:t>
            </w:r>
            <w:proofErr w:type="spellStart"/>
            <w:r w:rsidRPr="0019175B">
              <w:rPr>
                <w:rFonts w:ascii="Verdana" w:hAnsi="Verdana" w:cs="Verdana"/>
                <w:sz w:val="16"/>
                <w:szCs w:val="16"/>
                <w:lang w:val="en-GB"/>
              </w:rPr>
              <w:t>structions</w:t>
            </w:r>
            <w:proofErr w:type="spellEnd"/>
            <w:r w:rsidRPr="0019175B">
              <w:rPr>
                <w:rFonts w:ascii="Verdana" w:hAnsi="Verdana" w:cs="Verdana"/>
                <w:sz w:val="16"/>
                <w:szCs w:val="16"/>
                <w:lang w:val="en-GB"/>
              </w:rPr>
              <w:t xml:space="preserve"> that are eligible to be in-</w:t>
            </w:r>
            <w:proofErr w:type="spellStart"/>
            <w:r w:rsidRPr="0019175B">
              <w:rPr>
                <w:rFonts w:ascii="Verdana" w:hAnsi="Verdana" w:cs="Verdana"/>
                <w:sz w:val="16"/>
                <w:szCs w:val="16"/>
                <w:lang w:val="en-GB"/>
              </w:rPr>
              <w:t>cluded</w:t>
            </w:r>
            <w:proofErr w:type="spellEnd"/>
            <w:r w:rsidRPr="0019175B">
              <w:rPr>
                <w:rFonts w:ascii="Verdana" w:hAnsi="Verdana" w:cs="Verdana"/>
                <w:sz w:val="16"/>
                <w:szCs w:val="16"/>
                <w:lang w:val="en-GB"/>
              </w:rPr>
              <w:t xml:space="preserve"> in the </w:t>
            </w:r>
            <w:proofErr w:type="spellStart"/>
            <w:r w:rsidRPr="0019175B">
              <w:rPr>
                <w:rFonts w:ascii="Verdana" w:hAnsi="Verdana" w:cs="Verdana"/>
                <w:sz w:val="16"/>
                <w:szCs w:val="16"/>
                <w:lang w:val="en-GB"/>
              </w:rPr>
              <w:t>cal-culations</w:t>
            </w:r>
            <w:proofErr w:type="spellEnd"/>
            <w:r w:rsidRPr="0019175B">
              <w:rPr>
                <w:rFonts w:ascii="Verdana" w:hAnsi="Verdana" w:cs="Verdana"/>
                <w:sz w:val="16"/>
                <w:szCs w:val="16"/>
                <w:lang w:val="en-GB"/>
              </w:rPr>
              <w:t xml:space="preserve"> of the indicators for the determination of the most relevant currencies </w:t>
            </w:r>
            <w:proofErr w:type="spellStart"/>
            <w:r w:rsidRPr="0019175B">
              <w:rPr>
                <w:rFonts w:ascii="Verdana" w:hAnsi="Verdana" w:cs="Verdana"/>
                <w:sz w:val="16"/>
                <w:szCs w:val="16"/>
                <w:lang w:val="en-GB"/>
              </w:rPr>
              <w:t>pursu</w:t>
            </w:r>
            <w:proofErr w:type="spellEnd"/>
            <w:r w:rsidRPr="0019175B">
              <w:rPr>
                <w:rFonts w:ascii="Verdana" w:hAnsi="Verdana" w:cs="Verdana"/>
                <w:sz w:val="16"/>
                <w:szCs w:val="16"/>
                <w:lang w:val="en-GB"/>
              </w:rPr>
              <w:t xml:space="preserve">-ant to Article 12(1)(b) of CSDR or - Cash </w:t>
            </w:r>
            <w:proofErr w:type="spellStart"/>
            <w:r w:rsidRPr="0019175B">
              <w:rPr>
                <w:rFonts w:ascii="Verdana" w:hAnsi="Verdana" w:cs="Verdana"/>
                <w:sz w:val="16"/>
                <w:szCs w:val="16"/>
                <w:lang w:val="en-GB"/>
              </w:rPr>
              <w:t>Distribu-tions</w:t>
            </w:r>
            <w:proofErr w:type="spellEnd"/>
            <w:r w:rsidRPr="0019175B">
              <w:rPr>
                <w:rFonts w:ascii="Verdana" w:hAnsi="Verdana" w:cs="Verdana"/>
                <w:sz w:val="16"/>
                <w:szCs w:val="16"/>
                <w:lang w:val="en-GB"/>
              </w:rPr>
              <w:t xml:space="preserve"> (e.g. cash dividend, interest payment) </w:t>
            </w:r>
          </w:p>
        </w:tc>
        <w:tc>
          <w:tcPr>
            <w:tcW w:w="2410"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1E5B3247" w14:textId="77777777" w:rsidR="0019175B" w:rsidRPr="0019175B" w:rsidRDefault="0019175B">
            <w:pPr>
              <w:pStyle w:val="Default"/>
              <w:rPr>
                <w:sz w:val="16"/>
                <w:szCs w:val="16"/>
                <w:lang w:val="en-GB"/>
              </w:rPr>
            </w:pPr>
            <w:r w:rsidRPr="0019175B">
              <w:rPr>
                <w:rFonts w:ascii="Verdana" w:hAnsi="Verdana" w:cs="Verdana"/>
                <w:sz w:val="16"/>
                <w:szCs w:val="16"/>
                <w:lang w:val="en-GB"/>
              </w:rPr>
              <w:t>Designated credit institution or des-</w:t>
            </w:r>
            <w:proofErr w:type="spellStart"/>
            <w:r w:rsidRPr="0019175B">
              <w:rPr>
                <w:rFonts w:ascii="Verdana" w:hAnsi="Verdana" w:cs="Verdana"/>
                <w:sz w:val="16"/>
                <w:szCs w:val="16"/>
                <w:lang w:val="en-GB"/>
              </w:rPr>
              <w:t>ignated</w:t>
            </w:r>
            <w:proofErr w:type="spellEnd"/>
            <w:r w:rsidRPr="0019175B">
              <w:rPr>
                <w:rFonts w:ascii="Verdana" w:hAnsi="Verdana" w:cs="Verdana"/>
                <w:sz w:val="16"/>
                <w:szCs w:val="16"/>
                <w:lang w:val="en-GB"/>
              </w:rPr>
              <w:t xml:space="preserve"> CSDs au-</w:t>
            </w:r>
            <w:proofErr w:type="spellStart"/>
            <w:r w:rsidRPr="0019175B">
              <w:rPr>
                <w:rFonts w:ascii="Verdana" w:hAnsi="Verdana" w:cs="Verdana"/>
                <w:sz w:val="16"/>
                <w:szCs w:val="16"/>
                <w:lang w:val="en-GB"/>
              </w:rPr>
              <w:t>thorised</w:t>
            </w:r>
            <w:proofErr w:type="spellEnd"/>
            <w:r w:rsidRPr="0019175B">
              <w:rPr>
                <w:rFonts w:ascii="Verdana" w:hAnsi="Verdana" w:cs="Verdana"/>
                <w:sz w:val="16"/>
                <w:szCs w:val="16"/>
                <w:lang w:val="en-GB"/>
              </w:rPr>
              <w:t xml:space="preserve"> to provide banking-type an-</w:t>
            </w:r>
            <w:proofErr w:type="spellStart"/>
            <w:r w:rsidRPr="0019175B">
              <w:rPr>
                <w:rFonts w:ascii="Verdana" w:hAnsi="Verdana" w:cs="Verdana"/>
                <w:sz w:val="16"/>
                <w:szCs w:val="16"/>
                <w:lang w:val="en-GB"/>
              </w:rPr>
              <w:t>cillary</w:t>
            </w:r>
            <w:proofErr w:type="spellEnd"/>
            <w:r w:rsidRPr="0019175B">
              <w:rPr>
                <w:rFonts w:ascii="Verdana" w:hAnsi="Verdana" w:cs="Verdana"/>
                <w:sz w:val="16"/>
                <w:szCs w:val="16"/>
                <w:lang w:val="en-GB"/>
              </w:rPr>
              <w:t xml:space="preserve"> services pursuant to Article 54(3) of the CSDR </w:t>
            </w:r>
          </w:p>
        </w:tc>
        <w:tc>
          <w:tcPr>
            <w:tcW w:w="3260"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2BA4955A" w14:textId="1403391B" w:rsidR="0019175B" w:rsidRPr="0019175B" w:rsidRDefault="0019175B">
            <w:pPr>
              <w:pStyle w:val="Default"/>
              <w:rPr>
                <w:sz w:val="16"/>
                <w:szCs w:val="16"/>
                <w:lang w:val="en-GB"/>
              </w:rPr>
            </w:pPr>
            <w:r w:rsidRPr="0019175B">
              <w:rPr>
                <w:rFonts w:ascii="Verdana" w:hAnsi="Verdana" w:cs="Verdana"/>
                <w:sz w:val="16"/>
                <w:szCs w:val="16"/>
                <w:lang w:val="en-GB"/>
              </w:rPr>
              <w:t xml:space="preserve">Total value of cash settlement settled through settlement agents (i.e. credit institutions and CSDs authorised to provide banking-type </w:t>
            </w:r>
            <w:proofErr w:type="spellStart"/>
            <w:r w:rsidRPr="0019175B">
              <w:rPr>
                <w:rFonts w:ascii="Verdana" w:hAnsi="Verdana" w:cs="Verdana"/>
                <w:sz w:val="16"/>
                <w:szCs w:val="16"/>
                <w:lang w:val="en-GB"/>
              </w:rPr>
              <w:t>anillary</w:t>
            </w:r>
            <w:proofErr w:type="spellEnd"/>
            <w:r w:rsidRPr="0019175B">
              <w:rPr>
                <w:rFonts w:ascii="Verdana" w:hAnsi="Verdana" w:cs="Verdana"/>
                <w:sz w:val="16"/>
                <w:szCs w:val="16"/>
                <w:lang w:val="en-GB"/>
              </w:rPr>
              <w:t xml:space="preserve"> services pursuant to Article 54(3) of the CSDR) </w:t>
            </w:r>
          </w:p>
        </w:tc>
        <w:tc>
          <w:tcPr>
            <w:tcW w:w="4111" w:type="dxa"/>
            <w:tcBorders>
              <w:top w:val="none" w:sz="6" w:space="0" w:color="auto"/>
              <w:left w:val="none" w:sz="6" w:space="0" w:color="auto"/>
              <w:bottom w:val="none" w:sz="6" w:space="0" w:color="auto"/>
            </w:tcBorders>
            <w:shd w:val="clear" w:color="auto" w:fill="F2F2F2" w:themeFill="background1" w:themeFillShade="F2"/>
          </w:tcPr>
          <w:p w14:paraId="64026314" w14:textId="489108DF" w:rsidR="0019175B" w:rsidRPr="0019175B" w:rsidRDefault="0019175B">
            <w:pPr>
              <w:pStyle w:val="Default"/>
              <w:rPr>
                <w:sz w:val="16"/>
                <w:szCs w:val="16"/>
                <w:lang w:val="en-GB"/>
              </w:rPr>
            </w:pPr>
            <w:r w:rsidRPr="0019175B">
              <w:rPr>
                <w:rFonts w:ascii="Verdana" w:hAnsi="Verdana" w:cs="Verdana"/>
                <w:sz w:val="16"/>
                <w:szCs w:val="16"/>
                <w:lang w:val="en-GB"/>
              </w:rPr>
              <w:t>Total value of cash settlement settled through settle-</w:t>
            </w:r>
            <w:proofErr w:type="spellStart"/>
            <w:r w:rsidRPr="0019175B">
              <w:rPr>
                <w:rFonts w:ascii="Verdana" w:hAnsi="Verdana" w:cs="Verdana"/>
                <w:sz w:val="16"/>
                <w:szCs w:val="16"/>
                <w:lang w:val="en-GB"/>
              </w:rPr>
              <w:t>ment</w:t>
            </w:r>
            <w:proofErr w:type="spellEnd"/>
            <w:r w:rsidRPr="0019175B">
              <w:rPr>
                <w:rFonts w:ascii="Verdana" w:hAnsi="Verdana" w:cs="Verdana"/>
                <w:sz w:val="16"/>
                <w:szCs w:val="16"/>
                <w:lang w:val="en-GB"/>
              </w:rPr>
              <w:t xml:space="preserve"> agents (i.e. credit institutions and CSDs author-</w:t>
            </w:r>
            <w:proofErr w:type="spellStart"/>
            <w:r w:rsidRPr="0019175B">
              <w:rPr>
                <w:rFonts w:ascii="Verdana" w:hAnsi="Verdana" w:cs="Verdana"/>
                <w:sz w:val="16"/>
                <w:szCs w:val="16"/>
                <w:lang w:val="en-GB"/>
              </w:rPr>
              <w:t>ised</w:t>
            </w:r>
            <w:proofErr w:type="spellEnd"/>
            <w:r w:rsidRPr="0019175B">
              <w:rPr>
                <w:rFonts w:ascii="Verdana" w:hAnsi="Verdana" w:cs="Verdana"/>
                <w:sz w:val="16"/>
                <w:szCs w:val="16"/>
                <w:lang w:val="en-GB"/>
              </w:rPr>
              <w:t xml:space="preserve"> to provide banking-type an-</w:t>
            </w:r>
            <w:proofErr w:type="spellStart"/>
            <w:r w:rsidRPr="0019175B">
              <w:rPr>
                <w:rFonts w:ascii="Verdana" w:hAnsi="Verdana" w:cs="Verdana"/>
                <w:sz w:val="16"/>
                <w:szCs w:val="16"/>
                <w:lang w:val="en-GB"/>
              </w:rPr>
              <w:t>cillary</w:t>
            </w:r>
            <w:proofErr w:type="spellEnd"/>
            <w:r w:rsidRPr="0019175B">
              <w:rPr>
                <w:rFonts w:ascii="Verdana" w:hAnsi="Verdana" w:cs="Verdana"/>
                <w:sz w:val="16"/>
                <w:szCs w:val="16"/>
                <w:lang w:val="en-GB"/>
              </w:rPr>
              <w:t xml:space="preserve"> services pursuant to Article 54(3) of the CSDR), expressed as </w:t>
            </w:r>
            <w:r w:rsidRPr="00AE6D59">
              <w:rPr>
                <w:rFonts w:ascii="Verdana" w:hAnsi="Verdana" w:cs="Verdana"/>
                <w:b/>
                <w:bCs/>
                <w:sz w:val="16"/>
                <w:szCs w:val="16"/>
                <w:lang w:val="en-GB"/>
              </w:rPr>
              <w:t>% of the total value of cash settlement of all securities transactions settled against cash in the books of the CSD</w:t>
            </w:r>
            <w:r w:rsidRPr="0019175B">
              <w:rPr>
                <w:rFonts w:ascii="Verdana" w:hAnsi="Verdana" w:cs="Verdana"/>
                <w:sz w:val="16"/>
                <w:szCs w:val="16"/>
                <w:lang w:val="en-GB"/>
              </w:rPr>
              <w:t xml:space="preserve"> </w:t>
            </w:r>
          </w:p>
        </w:tc>
      </w:tr>
      <w:tr w:rsidR="0019175B" w:rsidRPr="00B14B71" w14:paraId="7E1C2AD6" w14:textId="77777777" w:rsidTr="00640F20">
        <w:trPr>
          <w:trHeight w:val="469"/>
        </w:trPr>
        <w:tc>
          <w:tcPr>
            <w:tcW w:w="1713" w:type="dxa"/>
            <w:tcBorders>
              <w:top w:val="none" w:sz="6" w:space="0" w:color="auto"/>
              <w:bottom w:val="none" w:sz="6" w:space="0" w:color="auto"/>
              <w:right w:val="none" w:sz="6" w:space="0" w:color="auto"/>
            </w:tcBorders>
            <w:shd w:val="clear" w:color="auto" w:fill="F2F2F2" w:themeFill="background1" w:themeFillShade="F2"/>
          </w:tcPr>
          <w:p w14:paraId="7124A049" w14:textId="77777777" w:rsidR="0019175B" w:rsidRPr="0019175B" w:rsidRDefault="0019175B">
            <w:pPr>
              <w:pStyle w:val="Default"/>
              <w:rPr>
                <w:sz w:val="16"/>
                <w:szCs w:val="16"/>
                <w:lang w:val="en-GB"/>
              </w:rPr>
            </w:pPr>
            <w:r w:rsidRPr="0019175B">
              <w:rPr>
                <w:rFonts w:ascii="Verdana" w:hAnsi="Verdana" w:cs="Verdana"/>
                <w:sz w:val="16"/>
                <w:szCs w:val="16"/>
                <w:lang w:val="en-GB"/>
              </w:rPr>
              <w:t xml:space="preserve">(one row per credit </w:t>
            </w:r>
            <w:proofErr w:type="spellStart"/>
            <w:r w:rsidRPr="0019175B">
              <w:rPr>
                <w:rFonts w:ascii="Verdana" w:hAnsi="Verdana" w:cs="Verdana"/>
                <w:sz w:val="16"/>
                <w:szCs w:val="16"/>
                <w:lang w:val="en-GB"/>
              </w:rPr>
              <w:t>institu-tion</w:t>
            </w:r>
            <w:proofErr w:type="spellEnd"/>
            <w:r w:rsidRPr="0019175B">
              <w:rPr>
                <w:rFonts w:ascii="Verdana" w:hAnsi="Verdana" w:cs="Verdana"/>
                <w:sz w:val="16"/>
                <w:szCs w:val="16"/>
                <w:lang w:val="en-GB"/>
              </w:rPr>
              <w:t xml:space="preserve">/CSD, per type and per year) </w:t>
            </w:r>
          </w:p>
        </w:tc>
        <w:tc>
          <w:tcPr>
            <w:tcW w:w="2364"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252611EC" w14:textId="77777777" w:rsidR="0019175B" w:rsidRPr="0019175B" w:rsidRDefault="0019175B">
            <w:pPr>
              <w:pStyle w:val="Default"/>
              <w:rPr>
                <w:sz w:val="16"/>
                <w:szCs w:val="16"/>
                <w:lang w:val="en-GB"/>
              </w:rPr>
            </w:pPr>
            <w:r w:rsidRPr="0019175B">
              <w:rPr>
                <w:rFonts w:ascii="Verdana" w:hAnsi="Verdana" w:cs="Verdana"/>
                <w:sz w:val="16"/>
                <w:szCs w:val="16"/>
                <w:lang w:val="en-GB"/>
              </w:rPr>
              <w:t xml:space="preserve">(one row per credit </w:t>
            </w:r>
            <w:proofErr w:type="spellStart"/>
            <w:r w:rsidRPr="0019175B">
              <w:rPr>
                <w:rFonts w:ascii="Verdana" w:hAnsi="Verdana" w:cs="Verdana"/>
                <w:sz w:val="16"/>
                <w:szCs w:val="16"/>
                <w:lang w:val="en-GB"/>
              </w:rPr>
              <w:t>institu-tion</w:t>
            </w:r>
            <w:proofErr w:type="spellEnd"/>
            <w:r w:rsidRPr="0019175B">
              <w:rPr>
                <w:rFonts w:ascii="Verdana" w:hAnsi="Verdana" w:cs="Verdana"/>
                <w:sz w:val="16"/>
                <w:szCs w:val="16"/>
                <w:lang w:val="en-GB"/>
              </w:rPr>
              <w:t xml:space="preserve">/CSD, per type and per year) </w:t>
            </w:r>
          </w:p>
        </w:tc>
        <w:tc>
          <w:tcPr>
            <w:tcW w:w="2410"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408A58E3" w14:textId="77777777" w:rsidR="0019175B" w:rsidRPr="0019175B" w:rsidRDefault="0019175B">
            <w:pPr>
              <w:pStyle w:val="Default"/>
              <w:rPr>
                <w:sz w:val="16"/>
                <w:szCs w:val="16"/>
                <w:lang w:val="en-GB"/>
              </w:rPr>
            </w:pPr>
            <w:r w:rsidRPr="0019175B">
              <w:rPr>
                <w:rFonts w:ascii="Verdana" w:hAnsi="Verdana" w:cs="Verdana"/>
                <w:sz w:val="16"/>
                <w:szCs w:val="16"/>
                <w:lang w:val="en-GB"/>
              </w:rPr>
              <w:t xml:space="preserve">(one row per credit </w:t>
            </w:r>
            <w:proofErr w:type="spellStart"/>
            <w:r w:rsidRPr="0019175B">
              <w:rPr>
                <w:rFonts w:ascii="Verdana" w:hAnsi="Verdana" w:cs="Verdana"/>
                <w:sz w:val="16"/>
                <w:szCs w:val="16"/>
                <w:lang w:val="en-GB"/>
              </w:rPr>
              <w:t>institu-tion</w:t>
            </w:r>
            <w:proofErr w:type="spellEnd"/>
            <w:r w:rsidRPr="0019175B">
              <w:rPr>
                <w:rFonts w:ascii="Verdana" w:hAnsi="Verdana" w:cs="Verdana"/>
                <w:sz w:val="16"/>
                <w:szCs w:val="16"/>
                <w:lang w:val="en-GB"/>
              </w:rPr>
              <w:t xml:space="preserve">/CSD, per type and per year) </w:t>
            </w:r>
          </w:p>
        </w:tc>
        <w:tc>
          <w:tcPr>
            <w:tcW w:w="3260"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1680C140" w14:textId="7F0E31CB" w:rsidR="0019175B" w:rsidRPr="0019175B" w:rsidRDefault="0019175B">
            <w:pPr>
              <w:pStyle w:val="Default"/>
              <w:rPr>
                <w:sz w:val="16"/>
                <w:szCs w:val="16"/>
                <w:lang w:val="en-GB"/>
              </w:rPr>
            </w:pPr>
            <w:r w:rsidRPr="0019175B">
              <w:rPr>
                <w:rFonts w:ascii="Verdana" w:hAnsi="Verdana" w:cs="Verdana"/>
                <w:sz w:val="16"/>
                <w:szCs w:val="16"/>
                <w:lang w:val="en-GB"/>
              </w:rPr>
              <w:t xml:space="preserve">(in euros) (one row per credit institution/CSD, per type and per year) </w:t>
            </w:r>
          </w:p>
        </w:tc>
        <w:tc>
          <w:tcPr>
            <w:tcW w:w="4111" w:type="dxa"/>
            <w:tcBorders>
              <w:top w:val="none" w:sz="6" w:space="0" w:color="auto"/>
              <w:left w:val="none" w:sz="6" w:space="0" w:color="auto"/>
              <w:bottom w:val="none" w:sz="6" w:space="0" w:color="auto"/>
            </w:tcBorders>
            <w:shd w:val="clear" w:color="auto" w:fill="F2F2F2" w:themeFill="background1" w:themeFillShade="F2"/>
          </w:tcPr>
          <w:p w14:paraId="64828459" w14:textId="77777777" w:rsidR="0019175B" w:rsidRPr="0019175B" w:rsidRDefault="0019175B">
            <w:pPr>
              <w:pStyle w:val="Default"/>
              <w:rPr>
                <w:sz w:val="16"/>
                <w:szCs w:val="16"/>
                <w:lang w:val="en-GB"/>
              </w:rPr>
            </w:pPr>
            <w:r w:rsidRPr="0019175B">
              <w:rPr>
                <w:rFonts w:ascii="Verdana" w:hAnsi="Verdana" w:cs="Verdana"/>
                <w:sz w:val="16"/>
                <w:szCs w:val="16"/>
                <w:lang w:val="en-GB"/>
              </w:rPr>
              <w:t xml:space="preserve">(one row per credit </w:t>
            </w:r>
            <w:proofErr w:type="spellStart"/>
            <w:r w:rsidRPr="0019175B">
              <w:rPr>
                <w:rFonts w:ascii="Verdana" w:hAnsi="Verdana" w:cs="Verdana"/>
                <w:sz w:val="16"/>
                <w:szCs w:val="16"/>
                <w:lang w:val="en-GB"/>
              </w:rPr>
              <w:t>institu-tion</w:t>
            </w:r>
            <w:proofErr w:type="spellEnd"/>
            <w:r w:rsidRPr="0019175B">
              <w:rPr>
                <w:rFonts w:ascii="Verdana" w:hAnsi="Verdana" w:cs="Verdana"/>
                <w:sz w:val="16"/>
                <w:szCs w:val="16"/>
                <w:lang w:val="en-GB"/>
              </w:rPr>
              <w:t xml:space="preserve">/CSD, per type and per year) </w:t>
            </w:r>
          </w:p>
        </w:tc>
      </w:tr>
      <w:tr w:rsidR="00ED7C3C" w14:paraId="05A9F5A9" w14:textId="77777777" w:rsidTr="00D575C7">
        <w:trPr>
          <w:trHeight w:val="78"/>
        </w:trPr>
        <w:tc>
          <w:tcPr>
            <w:tcW w:w="1713" w:type="dxa"/>
            <w:tcBorders>
              <w:top w:val="none" w:sz="6" w:space="0" w:color="auto"/>
              <w:bottom w:val="none" w:sz="6" w:space="0" w:color="auto"/>
              <w:right w:val="none" w:sz="6" w:space="0" w:color="auto"/>
            </w:tcBorders>
          </w:tcPr>
          <w:p w14:paraId="19A45226" w14:textId="7BD502CE" w:rsidR="00ED7C3C" w:rsidRDefault="00ED7C3C" w:rsidP="00ED7C3C">
            <w:pPr>
              <w:pStyle w:val="Default"/>
              <w:rPr>
                <w:rFonts w:ascii="Verdana" w:hAnsi="Verdana" w:cs="Verdana"/>
                <w:sz w:val="16"/>
                <w:szCs w:val="16"/>
              </w:rPr>
            </w:pPr>
            <w:r>
              <w:rPr>
                <w:rFonts w:ascii="Verdana" w:hAnsi="Verdana" w:cs="Verdana"/>
                <w:color w:val="EE0000"/>
                <w:sz w:val="16"/>
                <w:szCs w:val="16"/>
                <w:lang w:val="en-GB"/>
              </w:rPr>
              <w:t xml:space="preserve">2024: </w:t>
            </w:r>
            <w:r w:rsidR="00D575C7">
              <w:rPr>
                <w:rFonts w:ascii="Verdana" w:hAnsi="Verdana" w:cs="Verdana"/>
                <w:color w:val="EE0000"/>
                <w:sz w:val="16"/>
                <w:szCs w:val="16"/>
                <w:lang w:val="en-GB"/>
              </w:rPr>
              <w:t xml:space="preserve">one </w:t>
            </w:r>
            <w:r w:rsidRPr="00AE6D59">
              <w:rPr>
                <w:rFonts w:ascii="Verdana" w:hAnsi="Verdana" w:cs="Verdana"/>
                <w:color w:val="EE0000"/>
                <w:sz w:val="16"/>
                <w:szCs w:val="16"/>
                <w:lang w:val="en-GB"/>
              </w:rPr>
              <w:t>credit institution</w:t>
            </w:r>
          </w:p>
        </w:tc>
        <w:tc>
          <w:tcPr>
            <w:tcW w:w="2364" w:type="dxa"/>
            <w:tcBorders>
              <w:top w:val="none" w:sz="6" w:space="0" w:color="auto"/>
              <w:left w:val="none" w:sz="6" w:space="0" w:color="auto"/>
              <w:bottom w:val="none" w:sz="6" w:space="0" w:color="auto"/>
              <w:right w:val="none" w:sz="6" w:space="0" w:color="auto"/>
            </w:tcBorders>
          </w:tcPr>
          <w:p w14:paraId="4FF03FC4" w14:textId="00E2BA81" w:rsidR="00ED7C3C" w:rsidRPr="00D575C7" w:rsidRDefault="00ED7C3C" w:rsidP="00ED7C3C">
            <w:pPr>
              <w:pStyle w:val="Default"/>
              <w:rPr>
                <w:rFonts w:ascii="Verdana" w:hAnsi="Verdana" w:cs="Verdana"/>
                <w:sz w:val="16"/>
                <w:szCs w:val="16"/>
                <w:lang w:val="en-GB"/>
              </w:rPr>
            </w:pPr>
            <w:r w:rsidRPr="00AE6D59">
              <w:rPr>
                <w:rFonts w:ascii="Verdana" w:hAnsi="Verdana" w:cs="Verdana"/>
                <w:color w:val="EE0000"/>
                <w:sz w:val="16"/>
                <w:szCs w:val="16"/>
                <w:lang w:val="en-GB"/>
              </w:rPr>
              <w:t>Cash Distributions</w:t>
            </w:r>
            <w:r w:rsidR="00D575C7">
              <w:rPr>
                <w:rFonts w:ascii="Verdana" w:hAnsi="Verdana" w:cs="Verdana"/>
                <w:color w:val="EE0000"/>
                <w:sz w:val="16"/>
                <w:szCs w:val="16"/>
                <w:lang w:val="en-GB"/>
              </w:rPr>
              <w:t xml:space="preserve"> due to corporate actions in foreign currencies</w:t>
            </w:r>
          </w:p>
        </w:tc>
        <w:tc>
          <w:tcPr>
            <w:tcW w:w="2410" w:type="dxa"/>
            <w:tcBorders>
              <w:top w:val="none" w:sz="6" w:space="0" w:color="auto"/>
              <w:left w:val="none" w:sz="6" w:space="0" w:color="auto"/>
              <w:bottom w:val="none" w:sz="6" w:space="0" w:color="auto"/>
              <w:right w:val="none" w:sz="6" w:space="0" w:color="auto"/>
            </w:tcBorders>
          </w:tcPr>
          <w:p w14:paraId="4ECB1260" w14:textId="338007D8" w:rsidR="00ED7C3C" w:rsidRPr="00AE6D59" w:rsidRDefault="00ED7C3C" w:rsidP="00ED7C3C">
            <w:pPr>
              <w:pStyle w:val="Default"/>
              <w:rPr>
                <w:rFonts w:ascii="Verdana" w:hAnsi="Verdana" w:cs="Verdana"/>
                <w:color w:val="EE0000"/>
                <w:sz w:val="16"/>
                <w:szCs w:val="16"/>
              </w:rPr>
            </w:pPr>
            <w:r w:rsidRPr="00AE6D59">
              <w:rPr>
                <w:rFonts w:ascii="Verdana" w:hAnsi="Verdana" w:cs="Verdana"/>
                <w:color w:val="EE0000"/>
                <w:sz w:val="16"/>
                <w:szCs w:val="16"/>
                <w:lang w:val="en-GB"/>
              </w:rPr>
              <w:t>Designated credit institution</w:t>
            </w:r>
          </w:p>
        </w:tc>
        <w:tc>
          <w:tcPr>
            <w:tcW w:w="3260" w:type="dxa"/>
            <w:tcBorders>
              <w:top w:val="none" w:sz="6" w:space="0" w:color="auto"/>
              <w:left w:val="none" w:sz="6" w:space="0" w:color="auto"/>
              <w:bottom w:val="none" w:sz="6" w:space="0" w:color="auto"/>
              <w:right w:val="none" w:sz="6" w:space="0" w:color="auto"/>
            </w:tcBorders>
          </w:tcPr>
          <w:p w14:paraId="5F8CD459" w14:textId="4BC48096" w:rsidR="00ED7C3C" w:rsidRPr="00ED7C3C" w:rsidRDefault="00640F20" w:rsidP="00ED7C3C">
            <w:pPr>
              <w:pStyle w:val="Default"/>
              <w:rPr>
                <w:color w:val="EE0000"/>
                <w:sz w:val="16"/>
                <w:szCs w:val="16"/>
              </w:rPr>
            </w:pPr>
            <w:r>
              <w:rPr>
                <w:color w:val="EE0000"/>
                <w:sz w:val="16"/>
                <w:szCs w:val="16"/>
              </w:rPr>
              <w:t>55</w:t>
            </w:r>
            <w:r w:rsidR="0070055E">
              <w:rPr>
                <w:color w:val="EE0000"/>
                <w:sz w:val="16"/>
                <w:szCs w:val="16"/>
              </w:rPr>
              <w:t xml:space="preserve"> </w:t>
            </w:r>
            <w:proofErr w:type="spellStart"/>
            <w:r>
              <w:rPr>
                <w:color w:val="EE0000"/>
                <w:sz w:val="16"/>
                <w:szCs w:val="16"/>
              </w:rPr>
              <w:t>mEUR</w:t>
            </w:r>
            <w:proofErr w:type="spellEnd"/>
          </w:p>
        </w:tc>
        <w:tc>
          <w:tcPr>
            <w:tcW w:w="4111" w:type="dxa"/>
            <w:tcBorders>
              <w:top w:val="none" w:sz="6" w:space="0" w:color="auto"/>
              <w:left w:val="none" w:sz="6" w:space="0" w:color="auto"/>
              <w:bottom w:val="none" w:sz="6" w:space="0" w:color="auto"/>
            </w:tcBorders>
          </w:tcPr>
          <w:p w14:paraId="38BB549E" w14:textId="7D0DA0C0" w:rsidR="00ED7C3C" w:rsidRDefault="00640F20" w:rsidP="00D575C7">
            <w:pPr>
              <w:pStyle w:val="Default"/>
              <w:ind w:right="-1288"/>
              <w:rPr>
                <w:rFonts w:ascii="Verdana" w:hAnsi="Verdana" w:cs="Verdana"/>
                <w:sz w:val="16"/>
                <w:szCs w:val="16"/>
              </w:rPr>
            </w:pPr>
            <w:r>
              <w:rPr>
                <w:color w:val="EE0000"/>
                <w:sz w:val="16"/>
                <w:szCs w:val="16"/>
              </w:rPr>
              <w:t>0,002%</w:t>
            </w:r>
          </w:p>
        </w:tc>
      </w:tr>
    </w:tbl>
    <w:p w14:paraId="1474C608" w14:textId="77777777" w:rsidR="0019175B" w:rsidRDefault="0019175B">
      <w:pPr>
        <w:rPr>
          <w:lang w:val="en-GB"/>
        </w:rPr>
      </w:pPr>
    </w:p>
    <w:p w14:paraId="4C3AAA48" w14:textId="77777777" w:rsidR="00640F20" w:rsidRDefault="00640F20">
      <w:pPr>
        <w:rPr>
          <w:lang w:val="en-GB"/>
        </w:rPr>
      </w:pPr>
    </w:p>
    <w:p w14:paraId="72F76B8A" w14:textId="77777777" w:rsidR="00640F20" w:rsidRDefault="00640F20">
      <w:pPr>
        <w:rPr>
          <w:lang w:val="en-GB"/>
        </w:rPr>
      </w:pPr>
    </w:p>
    <w:p w14:paraId="3A325088" w14:textId="77777777" w:rsidR="00640F20" w:rsidRDefault="00640F20">
      <w:pPr>
        <w:rPr>
          <w:lang w:val="en-GB"/>
        </w:rPr>
      </w:pPr>
    </w:p>
    <w:p w14:paraId="3D077B28" w14:textId="6D2DE345" w:rsidR="0019175B" w:rsidRDefault="0019175B">
      <w:pPr>
        <w:rPr>
          <w:rFonts w:cstheme="minorHAnsi"/>
          <w:lang w:val="en-GB"/>
        </w:rPr>
      </w:pPr>
      <w:r w:rsidRPr="0019175B">
        <w:rPr>
          <w:lang w:val="en-GB"/>
        </w:rPr>
        <w:t>Panel C - CSD as provider/user of banking-type ancillary services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660"/>
        <w:gridCol w:w="3685"/>
        <w:gridCol w:w="3402"/>
        <w:gridCol w:w="3261"/>
      </w:tblGrid>
      <w:tr w:rsidR="0019175B" w:rsidRPr="00B14B71" w14:paraId="138CBF72" w14:textId="77777777" w:rsidTr="00C66349">
        <w:trPr>
          <w:trHeight w:val="1344"/>
        </w:trPr>
        <w:tc>
          <w:tcPr>
            <w:tcW w:w="2660" w:type="dxa"/>
            <w:tcBorders>
              <w:top w:val="none" w:sz="6" w:space="0" w:color="auto"/>
              <w:bottom w:val="none" w:sz="6" w:space="0" w:color="auto"/>
              <w:right w:val="none" w:sz="6" w:space="0" w:color="auto"/>
            </w:tcBorders>
            <w:shd w:val="clear" w:color="auto" w:fill="F2F2F2" w:themeFill="background1" w:themeFillShade="F2"/>
          </w:tcPr>
          <w:p w14:paraId="0C2BA7F6" w14:textId="5EEB027A" w:rsidR="0019175B" w:rsidRPr="0019175B" w:rsidRDefault="0019175B">
            <w:pPr>
              <w:pStyle w:val="Default"/>
              <w:rPr>
                <w:sz w:val="16"/>
                <w:szCs w:val="16"/>
                <w:lang w:val="en-GB"/>
              </w:rPr>
            </w:pPr>
            <w:r w:rsidRPr="0019175B">
              <w:rPr>
                <w:rFonts w:ascii="Verdana" w:hAnsi="Verdana" w:cs="Verdana"/>
                <w:sz w:val="16"/>
                <w:szCs w:val="16"/>
                <w:lang w:val="en-GB"/>
              </w:rPr>
              <w:t xml:space="preserve">Would you provide banking-type ancillary services to other CSDs that request these services on an open and non-discriminatory basis? </w:t>
            </w:r>
          </w:p>
        </w:tc>
        <w:tc>
          <w:tcPr>
            <w:tcW w:w="3685"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01D73C72" w14:textId="78CAFB54" w:rsidR="0019175B" w:rsidRPr="0019175B" w:rsidRDefault="0019175B">
            <w:pPr>
              <w:pStyle w:val="Default"/>
              <w:rPr>
                <w:sz w:val="16"/>
                <w:szCs w:val="16"/>
                <w:lang w:val="en-GB"/>
              </w:rPr>
            </w:pPr>
            <w:r w:rsidRPr="0019175B">
              <w:rPr>
                <w:rFonts w:ascii="Verdana" w:hAnsi="Verdana" w:cs="Verdana"/>
                <w:sz w:val="16"/>
                <w:szCs w:val="16"/>
                <w:lang w:val="en-GB"/>
              </w:rPr>
              <w:t>If you are ready to pro-vide banking-type ancillary services to other CSDs, how would you prevent a conflict of in-</w:t>
            </w:r>
            <w:proofErr w:type="spellStart"/>
            <w:r w:rsidRPr="0019175B">
              <w:rPr>
                <w:rFonts w:ascii="Verdana" w:hAnsi="Verdana" w:cs="Verdana"/>
                <w:sz w:val="16"/>
                <w:szCs w:val="16"/>
                <w:lang w:val="en-GB"/>
              </w:rPr>
              <w:t>terest</w:t>
            </w:r>
            <w:proofErr w:type="spellEnd"/>
            <w:r w:rsidRPr="0019175B">
              <w:rPr>
                <w:rFonts w:ascii="Verdana" w:hAnsi="Verdana" w:cs="Verdana"/>
                <w:sz w:val="16"/>
                <w:szCs w:val="16"/>
                <w:lang w:val="en-GB"/>
              </w:rPr>
              <w:t xml:space="preserve">, in accordance with Art. 26(2) of the CSDR, taking into </w:t>
            </w:r>
            <w:proofErr w:type="gramStart"/>
            <w:r w:rsidRPr="0019175B">
              <w:rPr>
                <w:rFonts w:ascii="Verdana" w:hAnsi="Verdana" w:cs="Verdana"/>
                <w:sz w:val="16"/>
                <w:szCs w:val="16"/>
                <w:lang w:val="en-GB"/>
              </w:rPr>
              <w:t>ac-count</w:t>
            </w:r>
            <w:proofErr w:type="gramEnd"/>
            <w:r w:rsidRPr="0019175B">
              <w:rPr>
                <w:rFonts w:ascii="Verdana" w:hAnsi="Verdana" w:cs="Verdana"/>
                <w:sz w:val="16"/>
                <w:szCs w:val="16"/>
                <w:lang w:val="en-GB"/>
              </w:rPr>
              <w:t xml:space="preserve"> that banking-type ancillary services would be provided for the CSD’s own business as well as for the business of the other CSD? </w:t>
            </w:r>
          </w:p>
        </w:tc>
        <w:tc>
          <w:tcPr>
            <w:tcW w:w="3402"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39369E1B" w14:textId="77777777" w:rsidR="0019175B" w:rsidRPr="0019175B" w:rsidRDefault="0019175B">
            <w:pPr>
              <w:pStyle w:val="Default"/>
              <w:rPr>
                <w:sz w:val="16"/>
                <w:szCs w:val="16"/>
                <w:lang w:val="en-GB"/>
              </w:rPr>
            </w:pPr>
            <w:r w:rsidRPr="0019175B">
              <w:rPr>
                <w:rFonts w:ascii="Verdana" w:hAnsi="Verdana" w:cs="Verdana"/>
                <w:sz w:val="16"/>
                <w:szCs w:val="16"/>
                <w:lang w:val="en-GB"/>
              </w:rPr>
              <w:t xml:space="preserve">Would you be interested in becoming a user of the banking-type </w:t>
            </w:r>
            <w:proofErr w:type="spellStart"/>
            <w:r w:rsidRPr="0019175B">
              <w:rPr>
                <w:rFonts w:ascii="Verdana" w:hAnsi="Verdana" w:cs="Verdana"/>
                <w:sz w:val="16"/>
                <w:szCs w:val="16"/>
                <w:lang w:val="en-GB"/>
              </w:rPr>
              <w:t>ancil-lary</w:t>
            </w:r>
            <w:proofErr w:type="spellEnd"/>
            <w:r w:rsidRPr="0019175B">
              <w:rPr>
                <w:rFonts w:ascii="Verdana" w:hAnsi="Verdana" w:cs="Verdana"/>
                <w:sz w:val="16"/>
                <w:szCs w:val="16"/>
                <w:lang w:val="en-GB"/>
              </w:rPr>
              <w:t xml:space="preserve"> services of other CSD(s) which have been authorized to pro-vide banking-type </w:t>
            </w:r>
            <w:proofErr w:type="spellStart"/>
            <w:r w:rsidRPr="0019175B">
              <w:rPr>
                <w:rFonts w:ascii="Verdana" w:hAnsi="Verdana" w:cs="Verdana"/>
                <w:sz w:val="16"/>
                <w:szCs w:val="16"/>
                <w:lang w:val="en-GB"/>
              </w:rPr>
              <w:t>ancil-lary</w:t>
            </w:r>
            <w:proofErr w:type="spellEnd"/>
            <w:r w:rsidRPr="0019175B">
              <w:rPr>
                <w:rFonts w:ascii="Verdana" w:hAnsi="Verdana" w:cs="Verdana"/>
                <w:sz w:val="16"/>
                <w:szCs w:val="16"/>
                <w:lang w:val="en-GB"/>
              </w:rPr>
              <w:t xml:space="preserve"> services under the CSDR? </w:t>
            </w:r>
          </w:p>
        </w:tc>
        <w:tc>
          <w:tcPr>
            <w:tcW w:w="3261" w:type="dxa"/>
            <w:tcBorders>
              <w:top w:val="none" w:sz="6" w:space="0" w:color="auto"/>
              <w:left w:val="none" w:sz="6" w:space="0" w:color="auto"/>
              <w:bottom w:val="none" w:sz="6" w:space="0" w:color="auto"/>
            </w:tcBorders>
            <w:shd w:val="clear" w:color="auto" w:fill="F2F2F2" w:themeFill="background1" w:themeFillShade="F2"/>
          </w:tcPr>
          <w:p w14:paraId="7F5C5097" w14:textId="77777777" w:rsidR="0019175B" w:rsidRPr="0019175B" w:rsidRDefault="0019175B">
            <w:pPr>
              <w:pStyle w:val="Default"/>
              <w:rPr>
                <w:sz w:val="16"/>
                <w:szCs w:val="16"/>
                <w:lang w:val="en-GB"/>
              </w:rPr>
            </w:pPr>
            <w:r w:rsidRPr="0019175B">
              <w:rPr>
                <w:rFonts w:ascii="Verdana" w:hAnsi="Verdana" w:cs="Verdana"/>
                <w:sz w:val="16"/>
                <w:szCs w:val="16"/>
                <w:lang w:val="en-GB"/>
              </w:rPr>
              <w:t xml:space="preserve">If you are interested in becoming a user of a designated banking CSD, do you think that there would be any new issues/risks to </w:t>
            </w:r>
            <w:proofErr w:type="gramStart"/>
            <w:r w:rsidRPr="0019175B">
              <w:rPr>
                <w:rFonts w:ascii="Verdana" w:hAnsi="Verdana" w:cs="Verdana"/>
                <w:sz w:val="16"/>
                <w:szCs w:val="16"/>
                <w:lang w:val="en-GB"/>
              </w:rPr>
              <w:t>take into account</w:t>
            </w:r>
            <w:proofErr w:type="gramEnd"/>
            <w:r w:rsidRPr="0019175B">
              <w:rPr>
                <w:rFonts w:ascii="Verdana" w:hAnsi="Verdana" w:cs="Verdana"/>
                <w:sz w:val="16"/>
                <w:szCs w:val="16"/>
                <w:lang w:val="en-GB"/>
              </w:rPr>
              <w:t xml:space="preserve">? </w:t>
            </w:r>
          </w:p>
        </w:tc>
      </w:tr>
      <w:tr w:rsidR="00920C6E" w:rsidRPr="00B14B71" w14:paraId="4253237C" w14:textId="77777777" w:rsidTr="00C66349">
        <w:trPr>
          <w:trHeight w:val="1539"/>
        </w:trPr>
        <w:tc>
          <w:tcPr>
            <w:tcW w:w="2660" w:type="dxa"/>
            <w:tcBorders>
              <w:top w:val="none" w:sz="6" w:space="0" w:color="auto"/>
              <w:bottom w:val="none" w:sz="6" w:space="0" w:color="auto"/>
              <w:right w:val="none" w:sz="6" w:space="0" w:color="auto"/>
            </w:tcBorders>
            <w:shd w:val="clear" w:color="auto" w:fill="F2F2F2" w:themeFill="background1" w:themeFillShade="F2"/>
          </w:tcPr>
          <w:p w14:paraId="67FBB00F" w14:textId="77777777" w:rsidR="00920C6E" w:rsidRPr="00920C6E" w:rsidRDefault="00920C6E">
            <w:pPr>
              <w:pStyle w:val="Default"/>
              <w:rPr>
                <w:sz w:val="16"/>
                <w:szCs w:val="16"/>
                <w:lang w:val="en-GB"/>
              </w:rPr>
            </w:pPr>
            <w:r w:rsidRPr="00920C6E">
              <w:rPr>
                <w:rFonts w:ascii="Verdana" w:hAnsi="Verdana" w:cs="Verdana"/>
                <w:sz w:val="16"/>
                <w:szCs w:val="16"/>
                <w:lang w:val="en-GB"/>
              </w:rPr>
              <w:t xml:space="preserve">[Y/N] If </w:t>
            </w:r>
            <w:proofErr w:type="gramStart"/>
            <w:r w:rsidRPr="00920C6E">
              <w:rPr>
                <w:rFonts w:ascii="Verdana" w:hAnsi="Verdana" w:cs="Verdana"/>
                <w:sz w:val="16"/>
                <w:szCs w:val="16"/>
                <w:lang w:val="en-GB"/>
              </w:rPr>
              <w:t>Yes</w:t>
            </w:r>
            <w:proofErr w:type="gramEnd"/>
            <w:r w:rsidRPr="00920C6E">
              <w:rPr>
                <w:rFonts w:ascii="Verdana" w:hAnsi="Verdana" w:cs="Verdana"/>
                <w:sz w:val="16"/>
                <w:szCs w:val="16"/>
                <w:lang w:val="en-GB"/>
              </w:rPr>
              <w:t>, please in-</w:t>
            </w:r>
            <w:proofErr w:type="spellStart"/>
            <w:r w:rsidRPr="00920C6E">
              <w:rPr>
                <w:rFonts w:ascii="Verdana" w:hAnsi="Verdana" w:cs="Verdana"/>
                <w:sz w:val="16"/>
                <w:szCs w:val="16"/>
                <w:lang w:val="en-GB"/>
              </w:rPr>
              <w:t>dicate</w:t>
            </w:r>
            <w:proofErr w:type="spellEnd"/>
            <w:r w:rsidRPr="00920C6E">
              <w:rPr>
                <w:rFonts w:ascii="Verdana" w:hAnsi="Verdana" w:cs="Verdana"/>
                <w:sz w:val="16"/>
                <w:szCs w:val="16"/>
                <w:lang w:val="en-GB"/>
              </w:rPr>
              <w:t xml:space="preserve"> whether you are ready from a business, operational and a risk perspective, and pro-vide details on what banking-type ancillary services would your CSD consider adequate to provide to the other CSDs. </w:t>
            </w:r>
          </w:p>
        </w:tc>
        <w:tc>
          <w:tcPr>
            <w:tcW w:w="3685"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3D9E1893" w14:textId="77777777" w:rsidR="00920C6E" w:rsidRDefault="00920C6E">
            <w:pPr>
              <w:pStyle w:val="Default"/>
              <w:rPr>
                <w:rFonts w:ascii="Verdana" w:hAnsi="Verdana" w:cs="Verdana"/>
                <w:sz w:val="16"/>
                <w:szCs w:val="16"/>
              </w:rPr>
            </w:pPr>
            <w:r>
              <w:rPr>
                <w:rFonts w:ascii="Verdana" w:hAnsi="Verdana" w:cs="Verdana"/>
                <w:sz w:val="16"/>
                <w:szCs w:val="16"/>
              </w:rPr>
              <w:t xml:space="preserve">[blank </w:t>
            </w:r>
            <w:proofErr w:type="spellStart"/>
            <w:r>
              <w:rPr>
                <w:rFonts w:ascii="Verdana" w:hAnsi="Verdana" w:cs="Verdana"/>
                <w:sz w:val="16"/>
                <w:szCs w:val="16"/>
              </w:rPr>
              <w:t>space</w:t>
            </w:r>
            <w:proofErr w:type="spellEnd"/>
            <w:r>
              <w:rPr>
                <w:rFonts w:ascii="Verdana" w:hAnsi="Verdana" w:cs="Verdana"/>
                <w:sz w:val="16"/>
                <w:szCs w:val="16"/>
              </w:rPr>
              <w:t xml:space="preserve">] </w:t>
            </w:r>
          </w:p>
        </w:tc>
        <w:tc>
          <w:tcPr>
            <w:tcW w:w="3402"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7521932B" w14:textId="77777777" w:rsidR="00920C6E" w:rsidRPr="00920C6E" w:rsidRDefault="00920C6E">
            <w:pPr>
              <w:pStyle w:val="Default"/>
              <w:rPr>
                <w:sz w:val="16"/>
                <w:szCs w:val="16"/>
                <w:lang w:val="en-GB"/>
              </w:rPr>
            </w:pPr>
            <w:r w:rsidRPr="00920C6E">
              <w:rPr>
                <w:rFonts w:ascii="Verdana" w:hAnsi="Verdana" w:cs="Verdana"/>
                <w:sz w:val="16"/>
                <w:szCs w:val="16"/>
                <w:lang w:val="en-GB"/>
              </w:rPr>
              <w:t>[Y/N] If Yes, please in-</w:t>
            </w:r>
            <w:proofErr w:type="spellStart"/>
            <w:r w:rsidRPr="00920C6E">
              <w:rPr>
                <w:rFonts w:ascii="Verdana" w:hAnsi="Verdana" w:cs="Verdana"/>
                <w:sz w:val="16"/>
                <w:szCs w:val="16"/>
                <w:lang w:val="en-GB"/>
              </w:rPr>
              <w:t>dicate</w:t>
            </w:r>
            <w:proofErr w:type="spellEnd"/>
            <w:r w:rsidRPr="00920C6E">
              <w:rPr>
                <w:rFonts w:ascii="Verdana" w:hAnsi="Verdana" w:cs="Verdana"/>
                <w:sz w:val="16"/>
                <w:szCs w:val="16"/>
                <w:lang w:val="en-GB"/>
              </w:rPr>
              <w:t xml:space="preserve"> whether you are interested in becoming user of a designated banking CSD in order to be able to expand your services in foreign cur-</w:t>
            </w:r>
            <w:proofErr w:type="spellStart"/>
            <w:r w:rsidRPr="00920C6E">
              <w:rPr>
                <w:rFonts w:ascii="Verdana" w:hAnsi="Verdana" w:cs="Verdana"/>
                <w:sz w:val="16"/>
                <w:szCs w:val="16"/>
                <w:lang w:val="en-GB"/>
              </w:rPr>
              <w:t>rencies</w:t>
            </w:r>
            <w:proofErr w:type="spellEnd"/>
            <w:r w:rsidRPr="00920C6E">
              <w:rPr>
                <w:rFonts w:ascii="Verdana" w:hAnsi="Verdana" w:cs="Verdana"/>
                <w:sz w:val="16"/>
                <w:szCs w:val="16"/>
                <w:lang w:val="en-GB"/>
              </w:rPr>
              <w:t xml:space="preserve"> beyond the threshold defined in the CSDR, and provide de-tails on what banking-type ancillary services your CSD would con-sider adequate to be of-</w:t>
            </w:r>
            <w:proofErr w:type="spellStart"/>
            <w:r w:rsidRPr="00920C6E">
              <w:rPr>
                <w:rFonts w:ascii="Verdana" w:hAnsi="Verdana" w:cs="Verdana"/>
                <w:sz w:val="16"/>
                <w:szCs w:val="16"/>
                <w:lang w:val="en-GB"/>
              </w:rPr>
              <w:t>fered</w:t>
            </w:r>
            <w:proofErr w:type="spellEnd"/>
            <w:r w:rsidRPr="00920C6E">
              <w:rPr>
                <w:rFonts w:ascii="Verdana" w:hAnsi="Verdana" w:cs="Verdana"/>
                <w:sz w:val="16"/>
                <w:szCs w:val="16"/>
                <w:lang w:val="en-GB"/>
              </w:rPr>
              <w:t xml:space="preserve"> from the </w:t>
            </w:r>
            <w:proofErr w:type="spellStart"/>
            <w:r w:rsidRPr="00920C6E">
              <w:rPr>
                <w:rFonts w:ascii="Verdana" w:hAnsi="Verdana" w:cs="Verdana"/>
                <w:sz w:val="16"/>
                <w:szCs w:val="16"/>
                <w:lang w:val="en-GB"/>
              </w:rPr>
              <w:t>desig-nated</w:t>
            </w:r>
            <w:proofErr w:type="spellEnd"/>
            <w:r w:rsidRPr="00920C6E">
              <w:rPr>
                <w:rFonts w:ascii="Verdana" w:hAnsi="Verdana" w:cs="Verdana"/>
                <w:sz w:val="16"/>
                <w:szCs w:val="16"/>
                <w:lang w:val="en-GB"/>
              </w:rPr>
              <w:t xml:space="preserve"> banking CSDs. </w:t>
            </w:r>
          </w:p>
        </w:tc>
        <w:tc>
          <w:tcPr>
            <w:tcW w:w="3261" w:type="dxa"/>
            <w:tcBorders>
              <w:top w:val="none" w:sz="6" w:space="0" w:color="auto"/>
              <w:left w:val="none" w:sz="6" w:space="0" w:color="auto"/>
              <w:bottom w:val="none" w:sz="6" w:space="0" w:color="auto"/>
            </w:tcBorders>
            <w:shd w:val="clear" w:color="auto" w:fill="F2F2F2" w:themeFill="background1" w:themeFillShade="F2"/>
          </w:tcPr>
          <w:p w14:paraId="2417DBAC" w14:textId="77777777" w:rsidR="00920C6E" w:rsidRPr="00920C6E" w:rsidRDefault="00920C6E">
            <w:pPr>
              <w:pStyle w:val="Default"/>
              <w:rPr>
                <w:sz w:val="16"/>
                <w:szCs w:val="16"/>
                <w:lang w:val="en-GB"/>
              </w:rPr>
            </w:pPr>
            <w:r w:rsidRPr="00920C6E">
              <w:rPr>
                <w:rFonts w:ascii="Verdana" w:hAnsi="Verdana" w:cs="Verdana"/>
                <w:sz w:val="16"/>
                <w:szCs w:val="16"/>
                <w:lang w:val="en-GB"/>
              </w:rPr>
              <w:t xml:space="preserve">[Y/N] If </w:t>
            </w:r>
            <w:proofErr w:type="gramStart"/>
            <w:r w:rsidRPr="00920C6E">
              <w:rPr>
                <w:rFonts w:ascii="Verdana" w:hAnsi="Verdana" w:cs="Verdana"/>
                <w:sz w:val="16"/>
                <w:szCs w:val="16"/>
                <w:lang w:val="en-GB"/>
              </w:rPr>
              <w:t>Yes</w:t>
            </w:r>
            <w:proofErr w:type="gramEnd"/>
            <w:r w:rsidRPr="00920C6E">
              <w:rPr>
                <w:rFonts w:ascii="Verdana" w:hAnsi="Verdana" w:cs="Verdana"/>
                <w:sz w:val="16"/>
                <w:szCs w:val="16"/>
                <w:lang w:val="en-GB"/>
              </w:rPr>
              <w:t xml:space="preserve">, please pro-vide details. </w:t>
            </w:r>
          </w:p>
        </w:tc>
      </w:tr>
      <w:tr w:rsidR="00ED7C3C" w:rsidRPr="00B14B71" w14:paraId="461519EA" w14:textId="77777777" w:rsidTr="00640F20">
        <w:trPr>
          <w:trHeight w:val="1539"/>
        </w:trPr>
        <w:tc>
          <w:tcPr>
            <w:tcW w:w="2660" w:type="dxa"/>
            <w:tcBorders>
              <w:top w:val="none" w:sz="6" w:space="0" w:color="auto"/>
              <w:bottom w:val="none" w:sz="6" w:space="0" w:color="auto"/>
              <w:right w:val="none" w:sz="6" w:space="0" w:color="auto"/>
            </w:tcBorders>
          </w:tcPr>
          <w:p w14:paraId="30E67AF8" w14:textId="328FF416" w:rsidR="00ED7C3C" w:rsidRPr="00920C6E" w:rsidRDefault="00ED7C3C">
            <w:pPr>
              <w:pStyle w:val="Default"/>
              <w:rPr>
                <w:rFonts w:ascii="Verdana" w:hAnsi="Verdana" w:cs="Verdana"/>
                <w:sz w:val="16"/>
                <w:szCs w:val="16"/>
                <w:lang w:val="en-GB"/>
              </w:rPr>
            </w:pPr>
            <w:r w:rsidRPr="00ED7C3C">
              <w:rPr>
                <w:rFonts w:ascii="Verdana" w:hAnsi="Verdana" w:cs="Verdana"/>
                <w:color w:val="EE0000"/>
                <w:sz w:val="16"/>
                <w:szCs w:val="16"/>
                <w:lang w:val="en-GB"/>
              </w:rPr>
              <w:t>N</w:t>
            </w:r>
          </w:p>
        </w:tc>
        <w:tc>
          <w:tcPr>
            <w:tcW w:w="3685" w:type="dxa"/>
            <w:tcBorders>
              <w:top w:val="none" w:sz="6" w:space="0" w:color="auto"/>
              <w:left w:val="none" w:sz="6" w:space="0" w:color="auto"/>
              <w:bottom w:val="none" w:sz="6" w:space="0" w:color="auto"/>
              <w:right w:val="none" w:sz="6" w:space="0" w:color="auto"/>
            </w:tcBorders>
          </w:tcPr>
          <w:p w14:paraId="1508417B" w14:textId="0F40BFE2" w:rsidR="00ED7C3C" w:rsidRPr="00C51496" w:rsidRDefault="00C51496">
            <w:pPr>
              <w:pStyle w:val="Default"/>
              <w:rPr>
                <w:rFonts w:ascii="Verdana" w:hAnsi="Verdana" w:cs="Verdana"/>
                <w:sz w:val="16"/>
                <w:szCs w:val="16"/>
                <w:lang w:val="en-GB"/>
              </w:rPr>
            </w:pPr>
            <w:r w:rsidRPr="00C51496">
              <w:rPr>
                <w:rFonts w:ascii="Verdana" w:hAnsi="Verdana" w:cs="Verdana"/>
                <w:color w:val="EE0000"/>
                <w:sz w:val="16"/>
                <w:szCs w:val="16"/>
                <w:lang w:val="en-GB"/>
              </w:rPr>
              <w:t xml:space="preserve">KDPW is considering regional </w:t>
            </w:r>
            <w:r w:rsidR="00254937">
              <w:rPr>
                <w:rFonts w:ascii="Verdana" w:hAnsi="Verdana" w:cs="Verdana"/>
                <w:color w:val="EE0000"/>
                <w:sz w:val="16"/>
                <w:szCs w:val="16"/>
                <w:lang w:val="en-GB"/>
              </w:rPr>
              <w:t>coope</w:t>
            </w:r>
            <w:r w:rsidRPr="00C51496">
              <w:rPr>
                <w:rFonts w:ascii="Verdana" w:hAnsi="Verdana" w:cs="Verdana"/>
                <w:color w:val="EE0000"/>
                <w:sz w:val="16"/>
                <w:szCs w:val="16"/>
                <w:lang w:val="en-GB"/>
              </w:rPr>
              <w:t xml:space="preserve">ration and </w:t>
            </w:r>
            <w:r w:rsidR="00640F20">
              <w:rPr>
                <w:rFonts w:ascii="Verdana" w:hAnsi="Verdana" w:cs="Verdana"/>
                <w:color w:val="EE0000"/>
                <w:sz w:val="16"/>
                <w:szCs w:val="16"/>
                <w:lang w:val="en-GB"/>
              </w:rPr>
              <w:t xml:space="preserve">for </w:t>
            </w:r>
            <w:proofErr w:type="gramStart"/>
            <w:r w:rsidR="00640F20">
              <w:rPr>
                <w:rFonts w:ascii="Verdana" w:hAnsi="Verdana" w:cs="Verdana"/>
                <w:color w:val="EE0000"/>
                <w:sz w:val="16"/>
                <w:szCs w:val="16"/>
                <w:lang w:val="en-GB"/>
              </w:rPr>
              <w:t>this reasons</w:t>
            </w:r>
            <w:proofErr w:type="gramEnd"/>
            <w:r w:rsidR="00640F20">
              <w:rPr>
                <w:rFonts w:ascii="Verdana" w:hAnsi="Verdana" w:cs="Verdana"/>
                <w:color w:val="EE0000"/>
                <w:sz w:val="16"/>
                <w:szCs w:val="16"/>
                <w:lang w:val="en-GB"/>
              </w:rPr>
              <w:t xml:space="preserve"> </w:t>
            </w:r>
            <w:r w:rsidRPr="00C51496">
              <w:rPr>
                <w:rFonts w:ascii="Verdana" w:hAnsi="Verdana" w:cs="Verdana"/>
                <w:color w:val="EE0000"/>
                <w:sz w:val="16"/>
                <w:szCs w:val="16"/>
                <w:lang w:val="en-GB"/>
              </w:rPr>
              <w:t xml:space="preserve">would like to </w:t>
            </w:r>
            <w:r w:rsidR="00640F20">
              <w:rPr>
                <w:rFonts w:ascii="Verdana" w:hAnsi="Verdana" w:cs="Verdana"/>
                <w:color w:val="EE0000"/>
                <w:sz w:val="16"/>
                <w:szCs w:val="16"/>
                <w:lang w:val="en-GB"/>
              </w:rPr>
              <w:t xml:space="preserve">use designated credit institutions for cash settlement in non-liquid currencies </w:t>
            </w:r>
            <w:r w:rsidRPr="00C51496">
              <w:rPr>
                <w:rFonts w:ascii="Verdana" w:hAnsi="Verdana" w:cs="Verdana"/>
                <w:color w:val="EE0000"/>
                <w:sz w:val="16"/>
                <w:szCs w:val="16"/>
                <w:lang w:val="en-GB"/>
              </w:rPr>
              <w:t>settlement within the threshold</w:t>
            </w:r>
            <w:r w:rsidR="00640F20">
              <w:rPr>
                <w:rFonts w:ascii="Verdana" w:hAnsi="Verdana" w:cs="Verdana"/>
                <w:color w:val="EE0000"/>
                <w:sz w:val="16"/>
                <w:szCs w:val="16"/>
                <w:lang w:val="en-GB"/>
              </w:rPr>
              <w:t xml:space="preserve"> (</w:t>
            </w:r>
            <w:r w:rsidR="00254937">
              <w:rPr>
                <w:rFonts w:ascii="Verdana" w:hAnsi="Verdana" w:cs="Verdana"/>
                <w:color w:val="EE0000"/>
                <w:sz w:val="16"/>
                <w:szCs w:val="16"/>
                <w:lang w:val="en-GB"/>
              </w:rPr>
              <w:t xml:space="preserve">cooperation for </w:t>
            </w:r>
            <w:r w:rsidR="00640F20">
              <w:rPr>
                <w:rFonts w:ascii="Verdana" w:hAnsi="Verdana" w:cs="Verdana"/>
                <w:color w:val="EE0000"/>
                <w:sz w:val="16"/>
                <w:szCs w:val="16"/>
                <w:lang w:val="en-GB"/>
              </w:rPr>
              <w:t>small non-euro markets)</w:t>
            </w:r>
            <w:r>
              <w:rPr>
                <w:rFonts w:ascii="Verdana" w:hAnsi="Verdana" w:cs="Verdana"/>
                <w:color w:val="EE0000"/>
                <w:sz w:val="16"/>
                <w:szCs w:val="16"/>
                <w:lang w:val="en-GB"/>
              </w:rPr>
              <w:t>.</w:t>
            </w:r>
          </w:p>
        </w:tc>
        <w:tc>
          <w:tcPr>
            <w:tcW w:w="3402" w:type="dxa"/>
            <w:tcBorders>
              <w:top w:val="none" w:sz="6" w:space="0" w:color="auto"/>
              <w:left w:val="none" w:sz="6" w:space="0" w:color="auto"/>
              <w:bottom w:val="none" w:sz="6" w:space="0" w:color="auto"/>
              <w:right w:val="none" w:sz="6" w:space="0" w:color="auto"/>
            </w:tcBorders>
          </w:tcPr>
          <w:p w14:paraId="20E74490" w14:textId="77777777" w:rsidR="00ED7C3C" w:rsidRDefault="007F2480">
            <w:pPr>
              <w:pStyle w:val="Default"/>
              <w:rPr>
                <w:rFonts w:ascii="Verdana" w:hAnsi="Verdana" w:cs="Verdana"/>
                <w:color w:val="EE0000"/>
                <w:sz w:val="16"/>
                <w:szCs w:val="16"/>
                <w:lang w:val="en-GB"/>
              </w:rPr>
            </w:pPr>
            <w:r w:rsidRPr="007F2480">
              <w:rPr>
                <w:rFonts w:ascii="Verdana" w:hAnsi="Verdana" w:cs="Verdana"/>
                <w:color w:val="EE0000"/>
                <w:sz w:val="16"/>
                <w:szCs w:val="16"/>
                <w:lang w:val="en-GB"/>
              </w:rPr>
              <w:t>N</w:t>
            </w:r>
          </w:p>
          <w:p w14:paraId="78C4C6CD" w14:textId="5FA248D7" w:rsidR="00640F20" w:rsidRPr="007F2480" w:rsidRDefault="00640F20">
            <w:pPr>
              <w:pStyle w:val="Default"/>
              <w:rPr>
                <w:rFonts w:ascii="Verdana" w:hAnsi="Verdana" w:cs="Verdana"/>
                <w:color w:val="EE0000"/>
                <w:sz w:val="16"/>
                <w:szCs w:val="16"/>
                <w:lang w:val="en-GB"/>
              </w:rPr>
            </w:pPr>
            <w:r>
              <w:rPr>
                <w:rFonts w:ascii="Verdana" w:hAnsi="Verdana" w:cs="Verdana"/>
                <w:color w:val="EE0000"/>
                <w:sz w:val="16"/>
                <w:szCs w:val="16"/>
                <w:lang w:val="en-GB"/>
              </w:rPr>
              <w:t>Due to the possible competition and relatively high fees</w:t>
            </w:r>
          </w:p>
        </w:tc>
        <w:tc>
          <w:tcPr>
            <w:tcW w:w="3261" w:type="dxa"/>
            <w:tcBorders>
              <w:top w:val="none" w:sz="6" w:space="0" w:color="auto"/>
              <w:left w:val="none" w:sz="6" w:space="0" w:color="auto"/>
              <w:bottom w:val="none" w:sz="6" w:space="0" w:color="auto"/>
            </w:tcBorders>
          </w:tcPr>
          <w:p w14:paraId="300B8C60" w14:textId="13FE7045" w:rsidR="00640F20" w:rsidRPr="00920C6E" w:rsidRDefault="00640F20">
            <w:pPr>
              <w:pStyle w:val="Default"/>
              <w:rPr>
                <w:rFonts w:ascii="Verdana" w:hAnsi="Verdana" w:cs="Verdana"/>
                <w:sz w:val="16"/>
                <w:szCs w:val="16"/>
                <w:lang w:val="en-GB"/>
              </w:rPr>
            </w:pPr>
          </w:p>
        </w:tc>
      </w:tr>
    </w:tbl>
    <w:p w14:paraId="03FEA79B" w14:textId="77777777" w:rsidR="0019175B" w:rsidRDefault="0019175B">
      <w:pPr>
        <w:rPr>
          <w:rFonts w:cstheme="minorHAnsi"/>
          <w:lang w:val="en-GB"/>
        </w:rPr>
      </w:pPr>
    </w:p>
    <w:p w14:paraId="05DB97CC" w14:textId="77777777" w:rsidR="00D263DD" w:rsidRDefault="00D263DD">
      <w:pPr>
        <w:rPr>
          <w:rFonts w:cstheme="minorHAnsi"/>
          <w:lang w:val="en-GB"/>
        </w:rPr>
      </w:pPr>
    </w:p>
    <w:p w14:paraId="4811DFC0" w14:textId="77777777" w:rsidR="00D263DD" w:rsidRDefault="00D263DD">
      <w:pPr>
        <w:rPr>
          <w:rFonts w:cstheme="minorHAnsi"/>
          <w:lang w:val="en-GB"/>
        </w:rPr>
      </w:pPr>
    </w:p>
    <w:p w14:paraId="4DAA21FF" w14:textId="77777777" w:rsidR="00D263DD" w:rsidRDefault="00D263DD">
      <w:pPr>
        <w:rPr>
          <w:rFonts w:cstheme="minorHAnsi"/>
          <w:lang w:val="en-GB"/>
        </w:rPr>
      </w:pPr>
    </w:p>
    <w:p w14:paraId="43F45EE4" w14:textId="77777777" w:rsidR="00D263DD" w:rsidRDefault="00D263DD">
      <w:pPr>
        <w:rPr>
          <w:rFonts w:cstheme="minorHAnsi"/>
          <w:lang w:val="en-GB"/>
        </w:rPr>
      </w:pPr>
    </w:p>
    <w:p w14:paraId="5B58FC54" w14:textId="77777777" w:rsidR="00D263DD" w:rsidRDefault="00D263DD">
      <w:pPr>
        <w:rPr>
          <w:rFonts w:cstheme="minorHAnsi"/>
          <w:lang w:val="en-GB"/>
        </w:rPr>
      </w:pPr>
    </w:p>
    <w:p w14:paraId="2954FB8F" w14:textId="77777777" w:rsidR="00D263DD" w:rsidRDefault="00D263DD">
      <w:pPr>
        <w:rPr>
          <w:rFonts w:cstheme="minorHAnsi"/>
          <w:lang w:val="en-GB"/>
        </w:rPr>
      </w:pPr>
    </w:p>
    <w:p w14:paraId="4F053615" w14:textId="77777777" w:rsidR="00920C6E" w:rsidRPr="00920C6E" w:rsidRDefault="00920C6E" w:rsidP="00920C6E">
      <w:pPr>
        <w:pStyle w:val="Default"/>
        <w:rPr>
          <w:b/>
          <w:bCs/>
          <w:sz w:val="23"/>
          <w:szCs w:val="23"/>
          <w:lang w:val="en-GB"/>
        </w:rPr>
      </w:pPr>
      <w:r w:rsidRPr="00920C6E">
        <w:rPr>
          <w:b/>
          <w:bCs/>
          <w:sz w:val="23"/>
          <w:szCs w:val="23"/>
          <w:lang w:val="en-GB"/>
        </w:rPr>
        <w:lastRenderedPageBreak/>
        <w:t xml:space="preserve">5.3.2 Settlement in foreign ccy(s) </w:t>
      </w:r>
    </w:p>
    <w:p w14:paraId="4DF13853" w14:textId="35773423" w:rsidR="00920C6E" w:rsidRPr="00920C6E" w:rsidRDefault="00920C6E" w:rsidP="00920C6E">
      <w:pPr>
        <w:pStyle w:val="Default"/>
        <w:rPr>
          <w:sz w:val="23"/>
          <w:szCs w:val="23"/>
          <w:lang w:val="en-GB"/>
        </w:rPr>
      </w:pPr>
      <w:r w:rsidRPr="00920C6E">
        <w:rPr>
          <w:sz w:val="22"/>
          <w:szCs w:val="22"/>
          <w:lang w:val="en-GB"/>
        </w:rPr>
        <w:t>Panel A - Current settlement in foreign currencies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3"/>
        <w:gridCol w:w="1223"/>
        <w:gridCol w:w="2482"/>
        <w:gridCol w:w="2126"/>
        <w:gridCol w:w="1843"/>
        <w:gridCol w:w="2126"/>
        <w:gridCol w:w="2268"/>
      </w:tblGrid>
      <w:tr w:rsidR="00D263DD" w:rsidRPr="00B14B71" w14:paraId="1DA194C2" w14:textId="77777777" w:rsidTr="006E736A">
        <w:trPr>
          <w:trHeight w:val="1636"/>
        </w:trPr>
        <w:tc>
          <w:tcPr>
            <w:tcW w:w="1223" w:type="dxa"/>
            <w:tcBorders>
              <w:top w:val="none" w:sz="6" w:space="0" w:color="auto"/>
              <w:bottom w:val="none" w:sz="6" w:space="0" w:color="auto"/>
              <w:right w:val="none" w:sz="6" w:space="0" w:color="auto"/>
            </w:tcBorders>
            <w:shd w:val="clear" w:color="auto" w:fill="F2F2F2" w:themeFill="background1" w:themeFillShade="F2"/>
          </w:tcPr>
          <w:p w14:paraId="15F89082" w14:textId="46B8AAA4" w:rsidR="00920C6E" w:rsidRPr="00920C6E" w:rsidRDefault="00920C6E">
            <w:pPr>
              <w:pStyle w:val="Default"/>
              <w:rPr>
                <w:rFonts w:ascii="Verdana" w:hAnsi="Verdana" w:cs="Verdana"/>
                <w:sz w:val="16"/>
                <w:szCs w:val="16"/>
                <w:lang w:val="en-GB"/>
              </w:rPr>
            </w:pPr>
            <w:r w:rsidRPr="00920C6E">
              <w:rPr>
                <w:rFonts w:ascii="Verdana" w:hAnsi="Verdana" w:cs="Verdana"/>
                <w:sz w:val="16"/>
                <w:szCs w:val="16"/>
                <w:lang w:val="en-GB"/>
              </w:rPr>
              <w:t xml:space="preserve">Year </w:t>
            </w:r>
          </w:p>
        </w:tc>
        <w:tc>
          <w:tcPr>
            <w:tcW w:w="1223"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7BCC8CA3" w14:textId="77777777" w:rsidR="00920C6E" w:rsidRPr="00920C6E" w:rsidRDefault="00920C6E">
            <w:pPr>
              <w:pStyle w:val="Default"/>
              <w:rPr>
                <w:sz w:val="16"/>
                <w:szCs w:val="16"/>
                <w:lang w:val="en-GB"/>
              </w:rPr>
            </w:pPr>
            <w:r w:rsidRPr="00920C6E">
              <w:rPr>
                <w:rFonts w:ascii="Verdana" w:hAnsi="Verdana" w:cs="Verdana"/>
                <w:sz w:val="16"/>
                <w:szCs w:val="16"/>
                <w:lang w:val="en-GB"/>
              </w:rPr>
              <w:t>Foreign cur-</w:t>
            </w:r>
            <w:proofErr w:type="spellStart"/>
            <w:r w:rsidRPr="00920C6E">
              <w:rPr>
                <w:rFonts w:ascii="Verdana" w:hAnsi="Verdana" w:cs="Verdana"/>
                <w:sz w:val="16"/>
                <w:szCs w:val="16"/>
                <w:lang w:val="en-GB"/>
              </w:rPr>
              <w:t>rency</w:t>
            </w:r>
            <w:proofErr w:type="spellEnd"/>
            <w:r w:rsidRPr="00920C6E">
              <w:rPr>
                <w:rFonts w:ascii="Verdana" w:hAnsi="Verdana" w:cs="Verdana"/>
                <w:sz w:val="16"/>
                <w:szCs w:val="16"/>
                <w:lang w:val="en-GB"/>
              </w:rPr>
              <w:t xml:space="preserve"> used to settle se-</w:t>
            </w:r>
            <w:proofErr w:type="spellStart"/>
            <w:r w:rsidRPr="00920C6E">
              <w:rPr>
                <w:rFonts w:ascii="Verdana" w:hAnsi="Verdana" w:cs="Verdana"/>
                <w:sz w:val="16"/>
                <w:szCs w:val="16"/>
                <w:lang w:val="en-GB"/>
              </w:rPr>
              <w:t>curities</w:t>
            </w:r>
            <w:proofErr w:type="spellEnd"/>
            <w:r w:rsidRPr="00920C6E">
              <w:rPr>
                <w:rFonts w:ascii="Verdana" w:hAnsi="Verdana" w:cs="Verdana"/>
                <w:sz w:val="16"/>
                <w:szCs w:val="16"/>
                <w:lang w:val="en-GB"/>
              </w:rPr>
              <w:t xml:space="preserve"> transactions in your SSS </w:t>
            </w:r>
          </w:p>
        </w:tc>
        <w:tc>
          <w:tcPr>
            <w:tcW w:w="2482"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713C3901" w14:textId="77777777" w:rsidR="00920C6E" w:rsidRPr="00920C6E" w:rsidRDefault="00920C6E">
            <w:pPr>
              <w:pStyle w:val="Default"/>
              <w:rPr>
                <w:sz w:val="16"/>
                <w:szCs w:val="16"/>
                <w:lang w:val="en-GB"/>
              </w:rPr>
            </w:pPr>
            <w:r w:rsidRPr="00920C6E">
              <w:rPr>
                <w:rFonts w:ascii="Verdana" w:hAnsi="Verdana" w:cs="Verdana"/>
                <w:sz w:val="16"/>
                <w:szCs w:val="16"/>
                <w:lang w:val="en-GB"/>
              </w:rPr>
              <w:t>Specify whether set-</w:t>
            </w:r>
            <w:proofErr w:type="spellStart"/>
            <w:r w:rsidRPr="00920C6E">
              <w:rPr>
                <w:rFonts w:ascii="Verdana" w:hAnsi="Verdana" w:cs="Verdana"/>
                <w:sz w:val="16"/>
                <w:szCs w:val="16"/>
                <w:lang w:val="en-GB"/>
              </w:rPr>
              <w:t>tlement</w:t>
            </w:r>
            <w:proofErr w:type="spellEnd"/>
            <w:r w:rsidRPr="00920C6E">
              <w:rPr>
                <w:rFonts w:ascii="Verdana" w:hAnsi="Verdana" w:cs="Verdana"/>
                <w:sz w:val="16"/>
                <w:szCs w:val="16"/>
                <w:lang w:val="en-GB"/>
              </w:rPr>
              <w:t xml:space="preserve"> is provided in central bank money (</w:t>
            </w:r>
            <w:proofErr w:type="spellStart"/>
            <w:r w:rsidRPr="00920C6E">
              <w:rPr>
                <w:rFonts w:ascii="Verdana" w:hAnsi="Verdana" w:cs="Verdana"/>
                <w:sz w:val="16"/>
                <w:szCs w:val="16"/>
                <w:lang w:val="en-GB"/>
              </w:rPr>
              <w:t>CeBM</w:t>
            </w:r>
            <w:proofErr w:type="spellEnd"/>
            <w:r w:rsidRPr="00920C6E">
              <w:rPr>
                <w:rFonts w:ascii="Verdana" w:hAnsi="Verdana" w:cs="Verdana"/>
                <w:sz w:val="16"/>
                <w:szCs w:val="16"/>
                <w:lang w:val="en-GB"/>
              </w:rPr>
              <w:t>) or commercial bank money (</w:t>
            </w:r>
            <w:proofErr w:type="spellStart"/>
            <w:r w:rsidRPr="00920C6E">
              <w:rPr>
                <w:rFonts w:ascii="Verdana" w:hAnsi="Verdana" w:cs="Verdana"/>
                <w:sz w:val="16"/>
                <w:szCs w:val="16"/>
                <w:lang w:val="en-GB"/>
              </w:rPr>
              <w:t>CoBM</w:t>
            </w:r>
            <w:proofErr w:type="spellEnd"/>
            <w:r w:rsidRPr="00920C6E">
              <w:rPr>
                <w:rFonts w:ascii="Verdana" w:hAnsi="Verdana" w:cs="Verdana"/>
                <w:sz w:val="16"/>
                <w:szCs w:val="16"/>
                <w:lang w:val="en-GB"/>
              </w:rPr>
              <w:t xml:space="preserve">) </w:t>
            </w:r>
          </w:p>
        </w:tc>
        <w:tc>
          <w:tcPr>
            <w:tcW w:w="2126"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2E63DBDE" w14:textId="092CE8F0" w:rsidR="00920C6E" w:rsidRPr="00920C6E" w:rsidRDefault="00920C6E">
            <w:pPr>
              <w:pStyle w:val="Default"/>
              <w:rPr>
                <w:sz w:val="16"/>
                <w:szCs w:val="16"/>
                <w:lang w:val="en-GB"/>
              </w:rPr>
            </w:pPr>
            <w:r w:rsidRPr="00920C6E">
              <w:rPr>
                <w:rFonts w:ascii="Verdana" w:hAnsi="Verdana" w:cs="Verdana"/>
                <w:sz w:val="16"/>
                <w:szCs w:val="16"/>
                <w:lang w:val="en-GB"/>
              </w:rPr>
              <w:t xml:space="preserve">If settlement is provided in </w:t>
            </w:r>
            <w:proofErr w:type="spellStart"/>
            <w:r w:rsidRPr="00920C6E">
              <w:rPr>
                <w:rFonts w:ascii="Verdana" w:hAnsi="Verdana" w:cs="Verdana"/>
                <w:sz w:val="16"/>
                <w:szCs w:val="16"/>
                <w:lang w:val="en-GB"/>
              </w:rPr>
              <w:t>CoBM</w:t>
            </w:r>
            <w:proofErr w:type="spellEnd"/>
            <w:r w:rsidRPr="00920C6E">
              <w:rPr>
                <w:rFonts w:ascii="Verdana" w:hAnsi="Verdana" w:cs="Verdana"/>
                <w:sz w:val="16"/>
                <w:szCs w:val="16"/>
                <w:lang w:val="en-GB"/>
              </w:rPr>
              <w:t xml:space="preserve">, </w:t>
            </w:r>
            <w:proofErr w:type="spellStart"/>
            <w:r w:rsidRPr="00920C6E">
              <w:rPr>
                <w:rFonts w:ascii="Verdana" w:hAnsi="Verdana" w:cs="Verdana"/>
                <w:sz w:val="16"/>
                <w:szCs w:val="16"/>
                <w:lang w:val="en-GB"/>
              </w:rPr>
              <w:t>indi</w:t>
            </w:r>
            <w:proofErr w:type="spellEnd"/>
            <w:r w:rsidRPr="00920C6E">
              <w:rPr>
                <w:rFonts w:ascii="Verdana" w:hAnsi="Verdana" w:cs="Verdana"/>
                <w:sz w:val="16"/>
                <w:szCs w:val="16"/>
                <w:lang w:val="en-GB"/>
              </w:rPr>
              <w:t xml:space="preserve">-cate whether this choice of providing settlement in </w:t>
            </w:r>
            <w:proofErr w:type="spellStart"/>
            <w:r w:rsidRPr="00920C6E">
              <w:rPr>
                <w:rFonts w:ascii="Verdana" w:hAnsi="Verdana" w:cs="Verdana"/>
                <w:sz w:val="16"/>
                <w:szCs w:val="16"/>
                <w:lang w:val="en-GB"/>
              </w:rPr>
              <w:t>CoBM</w:t>
            </w:r>
            <w:proofErr w:type="spellEnd"/>
            <w:r w:rsidRPr="00920C6E">
              <w:rPr>
                <w:rFonts w:ascii="Verdana" w:hAnsi="Verdana" w:cs="Verdana"/>
                <w:sz w:val="16"/>
                <w:szCs w:val="16"/>
                <w:lang w:val="en-GB"/>
              </w:rPr>
              <w:t xml:space="preserve"> is based on accessibility, influenced by cost and/or due to other rea-sons. </w:t>
            </w:r>
          </w:p>
        </w:tc>
        <w:tc>
          <w:tcPr>
            <w:tcW w:w="1843"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47F69AE8" w14:textId="77777777" w:rsidR="00920C6E" w:rsidRPr="00920C6E" w:rsidRDefault="00920C6E">
            <w:pPr>
              <w:pStyle w:val="Default"/>
              <w:rPr>
                <w:sz w:val="16"/>
                <w:szCs w:val="16"/>
                <w:lang w:val="en-GB"/>
              </w:rPr>
            </w:pPr>
            <w:r w:rsidRPr="00920C6E">
              <w:rPr>
                <w:rFonts w:ascii="Verdana" w:hAnsi="Verdana" w:cs="Verdana"/>
                <w:sz w:val="16"/>
                <w:szCs w:val="16"/>
                <w:lang w:val="en-GB"/>
              </w:rPr>
              <w:t>If settle-</w:t>
            </w:r>
            <w:proofErr w:type="spellStart"/>
            <w:r w:rsidRPr="00920C6E">
              <w:rPr>
                <w:rFonts w:ascii="Verdana" w:hAnsi="Verdana" w:cs="Verdana"/>
                <w:sz w:val="16"/>
                <w:szCs w:val="16"/>
                <w:lang w:val="en-GB"/>
              </w:rPr>
              <w:t>ment</w:t>
            </w:r>
            <w:proofErr w:type="spellEnd"/>
            <w:r w:rsidRPr="00920C6E">
              <w:rPr>
                <w:rFonts w:ascii="Verdana" w:hAnsi="Verdana" w:cs="Verdana"/>
                <w:sz w:val="16"/>
                <w:szCs w:val="16"/>
                <w:lang w:val="en-GB"/>
              </w:rPr>
              <w:t xml:space="preserve"> is pro-</w:t>
            </w:r>
            <w:proofErr w:type="spellStart"/>
            <w:r w:rsidRPr="00920C6E">
              <w:rPr>
                <w:rFonts w:ascii="Verdana" w:hAnsi="Verdana" w:cs="Verdana"/>
                <w:sz w:val="16"/>
                <w:szCs w:val="16"/>
                <w:lang w:val="en-GB"/>
              </w:rPr>
              <w:t>vided</w:t>
            </w:r>
            <w:proofErr w:type="spellEnd"/>
            <w:r w:rsidRPr="00920C6E">
              <w:rPr>
                <w:rFonts w:ascii="Verdana" w:hAnsi="Verdana" w:cs="Verdana"/>
                <w:sz w:val="16"/>
                <w:szCs w:val="16"/>
                <w:lang w:val="en-GB"/>
              </w:rPr>
              <w:t xml:space="preserve"> in </w:t>
            </w:r>
            <w:proofErr w:type="spellStart"/>
            <w:r w:rsidRPr="00920C6E">
              <w:rPr>
                <w:rFonts w:ascii="Verdana" w:hAnsi="Verdana" w:cs="Verdana"/>
                <w:sz w:val="16"/>
                <w:szCs w:val="16"/>
                <w:lang w:val="en-GB"/>
              </w:rPr>
              <w:t>CoBM</w:t>
            </w:r>
            <w:proofErr w:type="spellEnd"/>
            <w:r w:rsidRPr="00920C6E">
              <w:rPr>
                <w:rFonts w:ascii="Verdana" w:hAnsi="Verdana" w:cs="Verdana"/>
                <w:sz w:val="16"/>
                <w:szCs w:val="16"/>
                <w:lang w:val="en-GB"/>
              </w:rPr>
              <w:t xml:space="preserve">, have there </w:t>
            </w:r>
            <w:r w:rsidRPr="00550F6C">
              <w:rPr>
                <w:rFonts w:ascii="Verdana" w:hAnsi="Verdana" w:cs="Verdana"/>
                <w:b/>
                <w:bCs/>
                <w:sz w:val="16"/>
                <w:szCs w:val="16"/>
                <w:lang w:val="en-GB"/>
              </w:rPr>
              <w:t>been unsuccessful attempts to access the relevant central bank(s) of issue?</w:t>
            </w:r>
            <w:r w:rsidRPr="00550F6C">
              <w:rPr>
                <w:sz w:val="16"/>
                <w:szCs w:val="16"/>
                <w:lang w:val="en-GB"/>
              </w:rPr>
              <w:t xml:space="preserve"> </w:t>
            </w:r>
          </w:p>
        </w:tc>
        <w:tc>
          <w:tcPr>
            <w:tcW w:w="2126"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5AA18627" w14:textId="52B4C96D" w:rsidR="00920C6E" w:rsidRPr="00920C6E" w:rsidRDefault="00920C6E">
            <w:pPr>
              <w:pStyle w:val="Default"/>
              <w:rPr>
                <w:sz w:val="16"/>
                <w:szCs w:val="16"/>
                <w:lang w:val="en-GB"/>
              </w:rPr>
            </w:pPr>
            <w:r w:rsidRPr="00920C6E">
              <w:rPr>
                <w:rFonts w:ascii="Verdana" w:hAnsi="Verdana" w:cs="Verdana"/>
                <w:sz w:val="16"/>
                <w:szCs w:val="16"/>
                <w:lang w:val="en-GB"/>
              </w:rPr>
              <w:t>Total value of settlement instructions against pay-</w:t>
            </w:r>
            <w:proofErr w:type="spellStart"/>
            <w:r w:rsidRPr="00920C6E">
              <w:rPr>
                <w:rFonts w:ascii="Verdana" w:hAnsi="Verdana" w:cs="Verdana"/>
                <w:sz w:val="16"/>
                <w:szCs w:val="16"/>
                <w:lang w:val="en-GB"/>
              </w:rPr>
              <w:t>ment</w:t>
            </w:r>
            <w:proofErr w:type="spellEnd"/>
            <w:r w:rsidRPr="00920C6E">
              <w:rPr>
                <w:rFonts w:ascii="Verdana" w:hAnsi="Verdana" w:cs="Verdana"/>
                <w:sz w:val="16"/>
                <w:szCs w:val="16"/>
                <w:lang w:val="en-GB"/>
              </w:rPr>
              <w:t xml:space="preserve"> settled in the sys-</w:t>
            </w:r>
            <w:proofErr w:type="spellStart"/>
            <w:r w:rsidRPr="00920C6E">
              <w:rPr>
                <w:rFonts w:ascii="Verdana" w:hAnsi="Verdana" w:cs="Verdana"/>
                <w:sz w:val="16"/>
                <w:szCs w:val="16"/>
                <w:lang w:val="en-GB"/>
              </w:rPr>
              <w:t>tems</w:t>
            </w:r>
            <w:proofErr w:type="spellEnd"/>
            <w:r w:rsidRPr="00920C6E">
              <w:rPr>
                <w:rFonts w:ascii="Verdana" w:hAnsi="Verdana" w:cs="Verdana"/>
                <w:sz w:val="16"/>
                <w:szCs w:val="16"/>
                <w:lang w:val="en-GB"/>
              </w:rPr>
              <w:t xml:space="preserve"> of the CSD </w:t>
            </w:r>
          </w:p>
        </w:tc>
        <w:tc>
          <w:tcPr>
            <w:tcW w:w="2268" w:type="dxa"/>
            <w:tcBorders>
              <w:top w:val="none" w:sz="6" w:space="0" w:color="auto"/>
              <w:left w:val="none" w:sz="6" w:space="0" w:color="auto"/>
              <w:bottom w:val="none" w:sz="6" w:space="0" w:color="auto"/>
            </w:tcBorders>
            <w:shd w:val="clear" w:color="auto" w:fill="F2F2F2" w:themeFill="background1" w:themeFillShade="F2"/>
          </w:tcPr>
          <w:p w14:paraId="01A47823" w14:textId="77777777" w:rsidR="00920C6E" w:rsidRPr="00920C6E" w:rsidRDefault="00920C6E">
            <w:pPr>
              <w:pStyle w:val="Default"/>
              <w:rPr>
                <w:sz w:val="16"/>
                <w:szCs w:val="16"/>
                <w:lang w:val="en-GB"/>
              </w:rPr>
            </w:pPr>
            <w:r w:rsidRPr="00920C6E">
              <w:rPr>
                <w:rFonts w:ascii="Verdana" w:hAnsi="Verdana" w:cs="Verdana"/>
                <w:sz w:val="16"/>
                <w:szCs w:val="16"/>
                <w:lang w:val="en-GB"/>
              </w:rPr>
              <w:t xml:space="preserve">Total </w:t>
            </w:r>
            <w:r w:rsidRPr="00D263DD">
              <w:rPr>
                <w:rFonts w:ascii="Verdana" w:hAnsi="Verdana" w:cs="Verdana"/>
                <w:sz w:val="16"/>
                <w:szCs w:val="16"/>
                <w:lang w:val="en-GB"/>
              </w:rPr>
              <w:t xml:space="preserve">value </w:t>
            </w:r>
            <w:r w:rsidRPr="00920C6E">
              <w:rPr>
                <w:rFonts w:ascii="Verdana" w:hAnsi="Verdana" w:cs="Verdana"/>
                <w:sz w:val="16"/>
                <w:szCs w:val="16"/>
                <w:lang w:val="en-GB"/>
              </w:rPr>
              <w:t xml:space="preserve">of </w:t>
            </w:r>
            <w:r w:rsidRPr="00D263DD">
              <w:rPr>
                <w:rFonts w:ascii="Verdana" w:hAnsi="Verdana" w:cs="Verdana"/>
                <w:b/>
                <w:bCs/>
                <w:sz w:val="16"/>
                <w:szCs w:val="16"/>
                <w:lang w:val="en-GB"/>
              </w:rPr>
              <w:t>cash dis-</w:t>
            </w:r>
            <w:proofErr w:type="spellStart"/>
            <w:r w:rsidRPr="00D263DD">
              <w:rPr>
                <w:rFonts w:ascii="Verdana" w:hAnsi="Verdana" w:cs="Verdana"/>
                <w:b/>
                <w:bCs/>
                <w:sz w:val="16"/>
                <w:szCs w:val="16"/>
                <w:lang w:val="en-GB"/>
              </w:rPr>
              <w:t>tributions</w:t>
            </w:r>
            <w:proofErr w:type="spellEnd"/>
            <w:r w:rsidRPr="00920C6E">
              <w:rPr>
                <w:rFonts w:ascii="Verdana" w:hAnsi="Verdana" w:cs="Verdana"/>
                <w:sz w:val="16"/>
                <w:szCs w:val="16"/>
                <w:lang w:val="en-GB"/>
              </w:rPr>
              <w:t xml:space="preserve"> (e.g. cash dividend, in-</w:t>
            </w:r>
            <w:proofErr w:type="spellStart"/>
            <w:r w:rsidRPr="00920C6E">
              <w:rPr>
                <w:rFonts w:ascii="Verdana" w:hAnsi="Verdana" w:cs="Verdana"/>
                <w:sz w:val="16"/>
                <w:szCs w:val="16"/>
                <w:lang w:val="en-GB"/>
              </w:rPr>
              <w:t>terest</w:t>
            </w:r>
            <w:proofErr w:type="spellEnd"/>
            <w:r w:rsidRPr="00920C6E">
              <w:rPr>
                <w:rFonts w:ascii="Verdana" w:hAnsi="Verdana" w:cs="Verdana"/>
                <w:sz w:val="16"/>
                <w:szCs w:val="16"/>
                <w:lang w:val="en-GB"/>
              </w:rPr>
              <w:t xml:space="preserve"> pay-</w:t>
            </w:r>
            <w:proofErr w:type="spellStart"/>
            <w:r w:rsidRPr="00920C6E">
              <w:rPr>
                <w:rFonts w:ascii="Verdana" w:hAnsi="Verdana" w:cs="Verdana"/>
                <w:sz w:val="16"/>
                <w:szCs w:val="16"/>
                <w:lang w:val="en-GB"/>
              </w:rPr>
              <w:t>ment</w:t>
            </w:r>
            <w:proofErr w:type="spellEnd"/>
            <w:r w:rsidRPr="00920C6E">
              <w:rPr>
                <w:rFonts w:ascii="Verdana" w:hAnsi="Verdana" w:cs="Verdana"/>
                <w:sz w:val="16"/>
                <w:szCs w:val="16"/>
                <w:lang w:val="en-GB"/>
              </w:rPr>
              <w:t xml:space="preserve">) </w:t>
            </w:r>
          </w:p>
        </w:tc>
      </w:tr>
      <w:tr w:rsidR="00D263DD" w:rsidRPr="00B14B71" w14:paraId="6B2DACFD" w14:textId="77777777" w:rsidTr="006E736A">
        <w:trPr>
          <w:trHeight w:val="470"/>
        </w:trPr>
        <w:tc>
          <w:tcPr>
            <w:tcW w:w="1223" w:type="dxa"/>
            <w:tcBorders>
              <w:top w:val="none" w:sz="6" w:space="0" w:color="auto"/>
              <w:bottom w:val="none" w:sz="6" w:space="0" w:color="auto"/>
              <w:right w:val="none" w:sz="6" w:space="0" w:color="auto"/>
            </w:tcBorders>
            <w:shd w:val="clear" w:color="auto" w:fill="F2F2F2" w:themeFill="background1" w:themeFillShade="F2"/>
          </w:tcPr>
          <w:p w14:paraId="5AD4993D" w14:textId="77777777" w:rsidR="00920C6E" w:rsidRPr="00920C6E" w:rsidRDefault="00920C6E">
            <w:pPr>
              <w:pStyle w:val="Default"/>
              <w:rPr>
                <w:sz w:val="16"/>
                <w:szCs w:val="16"/>
                <w:lang w:val="en-GB"/>
              </w:rPr>
            </w:pPr>
            <w:r w:rsidRPr="00920C6E">
              <w:rPr>
                <w:rFonts w:ascii="Verdana" w:hAnsi="Verdana" w:cs="Verdana"/>
                <w:sz w:val="16"/>
                <w:szCs w:val="16"/>
                <w:lang w:val="en-GB"/>
              </w:rPr>
              <w:t xml:space="preserve">(one row per currency and per year) </w:t>
            </w:r>
          </w:p>
        </w:tc>
        <w:tc>
          <w:tcPr>
            <w:tcW w:w="1223"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2907986F" w14:textId="77777777" w:rsidR="00920C6E" w:rsidRPr="00920C6E" w:rsidRDefault="00920C6E">
            <w:pPr>
              <w:pStyle w:val="Default"/>
              <w:rPr>
                <w:sz w:val="16"/>
                <w:szCs w:val="16"/>
                <w:lang w:val="en-GB"/>
              </w:rPr>
            </w:pPr>
            <w:r w:rsidRPr="00920C6E">
              <w:rPr>
                <w:rFonts w:ascii="Verdana" w:hAnsi="Verdana" w:cs="Verdana"/>
                <w:sz w:val="16"/>
                <w:szCs w:val="16"/>
                <w:lang w:val="en-GB"/>
              </w:rPr>
              <w:t xml:space="preserve">(one row per currency and per year) </w:t>
            </w:r>
          </w:p>
        </w:tc>
        <w:tc>
          <w:tcPr>
            <w:tcW w:w="2482"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236F9F43" w14:textId="77777777" w:rsidR="00920C6E" w:rsidRPr="00920C6E" w:rsidRDefault="00920C6E">
            <w:pPr>
              <w:pStyle w:val="Default"/>
              <w:rPr>
                <w:sz w:val="16"/>
                <w:szCs w:val="16"/>
                <w:lang w:val="en-GB"/>
              </w:rPr>
            </w:pPr>
            <w:r w:rsidRPr="00920C6E">
              <w:rPr>
                <w:rFonts w:ascii="Verdana" w:hAnsi="Verdana" w:cs="Verdana"/>
                <w:sz w:val="16"/>
                <w:szCs w:val="16"/>
                <w:lang w:val="en-GB"/>
              </w:rPr>
              <w:t xml:space="preserve">(one row per currency and per year) </w:t>
            </w:r>
          </w:p>
        </w:tc>
        <w:tc>
          <w:tcPr>
            <w:tcW w:w="2126"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0C3D8504" w14:textId="77777777" w:rsidR="00920C6E" w:rsidRPr="00920C6E" w:rsidRDefault="00920C6E">
            <w:pPr>
              <w:pStyle w:val="Default"/>
              <w:rPr>
                <w:sz w:val="16"/>
                <w:szCs w:val="16"/>
                <w:lang w:val="en-GB"/>
              </w:rPr>
            </w:pPr>
            <w:r w:rsidRPr="00920C6E">
              <w:rPr>
                <w:rFonts w:ascii="Verdana" w:hAnsi="Verdana" w:cs="Verdana"/>
                <w:sz w:val="16"/>
                <w:szCs w:val="16"/>
                <w:lang w:val="en-GB"/>
              </w:rPr>
              <w:t xml:space="preserve">(one row per currency and per year) </w:t>
            </w:r>
          </w:p>
        </w:tc>
        <w:tc>
          <w:tcPr>
            <w:tcW w:w="1843"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2F249C5B" w14:textId="77777777" w:rsidR="00920C6E" w:rsidRPr="00920C6E" w:rsidRDefault="00920C6E">
            <w:pPr>
              <w:pStyle w:val="Default"/>
              <w:rPr>
                <w:sz w:val="16"/>
                <w:szCs w:val="16"/>
                <w:lang w:val="en-GB"/>
              </w:rPr>
            </w:pPr>
            <w:r w:rsidRPr="00920C6E">
              <w:rPr>
                <w:rFonts w:ascii="Verdana" w:hAnsi="Verdana" w:cs="Verdana"/>
                <w:sz w:val="16"/>
                <w:szCs w:val="16"/>
                <w:lang w:val="en-GB"/>
              </w:rPr>
              <w:t xml:space="preserve">(one row per currency and per year) </w:t>
            </w:r>
          </w:p>
        </w:tc>
        <w:tc>
          <w:tcPr>
            <w:tcW w:w="2126"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2A8F27DA" w14:textId="77777777" w:rsidR="00920C6E" w:rsidRPr="00920C6E" w:rsidRDefault="00920C6E">
            <w:pPr>
              <w:pStyle w:val="Default"/>
              <w:rPr>
                <w:sz w:val="16"/>
                <w:szCs w:val="16"/>
                <w:lang w:val="en-GB"/>
              </w:rPr>
            </w:pPr>
            <w:r w:rsidRPr="00920C6E">
              <w:rPr>
                <w:rFonts w:ascii="Verdana" w:hAnsi="Verdana" w:cs="Verdana"/>
                <w:sz w:val="16"/>
                <w:szCs w:val="16"/>
                <w:lang w:val="en-GB"/>
              </w:rPr>
              <w:t xml:space="preserve">(in euros) (one row per currency and per year) </w:t>
            </w:r>
          </w:p>
        </w:tc>
        <w:tc>
          <w:tcPr>
            <w:tcW w:w="2268" w:type="dxa"/>
            <w:tcBorders>
              <w:top w:val="none" w:sz="6" w:space="0" w:color="auto"/>
              <w:left w:val="none" w:sz="6" w:space="0" w:color="auto"/>
              <w:bottom w:val="none" w:sz="6" w:space="0" w:color="auto"/>
            </w:tcBorders>
            <w:shd w:val="clear" w:color="auto" w:fill="F2F2F2" w:themeFill="background1" w:themeFillShade="F2"/>
          </w:tcPr>
          <w:p w14:paraId="50F89309" w14:textId="77777777" w:rsidR="00920C6E" w:rsidRPr="00920C6E" w:rsidRDefault="00920C6E">
            <w:pPr>
              <w:pStyle w:val="Default"/>
              <w:rPr>
                <w:sz w:val="16"/>
                <w:szCs w:val="16"/>
                <w:lang w:val="en-GB"/>
              </w:rPr>
            </w:pPr>
            <w:r w:rsidRPr="00920C6E">
              <w:rPr>
                <w:rFonts w:ascii="Verdana" w:hAnsi="Verdana" w:cs="Verdana"/>
                <w:sz w:val="16"/>
                <w:szCs w:val="16"/>
                <w:lang w:val="en-GB"/>
              </w:rPr>
              <w:t xml:space="preserve">(in euros) (one row per service and per year) </w:t>
            </w:r>
          </w:p>
        </w:tc>
      </w:tr>
      <w:tr w:rsidR="007F2480" w:rsidRPr="00920C6E" w14:paraId="4F2DB4DD" w14:textId="77777777" w:rsidTr="006E736A">
        <w:trPr>
          <w:trHeight w:val="470"/>
        </w:trPr>
        <w:tc>
          <w:tcPr>
            <w:tcW w:w="1223" w:type="dxa"/>
            <w:tcBorders>
              <w:top w:val="none" w:sz="6" w:space="0" w:color="auto"/>
              <w:bottom w:val="none" w:sz="6" w:space="0" w:color="auto"/>
              <w:right w:val="none" w:sz="6" w:space="0" w:color="auto"/>
            </w:tcBorders>
          </w:tcPr>
          <w:p w14:paraId="54C3616F" w14:textId="77777777" w:rsidR="00097D77" w:rsidRDefault="00097D77">
            <w:pPr>
              <w:pStyle w:val="Default"/>
              <w:rPr>
                <w:rFonts w:ascii="Verdana" w:hAnsi="Verdana" w:cs="Verdana"/>
                <w:color w:val="EE0000"/>
                <w:sz w:val="16"/>
                <w:szCs w:val="16"/>
                <w:lang w:val="en-GB"/>
              </w:rPr>
            </w:pPr>
          </w:p>
          <w:p w14:paraId="4A823249" w14:textId="77777777" w:rsidR="00097D77" w:rsidRDefault="00097D77">
            <w:pPr>
              <w:pStyle w:val="Default"/>
              <w:rPr>
                <w:rFonts w:ascii="Verdana" w:hAnsi="Verdana" w:cs="Verdana"/>
                <w:color w:val="EE0000"/>
                <w:sz w:val="16"/>
                <w:szCs w:val="16"/>
                <w:lang w:val="en-GB"/>
              </w:rPr>
            </w:pPr>
          </w:p>
          <w:p w14:paraId="197B4784" w14:textId="06B3B083" w:rsidR="00775A20" w:rsidRDefault="007F2480">
            <w:pPr>
              <w:pStyle w:val="Default"/>
              <w:rPr>
                <w:rFonts w:ascii="Verdana" w:hAnsi="Verdana" w:cs="Verdana"/>
                <w:color w:val="EE0000"/>
                <w:sz w:val="16"/>
                <w:szCs w:val="16"/>
                <w:lang w:val="en-GB"/>
              </w:rPr>
            </w:pPr>
            <w:r w:rsidRPr="007F2480">
              <w:rPr>
                <w:rFonts w:ascii="Verdana" w:hAnsi="Verdana" w:cs="Verdana"/>
                <w:color w:val="EE0000"/>
                <w:sz w:val="16"/>
                <w:szCs w:val="16"/>
                <w:lang w:val="en-GB"/>
              </w:rPr>
              <w:t>202</w:t>
            </w:r>
            <w:r w:rsidR="00D263DD">
              <w:rPr>
                <w:rFonts w:ascii="Verdana" w:hAnsi="Verdana" w:cs="Verdana"/>
                <w:color w:val="EE0000"/>
                <w:sz w:val="16"/>
                <w:szCs w:val="16"/>
                <w:lang w:val="en-GB"/>
              </w:rPr>
              <w:t>4</w:t>
            </w:r>
          </w:p>
          <w:p w14:paraId="2EEC9899" w14:textId="7BED8BD0" w:rsidR="00550F6C" w:rsidRDefault="00550F6C">
            <w:pPr>
              <w:pStyle w:val="Default"/>
              <w:rPr>
                <w:rFonts w:ascii="Verdana" w:hAnsi="Verdana" w:cs="Verdana"/>
                <w:color w:val="EE0000"/>
                <w:sz w:val="16"/>
                <w:szCs w:val="16"/>
                <w:lang w:val="en-GB"/>
              </w:rPr>
            </w:pPr>
            <w:r>
              <w:rPr>
                <w:rFonts w:ascii="Verdana" w:hAnsi="Verdana" w:cs="Verdana"/>
                <w:color w:val="EE0000"/>
                <w:sz w:val="16"/>
                <w:szCs w:val="16"/>
                <w:lang w:val="en-GB"/>
              </w:rPr>
              <w:t>202</w:t>
            </w:r>
            <w:r w:rsidR="00D263DD">
              <w:rPr>
                <w:rFonts w:ascii="Verdana" w:hAnsi="Verdana" w:cs="Verdana"/>
                <w:color w:val="EE0000"/>
                <w:sz w:val="16"/>
                <w:szCs w:val="16"/>
                <w:lang w:val="en-GB"/>
              </w:rPr>
              <w:t>4</w:t>
            </w:r>
          </w:p>
          <w:p w14:paraId="6ABDF038" w14:textId="77777777" w:rsidR="00550F6C" w:rsidRDefault="00550F6C">
            <w:pPr>
              <w:pStyle w:val="Default"/>
              <w:rPr>
                <w:rFonts w:ascii="Verdana" w:hAnsi="Verdana" w:cs="Verdana"/>
                <w:color w:val="EE0000"/>
                <w:sz w:val="16"/>
                <w:szCs w:val="16"/>
                <w:lang w:val="en-GB"/>
              </w:rPr>
            </w:pPr>
            <w:r>
              <w:rPr>
                <w:rFonts w:ascii="Verdana" w:hAnsi="Verdana" w:cs="Verdana"/>
                <w:color w:val="EE0000"/>
                <w:sz w:val="16"/>
                <w:szCs w:val="16"/>
                <w:lang w:val="en-GB"/>
              </w:rPr>
              <w:t>202</w:t>
            </w:r>
            <w:r w:rsidR="00D263DD">
              <w:rPr>
                <w:rFonts w:ascii="Verdana" w:hAnsi="Verdana" w:cs="Verdana"/>
                <w:color w:val="EE0000"/>
                <w:sz w:val="16"/>
                <w:szCs w:val="16"/>
                <w:lang w:val="en-GB"/>
              </w:rPr>
              <w:t>4</w:t>
            </w:r>
          </w:p>
          <w:p w14:paraId="5D067045" w14:textId="6FA95417" w:rsidR="0070055E" w:rsidRPr="00920C6E" w:rsidRDefault="0070055E">
            <w:pPr>
              <w:pStyle w:val="Default"/>
              <w:rPr>
                <w:rFonts w:ascii="Verdana" w:hAnsi="Verdana" w:cs="Verdana"/>
                <w:sz w:val="16"/>
                <w:szCs w:val="16"/>
                <w:lang w:val="en-GB"/>
              </w:rPr>
            </w:pPr>
            <w:r>
              <w:rPr>
                <w:rFonts w:ascii="Verdana" w:hAnsi="Verdana" w:cs="Verdana"/>
                <w:color w:val="EE0000"/>
                <w:sz w:val="16"/>
                <w:szCs w:val="16"/>
                <w:lang w:val="en-GB"/>
              </w:rPr>
              <w:t>2024</w:t>
            </w:r>
          </w:p>
        </w:tc>
        <w:tc>
          <w:tcPr>
            <w:tcW w:w="1223" w:type="dxa"/>
            <w:tcBorders>
              <w:top w:val="none" w:sz="6" w:space="0" w:color="auto"/>
              <w:left w:val="none" w:sz="6" w:space="0" w:color="auto"/>
              <w:bottom w:val="none" w:sz="6" w:space="0" w:color="auto"/>
              <w:right w:val="none" w:sz="6" w:space="0" w:color="auto"/>
            </w:tcBorders>
          </w:tcPr>
          <w:p w14:paraId="0448C2FD" w14:textId="77777777" w:rsidR="00097D77" w:rsidRDefault="00097D77">
            <w:pPr>
              <w:pStyle w:val="Default"/>
              <w:rPr>
                <w:rFonts w:ascii="Verdana" w:hAnsi="Verdana" w:cs="Verdana"/>
                <w:color w:val="EE0000"/>
                <w:sz w:val="16"/>
                <w:szCs w:val="16"/>
                <w:lang w:val="en-GB"/>
              </w:rPr>
            </w:pPr>
          </w:p>
          <w:p w14:paraId="689636D1" w14:textId="77777777" w:rsidR="00097D77" w:rsidRDefault="00097D77">
            <w:pPr>
              <w:pStyle w:val="Default"/>
              <w:rPr>
                <w:rFonts w:ascii="Verdana" w:hAnsi="Verdana" w:cs="Verdana"/>
                <w:color w:val="EE0000"/>
                <w:sz w:val="16"/>
                <w:szCs w:val="16"/>
                <w:lang w:val="en-GB"/>
              </w:rPr>
            </w:pPr>
          </w:p>
          <w:p w14:paraId="0A940952" w14:textId="667DD45C" w:rsidR="007F2480" w:rsidRPr="00550F6C" w:rsidRDefault="00550F6C">
            <w:pPr>
              <w:pStyle w:val="Default"/>
              <w:rPr>
                <w:rFonts w:ascii="Verdana" w:hAnsi="Verdana" w:cs="Verdana"/>
                <w:color w:val="EE0000"/>
                <w:sz w:val="16"/>
                <w:szCs w:val="16"/>
                <w:lang w:val="en-GB"/>
              </w:rPr>
            </w:pPr>
            <w:r w:rsidRPr="00550F6C">
              <w:rPr>
                <w:rFonts w:ascii="Verdana" w:hAnsi="Verdana" w:cs="Verdana"/>
                <w:color w:val="EE0000"/>
                <w:sz w:val="16"/>
                <w:szCs w:val="16"/>
                <w:lang w:val="en-GB"/>
              </w:rPr>
              <w:t>GBP</w:t>
            </w:r>
          </w:p>
          <w:p w14:paraId="67C787E9" w14:textId="77777777" w:rsidR="007F2480" w:rsidRPr="00550F6C" w:rsidRDefault="007F2480">
            <w:pPr>
              <w:pStyle w:val="Default"/>
              <w:rPr>
                <w:rFonts w:ascii="Verdana" w:hAnsi="Verdana" w:cs="Verdana"/>
                <w:color w:val="EE0000"/>
                <w:sz w:val="16"/>
                <w:szCs w:val="16"/>
                <w:lang w:val="en-GB"/>
              </w:rPr>
            </w:pPr>
            <w:r w:rsidRPr="00550F6C">
              <w:rPr>
                <w:rFonts w:ascii="Verdana" w:hAnsi="Verdana" w:cs="Verdana"/>
                <w:color w:val="EE0000"/>
                <w:sz w:val="16"/>
                <w:szCs w:val="16"/>
                <w:lang w:val="en-GB"/>
              </w:rPr>
              <w:t>HUF</w:t>
            </w:r>
          </w:p>
          <w:p w14:paraId="1EC521F0" w14:textId="77777777" w:rsidR="007F2480" w:rsidRDefault="007F2480">
            <w:pPr>
              <w:pStyle w:val="Default"/>
              <w:rPr>
                <w:rFonts w:ascii="Verdana" w:hAnsi="Verdana" w:cs="Verdana"/>
                <w:color w:val="EE0000"/>
                <w:sz w:val="16"/>
                <w:szCs w:val="16"/>
                <w:lang w:val="en-GB"/>
              </w:rPr>
            </w:pPr>
            <w:r w:rsidRPr="00550F6C">
              <w:rPr>
                <w:rFonts w:ascii="Verdana" w:hAnsi="Verdana" w:cs="Verdana"/>
                <w:color w:val="EE0000"/>
                <w:sz w:val="16"/>
                <w:szCs w:val="16"/>
                <w:lang w:val="en-GB"/>
              </w:rPr>
              <w:t>CZK</w:t>
            </w:r>
          </w:p>
          <w:p w14:paraId="5B0DDC09" w14:textId="1E2945F3" w:rsidR="0070055E" w:rsidRPr="00920C6E" w:rsidRDefault="0070055E">
            <w:pPr>
              <w:pStyle w:val="Default"/>
              <w:rPr>
                <w:rFonts w:ascii="Verdana" w:hAnsi="Verdana" w:cs="Verdana"/>
                <w:sz w:val="16"/>
                <w:szCs w:val="16"/>
                <w:lang w:val="en-GB"/>
              </w:rPr>
            </w:pPr>
            <w:r>
              <w:rPr>
                <w:rFonts w:ascii="Verdana" w:hAnsi="Verdana" w:cs="Verdana"/>
                <w:color w:val="EE0000"/>
                <w:sz w:val="16"/>
                <w:szCs w:val="16"/>
                <w:lang w:val="en-GB"/>
              </w:rPr>
              <w:t>USD</w:t>
            </w:r>
          </w:p>
        </w:tc>
        <w:tc>
          <w:tcPr>
            <w:tcW w:w="2482" w:type="dxa"/>
            <w:tcBorders>
              <w:top w:val="none" w:sz="6" w:space="0" w:color="auto"/>
              <w:left w:val="none" w:sz="6" w:space="0" w:color="auto"/>
              <w:bottom w:val="none" w:sz="6" w:space="0" w:color="auto"/>
              <w:right w:val="none" w:sz="6" w:space="0" w:color="auto"/>
            </w:tcBorders>
          </w:tcPr>
          <w:p w14:paraId="521E6306" w14:textId="77777777" w:rsidR="00097D77" w:rsidRDefault="00097D77">
            <w:pPr>
              <w:pStyle w:val="Default"/>
              <w:rPr>
                <w:rFonts w:ascii="Verdana" w:hAnsi="Verdana" w:cs="Verdana"/>
                <w:color w:val="EE0000"/>
                <w:sz w:val="16"/>
                <w:szCs w:val="16"/>
                <w:lang w:val="en-GB"/>
              </w:rPr>
            </w:pPr>
          </w:p>
          <w:p w14:paraId="5712AE1D" w14:textId="77777777" w:rsidR="00097D77" w:rsidRDefault="00097D77">
            <w:pPr>
              <w:pStyle w:val="Default"/>
              <w:rPr>
                <w:rFonts w:ascii="Verdana" w:hAnsi="Verdana" w:cs="Verdana"/>
                <w:color w:val="EE0000"/>
                <w:sz w:val="16"/>
                <w:szCs w:val="16"/>
                <w:lang w:val="en-GB"/>
              </w:rPr>
            </w:pPr>
          </w:p>
          <w:p w14:paraId="36A19F6F" w14:textId="766D1728" w:rsidR="00550F6C" w:rsidRPr="00550F6C" w:rsidRDefault="00550F6C">
            <w:pPr>
              <w:pStyle w:val="Default"/>
              <w:rPr>
                <w:rFonts w:ascii="Verdana" w:hAnsi="Verdana" w:cs="Verdana"/>
                <w:color w:val="EE0000"/>
                <w:sz w:val="16"/>
                <w:szCs w:val="16"/>
                <w:lang w:val="en-GB"/>
              </w:rPr>
            </w:pPr>
            <w:proofErr w:type="spellStart"/>
            <w:r w:rsidRPr="00550F6C">
              <w:rPr>
                <w:rFonts w:ascii="Verdana" w:hAnsi="Verdana" w:cs="Verdana"/>
                <w:color w:val="EE0000"/>
                <w:sz w:val="16"/>
                <w:szCs w:val="16"/>
                <w:lang w:val="en-GB"/>
              </w:rPr>
              <w:t>CoBM</w:t>
            </w:r>
            <w:proofErr w:type="spellEnd"/>
          </w:p>
          <w:p w14:paraId="325D3E41" w14:textId="77777777" w:rsidR="00550F6C" w:rsidRPr="00550F6C" w:rsidRDefault="00550F6C">
            <w:pPr>
              <w:pStyle w:val="Default"/>
              <w:rPr>
                <w:rFonts w:ascii="Verdana" w:hAnsi="Verdana" w:cs="Verdana"/>
                <w:color w:val="EE0000"/>
                <w:sz w:val="16"/>
                <w:szCs w:val="16"/>
                <w:lang w:val="en-GB"/>
              </w:rPr>
            </w:pPr>
            <w:proofErr w:type="spellStart"/>
            <w:r w:rsidRPr="00550F6C">
              <w:rPr>
                <w:rFonts w:ascii="Verdana" w:hAnsi="Verdana" w:cs="Verdana"/>
                <w:color w:val="EE0000"/>
                <w:sz w:val="16"/>
                <w:szCs w:val="16"/>
                <w:lang w:val="en-GB"/>
              </w:rPr>
              <w:t>CoBM</w:t>
            </w:r>
            <w:proofErr w:type="spellEnd"/>
          </w:p>
          <w:p w14:paraId="3293076E" w14:textId="77777777" w:rsidR="00550F6C" w:rsidRDefault="00550F6C">
            <w:pPr>
              <w:pStyle w:val="Default"/>
              <w:rPr>
                <w:rFonts w:ascii="Verdana" w:hAnsi="Verdana" w:cs="Verdana"/>
                <w:color w:val="EE0000"/>
                <w:sz w:val="16"/>
                <w:szCs w:val="16"/>
                <w:lang w:val="en-GB"/>
              </w:rPr>
            </w:pPr>
            <w:proofErr w:type="spellStart"/>
            <w:r w:rsidRPr="00550F6C">
              <w:rPr>
                <w:rFonts w:ascii="Verdana" w:hAnsi="Verdana" w:cs="Verdana"/>
                <w:color w:val="EE0000"/>
                <w:sz w:val="16"/>
                <w:szCs w:val="16"/>
                <w:lang w:val="en-GB"/>
              </w:rPr>
              <w:t>CoBM</w:t>
            </w:r>
            <w:proofErr w:type="spellEnd"/>
          </w:p>
          <w:p w14:paraId="3DBF1E5C" w14:textId="4D90C646" w:rsidR="0070055E" w:rsidRPr="00920C6E" w:rsidRDefault="0070055E">
            <w:pPr>
              <w:pStyle w:val="Default"/>
              <w:rPr>
                <w:rFonts w:ascii="Verdana" w:hAnsi="Verdana" w:cs="Verdana"/>
                <w:sz w:val="16"/>
                <w:szCs w:val="16"/>
                <w:lang w:val="en-GB"/>
              </w:rPr>
            </w:pPr>
            <w:proofErr w:type="spellStart"/>
            <w:r w:rsidRPr="00550F6C">
              <w:rPr>
                <w:rFonts w:ascii="Verdana" w:hAnsi="Verdana" w:cs="Verdana"/>
                <w:color w:val="EE0000"/>
                <w:sz w:val="16"/>
                <w:szCs w:val="16"/>
                <w:lang w:val="en-GB"/>
              </w:rPr>
              <w:t>CoBM</w:t>
            </w:r>
            <w:proofErr w:type="spellEnd"/>
          </w:p>
        </w:tc>
        <w:tc>
          <w:tcPr>
            <w:tcW w:w="2126" w:type="dxa"/>
            <w:tcBorders>
              <w:top w:val="none" w:sz="6" w:space="0" w:color="auto"/>
              <w:left w:val="none" w:sz="6" w:space="0" w:color="auto"/>
              <w:bottom w:val="none" w:sz="6" w:space="0" w:color="auto"/>
              <w:right w:val="none" w:sz="6" w:space="0" w:color="auto"/>
            </w:tcBorders>
          </w:tcPr>
          <w:p w14:paraId="414AF7CC" w14:textId="77777777" w:rsidR="00097D77" w:rsidRDefault="00097D77">
            <w:pPr>
              <w:pStyle w:val="Default"/>
              <w:rPr>
                <w:rFonts w:ascii="Verdana" w:hAnsi="Verdana" w:cs="Verdana"/>
                <w:color w:val="EE0000"/>
                <w:sz w:val="16"/>
                <w:szCs w:val="16"/>
                <w:lang w:val="en-GB"/>
              </w:rPr>
            </w:pPr>
          </w:p>
          <w:p w14:paraId="7B061897" w14:textId="77777777" w:rsidR="00097D77" w:rsidRDefault="00097D77">
            <w:pPr>
              <w:pStyle w:val="Default"/>
              <w:rPr>
                <w:rFonts w:ascii="Verdana" w:hAnsi="Verdana" w:cs="Verdana"/>
                <w:color w:val="EE0000"/>
                <w:sz w:val="16"/>
                <w:szCs w:val="16"/>
                <w:lang w:val="en-GB"/>
              </w:rPr>
            </w:pPr>
          </w:p>
          <w:p w14:paraId="67FC8823" w14:textId="299FCF43" w:rsidR="00550F6C" w:rsidRPr="00920C6E" w:rsidRDefault="00D263DD">
            <w:pPr>
              <w:pStyle w:val="Default"/>
              <w:rPr>
                <w:rFonts w:ascii="Verdana" w:hAnsi="Verdana" w:cs="Verdana"/>
                <w:sz w:val="16"/>
                <w:szCs w:val="16"/>
                <w:lang w:val="en-GB"/>
              </w:rPr>
            </w:pPr>
            <w:r>
              <w:rPr>
                <w:rFonts w:ascii="Verdana" w:hAnsi="Verdana" w:cs="Verdana"/>
                <w:color w:val="EE0000"/>
                <w:sz w:val="16"/>
                <w:szCs w:val="16"/>
                <w:lang w:val="en-GB"/>
              </w:rPr>
              <w:t xml:space="preserve">Due to </w:t>
            </w:r>
            <w:r w:rsidRPr="00775A20">
              <w:rPr>
                <w:rFonts w:ascii="Verdana" w:hAnsi="Verdana" w:cs="Verdana"/>
                <w:color w:val="EE0000"/>
                <w:sz w:val="16"/>
                <w:szCs w:val="16"/>
                <w:lang w:val="en-GB"/>
              </w:rPr>
              <w:t xml:space="preserve">low </w:t>
            </w:r>
            <w:r>
              <w:rPr>
                <w:rFonts w:ascii="Verdana" w:hAnsi="Verdana" w:cs="Verdana"/>
                <w:color w:val="EE0000"/>
                <w:sz w:val="16"/>
                <w:szCs w:val="16"/>
                <w:lang w:val="en-GB"/>
              </w:rPr>
              <w:t xml:space="preserve">business </w:t>
            </w:r>
            <w:r w:rsidRPr="00775A20">
              <w:rPr>
                <w:rFonts w:ascii="Verdana" w:hAnsi="Verdana" w:cs="Verdana"/>
                <w:color w:val="EE0000"/>
                <w:sz w:val="16"/>
                <w:szCs w:val="16"/>
                <w:lang w:val="en-GB"/>
              </w:rPr>
              <w:t>scale</w:t>
            </w:r>
            <w:r>
              <w:rPr>
                <w:rFonts w:ascii="Verdana" w:hAnsi="Verdana" w:cs="Verdana"/>
                <w:color w:val="EE0000"/>
                <w:sz w:val="16"/>
                <w:szCs w:val="16"/>
                <w:lang w:val="en-GB"/>
              </w:rPr>
              <w:t xml:space="preserve"> using the </w:t>
            </w:r>
            <w:proofErr w:type="spellStart"/>
            <w:r>
              <w:rPr>
                <w:rFonts w:ascii="Verdana" w:hAnsi="Verdana" w:cs="Verdana"/>
                <w:color w:val="EE0000"/>
                <w:sz w:val="16"/>
                <w:szCs w:val="16"/>
                <w:lang w:val="en-GB"/>
              </w:rPr>
              <w:t>CoBM</w:t>
            </w:r>
            <w:proofErr w:type="spellEnd"/>
            <w:r>
              <w:rPr>
                <w:rFonts w:ascii="Verdana" w:hAnsi="Verdana" w:cs="Verdana"/>
                <w:color w:val="EE0000"/>
                <w:sz w:val="16"/>
                <w:szCs w:val="16"/>
                <w:lang w:val="en-GB"/>
              </w:rPr>
              <w:t xml:space="preserve"> is the cheapest solution. </w:t>
            </w:r>
          </w:p>
        </w:tc>
        <w:tc>
          <w:tcPr>
            <w:tcW w:w="1843" w:type="dxa"/>
            <w:tcBorders>
              <w:top w:val="none" w:sz="6" w:space="0" w:color="auto"/>
              <w:left w:val="none" w:sz="6" w:space="0" w:color="auto"/>
              <w:bottom w:val="none" w:sz="6" w:space="0" w:color="auto"/>
              <w:right w:val="none" w:sz="6" w:space="0" w:color="auto"/>
            </w:tcBorders>
          </w:tcPr>
          <w:p w14:paraId="4FF096E2" w14:textId="3F1AF1B5" w:rsidR="00097D77" w:rsidRDefault="00D263DD">
            <w:pPr>
              <w:pStyle w:val="Default"/>
              <w:rPr>
                <w:rFonts w:ascii="Verdana" w:hAnsi="Verdana" w:cs="Verdana"/>
                <w:color w:val="EE0000"/>
                <w:sz w:val="16"/>
                <w:szCs w:val="16"/>
                <w:lang w:val="en-GB"/>
              </w:rPr>
            </w:pPr>
            <w:r>
              <w:rPr>
                <w:rFonts w:ascii="Verdana" w:hAnsi="Verdana" w:cs="Verdana"/>
                <w:color w:val="EE0000"/>
                <w:sz w:val="16"/>
                <w:szCs w:val="16"/>
                <w:lang w:val="en-GB"/>
              </w:rPr>
              <w:t xml:space="preserve">No business case for using </w:t>
            </w:r>
            <w:proofErr w:type="spellStart"/>
            <w:r>
              <w:rPr>
                <w:rFonts w:ascii="Verdana" w:hAnsi="Verdana" w:cs="Verdana"/>
                <w:color w:val="EE0000"/>
                <w:sz w:val="16"/>
                <w:szCs w:val="16"/>
                <w:lang w:val="en-GB"/>
              </w:rPr>
              <w:t>CeBM</w:t>
            </w:r>
            <w:proofErr w:type="spellEnd"/>
          </w:p>
          <w:p w14:paraId="633F7F9C" w14:textId="74111F74" w:rsidR="007F2480" w:rsidRPr="00775A20" w:rsidRDefault="00775A20">
            <w:pPr>
              <w:pStyle w:val="Default"/>
              <w:rPr>
                <w:rFonts w:ascii="Verdana" w:hAnsi="Verdana" w:cs="Verdana"/>
                <w:color w:val="EE0000"/>
                <w:sz w:val="16"/>
                <w:szCs w:val="16"/>
                <w:lang w:val="en-GB"/>
              </w:rPr>
            </w:pPr>
            <w:r w:rsidRPr="00775A20">
              <w:rPr>
                <w:rFonts w:ascii="Verdana" w:hAnsi="Verdana" w:cs="Verdana"/>
                <w:color w:val="EE0000"/>
                <w:sz w:val="16"/>
                <w:szCs w:val="16"/>
                <w:lang w:val="en-GB"/>
              </w:rPr>
              <w:t>N</w:t>
            </w:r>
          </w:p>
          <w:p w14:paraId="64AA9732" w14:textId="77777777" w:rsidR="00775A20" w:rsidRPr="00775A20" w:rsidRDefault="00775A20">
            <w:pPr>
              <w:pStyle w:val="Default"/>
              <w:rPr>
                <w:rFonts w:ascii="Verdana" w:hAnsi="Verdana" w:cs="Verdana"/>
                <w:color w:val="EE0000"/>
                <w:sz w:val="16"/>
                <w:szCs w:val="16"/>
                <w:lang w:val="en-GB"/>
              </w:rPr>
            </w:pPr>
            <w:r w:rsidRPr="00775A20">
              <w:rPr>
                <w:rFonts w:ascii="Verdana" w:hAnsi="Verdana" w:cs="Verdana"/>
                <w:color w:val="EE0000"/>
                <w:sz w:val="16"/>
                <w:szCs w:val="16"/>
                <w:lang w:val="en-GB"/>
              </w:rPr>
              <w:t>N</w:t>
            </w:r>
          </w:p>
          <w:p w14:paraId="6F20F989" w14:textId="77777777" w:rsidR="00775A20" w:rsidRDefault="00775A20">
            <w:pPr>
              <w:pStyle w:val="Default"/>
              <w:rPr>
                <w:rFonts w:ascii="Verdana" w:hAnsi="Verdana" w:cs="Verdana"/>
                <w:color w:val="EE0000"/>
                <w:sz w:val="16"/>
                <w:szCs w:val="16"/>
                <w:lang w:val="en-GB"/>
              </w:rPr>
            </w:pPr>
            <w:r w:rsidRPr="00775A20">
              <w:rPr>
                <w:rFonts w:ascii="Verdana" w:hAnsi="Verdana" w:cs="Verdana"/>
                <w:color w:val="EE0000"/>
                <w:sz w:val="16"/>
                <w:szCs w:val="16"/>
                <w:lang w:val="en-GB"/>
              </w:rPr>
              <w:t>N</w:t>
            </w:r>
          </w:p>
          <w:p w14:paraId="5DFF82F3" w14:textId="5F11DFD3" w:rsidR="0070055E" w:rsidRPr="00920C6E" w:rsidRDefault="0070055E">
            <w:pPr>
              <w:pStyle w:val="Default"/>
              <w:rPr>
                <w:rFonts w:ascii="Verdana" w:hAnsi="Verdana" w:cs="Verdana"/>
                <w:sz w:val="16"/>
                <w:szCs w:val="16"/>
                <w:lang w:val="en-GB"/>
              </w:rPr>
            </w:pPr>
            <w:r>
              <w:rPr>
                <w:rFonts w:ascii="Verdana" w:hAnsi="Verdana" w:cs="Verdana"/>
                <w:color w:val="EE0000"/>
                <w:sz w:val="16"/>
                <w:szCs w:val="16"/>
                <w:lang w:val="en-GB"/>
              </w:rPr>
              <w:t>N</w:t>
            </w:r>
          </w:p>
        </w:tc>
        <w:tc>
          <w:tcPr>
            <w:tcW w:w="2126" w:type="dxa"/>
            <w:tcBorders>
              <w:top w:val="none" w:sz="6" w:space="0" w:color="auto"/>
              <w:left w:val="none" w:sz="6" w:space="0" w:color="auto"/>
              <w:bottom w:val="none" w:sz="6" w:space="0" w:color="auto"/>
              <w:right w:val="none" w:sz="6" w:space="0" w:color="auto"/>
            </w:tcBorders>
          </w:tcPr>
          <w:p w14:paraId="6B5BA37C" w14:textId="77777777" w:rsidR="006E736A" w:rsidRDefault="00D263DD">
            <w:pPr>
              <w:pStyle w:val="Default"/>
              <w:rPr>
                <w:rFonts w:ascii="Verdana" w:hAnsi="Verdana" w:cs="Verdana"/>
                <w:color w:val="EE0000"/>
                <w:sz w:val="16"/>
                <w:szCs w:val="16"/>
                <w:lang w:val="en-GB"/>
              </w:rPr>
            </w:pPr>
            <w:r>
              <w:rPr>
                <w:rFonts w:ascii="Verdana" w:hAnsi="Verdana" w:cs="Verdana"/>
                <w:color w:val="EE0000"/>
                <w:sz w:val="16"/>
                <w:szCs w:val="16"/>
                <w:lang w:val="en-GB"/>
              </w:rPr>
              <w:t xml:space="preserve">No DvP instructions in foreign currency </w:t>
            </w:r>
          </w:p>
          <w:p w14:paraId="2E4F951F" w14:textId="4FA89091" w:rsidR="00D263DD" w:rsidRPr="00097D77" w:rsidRDefault="006E736A">
            <w:pPr>
              <w:pStyle w:val="Default"/>
              <w:rPr>
                <w:rFonts w:ascii="Verdana" w:hAnsi="Verdana" w:cs="Verdana"/>
                <w:color w:val="EE0000"/>
                <w:sz w:val="16"/>
                <w:szCs w:val="16"/>
                <w:lang w:val="en-GB"/>
              </w:rPr>
            </w:pPr>
            <w:r>
              <w:rPr>
                <w:rFonts w:ascii="Verdana" w:hAnsi="Verdana" w:cs="Verdana"/>
                <w:color w:val="EE0000"/>
                <w:sz w:val="16"/>
                <w:szCs w:val="16"/>
                <w:lang w:val="en-GB"/>
              </w:rPr>
              <w:t>O</w:t>
            </w:r>
            <w:r w:rsidR="00D263DD">
              <w:rPr>
                <w:rFonts w:ascii="Verdana" w:hAnsi="Verdana" w:cs="Verdana"/>
                <w:color w:val="EE0000"/>
                <w:sz w:val="16"/>
                <w:szCs w:val="16"/>
                <w:lang w:val="en-GB"/>
              </w:rPr>
              <w:t xml:space="preserve">nly </w:t>
            </w:r>
            <w:proofErr w:type="spellStart"/>
            <w:r w:rsidR="00D263DD">
              <w:rPr>
                <w:rFonts w:ascii="Verdana" w:hAnsi="Verdana" w:cs="Verdana"/>
                <w:color w:val="EE0000"/>
                <w:sz w:val="16"/>
                <w:szCs w:val="16"/>
                <w:lang w:val="en-GB"/>
              </w:rPr>
              <w:t>FoP</w:t>
            </w:r>
            <w:proofErr w:type="spellEnd"/>
            <w:r w:rsidR="00D263DD">
              <w:rPr>
                <w:rFonts w:ascii="Verdana" w:hAnsi="Verdana" w:cs="Verdana"/>
                <w:color w:val="EE0000"/>
                <w:sz w:val="16"/>
                <w:szCs w:val="16"/>
                <w:lang w:val="en-GB"/>
              </w:rPr>
              <w:t xml:space="preserve"> transfers are done </w:t>
            </w:r>
            <w:r>
              <w:rPr>
                <w:rFonts w:ascii="Verdana" w:hAnsi="Verdana" w:cs="Verdana"/>
                <w:color w:val="EE0000"/>
                <w:sz w:val="16"/>
                <w:szCs w:val="16"/>
                <w:lang w:val="en-GB"/>
              </w:rPr>
              <w:t xml:space="preserve">to settle </w:t>
            </w:r>
            <w:r w:rsidR="00D263DD">
              <w:rPr>
                <w:rFonts w:ascii="Verdana" w:hAnsi="Verdana" w:cs="Verdana"/>
                <w:color w:val="EE0000"/>
                <w:sz w:val="16"/>
                <w:szCs w:val="16"/>
                <w:lang w:val="en-GB"/>
              </w:rPr>
              <w:t>foreign securities</w:t>
            </w:r>
            <w:r>
              <w:rPr>
                <w:rFonts w:ascii="Verdana" w:hAnsi="Verdana" w:cs="Verdana"/>
                <w:color w:val="EE0000"/>
                <w:sz w:val="16"/>
                <w:szCs w:val="16"/>
                <w:lang w:val="en-GB"/>
              </w:rPr>
              <w:t xml:space="preserve"> in Issuer CSDs</w:t>
            </w:r>
          </w:p>
        </w:tc>
        <w:tc>
          <w:tcPr>
            <w:tcW w:w="2268" w:type="dxa"/>
            <w:tcBorders>
              <w:top w:val="none" w:sz="6" w:space="0" w:color="auto"/>
              <w:left w:val="none" w:sz="6" w:space="0" w:color="auto"/>
              <w:bottom w:val="none" w:sz="6" w:space="0" w:color="auto"/>
            </w:tcBorders>
          </w:tcPr>
          <w:p w14:paraId="4769FBA4" w14:textId="77777777" w:rsidR="00D263DD" w:rsidRDefault="00D263DD" w:rsidP="00097D77">
            <w:pPr>
              <w:pStyle w:val="Default"/>
              <w:rPr>
                <w:rFonts w:ascii="Verdana" w:hAnsi="Verdana" w:cs="Verdana"/>
                <w:color w:val="EE0000"/>
                <w:sz w:val="16"/>
                <w:szCs w:val="16"/>
                <w:lang w:val="en-GB"/>
              </w:rPr>
            </w:pPr>
          </w:p>
          <w:p w14:paraId="1926C08A" w14:textId="77777777" w:rsidR="00D263DD" w:rsidRDefault="00D263DD" w:rsidP="00097D77">
            <w:pPr>
              <w:pStyle w:val="Default"/>
              <w:rPr>
                <w:rFonts w:ascii="Verdana" w:hAnsi="Verdana" w:cs="Verdana"/>
                <w:color w:val="EE0000"/>
                <w:sz w:val="16"/>
                <w:szCs w:val="16"/>
                <w:lang w:val="en-GB"/>
              </w:rPr>
            </w:pPr>
          </w:p>
          <w:p w14:paraId="03CA1BB4" w14:textId="7D9CEEA1" w:rsidR="00097D77" w:rsidRPr="0070055E" w:rsidRDefault="0070055E" w:rsidP="00097D77">
            <w:pPr>
              <w:pStyle w:val="Default"/>
              <w:rPr>
                <w:rFonts w:ascii="Verdana" w:hAnsi="Verdana" w:cs="Verdana"/>
                <w:color w:val="EE0000"/>
                <w:sz w:val="16"/>
                <w:szCs w:val="16"/>
                <w:lang w:val="en-GB"/>
              </w:rPr>
            </w:pPr>
            <w:r w:rsidRPr="0070055E">
              <w:rPr>
                <w:rFonts w:ascii="Verdana" w:hAnsi="Verdana" w:cs="Verdana"/>
                <w:color w:val="EE0000"/>
                <w:sz w:val="16"/>
                <w:szCs w:val="16"/>
                <w:lang w:val="en-GB"/>
              </w:rPr>
              <w:t xml:space="preserve">0,2 </w:t>
            </w:r>
            <w:proofErr w:type="spellStart"/>
            <w:r w:rsidRPr="0070055E">
              <w:rPr>
                <w:rFonts w:ascii="Verdana" w:hAnsi="Verdana" w:cs="Verdana"/>
                <w:color w:val="EE0000"/>
                <w:sz w:val="16"/>
                <w:szCs w:val="16"/>
                <w:lang w:val="en-GB"/>
              </w:rPr>
              <w:t>mEUR</w:t>
            </w:r>
            <w:proofErr w:type="spellEnd"/>
          </w:p>
          <w:p w14:paraId="7B95895A" w14:textId="6466AC1E" w:rsidR="00097D77" w:rsidRPr="0070055E" w:rsidRDefault="00097D77" w:rsidP="00097D77">
            <w:pPr>
              <w:pStyle w:val="Default"/>
              <w:rPr>
                <w:rFonts w:ascii="Verdana" w:hAnsi="Verdana" w:cs="Verdana"/>
                <w:color w:val="EE0000"/>
                <w:sz w:val="16"/>
                <w:szCs w:val="16"/>
                <w:lang w:val="en-GB"/>
              </w:rPr>
            </w:pPr>
            <w:r w:rsidRPr="0070055E">
              <w:rPr>
                <w:rFonts w:ascii="Verdana" w:hAnsi="Verdana" w:cs="Verdana"/>
                <w:color w:val="EE0000"/>
                <w:sz w:val="16"/>
                <w:szCs w:val="16"/>
                <w:lang w:val="en-GB"/>
              </w:rPr>
              <w:t>1</w:t>
            </w:r>
            <w:r w:rsidR="0070055E" w:rsidRPr="0070055E">
              <w:rPr>
                <w:rFonts w:ascii="Verdana" w:hAnsi="Verdana" w:cs="Verdana"/>
                <w:color w:val="EE0000"/>
                <w:sz w:val="16"/>
                <w:szCs w:val="16"/>
                <w:lang w:val="en-GB"/>
              </w:rPr>
              <w:t xml:space="preserve">2 </w:t>
            </w:r>
            <w:proofErr w:type="spellStart"/>
            <w:r w:rsidR="0070055E" w:rsidRPr="0070055E">
              <w:rPr>
                <w:rFonts w:ascii="Verdana" w:hAnsi="Verdana" w:cs="Verdana"/>
                <w:color w:val="EE0000"/>
                <w:sz w:val="16"/>
                <w:szCs w:val="16"/>
                <w:lang w:val="en-GB"/>
              </w:rPr>
              <w:t>mEUR</w:t>
            </w:r>
            <w:proofErr w:type="spellEnd"/>
          </w:p>
          <w:p w14:paraId="53B5648C" w14:textId="77777777" w:rsidR="007F2480" w:rsidRDefault="0070055E" w:rsidP="00097D77">
            <w:pPr>
              <w:pStyle w:val="Default"/>
              <w:rPr>
                <w:rFonts w:ascii="Verdana" w:hAnsi="Verdana" w:cs="Verdana"/>
                <w:color w:val="EE0000"/>
                <w:sz w:val="16"/>
                <w:szCs w:val="16"/>
                <w:lang w:val="en-GB"/>
              </w:rPr>
            </w:pPr>
            <w:r>
              <w:rPr>
                <w:rFonts w:ascii="Verdana" w:hAnsi="Verdana" w:cs="Verdana"/>
                <w:color w:val="EE0000"/>
                <w:sz w:val="16"/>
                <w:szCs w:val="16"/>
                <w:lang w:val="en-GB"/>
              </w:rPr>
              <w:t xml:space="preserve">26 </w:t>
            </w:r>
            <w:proofErr w:type="spellStart"/>
            <w:r w:rsidRPr="0070055E">
              <w:rPr>
                <w:rFonts w:ascii="Verdana" w:hAnsi="Verdana" w:cs="Verdana"/>
                <w:color w:val="EE0000"/>
                <w:sz w:val="16"/>
                <w:szCs w:val="16"/>
                <w:lang w:val="en-GB"/>
              </w:rPr>
              <w:t>mEUR</w:t>
            </w:r>
            <w:proofErr w:type="spellEnd"/>
          </w:p>
          <w:p w14:paraId="3E188EDE" w14:textId="084F8362" w:rsidR="0070055E" w:rsidRPr="00920C6E" w:rsidRDefault="0070055E" w:rsidP="00097D77">
            <w:pPr>
              <w:pStyle w:val="Default"/>
              <w:rPr>
                <w:rFonts w:ascii="Verdana" w:hAnsi="Verdana" w:cs="Verdana"/>
                <w:sz w:val="16"/>
                <w:szCs w:val="16"/>
                <w:lang w:val="en-GB"/>
              </w:rPr>
            </w:pPr>
            <w:r>
              <w:rPr>
                <w:rFonts w:ascii="Verdana" w:hAnsi="Verdana" w:cs="Verdana"/>
                <w:color w:val="EE0000"/>
                <w:sz w:val="16"/>
                <w:szCs w:val="16"/>
                <w:lang w:val="en-GB"/>
              </w:rPr>
              <w:t xml:space="preserve">17 </w:t>
            </w:r>
            <w:proofErr w:type="spellStart"/>
            <w:r>
              <w:rPr>
                <w:rFonts w:ascii="Verdana" w:hAnsi="Verdana" w:cs="Verdana"/>
                <w:color w:val="EE0000"/>
                <w:sz w:val="16"/>
                <w:szCs w:val="16"/>
                <w:lang w:val="en-GB"/>
              </w:rPr>
              <w:t>mEUR</w:t>
            </w:r>
            <w:proofErr w:type="spellEnd"/>
          </w:p>
        </w:tc>
      </w:tr>
      <w:tr w:rsidR="006E736A" w14:paraId="121D249B" w14:textId="77777777" w:rsidTr="00C66349">
        <w:trPr>
          <w:trHeight w:val="2466"/>
        </w:trPr>
        <w:tc>
          <w:tcPr>
            <w:tcW w:w="1223" w:type="dxa"/>
            <w:tcBorders>
              <w:top w:val="none" w:sz="6" w:space="0" w:color="auto"/>
              <w:bottom w:val="none" w:sz="6" w:space="0" w:color="auto"/>
              <w:right w:val="none" w:sz="6" w:space="0" w:color="auto"/>
            </w:tcBorders>
            <w:shd w:val="clear" w:color="auto" w:fill="F2F2F2" w:themeFill="background1" w:themeFillShade="F2"/>
          </w:tcPr>
          <w:p w14:paraId="0B65D0AF" w14:textId="77777777" w:rsidR="00920C6E" w:rsidRDefault="00920C6E">
            <w:pPr>
              <w:pStyle w:val="Default"/>
              <w:rPr>
                <w:sz w:val="16"/>
                <w:szCs w:val="16"/>
              </w:rPr>
            </w:pPr>
            <w:r>
              <w:rPr>
                <w:rFonts w:ascii="Verdana" w:hAnsi="Verdana" w:cs="Verdana"/>
                <w:sz w:val="16"/>
                <w:szCs w:val="16"/>
              </w:rPr>
              <w:t xml:space="preserve">[blank </w:t>
            </w:r>
            <w:proofErr w:type="spellStart"/>
            <w:r>
              <w:rPr>
                <w:rFonts w:ascii="Verdana" w:hAnsi="Verdana" w:cs="Verdana"/>
                <w:sz w:val="16"/>
                <w:szCs w:val="16"/>
              </w:rPr>
              <w:t>space</w:t>
            </w:r>
            <w:proofErr w:type="spellEnd"/>
            <w:r>
              <w:rPr>
                <w:rFonts w:ascii="Verdana" w:hAnsi="Verdana" w:cs="Verdana"/>
                <w:sz w:val="16"/>
                <w:szCs w:val="16"/>
              </w:rPr>
              <w:t xml:space="preserve">] </w:t>
            </w:r>
          </w:p>
        </w:tc>
        <w:tc>
          <w:tcPr>
            <w:tcW w:w="1223"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5C0387C3" w14:textId="77777777" w:rsidR="00920C6E" w:rsidRDefault="00920C6E">
            <w:pPr>
              <w:pStyle w:val="Default"/>
              <w:rPr>
                <w:sz w:val="16"/>
                <w:szCs w:val="16"/>
              </w:rPr>
            </w:pPr>
            <w:r>
              <w:rPr>
                <w:rFonts w:ascii="Verdana" w:hAnsi="Verdana" w:cs="Verdana"/>
                <w:sz w:val="16"/>
                <w:szCs w:val="16"/>
              </w:rPr>
              <w:t xml:space="preserve">[blank </w:t>
            </w:r>
            <w:proofErr w:type="spellStart"/>
            <w:r>
              <w:rPr>
                <w:rFonts w:ascii="Verdana" w:hAnsi="Verdana" w:cs="Verdana"/>
                <w:sz w:val="16"/>
                <w:szCs w:val="16"/>
              </w:rPr>
              <w:t>space</w:t>
            </w:r>
            <w:proofErr w:type="spellEnd"/>
            <w:r>
              <w:rPr>
                <w:rFonts w:ascii="Verdana" w:hAnsi="Verdana" w:cs="Verdana"/>
                <w:sz w:val="16"/>
                <w:szCs w:val="16"/>
              </w:rPr>
              <w:t xml:space="preserve">] </w:t>
            </w:r>
          </w:p>
        </w:tc>
        <w:tc>
          <w:tcPr>
            <w:tcW w:w="2482"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0E7C3AE7" w14:textId="57143FA6" w:rsidR="00920C6E" w:rsidRPr="00920C6E" w:rsidRDefault="00920C6E">
            <w:pPr>
              <w:pStyle w:val="Default"/>
              <w:rPr>
                <w:sz w:val="16"/>
                <w:szCs w:val="16"/>
                <w:lang w:val="en-GB"/>
              </w:rPr>
            </w:pPr>
            <w:r w:rsidRPr="00920C6E">
              <w:rPr>
                <w:rFonts w:ascii="Verdana" w:hAnsi="Verdana" w:cs="Verdana"/>
                <w:sz w:val="16"/>
                <w:szCs w:val="16"/>
                <w:lang w:val="en-GB"/>
              </w:rPr>
              <w:t>[</w:t>
            </w:r>
            <w:proofErr w:type="spellStart"/>
            <w:r w:rsidRPr="00920C6E">
              <w:rPr>
                <w:rFonts w:ascii="Verdana" w:hAnsi="Verdana" w:cs="Verdana"/>
                <w:sz w:val="16"/>
                <w:szCs w:val="16"/>
                <w:lang w:val="en-GB"/>
              </w:rPr>
              <w:t>CeBM</w:t>
            </w:r>
            <w:proofErr w:type="spellEnd"/>
            <w:r w:rsidRPr="00920C6E">
              <w:rPr>
                <w:rFonts w:ascii="Verdana" w:hAnsi="Verdana" w:cs="Verdana"/>
                <w:sz w:val="16"/>
                <w:szCs w:val="16"/>
                <w:lang w:val="en-GB"/>
              </w:rPr>
              <w:t xml:space="preserve"> / </w:t>
            </w:r>
            <w:proofErr w:type="spellStart"/>
            <w:r w:rsidRPr="00920C6E">
              <w:rPr>
                <w:rFonts w:ascii="Verdana" w:hAnsi="Verdana" w:cs="Verdana"/>
                <w:sz w:val="16"/>
                <w:szCs w:val="16"/>
                <w:lang w:val="en-GB"/>
              </w:rPr>
              <w:t>CoBM</w:t>
            </w:r>
            <w:proofErr w:type="spellEnd"/>
            <w:r w:rsidRPr="00920C6E">
              <w:rPr>
                <w:rFonts w:ascii="Verdana" w:hAnsi="Verdana" w:cs="Verdana"/>
                <w:sz w:val="16"/>
                <w:szCs w:val="16"/>
                <w:lang w:val="en-GB"/>
              </w:rPr>
              <w:t xml:space="preserve">] If </w:t>
            </w:r>
            <w:proofErr w:type="spellStart"/>
            <w:r w:rsidRPr="00920C6E">
              <w:rPr>
                <w:rFonts w:ascii="Verdana" w:hAnsi="Verdana" w:cs="Verdana"/>
                <w:sz w:val="16"/>
                <w:szCs w:val="16"/>
                <w:lang w:val="en-GB"/>
              </w:rPr>
              <w:t>CoBM</w:t>
            </w:r>
            <w:proofErr w:type="spellEnd"/>
            <w:r w:rsidRPr="00920C6E">
              <w:rPr>
                <w:rFonts w:ascii="Verdana" w:hAnsi="Verdana" w:cs="Verdana"/>
                <w:sz w:val="16"/>
                <w:szCs w:val="16"/>
                <w:lang w:val="en-GB"/>
              </w:rPr>
              <w:t>, please indicate whether the cash settlement is pro-</w:t>
            </w:r>
            <w:proofErr w:type="spellStart"/>
            <w:r w:rsidRPr="00920C6E">
              <w:rPr>
                <w:rFonts w:ascii="Verdana" w:hAnsi="Verdana" w:cs="Verdana"/>
                <w:sz w:val="16"/>
                <w:szCs w:val="16"/>
                <w:lang w:val="en-GB"/>
              </w:rPr>
              <w:t>vided</w:t>
            </w:r>
            <w:proofErr w:type="spellEnd"/>
            <w:r w:rsidRPr="00920C6E">
              <w:rPr>
                <w:rFonts w:ascii="Verdana" w:hAnsi="Verdana" w:cs="Verdana"/>
                <w:sz w:val="16"/>
                <w:szCs w:val="16"/>
                <w:lang w:val="en-GB"/>
              </w:rPr>
              <w:t xml:space="preserve"> through your own account, via a designated credit </w:t>
            </w:r>
            <w:proofErr w:type="spellStart"/>
            <w:r w:rsidRPr="00920C6E">
              <w:rPr>
                <w:rFonts w:ascii="Verdana" w:hAnsi="Verdana" w:cs="Verdana"/>
                <w:sz w:val="16"/>
                <w:szCs w:val="16"/>
                <w:lang w:val="en-GB"/>
              </w:rPr>
              <w:t>insti-tution</w:t>
            </w:r>
            <w:proofErr w:type="spellEnd"/>
            <w:r w:rsidRPr="00920C6E">
              <w:rPr>
                <w:rFonts w:ascii="Verdana" w:hAnsi="Verdana" w:cs="Verdana"/>
                <w:sz w:val="16"/>
                <w:szCs w:val="16"/>
                <w:lang w:val="en-GB"/>
              </w:rPr>
              <w:t xml:space="preserve">(s) acting as settlement agent(s) (please </w:t>
            </w:r>
            <w:r w:rsidRPr="00775A20">
              <w:rPr>
                <w:rFonts w:ascii="Verdana" w:hAnsi="Verdana" w:cs="Verdana"/>
                <w:b/>
                <w:bCs/>
                <w:sz w:val="16"/>
                <w:szCs w:val="16"/>
                <w:lang w:val="en-GB"/>
              </w:rPr>
              <w:t>specify the name(s))</w:t>
            </w:r>
            <w:r w:rsidRPr="00920C6E">
              <w:rPr>
                <w:rFonts w:ascii="Verdana" w:hAnsi="Verdana" w:cs="Verdana"/>
                <w:sz w:val="16"/>
                <w:szCs w:val="16"/>
                <w:lang w:val="en-GB"/>
              </w:rPr>
              <w:t xml:space="preserve"> or via a bank-</w:t>
            </w:r>
            <w:proofErr w:type="spellStart"/>
            <w:r w:rsidRPr="00920C6E">
              <w:rPr>
                <w:rFonts w:ascii="Verdana" w:hAnsi="Verdana" w:cs="Verdana"/>
                <w:sz w:val="16"/>
                <w:szCs w:val="16"/>
                <w:lang w:val="en-GB"/>
              </w:rPr>
              <w:t>ing</w:t>
            </w:r>
            <w:proofErr w:type="spellEnd"/>
            <w:r w:rsidRPr="00920C6E">
              <w:rPr>
                <w:rFonts w:ascii="Verdana" w:hAnsi="Verdana" w:cs="Verdana"/>
                <w:sz w:val="16"/>
                <w:szCs w:val="16"/>
                <w:lang w:val="en-GB"/>
              </w:rPr>
              <w:t xml:space="preserve"> CSD(s) acting as settlement agent(s) (please specify the name(s)) </w:t>
            </w:r>
          </w:p>
        </w:tc>
        <w:tc>
          <w:tcPr>
            <w:tcW w:w="2126"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4EEC7B72" w14:textId="77777777" w:rsidR="00920C6E" w:rsidRPr="00920C6E" w:rsidRDefault="00920C6E">
            <w:pPr>
              <w:pStyle w:val="Default"/>
              <w:rPr>
                <w:sz w:val="16"/>
                <w:szCs w:val="16"/>
                <w:lang w:val="en-GB"/>
              </w:rPr>
            </w:pPr>
            <w:r w:rsidRPr="00920C6E">
              <w:rPr>
                <w:rFonts w:ascii="Verdana" w:hAnsi="Verdana" w:cs="Verdana"/>
                <w:sz w:val="16"/>
                <w:szCs w:val="16"/>
                <w:lang w:val="en-GB"/>
              </w:rPr>
              <w:t xml:space="preserve">Please pro-vide details and indicate the reasons. </w:t>
            </w:r>
          </w:p>
        </w:tc>
        <w:tc>
          <w:tcPr>
            <w:tcW w:w="1843"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6148A1D9" w14:textId="77777777" w:rsidR="00920C6E" w:rsidRPr="00920C6E" w:rsidRDefault="00920C6E">
            <w:pPr>
              <w:pStyle w:val="Default"/>
              <w:rPr>
                <w:sz w:val="16"/>
                <w:szCs w:val="16"/>
                <w:lang w:val="en-GB"/>
              </w:rPr>
            </w:pPr>
            <w:r w:rsidRPr="00920C6E">
              <w:rPr>
                <w:rFonts w:ascii="Verdana" w:hAnsi="Verdana" w:cs="Verdana"/>
                <w:sz w:val="16"/>
                <w:szCs w:val="16"/>
                <w:lang w:val="en-GB"/>
              </w:rPr>
              <w:t xml:space="preserve">[Y/N] If </w:t>
            </w:r>
            <w:proofErr w:type="gramStart"/>
            <w:r w:rsidRPr="00920C6E">
              <w:rPr>
                <w:rFonts w:ascii="Verdana" w:hAnsi="Verdana" w:cs="Verdana"/>
                <w:sz w:val="16"/>
                <w:szCs w:val="16"/>
                <w:lang w:val="en-GB"/>
              </w:rPr>
              <w:t>Yes</w:t>
            </w:r>
            <w:proofErr w:type="gramEnd"/>
            <w:r w:rsidRPr="00920C6E">
              <w:rPr>
                <w:rFonts w:ascii="Verdana" w:hAnsi="Verdana" w:cs="Verdana"/>
                <w:sz w:val="16"/>
                <w:szCs w:val="16"/>
                <w:lang w:val="en-GB"/>
              </w:rPr>
              <w:t xml:space="preserve">, please pro-vide details and indicate the reasons. </w:t>
            </w:r>
          </w:p>
        </w:tc>
        <w:tc>
          <w:tcPr>
            <w:tcW w:w="2126"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3A75EF14" w14:textId="77777777" w:rsidR="00920C6E" w:rsidRDefault="00920C6E">
            <w:pPr>
              <w:pStyle w:val="Default"/>
              <w:rPr>
                <w:sz w:val="16"/>
                <w:szCs w:val="16"/>
              </w:rPr>
            </w:pPr>
            <w:r>
              <w:rPr>
                <w:rFonts w:ascii="Verdana" w:hAnsi="Verdana" w:cs="Verdana"/>
                <w:sz w:val="16"/>
                <w:szCs w:val="16"/>
              </w:rPr>
              <w:t xml:space="preserve">[blank </w:t>
            </w:r>
            <w:proofErr w:type="spellStart"/>
            <w:r>
              <w:rPr>
                <w:rFonts w:ascii="Verdana" w:hAnsi="Verdana" w:cs="Verdana"/>
                <w:sz w:val="16"/>
                <w:szCs w:val="16"/>
              </w:rPr>
              <w:t>space</w:t>
            </w:r>
            <w:proofErr w:type="spellEnd"/>
            <w:r>
              <w:rPr>
                <w:rFonts w:ascii="Verdana" w:hAnsi="Verdana" w:cs="Verdana"/>
                <w:sz w:val="16"/>
                <w:szCs w:val="16"/>
              </w:rPr>
              <w:t xml:space="preserve">] </w:t>
            </w:r>
          </w:p>
        </w:tc>
        <w:tc>
          <w:tcPr>
            <w:tcW w:w="2268" w:type="dxa"/>
            <w:tcBorders>
              <w:top w:val="none" w:sz="6" w:space="0" w:color="auto"/>
              <w:left w:val="none" w:sz="6" w:space="0" w:color="auto"/>
              <w:bottom w:val="none" w:sz="6" w:space="0" w:color="auto"/>
            </w:tcBorders>
            <w:shd w:val="clear" w:color="auto" w:fill="F2F2F2" w:themeFill="background1" w:themeFillShade="F2"/>
          </w:tcPr>
          <w:p w14:paraId="5961A5A9" w14:textId="77777777" w:rsidR="00920C6E" w:rsidRDefault="00920C6E">
            <w:pPr>
              <w:pStyle w:val="Default"/>
              <w:rPr>
                <w:sz w:val="16"/>
                <w:szCs w:val="16"/>
              </w:rPr>
            </w:pPr>
            <w:r>
              <w:rPr>
                <w:rFonts w:ascii="Verdana" w:hAnsi="Verdana" w:cs="Verdana"/>
                <w:sz w:val="16"/>
                <w:szCs w:val="16"/>
              </w:rPr>
              <w:t xml:space="preserve">[blank </w:t>
            </w:r>
            <w:proofErr w:type="spellStart"/>
            <w:r>
              <w:rPr>
                <w:rFonts w:ascii="Verdana" w:hAnsi="Verdana" w:cs="Verdana"/>
                <w:sz w:val="16"/>
                <w:szCs w:val="16"/>
              </w:rPr>
              <w:t>space</w:t>
            </w:r>
            <w:proofErr w:type="spellEnd"/>
            <w:r>
              <w:rPr>
                <w:rFonts w:ascii="Verdana" w:hAnsi="Verdana" w:cs="Verdana"/>
                <w:sz w:val="16"/>
                <w:szCs w:val="16"/>
              </w:rPr>
              <w:t xml:space="preserve">] </w:t>
            </w:r>
          </w:p>
        </w:tc>
      </w:tr>
      <w:tr w:rsidR="00775A20" w:rsidRPr="00B14B71" w14:paraId="2ED85B8F" w14:textId="77777777" w:rsidTr="006E736A">
        <w:trPr>
          <w:trHeight w:val="882"/>
        </w:trPr>
        <w:tc>
          <w:tcPr>
            <w:tcW w:w="1223" w:type="dxa"/>
            <w:tcBorders>
              <w:top w:val="none" w:sz="6" w:space="0" w:color="auto"/>
              <w:bottom w:val="none" w:sz="6" w:space="0" w:color="auto"/>
              <w:right w:val="none" w:sz="6" w:space="0" w:color="auto"/>
            </w:tcBorders>
          </w:tcPr>
          <w:p w14:paraId="5872FC9B" w14:textId="77777777" w:rsidR="00775A20" w:rsidRDefault="00775A20">
            <w:pPr>
              <w:pStyle w:val="Default"/>
              <w:rPr>
                <w:rFonts w:ascii="Verdana" w:hAnsi="Verdana" w:cs="Verdana"/>
                <w:sz w:val="16"/>
                <w:szCs w:val="16"/>
              </w:rPr>
            </w:pPr>
          </w:p>
        </w:tc>
        <w:tc>
          <w:tcPr>
            <w:tcW w:w="1223" w:type="dxa"/>
            <w:tcBorders>
              <w:top w:val="none" w:sz="6" w:space="0" w:color="auto"/>
              <w:left w:val="none" w:sz="6" w:space="0" w:color="auto"/>
              <w:bottom w:val="none" w:sz="6" w:space="0" w:color="auto"/>
              <w:right w:val="none" w:sz="6" w:space="0" w:color="auto"/>
            </w:tcBorders>
          </w:tcPr>
          <w:p w14:paraId="4E51A7B7" w14:textId="77777777" w:rsidR="00775A20" w:rsidRDefault="00775A20">
            <w:pPr>
              <w:pStyle w:val="Default"/>
              <w:rPr>
                <w:rFonts w:ascii="Verdana" w:hAnsi="Verdana" w:cs="Verdana"/>
                <w:sz w:val="16"/>
                <w:szCs w:val="16"/>
              </w:rPr>
            </w:pPr>
          </w:p>
        </w:tc>
        <w:tc>
          <w:tcPr>
            <w:tcW w:w="2482" w:type="dxa"/>
            <w:tcBorders>
              <w:top w:val="none" w:sz="6" w:space="0" w:color="auto"/>
              <w:left w:val="none" w:sz="6" w:space="0" w:color="auto"/>
              <w:bottom w:val="none" w:sz="6" w:space="0" w:color="auto"/>
              <w:right w:val="none" w:sz="6" w:space="0" w:color="auto"/>
            </w:tcBorders>
          </w:tcPr>
          <w:p w14:paraId="2D9BF66B" w14:textId="159E86BC" w:rsidR="00775A20" w:rsidRPr="00775A20" w:rsidRDefault="00775A20">
            <w:pPr>
              <w:pStyle w:val="Default"/>
              <w:rPr>
                <w:rFonts w:ascii="Verdana" w:hAnsi="Verdana" w:cs="Verdana"/>
                <w:sz w:val="16"/>
                <w:szCs w:val="16"/>
                <w:lang w:val="en-GB"/>
              </w:rPr>
            </w:pPr>
            <w:r w:rsidRPr="00775A20">
              <w:rPr>
                <w:rFonts w:ascii="Verdana" w:hAnsi="Verdana" w:cs="Verdana"/>
                <w:color w:val="EE0000"/>
                <w:sz w:val="16"/>
                <w:szCs w:val="16"/>
                <w:lang w:val="en-GB"/>
              </w:rPr>
              <w:t xml:space="preserve">via a designated credit institution acting as </w:t>
            </w:r>
            <w:r w:rsidR="00097D77">
              <w:rPr>
                <w:rFonts w:ascii="Verdana" w:hAnsi="Verdana" w:cs="Verdana"/>
                <w:color w:val="EE0000"/>
                <w:sz w:val="16"/>
                <w:szCs w:val="16"/>
                <w:lang w:val="en-GB"/>
              </w:rPr>
              <w:t xml:space="preserve">a </w:t>
            </w:r>
            <w:r w:rsidRPr="00775A20">
              <w:rPr>
                <w:rFonts w:ascii="Verdana" w:hAnsi="Verdana" w:cs="Verdana"/>
                <w:color w:val="EE0000"/>
                <w:sz w:val="16"/>
                <w:szCs w:val="16"/>
                <w:lang w:val="en-GB"/>
              </w:rPr>
              <w:t>settlement agent</w:t>
            </w:r>
            <w:r>
              <w:rPr>
                <w:rFonts w:ascii="Verdana" w:hAnsi="Verdana" w:cs="Verdana"/>
                <w:color w:val="EE0000"/>
                <w:sz w:val="16"/>
                <w:szCs w:val="16"/>
                <w:lang w:val="en-GB"/>
              </w:rPr>
              <w:t xml:space="preserve">: </w:t>
            </w:r>
            <w:r w:rsidRPr="006E736A">
              <w:rPr>
                <w:rFonts w:ascii="Verdana" w:hAnsi="Verdana" w:cs="Verdana"/>
                <w:color w:val="EE0000"/>
                <w:sz w:val="16"/>
                <w:szCs w:val="16"/>
                <w:lang w:val="en-GB"/>
              </w:rPr>
              <w:t>ING Bank Śląski S.A.</w:t>
            </w:r>
            <w:r w:rsidR="006E736A">
              <w:rPr>
                <w:rFonts w:ascii="Verdana" w:hAnsi="Verdana" w:cs="Verdana"/>
                <w:color w:val="EE0000"/>
                <w:sz w:val="16"/>
                <w:szCs w:val="16"/>
                <w:lang w:val="en-GB"/>
              </w:rPr>
              <w:t xml:space="preserve"> in Poland</w:t>
            </w:r>
          </w:p>
        </w:tc>
        <w:tc>
          <w:tcPr>
            <w:tcW w:w="2126" w:type="dxa"/>
            <w:tcBorders>
              <w:top w:val="none" w:sz="6" w:space="0" w:color="auto"/>
              <w:left w:val="none" w:sz="6" w:space="0" w:color="auto"/>
              <w:bottom w:val="none" w:sz="6" w:space="0" w:color="auto"/>
              <w:right w:val="none" w:sz="6" w:space="0" w:color="auto"/>
            </w:tcBorders>
          </w:tcPr>
          <w:p w14:paraId="53491FAA" w14:textId="77777777" w:rsidR="00775A20" w:rsidRPr="00920C6E" w:rsidRDefault="00775A20">
            <w:pPr>
              <w:pStyle w:val="Default"/>
              <w:rPr>
                <w:rFonts w:ascii="Verdana" w:hAnsi="Verdana" w:cs="Verdana"/>
                <w:sz w:val="16"/>
                <w:szCs w:val="16"/>
                <w:lang w:val="en-GB"/>
              </w:rPr>
            </w:pPr>
          </w:p>
        </w:tc>
        <w:tc>
          <w:tcPr>
            <w:tcW w:w="1843" w:type="dxa"/>
            <w:tcBorders>
              <w:top w:val="none" w:sz="6" w:space="0" w:color="auto"/>
              <w:left w:val="none" w:sz="6" w:space="0" w:color="auto"/>
              <w:bottom w:val="none" w:sz="6" w:space="0" w:color="auto"/>
              <w:right w:val="none" w:sz="6" w:space="0" w:color="auto"/>
            </w:tcBorders>
          </w:tcPr>
          <w:p w14:paraId="3750B0D3" w14:textId="77777777" w:rsidR="00775A20" w:rsidRPr="00920C6E" w:rsidRDefault="00775A20">
            <w:pPr>
              <w:pStyle w:val="Default"/>
              <w:rPr>
                <w:rFonts w:ascii="Verdana" w:hAnsi="Verdana" w:cs="Verdana"/>
                <w:sz w:val="16"/>
                <w:szCs w:val="16"/>
                <w:lang w:val="en-GB"/>
              </w:rPr>
            </w:pPr>
          </w:p>
        </w:tc>
        <w:tc>
          <w:tcPr>
            <w:tcW w:w="2126" w:type="dxa"/>
            <w:tcBorders>
              <w:top w:val="none" w:sz="6" w:space="0" w:color="auto"/>
              <w:left w:val="none" w:sz="6" w:space="0" w:color="auto"/>
              <w:bottom w:val="none" w:sz="6" w:space="0" w:color="auto"/>
              <w:right w:val="none" w:sz="6" w:space="0" w:color="auto"/>
            </w:tcBorders>
          </w:tcPr>
          <w:p w14:paraId="2D9C4FFE" w14:textId="77777777" w:rsidR="00775A20" w:rsidRPr="00775A20" w:rsidRDefault="00775A20">
            <w:pPr>
              <w:pStyle w:val="Default"/>
              <w:rPr>
                <w:rFonts w:ascii="Verdana" w:hAnsi="Verdana" w:cs="Verdana"/>
                <w:sz w:val="16"/>
                <w:szCs w:val="16"/>
                <w:lang w:val="en-GB"/>
              </w:rPr>
            </w:pPr>
          </w:p>
        </w:tc>
        <w:tc>
          <w:tcPr>
            <w:tcW w:w="2268" w:type="dxa"/>
            <w:tcBorders>
              <w:top w:val="none" w:sz="6" w:space="0" w:color="auto"/>
              <w:left w:val="none" w:sz="6" w:space="0" w:color="auto"/>
              <w:bottom w:val="none" w:sz="6" w:space="0" w:color="auto"/>
            </w:tcBorders>
          </w:tcPr>
          <w:p w14:paraId="60B585BC" w14:textId="77777777" w:rsidR="00775A20" w:rsidRPr="00775A20" w:rsidRDefault="00775A20">
            <w:pPr>
              <w:pStyle w:val="Default"/>
              <w:rPr>
                <w:rFonts w:ascii="Verdana" w:hAnsi="Verdana" w:cs="Verdana"/>
                <w:sz w:val="16"/>
                <w:szCs w:val="16"/>
                <w:lang w:val="en-GB"/>
              </w:rPr>
            </w:pPr>
          </w:p>
        </w:tc>
      </w:tr>
    </w:tbl>
    <w:p w14:paraId="02E36A2A" w14:textId="7DA38454" w:rsidR="00920C6E" w:rsidRDefault="00D263DD">
      <w:pPr>
        <w:rPr>
          <w:rFonts w:cstheme="minorHAnsi"/>
          <w:lang w:val="en-GB"/>
        </w:rPr>
      </w:pPr>
      <w:r>
        <w:rPr>
          <w:rFonts w:ascii="Verdana" w:hAnsi="Verdana" w:cs="Verdana"/>
          <w:color w:val="EE0000"/>
          <w:sz w:val="16"/>
          <w:szCs w:val="16"/>
          <w:lang w:val="en-GB"/>
        </w:rPr>
        <w:t>A</w:t>
      </w:r>
      <w:r w:rsidRPr="00097D77">
        <w:rPr>
          <w:rFonts w:ascii="Verdana" w:hAnsi="Verdana" w:cs="Verdana"/>
          <w:color w:val="EE0000"/>
          <w:sz w:val="16"/>
          <w:szCs w:val="16"/>
          <w:lang w:val="en-GB"/>
        </w:rPr>
        <w:t xml:space="preserve"> few years </w:t>
      </w:r>
      <w:proofErr w:type="gramStart"/>
      <w:r w:rsidRPr="00097D77">
        <w:rPr>
          <w:rFonts w:ascii="Verdana" w:hAnsi="Verdana" w:cs="Verdana"/>
          <w:color w:val="EE0000"/>
          <w:sz w:val="16"/>
          <w:szCs w:val="16"/>
          <w:lang w:val="en-GB"/>
        </w:rPr>
        <w:t>ago</w:t>
      </w:r>
      <w:proofErr w:type="gramEnd"/>
      <w:r w:rsidRPr="00097D77">
        <w:rPr>
          <w:rFonts w:ascii="Verdana" w:hAnsi="Verdana" w:cs="Verdana"/>
          <w:color w:val="EE0000"/>
          <w:sz w:val="16"/>
          <w:szCs w:val="16"/>
          <w:lang w:val="en-GB"/>
        </w:rPr>
        <w:t xml:space="preserve"> </w:t>
      </w:r>
      <w:r>
        <w:rPr>
          <w:rFonts w:ascii="Verdana" w:hAnsi="Verdana" w:cs="Verdana"/>
          <w:color w:val="EE0000"/>
          <w:sz w:val="16"/>
          <w:szCs w:val="16"/>
          <w:lang w:val="en-GB"/>
        </w:rPr>
        <w:t>KDPW</w:t>
      </w:r>
      <w:r w:rsidRPr="00097D77">
        <w:rPr>
          <w:rFonts w:ascii="Verdana" w:hAnsi="Verdana" w:cs="Verdana"/>
          <w:color w:val="EE0000"/>
          <w:sz w:val="16"/>
          <w:szCs w:val="16"/>
          <w:lang w:val="en-GB"/>
        </w:rPr>
        <w:t xml:space="preserve"> had a project </w:t>
      </w:r>
      <w:r>
        <w:rPr>
          <w:rFonts w:ascii="Verdana" w:hAnsi="Verdana" w:cs="Verdana"/>
          <w:color w:val="EE0000"/>
          <w:sz w:val="16"/>
          <w:szCs w:val="16"/>
          <w:lang w:val="en-GB"/>
        </w:rPr>
        <w:t xml:space="preserve">to settle instructions </w:t>
      </w:r>
      <w:r w:rsidRPr="00097D77">
        <w:rPr>
          <w:rFonts w:ascii="Verdana" w:hAnsi="Verdana" w:cs="Verdana"/>
          <w:color w:val="EE0000"/>
          <w:sz w:val="16"/>
          <w:szCs w:val="16"/>
          <w:lang w:val="en-GB"/>
        </w:rPr>
        <w:t xml:space="preserve">in </w:t>
      </w:r>
      <w:proofErr w:type="gramStart"/>
      <w:r w:rsidRPr="00097D77">
        <w:rPr>
          <w:rFonts w:ascii="Verdana" w:hAnsi="Verdana" w:cs="Verdana"/>
          <w:color w:val="EE0000"/>
          <w:sz w:val="16"/>
          <w:szCs w:val="16"/>
          <w:lang w:val="en-GB"/>
        </w:rPr>
        <w:t>USD</w:t>
      </w:r>
      <w:proofErr w:type="gramEnd"/>
      <w:r w:rsidRPr="00097D77">
        <w:rPr>
          <w:rFonts w:ascii="Verdana" w:hAnsi="Verdana" w:cs="Verdana"/>
          <w:color w:val="EE0000"/>
          <w:sz w:val="16"/>
          <w:szCs w:val="16"/>
          <w:lang w:val="en-GB"/>
        </w:rPr>
        <w:t xml:space="preserve"> but </w:t>
      </w:r>
      <w:r>
        <w:rPr>
          <w:rFonts w:ascii="Verdana" w:hAnsi="Verdana" w:cs="Verdana"/>
          <w:color w:val="EE0000"/>
          <w:sz w:val="16"/>
          <w:szCs w:val="16"/>
          <w:lang w:val="en-GB"/>
        </w:rPr>
        <w:t>it</w:t>
      </w:r>
      <w:r w:rsidRPr="00097D77">
        <w:rPr>
          <w:rFonts w:ascii="Verdana" w:hAnsi="Verdana" w:cs="Verdana"/>
          <w:color w:val="EE0000"/>
          <w:sz w:val="16"/>
          <w:szCs w:val="16"/>
          <w:lang w:val="en-GB"/>
        </w:rPr>
        <w:t xml:space="preserve"> did not implement it due to the low</w:t>
      </w:r>
      <w:r>
        <w:rPr>
          <w:rFonts w:ascii="Verdana" w:hAnsi="Verdana" w:cs="Verdana"/>
          <w:color w:val="EE0000"/>
          <w:sz w:val="16"/>
          <w:szCs w:val="16"/>
          <w:lang w:val="en-GB"/>
        </w:rPr>
        <w:t xml:space="preserve"> threshold for </w:t>
      </w:r>
      <w:proofErr w:type="spellStart"/>
      <w:r>
        <w:rPr>
          <w:rFonts w:ascii="Verdana" w:hAnsi="Verdana" w:cs="Verdana"/>
          <w:color w:val="EE0000"/>
          <w:sz w:val="16"/>
          <w:szCs w:val="16"/>
          <w:lang w:val="en-GB"/>
        </w:rPr>
        <w:t>CoBM</w:t>
      </w:r>
      <w:proofErr w:type="spellEnd"/>
    </w:p>
    <w:p w14:paraId="7D899A59" w14:textId="77777777" w:rsidR="00C66349" w:rsidRDefault="00C66349">
      <w:pPr>
        <w:rPr>
          <w:rFonts w:ascii="Verdana" w:hAnsi="Verdana" w:cs="Verdana"/>
          <w:sz w:val="16"/>
          <w:szCs w:val="16"/>
          <w:lang w:val="en-GB"/>
        </w:rPr>
      </w:pPr>
    </w:p>
    <w:p w14:paraId="3FA3B9E7" w14:textId="187C8F13" w:rsidR="00920C6E" w:rsidRDefault="00920C6E">
      <w:pPr>
        <w:rPr>
          <w:rFonts w:ascii="Verdana" w:hAnsi="Verdana" w:cs="Verdana"/>
          <w:sz w:val="16"/>
          <w:szCs w:val="16"/>
          <w:lang w:val="en-GB"/>
        </w:rPr>
      </w:pPr>
      <w:r w:rsidRPr="00920C6E">
        <w:rPr>
          <w:rFonts w:ascii="Verdana" w:hAnsi="Verdana" w:cs="Verdana"/>
          <w:sz w:val="16"/>
          <w:szCs w:val="16"/>
          <w:lang w:val="en-GB"/>
        </w:rPr>
        <w:t xml:space="preserve">Panel B - Envisaged future settlement in foreign currencies </w:t>
      </w:r>
      <w:proofErr w:type="gramStart"/>
      <w:r w:rsidRPr="00920C6E">
        <w:rPr>
          <w:rFonts w:ascii="Verdana" w:hAnsi="Verdana" w:cs="Verdana"/>
          <w:sz w:val="16"/>
          <w:szCs w:val="16"/>
          <w:lang w:val="en-GB"/>
        </w:rPr>
        <w:t>Foreign</w:t>
      </w:r>
      <w:proofErr w:type="gramEnd"/>
      <w:r w:rsidRPr="00920C6E">
        <w:rPr>
          <w:rFonts w:ascii="Verdana" w:hAnsi="Verdana" w:cs="Verdana"/>
          <w:sz w:val="16"/>
          <w:szCs w:val="16"/>
          <w:lang w:val="en-GB"/>
        </w:rPr>
        <w:t xml:space="preserve"> currency</w:t>
      </w:r>
    </w:p>
    <w:tbl>
      <w:tblPr>
        <w:tblW w:w="1513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3"/>
        <w:gridCol w:w="1720"/>
        <w:gridCol w:w="2835"/>
        <w:gridCol w:w="2127"/>
        <w:gridCol w:w="2551"/>
        <w:gridCol w:w="2268"/>
        <w:gridCol w:w="2410"/>
      </w:tblGrid>
      <w:tr w:rsidR="00130978" w:rsidRPr="00B14B71" w14:paraId="2C1433AC" w14:textId="77777777" w:rsidTr="00130978">
        <w:trPr>
          <w:trHeight w:val="2317"/>
        </w:trPr>
        <w:tc>
          <w:tcPr>
            <w:tcW w:w="1223" w:type="dxa"/>
            <w:tcBorders>
              <w:top w:val="none" w:sz="6" w:space="0" w:color="auto"/>
              <w:bottom w:val="none" w:sz="6" w:space="0" w:color="auto"/>
              <w:right w:val="none" w:sz="6" w:space="0" w:color="auto"/>
            </w:tcBorders>
            <w:shd w:val="clear" w:color="auto" w:fill="F2F2F2" w:themeFill="background1" w:themeFillShade="F2"/>
          </w:tcPr>
          <w:p w14:paraId="3370516E" w14:textId="77777777" w:rsidR="00920C6E" w:rsidRPr="00920C6E" w:rsidRDefault="00920C6E" w:rsidP="00920C6E">
            <w:pPr>
              <w:autoSpaceDE w:val="0"/>
              <w:autoSpaceDN w:val="0"/>
              <w:adjustRightInd w:val="0"/>
              <w:spacing w:after="0" w:line="240" w:lineRule="auto"/>
              <w:rPr>
                <w:rFonts w:ascii="Verdana" w:hAnsi="Verdana" w:cs="Verdana"/>
                <w:color w:val="000000"/>
                <w:kern w:val="0"/>
                <w:sz w:val="16"/>
                <w:szCs w:val="16"/>
              </w:rPr>
            </w:pPr>
            <w:proofErr w:type="spellStart"/>
            <w:r w:rsidRPr="00920C6E">
              <w:rPr>
                <w:rFonts w:ascii="Verdana" w:hAnsi="Verdana" w:cs="Verdana"/>
                <w:color w:val="000000"/>
                <w:kern w:val="0"/>
                <w:sz w:val="16"/>
                <w:szCs w:val="16"/>
              </w:rPr>
              <w:lastRenderedPageBreak/>
              <w:t>Foreign</w:t>
            </w:r>
            <w:proofErr w:type="spellEnd"/>
            <w:r w:rsidRPr="00920C6E">
              <w:rPr>
                <w:rFonts w:ascii="Verdana" w:hAnsi="Verdana" w:cs="Verdana"/>
                <w:color w:val="000000"/>
                <w:kern w:val="0"/>
                <w:sz w:val="16"/>
                <w:szCs w:val="16"/>
              </w:rPr>
              <w:t xml:space="preserve"> </w:t>
            </w:r>
            <w:proofErr w:type="spellStart"/>
            <w:r w:rsidRPr="00920C6E">
              <w:rPr>
                <w:rFonts w:ascii="Verdana" w:hAnsi="Verdana" w:cs="Verdana"/>
                <w:color w:val="000000"/>
                <w:kern w:val="0"/>
                <w:sz w:val="16"/>
                <w:szCs w:val="16"/>
              </w:rPr>
              <w:t>cur-rency</w:t>
            </w:r>
            <w:proofErr w:type="spellEnd"/>
            <w:r w:rsidRPr="00920C6E">
              <w:rPr>
                <w:rFonts w:ascii="Verdana" w:hAnsi="Verdana" w:cs="Verdana"/>
                <w:color w:val="000000"/>
                <w:kern w:val="0"/>
                <w:sz w:val="16"/>
                <w:szCs w:val="16"/>
              </w:rPr>
              <w:t xml:space="preserve"> </w:t>
            </w:r>
          </w:p>
        </w:tc>
        <w:tc>
          <w:tcPr>
            <w:tcW w:w="1720"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76F0B682" w14:textId="77777777" w:rsidR="00920C6E" w:rsidRPr="00920C6E" w:rsidRDefault="00920C6E" w:rsidP="00920C6E">
            <w:pPr>
              <w:autoSpaceDE w:val="0"/>
              <w:autoSpaceDN w:val="0"/>
              <w:adjustRightInd w:val="0"/>
              <w:spacing w:after="0" w:line="240" w:lineRule="auto"/>
              <w:rPr>
                <w:rFonts w:ascii="Verdana" w:hAnsi="Verdana" w:cs="Verdana"/>
                <w:color w:val="000000"/>
                <w:kern w:val="0"/>
                <w:sz w:val="16"/>
                <w:szCs w:val="16"/>
                <w:lang w:val="en-GB"/>
              </w:rPr>
            </w:pPr>
            <w:r w:rsidRPr="00920C6E">
              <w:rPr>
                <w:rFonts w:ascii="Verdana" w:hAnsi="Verdana" w:cs="Verdana"/>
                <w:color w:val="000000"/>
                <w:kern w:val="0"/>
                <w:sz w:val="16"/>
                <w:szCs w:val="16"/>
                <w:lang w:val="en-GB"/>
              </w:rPr>
              <w:t>Do you have any plans to increase the offer of set-</w:t>
            </w:r>
            <w:proofErr w:type="spellStart"/>
            <w:r w:rsidRPr="00920C6E">
              <w:rPr>
                <w:rFonts w:ascii="Verdana" w:hAnsi="Verdana" w:cs="Verdana"/>
                <w:color w:val="000000"/>
                <w:kern w:val="0"/>
                <w:sz w:val="16"/>
                <w:szCs w:val="16"/>
                <w:lang w:val="en-GB"/>
              </w:rPr>
              <w:t>tlement</w:t>
            </w:r>
            <w:proofErr w:type="spellEnd"/>
            <w:r w:rsidRPr="00920C6E">
              <w:rPr>
                <w:rFonts w:ascii="Verdana" w:hAnsi="Verdana" w:cs="Verdana"/>
                <w:color w:val="000000"/>
                <w:kern w:val="0"/>
                <w:sz w:val="16"/>
                <w:szCs w:val="16"/>
                <w:lang w:val="en-GB"/>
              </w:rPr>
              <w:t xml:space="preserve"> in this cur-</w:t>
            </w:r>
            <w:proofErr w:type="spellStart"/>
            <w:r w:rsidRPr="00920C6E">
              <w:rPr>
                <w:rFonts w:ascii="Verdana" w:hAnsi="Verdana" w:cs="Verdana"/>
                <w:color w:val="000000"/>
                <w:kern w:val="0"/>
                <w:sz w:val="16"/>
                <w:szCs w:val="16"/>
                <w:lang w:val="en-GB"/>
              </w:rPr>
              <w:t>rency</w:t>
            </w:r>
            <w:proofErr w:type="spellEnd"/>
            <w:r w:rsidRPr="00920C6E">
              <w:rPr>
                <w:rFonts w:ascii="Verdana" w:hAnsi="Verdana" w:cs="Verdana"/>
                <w:color w:val="000000"/>
                <w:kern w:val="0"/>
                <w:sz w:val="16"/>
                <w:szCs w:val="16"/>
                <w:lang w:val="en-GB"/>
              </w:rPr>
              <w:t xml:space="preserve"> to your </w:t>
            </w:r>
            <w:proofErr w:type="spellStart"/>
            <w:r w:rsidRPr="00920C6E">
              <w:rPr>
                <w:rFonts w:ascii="Verdana" w:hAnsi="Verdana" w:cs="Verdana"/>
                <w:color w:val="000000"/>
                <w:kern w:val="0"/>
                <w:sz w:val="16"/>
                <w:szCs w:val="16"/>
                <w:lang w:val="en-GB"/>
              </w:rPr>
              <w:t>partici</w:t>
            </w:r>
            <w:proofErr w:type="spellEnd"/>
            <w:r w:rsidRPr="00920C6E">
              <w:rPr>
                <w:rFonts w:ascii="Verdana" w:hAnsi="Verdana" w:cs="Verdana"/>
                <w:color w:val="000000"/>
                <w:kern w:val="0"/>
                <w:sz w:val="16"/>
                <w:szCs w:val="16"/>
                <w:lang w:val="en-GB"/>
              </w:rPr>
              <w:t xml:space="preserve">-pants in the next 3-5 years? </w:t>
            </w:r>
          </w:p>
        </w:tc>
        <w:tc>
          <w:tcPr>
            <w:tcW w:w="2835"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0B96995C" w14:textId="77777777" w:rsidR="00920C6E" w:rsidRPr="00920C6E" w:rsidRDefault="00920C6E" w:rsidP="00920C6E">
            <w:pPr>
              <w:autoSpaceDE w:val="0"/>
              <w:autoSpaceDN w:val="0"/>
              <w:adjustRightInd w:val="0"/>
              <w:spacing w:after="0" w:line="240" w:lineRule="auto"/>
              <w:rPr>
                <w:rFonts w:ascii="Verdana" w:hAnsi="Verdana" w:cs="Verdana"/>
                <w:color w:val="000000"/>
                <w:kern w:val="0"/>
                <w:sz w:val="16"/>
                <w:szCs w:val="16"/>
                <w:lang w:val="en-GB"/>
              </w:rPr>
            </w:pPr>
            <w:r w:rsidRPr="00920C6E">
              <w:rPr>
                <w:rFonts w:ascii="Verdana" w:hAnsi="Verdana" w:cs="Verdana"/>
                <w:color w:val="000000"/>
                <w:kern w:val="0"/>
                <w:sz w:val="16"/>
                <w:szCs w:val="16"/>
                <w:lang w:val="en-GB"/>
              </w:rPr>
              <w:t>Specify whether set-</w:t>
            </w:r>
            <w:proofErr w:type="spellStart"/>
            <w:r w:rsidRPr="00920C6E">
              <w:rPr>
                <w:rFonts w:ascii="Verdana" w:hAnsi="Verdana" w:cs="Verdana"/>
                <w:color w:val="000000"/>
                <w:kern w:val="0"/>
                <w:sz w:val="16"/>
                <w:szCs w:val="16"/>
                <w:lang w:val="en-GB"/>
              </w:rPr>
              <w:t>tlement</w:t>
            </w:r>
            <w:proofErr w:type="spellEnd"/>
            <w:r w:rsidRPr="00920C6E">
              <w:rPr>
                <w:rFonts w:ascii="Verdana" w:hAnsi="Verdana" w:cs="Verdana"/>
                <w:color w:val="000000"/>
                <w:kern w:val="0"/>
                <w:sz w:val="16"/>
                <w:szCs w:val="16"/>
                <w:lang w:val="en-GB"/>
              </w:rPr>
              <w:t xml:space="preserve"> will be provided in central bank money (</w:t>
            </w:r>
            <w:proofErr w:type="spellStart"/>
            <w:r w:rsidRPr="00920C6E">
              <w:rPr>
                <w:rFonts w:ascii="Verdana" w:hAnsi="Verdana" w:cs="Verdana"/>
                <w:color w:val="000000"/>
                <w:kern w:val="0"/>
                <w:sz w:val="16"/>
                <w:szCs w:val="16"/>
                <w:lang w:val="en-GB"/>
              </w:rPr>
              <w:t>CeBM</w:t>
            </w:r>
            <w:proofErr w:type="spellEnd"/>
            <w:r w:rsidRPr="00920C6E">
              <w:rPr>
                <w:rFonts w:ascii="Verdana" w:hAnsi="Verdana" w:cs="Verdana"/>
                <w:color w:val="000000"/>
                <w:kern w:val="0"/>
                <w:sz w:val="16"/>
                <w:szCs w:val="16"/>
                <w:lang w:val="en-GB"/>
              </w:rPr>
              <w:t>) or commercial bank money (</w:t>
            </w:r>
            <w:proofErr w:type="spellStart"/>
            <w:r w:rsidRPr="00920C6E">
              <w:rPr>
                <w:rFonts w:ascii="Verdana" w:hAnsi="Verdana" w:cs="Verdana"/>
                <w:color w:val="000000"/>
                <w:kern w:val="0"/>
                <w:sz w:val="16"/>
                <w:szCs w:val="16"/>
                <w:lang w:val="en-GB"/>
              </w:rPr>
              <w:t>CoBM</w:t>
            </w:r>
            <w:proofErr w:type="spellEnd"/>
            <w:r w:rsidRPr="00920C6E">
              <w:rPr>
                <w:rFonts w:ascii="Verdana" w:hAnsi="Verdana" w:cs="Verdana"/>
                <w:color w:val="000000"/>
                <w:kern w:val="0"/>
                <w:sz w:val="16"/>
                <w:szCs w:val="16"/>
                <w:lang w:val="en-GB"/>
              </w:rPr>
              <w:t>) for this cur-</w:t>
            </w:r>
            <w:proofErr w:type="spellStart"/>
            <w:r w:rsidRPr="00920C6E">
              <w:rPr>
                <w:rFonts w:ascii="Verdana" w:hAnsi="Verdana" w:cs="Verdana"/>
                <w:color w:val="000000"/>
                <w:kern w:val="0"/>
                <w:sz w:val="16"/>
                <w:szCs w:val="16"/>
                <w:lang w:val="en-GB"/>
              </w:rPr>
              <w:t>rency</w:t>
            </w:r>
            <w:proofErr w:type="spellEnd"/>
            <w:r w:rsidRPr="00920C6E">
              <w:rPr>
                <w:rFonts w:ascii="Verdana" w:hAnsi="Verdana" w:cs="Verdana"/>
                <w:color w:val="000000"/>
                <w:kern w:val="0"/>
                <w:sz w:val="16"/>
                <w:szCs w:val="16"/>
                <w:lang w:val="en-GB"/>
              </w:rPr>
              <w:t xml:space="preserve"> </w:t>
            </w:r>
          </w:p>
        </w:tc>
        <w:tc>
          <w:tcPr>
            <w:tcW w:w="2127"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2B8602EA" w14:textId="38A008E1" w:rsidR="00920C6E" w:rsidRPr="00920C6E" w:rsidRDefault="00920C6E" w:rsidP="00920C6E">
            <w:pPr>
              <w:autoSpaceDE w:val="0"/>
              <w:autoSpaceDN w:val="0"/>
              <w:adjustRightInd w:val="0"/>
              <w:spacing w:after="0" w:line="240" w:lineRule="auto"/>
              <w:rPr>
                <w:rFonts w:ascii="Verdana" w:hAnsi="Verdana" w:cs="Verdana"/>
                <w:color w:val="000000"/>
                <w:kern w:val="0"/>
                <w:sz w:val="16"/>
                <w:szCs w:val="16"/>
                <w:lang w:val="en-GB"/>
              </w:rPr>
            </w:pPr>
            <w:r w:rsidRPr="00920C6E">
              <w:rPr>
                <w:rFonts w:ascii="Verdana" w:hAnsi="Verdana" w:cs="Verdana"/>
                <w:color w:val="000000"/>
                <w:kern w:val="0"/>
                <w:sz w:val="16"/>
                <w:szCs w:val="16"/>
                <w:lang w:val="en-GB"/>
              </w:rPr>
              <w:t xml:space="preserve">If settlement will be provided in </w:t>
            </w:r>
            <w:proofErr w:type="spellStart"/>
            <w:r w:rsidRPr="00920C6E">
              <w:rPr>
                <w:rFonts w:ascii="Verdana" w:hAnsi="Verdana" w:cs="Verdana"/>
                <w:color w:val="000000"/>
                <w:kern w:val="0"/>
                <w:sz w:val="16"/>
                <w:szCs w:val="16"/>
                <w:lang w:val="en-GB"/>
              </w:rPr>
              <w:t>CoBM</w:t>
            </w:r>
            <w:proofErr w:type="spellEnd"/>
            <w:r w:rsidRPr="00920C6E">
              <w:rPr>
                <w:rFonts w:ascii="Verdana" w:hAnsi="Verdana" w:cs="Verdana"/>
                <w:color w:val="000000"/>
                <w:kern w:val="0"/>
                <w:sz w:val="16"/>
                <w:szCs w:val="16"/>
                <w:lang w:val="en-GB"/>
              </w:rPr>
              <w:t xml:space="preserve">, would the threshold level set out in the old CSDR framework (i.e. 1% and EUR 2,5 billion) allow you to </w:t>
            </w:r>
            <w:proofErr w:type="gramStart"/>
            <w:r w:rsidRPr="00920C6E">
              <w:rPr>
                <w:rFonts w:ascii="Verdana" w:hAnsi="Verdana" w:cs="Verdana"/>
                <w:color w:val="000000"/>
                <w:kern w:val="0"/>
                <w:sz w:val="16"/>
                <w:szCs w:val="16"/>
                <w:lang w:val="en-GB"/>
              </w:rPr>
              <w:t>ad-dress</w:t>
            </w:r>
            <w:proofErr w:type="gramEnd"/>
            <w:r w:rsidRPr="00920C6E">
              <w:rPr>
                <w:rFonts w:ascii="Verdana" w:hAnsi="Verdana" w:cs="Verdana"/>
                <w:color w:val="000000"/>
                <w:kern w:val="0"/>
                <w:sz w:val="16"/>
                <w:szCs w:val="16"/>
                <w:lang w:val="en-GB"/>
              </w:rPr>
              <w:t xml:space="preserve"> your envisaged needs in commercial bank money for this cur-</w:t>
            </w:r>
            <w:proofErr w:type="spellStart"/>
            <w:r w:rsidRPr="00920C6E">
              <w:rPr>
                <w:rFonts w:ascii="Verdana" w:hAnsi="Verdana" w:cs="Verdana"/>
                <w:color w:val="000000"/>
                <w:kern w:val="0"/>
                <w:sz w:val="16"/>
                <w:szCs w:val="16"/>
                <w:lang w:val="en-GB"/>
              </w:rPr>
              <w:t>rency</w:t>
            </w:r>
            <w:proofErr w:type="spellEnd"/>
            <w:r w:rsidRPr="00920C6E">
              <w:rPr>
                <w:rFonts w:ascii="Verdana" w:hAnsi="Verdana" w:cs="Verdana"/>
                <w:color w:val="000000"/>
                <w:kern w:val="0"/>
                <w:sz w:val="16"/>
                <w:szCs w:val="16"/>
                <w:lang w:val="en-GB"/>
              </w:rPr>
              <w:t xml:space="preserve">? </w:t>
            </w:r>
          </w:p>
        </w:tc>
        <w:tc>
          <w:tcPr>
            <w:tcW w:w="2551"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4F2A9017" w14:textId="783EB324" w:rsidR="00920C6E" w:rsidRPr="00920C6E" w:rsidRDefault="00920C6E" w:rsidP="00920C6E">
            <w:pPr>
              <w:autoSpaceDE w:val="0"/>
              <w:autoSpaceDN w:val="0"/>
              <w:adjustRightInd w:val="0"/>
              <w:spacing w:after="0" w:line="240" w:lineRule="auto"/>
              <w:rPr>
                <w:rFonts w:ascii="Verdana" w:hAnsi="Verdana" w:cs="Verdana"/>
                <w:color w:val="000000"/>
                <w:kern w:val="0"/>
                <w:sz w:val="16"/>
                <w:szCs w:val="16"/>
                <w:lang w:val="en-GB"/>
              </w:rPr>
            </w:pPr>
            <w:r w:rsidRPr="00920C6E">
              <w:rPr>
                <w:rFonts w:ascii="Verdana" w:hAnsi="Verdana" w:cs="Verdana"/>
                <w:color w:val="000000"/>
                <w:kern w:val="0"/>
                <w:sz w:val="16"/>
                <w:szCs w:val="16"/>
                <w:lang w:val="en-GB"/>
              </w:rPr>
              <w:t xml:space="preserve">If settlement will be provided in </w:t>
            </w:r>
            <w:proofErr w:type="spellStart"/>
            <w:r w:rsidRPr="00920C6E">
              <w:rPr>
                <w:rFonts w:ascii="Verdana" w:hAnsi="Verdana" w:cs="Verdana"/>
                <w:color w:val="000000"/>
                <w:kern w:val="0"/>
                <w:sz w:val="16"/>
                <w:szCs w:val="16"/>
                <w:lang w:val="en-GB"/>
              </w:rPr>
              <w:t>CoBM</w:t>
            </w:r>
            <w:proofErr w:type="spellEnd"/>
            <w:r w:rsidRPr="00920C6E">
              <w:rPr>
                <w:rFonts w:ascii="Verdana" w:hAnsi="Verdana" w:cs="Verdana"/>
                <w:color w:val="000000"/>
                <w:kern w:val="0"/>
                <w:sz w:val="16"/>
                <w:szCs w:val="16"/>
                <w:lang w:val="en-GB"/>
              </w:rPr>
              <w:t xml:space="preserve">, will you need a settlement agent (i.e. a designated credit </w:t>
            </w:r>
            <w:proofErr w:type="spellStart"/>
            <w:r w:rsidRPr="00920C6E">
              <w:rPr>
                <w:rFonts w:ascii="Verdana" w:hAnsi="Verdana" w:cs="Verdana"/>
                <w:color w:val="000000"/>
                <w:kern w:val="0"/>
                <w:sz w:val="16"/>
                <w:szCs w:val="16"/>
                <w:lang w:val="en-GB"/>
              </w:rPr>
              <w:t>insti-tution</w:t>
            </w:r>
            <w:proofErr w:type="spellEnd"/>
            <w:r w:rsidRPr="00920C6E">
              <w:rPr>
                <w:rFonts w:ascii="Verdana" w:hAnsi="Verdana" w:cs="Verdana"/>
                <w:color w:val="000000"/>
                <w:kern w:val="0"/>
                <w:sz w:val="16"/>
                <w:szCs w:val="16"/>
                <w:lang w:val="en-GB"/>
              </w:rPr>
              <w:t xml:space="preserve"> or designated CSDs) </w:t>
            </w:r>
            <w:r w:rsidRPr="00920C6E">
              <w:rPr>
                <w:rFonts w:ascii="Verdana" w:hAnsi="Verdana" w:cs="Verdana"/>
                <w:b/>
                <w:bCs/>
                <w:color w:val="000000"/>
                <w:kern w:val="0"/>
                <w:sz w:val="16"/>
                <w:szCs w:val="16"/>
                <w:lang w:val="en-GB"/>
              </w:rPr>
              <w:t>for the sole purpose of obtaining a cash ac</w:t>
            </w:r>
            <w:r w:rsidRPr="00920C6E">
              <w:rPr>
                <w:rFonts w:ascii="Verdana" w:hAnsi="Verdana" w:cs="Verdana"/>
                <w:color w:val="000000"/>
                <w:kern w:val="0"/>
                <w:sz w:val="16"/>
                <w:szCs w:val="16"/>
                <w:lang w:val="en-GB"/>
              </w:rPr>
              <w:t xml:space="preserve">count to al-low you to process </w:t>
            </w:r>
            <w:proofErr w:type="spellStart"/>
            <w:r w:rsidRPr="00920C6E">
              <w:rPr>
                <w:rFonts w:ascii="Verdana" w:hAnsi="Verdana" w:cs="Verdana"/>
                <w:b/>
                <w:bCs/>
                <w:color w:val="000000"/>
                <w:kern w:val="0"/>
                <w:sz w:val="16"/>
                <w:szCs w:val="16"/>
                <w:lang w:val="en-GB"/>
              </w:rPr>
              <w:t>cor-porate</w:t>
            </w:r>
            <w:proofErr w:type="spellEnd"/>
            <w:r w:rsidRPr="00920C6E">
              <w:rPr>
                <w:rFonts w:ascii="Verdana" w:hAnsi="Verdana" w:cs="Verdana"/>
                <w:b/>
                <w:bCs/>
                <w:color w:val="000000"/>
                <w:kern w:val="0"/>
                <w:sz w:val="16"/>
                <w:szCs w:val="16"/>
                <w:lang w:val="en-GB"/>
              </w:rPr>
              <w:t xml:space="preserve"> actions</w:t>
            </w:r>
            <w:r w:rsidRPr="00920C6E">
              <w:rPr>
                <w:rFonts w:ascii="Verdana" w:hAnsi="Verdana" w:cs="Verdana"/>
                <w:color w:val="000000"/>
                <w:kern w:val="0"/>
                <w:sz w:val="16"/>
                <w:szCs w:val="16"/>
                <w:lang w:val="en-GB"/>
              </w:rPr>
              <w:t xml:space="preserve">/events in this foreign currency? </w:t>
            </w:r>
          </w:p>
        </w:tc>
        <w:tc>
          <w:tcPr>
            <w:tcW w:w="2268"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2EE6AE54" w14:textId="27C910C0" w:rsidR="00920C6E" w:rsidRPr="00920C6E" w:rsidRDefault="00920C6E" w:rsidP="00920C6E">
            <w:pPr>
              <w:autoSpaceDE w:val="0"/>
              <w:autoSpaceDN w:val="0"/>
              <w:adjustRightInd w:val="0"/>
              <w:spacing w:after="0" w:line="240" w:lineRule="auto"/>
              <w:rPr>
                <w:rFonts w:ascii="Verdana" w:hAnsi="Verdana" w:cs="Verdana"/>
                <w:color w:val="000000"/>
                <w:kern w:val="0"/>
                <w:sz w:val="16"/>
                <w:szCs w:val="16"/>
                <w:lang w:val="en-GB"/>
              </w:rPr>
            </w:pPr>
            <w:r w:rsidRPr="00920C6E">
              <w:rPr>
                <w:rFonts w:ascii="Verdana" w:hAnsi="Verdana" w:cs="Verdana"/>
                <w:color w:val="000000"/>
                <w:kern w:val="0"/>
                <w:sz w:val="16"/>
                <w:szCs w:val="16"/>
                <w:lang w:val="en-GB"/>
              </w:rPr>
              <w:t xml:space="preserve">If settlement will be provided in </w:t>
            </w:r>
            <w:proofErr w:type="spellStart"/>
            <w:r w:rsidRPr="00920C6E">
              <w:rPr>
                <w:rFonts w:ascii="Verdana" w:hAnsi="Verdana" w:cs="Verdana"/>
                <w:color w:val="000000"/>
                <w:kern w:val="0"/>
                <w:sz w:val="16"/>
                <w:szCs w:val="16"/>
                <w:lang w:val="en-GB"/>
              </w:rPr>
              <w:t>CoBM</w:t>
            </w:r>
            <w:proofErr w:type="spellEnd"/>
            <w:r w:rsidRPr="00920C6E">
              <w:rPr>
                <w:rFonts w:ascii="Verdana" w:hAnsi="Verdana" w:cs="Verdana"/>
                <w:color w:val="000000"/>
                <w:kern w:val="0"/>
                <w:sz w:val="16"/>
                <w:szCs w:val="16"/>
                <w:lang w:val="en-GB"/>
              </w:rPr>
              <w:t xml:space="preserve"> via a designated banking CSD, which banking-type </w:t>
            </w:r>
            <w:proofErr w:type="spellStart"/>
            <w:r w:rsidRPr="00920C6E">
              <w:rPr>
                <w:rFonts w:ascii="Verdana" w:hAnsi="Verdana" w:cs="Verdana"/>
                <w:color w:val="000000"/>
                <w:kern w:val="0"/>
                <w:sz w:val="16"/>
                <w:szCs w:val="16"/>
                <w:lang w:val="en-GB"/>
              </w:rPr>
              <w:t>ancil-lary</w:t>
            </w:r>
            <w:proofErr w:type="spellEnd"/>
            <w:r w:rsidRPr="00920C6E">
              <w:rPr>
                <w:rFonts w:ascii="Verdana" w:hAnsi="Verdana" w:cs="Verdana"/>
                <w:color w:val="000000"/>
                <w:kern w:val="0"/>
                <w:sz w:val="16"/>
                <w:szCs w:val="16"/>
                <w:lang w:val="en-GB"/>
              </w:rPr>
              <w:t xml:space="preserve"> services will you </w:t>
            </w:r>
            <w:proofErr w:type="gramStart"/>
            <w:r w:rsidRPr="00920C6E">
              <w:rPr>
                <w:rFonts w:ascii="Verdana" w:hAnsi="Verdana" w:cs="Verdana"/>
                <w:color w:val="000000"/>
                <w:kern w:val="0"/>
                <w:sz w:val="16"/>
                <w:szCs w:val="16"/>
                <w:lang w:val="en-GB"/>
              </w:rPr>
              <w:t>use</w:t>
            </w:r>
            <w:proofErr w:type="gramEnd"/>
            <w:r w:rsidRPr="00920C6E">
              <w:rPr>
                <w:rFonts w:ascii="Verdana" w:hAnsi="Verdana" w:cs="Verdana"/>
                <w:color w:val="000000"/>
                <w:kern w:val="0"/>
                <w:sz w:val="16"/>
                <w:szCs w:val="16"/>
                <w:lang w:val="en-GB"/>
              </w:rPr>
              <w:t xml:space="preserve"> and which safeguards will you im-</w:t>
            </w:r>
            <w:proofErr w:type="spellStart"/>
            <w:r w:rsidRPr="00920C6E">
              <w:rPr>
                <w:rFonts w:ascii="Verdana" w:hAnsi="Verdana" w:cs="Verdana"/>
                <w:color w:val="000000"/>
                <w:kern w:val="0"/>
                <w:sz w:val="16"/>
                <w:szCs w:val="16"/>
                <w:lang w:val="en-GB"/>
              </w:rPr>
              <w:t>plement</w:t>
            </w:r>
            <w:proofErr w:type="spellEnd"/>
            <w:r w:rsidRPr="00920C6E">
              <w:rPr>
                <w:rFonts w:ascii="Verdana" w:hAnsi="Verdana" w:cs="Verdana"/>
                <w:color w:val="000000"/>
                <w:kern w:val="0"/>
                <w:sz w:val="16"/>
                <w:szCs w:val="16"/>
                <w:lang w:val="en-GB"/>
              </w:rPr>
              <w:t xml:space="preserve"> (in relation to new is-sues/risks that should be taken into </w:t>
            </w:r>
            <w:proofErr w:type="gramStart"/>
            <w:r w:rsidRPr="00920C6E">
              <w:rPr>
                <w:rFonts w:ascii="Verdana" w:hAnsi="Verdana" w:cs="Verdana"/>
                <w:color w:val="000000"/>
                <w:kern w:val="0"/>
                <w:sz w:val="16"/>
                <w:szCs w:val="16"/>
                <w:lang w:val="en-GB"/>
              </w:rPr>
              <w:t>ac-count</w:t>
            </w:r>
            <w:proofErr w:type="gramEnd"/>
            <w:r w:rsidRPr="00920C6E">
              <w:rPr>
                <w:rFonts w:ascii="Verdana" w:hAnsi="Verdana" w:cs="Verdana"/>
                <w:color w:val="000000"/>
                <w:kern w:val="0"/>
                <w:sz w:val="16"/>
                <w:szCs w:val="16"/>
                <w:lang w:val="en-GB"/>
              </w:rPr>
              <w:t xml:space="preserve">)? </w:t>
            </w:r>
          </w:p>
        </w:tc>
        <w:tc>
          <w:tcPr>
            <w:tcW w:w="2410" w:type="dxa"/>
            <w:tcBorders>
              <w:top w:val="none" w:sz="6" w:space="0" w:color="auto"/>
              <w:left w:val="none" w:sz="6" w:space="0" w:color="auto"/>
              <w:bottom w:val="none" w:sz="6" w:space="0" w:color="auto"/>
            </w:tcBorders>
            <w:shd w:val="clear" w:color="auto" w:fill="F2F2F2" w:themeFill="background1" w:themeFillShade="F2"/>
          </w:tcPr>
          <w:p w14:paraId="62BA9C8A" w14:textId="77777777" w:rsidR="00920C6E" w:rsidRPr="00920C6E" w:rsidRDefault="00920C6E" w:rsidP="00920C6E">
            <w:pPr>
              <w:autoSpaceDE w:val="0"/>
              <w:autoSpaceDN w:val="0"/>
              <w:adjustRightInd w:val="0"/>
              <w:spacing w:after="0" w:line="240" w:lineRule="auto"/>
              <w:rPr>
                <w:rFonts w:ascii="Verdana" w:hAnsi="Verdana" w:cs="Verdana"/>
                <w:color w:val="000000"/>
                <w:kern w:val="0"/>
                <w:sz w:val="16"/>
                <w:szCs w:val="16"/>
                <w:lang w:val="en-GB"/>
              </w:rPr>
            </w:pPr>
            <w:r w:rsidRPr="00920C6E">
              <w:rPr>
                <w:rFonts w:ascii="Verdana" w:hAnsi="Verdana" w:cs="Verdana"/>
                <w:color w:val="000000"/>
                <w:kern w:val="0"/>
                <w:sz w:val="16"/>
                <w:szCs w:val="16"/>
                <w:lang w:val="en-GB"/>
              </w:rPr>
              <w:t xml:space="preserve">Do you think that there are </w:t>
            </w:r>
            <w:r w:rsidRPr="00920C6E">
              <w:rPr>
                <w:rFonts w:ascii="Verdana" w:hAnsi="Verdana" w:cs="Verdana"/>
                <w:b/>
                <w:bCs/>
                <w:color w:val="000000"/>
                <w:kern w:val="0"/>
                <w:sz w:val="16"/>
                <w:szCs w:val="16"/>
                <w:lang w:val="en-GB"/>
              </w:rPr>
              <w:t>other limitations beyond the threshold</w:t>
            </w:r>
            <w:r w:rsidRPr="00920C6E">
              <w:rPr>
                <w:rFonts w:ascii="Verdana" w:hAnsi="Verdana" w:cs="Verdana"/>
                <w:color w:val="000000"/>
                <w:kern w:val="0"/>
                <w:sz w:val="16"/>
                <w:szCs w:val="16"/>
                <w:lang w:val="en-GB"/>
              </w:rPr>
              <w:t xml:space="preserve"> level set out in Art. 54(5) of the CSDR, which may hamper the develop-</w:t>
            </w:r>
            <w:proofErr w:type="spellStart"/>
            <w:r w:rsidRPr="00920C6E">
              <w:rPr>
                <w:rFonts w:ascii="Verdana" w:hAnsi="Verdana" w:cs="Verdana"/>
                <w:color w:val="000000"/>
                <w:kern w:val="0"/>
                <w:sz w:val="16"/>
                <w:szCs w:val="16"/>
                <w:lang w:val="en-GB"/>
              </w:rPr>
              <w:t>ment</w:t>
            </w:r>
            <w:proofErr w:type="spellEnd"/>
            <w:r w:rsidRPr="00920C6E">
              <w:rPr>
                <w:rFonts w:ascii="Verdana" w:hAnsi="Verdana" w:cs="Verdana"/>
                <w:color w:val="000000"/>
                <w:kern w:val="0"/>
                <w:sz w:val="16"/>
                <w:szCs w:val="16"/>
                <w:lang w:val="en-GB"/>
              </w:rPr>
              <w:t xml:space="preserve"> of the business re-</w:t>
            </w:r>
            <w:proofErr w:type="spellStart"/>
            <w:r w:rsidRPr="00920C6E">
              <w:rPr>
                <w:rFonts w:ascii="Verdana" w:hAnsi="Verdana" w:cs="Verdana"/>
                <w:color w:val="000000"/>
                <w:kern w:val="0"/>
                <w:sz w:val="16"/>
                <w:szCs w:val="16"/>
                <w:lang w:val="en-GB"/>
              </w:rPr>
              <w:t>lated</w:t>
            </w:r>
            <w:proofErr w:type="spellEnd"/>
            <w:r w:rsidRPr="00920C6E">
              <w:rPr>
                <w:rFonts w:ascii="Verdana" w:hAnsi="Verdana" w:cs="Verdana"/>
                <w:color w:val="000000"/>
                <w:kern w:val="0"/>
                <w:sz w:val="16"/>
                <w:szCs w:val="16"/>
                <w:lang w:val="en-GB"/>
              </w:rPr>
              <w:t xml:space="preserve"> to set-</w:t>
            </w:r>
            <w:proofErr w:type="spellStart"/>
            <w:r w:rsidRPr="00920C6E">
              <w:rPr>
                <w:rFonts w:ascii="Verdana" w:hAnsi="Verdana" w:cs="Verdana"/>
                <w:color w:val="000000"/>
                <w:kern w:val="0"/>
                <w:sz w:val="16"/>
                <w:szCs w:val="16"/>
                <w:lang w:val="en-GB"/>
              </w:rPr>
              <w:t>tlement</w:t>
            </w:r>
            <w:proofErr w:type="spellEnd"/>
            <w:r w:rsidRPr="00920C6E">
              <w:rPr>
                <w:rFonts w:ascii="Verdana" w:hAnsi="Verdana" w:cs="Verdana"/>
                <w:color w:val="000000"/>
                <w:kern w:val="0"/>
                <w:sz w:val="16"/>
                <w:szCs w:val="16"/>
                <w:lang w:val="en-GB"/>
              </w:rPr>
              <w:t xml:space="preserve"> in this foreign currency? </w:t>
            </w:r>
          </w:p>
        </w:tc>
      </w:tr>
      <w:tr w:rsidR="00130978" w:rsidRPr="00B14B71" w14:paraId="7B4C8ECB" w14:textId="77777777" w:rsidTr="00130978">
        <w:trPr>
          <w:trHeight w:val="372"/>
        </w:trPr>
        <w:tc>
          <w:tcPr>
            <w:tcW w:w="1223" w:type="dxa"/>
            <w:tcBorders>
              <w:top w:val="none" w:sz="6" w:space="0" w:color="auto"/>
              <w:bottom w:val="none" w:sz="6" w:space="0" w:color="auto"/>
              <w:right w:val="none" w:sz="6" w:space="0" w:color="auto"/>
            </w:tcBorders>
            <w:shd w:val="clear" w:color="auto" w:fill="F2F2F2" w:themeFill="background1" w:themeFillShade="F2"/>
          </w:tcPr>
          <w:p w14:paraId="1E0F29A6" w14:textId="77777777" w:rsidR="00920C6E" w:rsidRPr="00920C6E" w:rsidRDefault="00920C6E" w:rsidP="00920C6E">
            <w:pPr>
              <w:autoSpaceDE w:val="0"/>
              <w:autoSpaceDN w:val="0"/>
              <w:adjustRightInd w:val="0"/>
              <w:spacing w:after="0" w:line="240" w:lineRule="auto"/>
              <w:rPr>
                <w:rFonts w:ascii="Verdana" w:hAnsi="Verdana" w:cs="Verdana"/>
                <w:color w:val="000000"/>
                <w:kern w:val="0"/>
                <w:sz w:val="16"/>
                <w:szCs w:val="16"/>
                <w:lang w:val="en-GB"/>
              </w:rPr>
            </w:pPr>
            <w:r w:rsidRPr="00920C6E">
              <w:rPr>
                <w:rFonts w:ascii="Verdana" w:hAnsi="Verdana" w:cs="Verdana"/>
                <w:color w:val="000000"/>
                <w:kern w:val="0"/>
                <w:sz w:val="16"/>
                <w:szCs w:val="16"/>
                <w:lang w:val="en-GB"/>
              </w:rPr>
              <w:t>(one row per cur-</w:t>
            </w:r>
            <w:proofErr w:type="spellStart"/>
            <w:r w:rsidRPr="00920C6E">
              <w:rPr>
                <w:rFonts w:ascii="Verdana" w:hAnsi="Verdana" w:cs="Verdana"/>
                <w:color w:val="000000"/>
                <w:kern w:val="0"/>
                <w:sz w:val="16"/>
                <w:szCs w:val="16"/>
                <w:lang w:val="en-GB"/>
              </w:rPr>
              <w:t>rency</w:t>
            </w:r>
            <w:proofErr w:type="spellEnd"/>
            <w:r w:rsidRPr="00920C6E">
              <w:rPr>
                <w:rFonts w:ascii="Verdana" w:hAnsi="Verdana" w:cs="Verdana"/>
                <w:color w:val="000000"/>
                <w:kern w:val="0"/>
                <w:sz w:val="16"/>
                <w:szCs w:val="16"/>
                <w:lang w:val="en-GB"/>
              </w:rPr>
              <w:t xml:space="preserve">) </w:t>
            </w:r>
          </w:p>
        </w:tc>
        <w:tc>
          <w:tcPr>
            <w:tcW w:w="1720"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46BD88D1" w14:textId="77777777" w:rsidR="00920C6E" w:rsidRPr="00920C6E" w:rsidRDefault="00920C6E" w:rsidP="00920C6E">
            <w:pPr>
              <w:autoSpaceDE w:val="0"/>
              <w:autoSpaceDN w:val="0"/>
              <w:adjustRightInd w:val="0"/>
              <w:spacing w:after="0" w:line="240" w:lineRule="auto"/>
              <w:rPr>
                <w:rFonts w:ascii="Verdana" w:hAnsi="Verdana" w:cs="Verdana"/>
                <w:color w:val="000000"/>
                <w:kern w:val="0"/>
                <w:sz w:val="16"/>
                <w:szCs w:val="16"/>
                <w:lang w:val="en-GB"/>
              </w:rPr>
            </w:pPr>
            <w:r w:rsidRPr="00920C6E">
              <w:rPr>
                <w:rFonts w:ascii="Verdana" w:hAnsi="Verdana" w:cs="Verdana"/>
                <w:color w:val="000000"/>
                <w:kern w:val="0"/>
                <w:sz w:val="16"/>
                <w:szCs w:val="16"/>
                <w:lang w:val="en-GB"/>
              </w:rPr>
              <w:t>(one row per cur-</w:t>
            </w:r>
            <w:proofErr w:type="spellStart"/>
            <w:r w:rsidRPr="00920C6E">
              <w:rPr>
                <w:rFonts w:ascii="Verdana" w:hAnsi="Verdana" w:cs="Verdana"/>
                <w:color w:val="000000"/>
                <w:kern w:val="0"/>
                <w:sz w:val="16"/>
                <w:szCs w:val="16"/>
                <w:lang w:val="en-GB"/>
              </w:rPr>
              <w:t>rency</w:t>
            </w:r>
            <w:proofErr w:type="spellEnd"/>
            <w:r w:rsidRPr="00920C6E">
              <w:rPr>
                <w:rFonts w:ascii="Verdana" w:hAnsi="Verdana" w:cs="Verdana"/>
                <w:color w:val="000000"/>
                <w:kern w:val="0"/>
                <w:sz w:val="16"/>
                <w:szCs w:val="16"/>
                <w:lang w:val="en-GB"/>
              </w:rPr>
              <w:t xml:space="preserve">) </w:t>
            </w:r>
          </w:p>
        </w:tc>
        <w:tc>
          <w:tcPr>
            <w:tcW w:w="2835"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703686A6" w14:textId="77777777" w:rsidR="00920C6E" w:rsidRPr="00920C6E" w:rsidRDefault="00920C6E" w:rsidP="00920C6E">
            <w:pPr>
              <w:autoSpaceDE w:val="0"/>
              <w:autoSpaceDN w:val="0"/>
              <w:adjustRightInd w:val="0"/>
              <w:spacing w:after="0" w:line="240" w:lineRule="auto"/>
              <w:rPr>
                <w:rFonts w:ascii="Verdana" w:hAnsi="Verdana" w:cs="Verdana"/>
                <w:color w:val="000000"/>
                <w:kern w:val="0"/>
                <w:sz w:val="16"/>
                <w:szCs w:val="16"/>
                <w:lang w:val="en-GB"/>
              </w:rPr>
            </w:pPr>
            <w:r w:rsidRPr="00920C6E">
              <w:rPr>
                <w:rFonts w:ascii="Verdana" w:hAnsi="Verdana" w:cs="Verdana"/>
                <w:color w:val="000000"/>
                <w:kern w:val="0"/>
                <w:sz w:val="16"/>
                <w:szCs w:val="16"/>
                <w:lang w:val="en-GB"/>
              </w:rPr>
              <w:t xml:space="preserve">(one row per currency and per year) </w:t>
            </w:r>
          </w:p>
        </w:tc>
        <w:tc>
          <w:tcPr>
            <w:tcW w:w="2127"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76D88E81" w14:textId="77777777" w:rsidR="00920C6E" w:rsidRPr="00920C6E" w:rsidRDefault="00920C6E" w:rsidP="00920C6E">
            <w:pPr>
              <w:autoSpaceDE w:val="0"/>
              <w:autoSpaceDN w:val="0"/>
              <w:adjustRightInd w:val="0"/>
              <w:spacing w:after="0" w:line="240" w:lineRule="auto"/>
              <w:rPr>
                <w:rFonts w:ascii="Verdana" w:hAnsi="Verdana" w:cs="Verdana"/>
                <w:color w:val="000000"/>
                <w:kern w:val="0"/>
                <w:sz w:val="16"/>
                <w:szCs w:val="16"/>
                <w:lang w:val="en-GB"/>
              </w:rPr>
            </w:pPr>
            <w:r w:rsidRPr="00920C6E">
              <w:rPr>
                <w:rFonts w:ascii="Verdana" w:hAnsi="Verdana" w:cs="Verdana"/>
                <w:color w:val="000000"/>
                <w:kern w:val="0"/>
                <w:sz w:val="16"/>
                <w:szCs w:val="16"/>
                <w:lang w:val="en-GB"/>
              </w:rPr>
              <w:t>(one row per cur-</w:t>
            </w:r>
            <w:proofErr w:type="spellStart"/>
            <w:r w:rsidRPr="00920C6E">
              <w:rPr>
                <w:rFonts w:ascii="Verdana" w:hAnsi="Verdana" w:cs="Verdana"/>
                <w:color w:val="000000"/>
                <w:kern w:val="0"/>
                <w:sz w:val="16"/>
                <w:szCs w:val="16"/>
                <w:lang w:val="en-GB"/>
              </w:rPr>
              <w:t>rency</w:t>
            </w:r>
            <w:proofErr w:type="spellEnd"/>
            <w:r w:rsidRPr="00920C6E">
              <w:rPr>
                <w:rFonts w:ascii="Verdana" w:hAnsi="Verdana" w:cs="Verdana"/>
                <w:color w:val="000000"/>
                <w:kern w:val="0"/>
                <w:sz w:val="16"/>
                <w:szCs w:val="16"/>
                <w:lang w:val="en-GB"/>
              </w:rPr>
              <w:t xml:space="preserve">) </w:t>
            </w:r>
          </w:p>
        </w:tc>
        <w:tc>
          <w:tcPr>
            <w:tcW w:w="2551"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6CDFE2F9" w14:textId="77777777" w:rsidR="00920C6E" w:rsidRPr="00920C6E" w:rsidRDefault="00920C6E" w:rsidP="00920C6E">
            <w:pPr>
              <w:autoSpaceDE w:val="0"/>
              <w:autoSpaceDN w:val="0"/>
              <w:adjustRightInd w:val="0"/>
              <w:spacing w:after="0" w:line="240" w:lineRule="auto"/>
              <w:rPr>
                <w:rFonts w:ascii="Verdana" w:hAnsi="Verdana" w:cs="Verdana"/>
                <w:color w:val="000000"/>
                <w:kern w:val="0"/>
                <w:sz w:val="16"/>
                <w:szCs w:val="16"/>
                <w:lang w:val="en-GB"/>
              </w:rPr>
            </w:pPr>
            <w:r w:rsidRPr="00920C6E">
              <w:rPr>
                <w:rFonts w:ascii="Verdana" w:hAnsi="Verdana" w:cs="Verdana"/>
                <w:color w:val="000000"/>
                <w:kern w:val="0"/>
                <w:sz w:val="16"/>
                <w:szCs w:val="16"/>
                <w:lang w:val="en-GB"/>
              </w:rPr>
              <w:t>(one row per cur-</w:t>
            </w:r>
            <w:proofErr w:type="spellStart"/>
            <w:r w:rsidRPr="00920C6E">
              <w:rPr>
                <w:rFonts w:ascii="Verdana" w:hAnsi="Verdana" w:cs="Verdana"/>
                <w:color w:val="000000"/>
                <w:kern w:val="0"/>
                <w:sz w:val="16"/>
                <w:szCs w:val="16"/>
                <w:lang w:val="en-GB"/>
              </w:rPr>
              <w:t>rency</w:t>
            </w:r>
            <w:proofErr w:type="spellEnd"/>
            <w:r w:rsidRPr="00920C6E">
              <w:rPr>
                <w:rFonts w:ascii="Verdana" w:hAnsi="Verdana" w:cs="Verdana"/>
                <w:color w:val="000000"/>
                <w:kern w:val="0"/>
                <w:sz w:val="16"/>
                <w:szCs w:val="16"/>
                <w:lang w:val="en-GB"/>
              </w:rPr>
              <w:t xml:space="preserve">) </w:t>
            </w:r>
          </w:p>
        </w:tc>
        <w:tc>
          <w:tcPr>
            <w:tcW w:w="2268"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64134AE3" w14:textId="77777777" w:rsidR="00920C6E" w:rsidRPr="00920C6E" w:rsidRDefault="00920C6E" w:rsidP="00920C6E">
            <w:pPr>
              <w:autoSpaceDE w:val="0"/>
              <w:autoSpaceDN w:val="0"/>
              <w:adjustRightInd w:val="0"/>
              <w:spacing w:after="0" w:line="240" w:lineRule="auto"/>
              <w:rPr>
                <w:rFonts w:ascii="Verdana" w:hAnsi="Verdana" w:cs="Verdana"/>
                <w:color w:val="000000"/>
                <w:kern w:val="0"/>
                <w:sz w:val="16"/>
                <w:szCs w:val="16"/>
                <w:lang w:val="en-GB"/>
              </w:rPr>
            </w:pPr>
            <w:r w:rsidRPr="00920C6E">
              <w:rPr>
                <w:rFonts w:ascii="Verdana" w:hAnsi="Verdana" w:cs="Verdana"/>
                <w:color w:val="000000"/>
                <w:kern w:val="0"/>
                <w:sz w:val="16"/>
                <w:szCs w:val="16"/>
                <w:lang w:val="en-GB"/>
              </w:rPr>
              <w:t>(one row per cur-</w:t>
            </w:r>
            <w:proofErr w:type="spellStart"/>
            <w:r w:rsidRPr="00920C6E">
              <w:rPr>
                <w:rFonts w:ascii="Verdana" w:hAnsi="Verdana" w:cs="Verdana"/>
                <w:color w:val="000000"/>
                <w:kern w:val="0"/>
                <w:sz w:val="16"/>
                <w:szCs w:val="16"/>
                <w:lang w:val="en-GB"/>
              </w:rPr>
              <w:t>rency</w:t>
            </w:r>
            <w:proofErr w:type="spellEnd"/>
            <w:r w:rsidRPr="00920C6E">
              <w:rPr>
                <w:rFonts w:ascii="Verdana" w:hAnsi="Verdana" w:cs="Verdana"/>
                <w:color w:val="000000"/>
                <w:kern w:val="0"/>
                <w:sz w:val="16"/>
                <w:szCs w:val="16"/>
                <w:lang w:val="en-GB"/>
              </w:rPr>
              <w:t xml:space="preserve">) </w:t>
            </w:r>
          </w:p>
        </w:tc>
        <w:tc>
          <w:tcPr>
            <w:tcW w:w="2410" w:type="dxa"/>
            <w:tcBorders>
              <w:top w:val="none" w:sz="6" w:space="0" w:color="auto"/>
              <w:left w:val="none" w:sz="6" w:space="0" w:color="auto"/>
              <w:bottom w:val="none" w:sz="6" w:space="0" w:color="auto"/>
            </w:tcBorders>
            <w:shd w:val="clear" w:color="auto" w:fill="F2F2F2" w:themeFill="background1" w:themeFillShade="F2"/>
          </w:tcPr>
          <w:p w14:paraId="532CDDFA" w14:textId="77777777" w:rsidR="00920C6E" w:rsidRPr="00920C6E" w:rsidRDefault="00920C6E" w:rsidP="00920C6E">
            <w:pPr>
              <w:autoSpaceDE w:val="0"/>
              <w:autoSpaceDN w:val="0"/>
              <w:adjustRightInd w:val="0"/>
              <w:spacing w:after="0" w:line="240" w:lineRule="auto"/>
              <w:rPr>
                <w:rFonts w:ascii="Verdana" w:hAnsi="Verdana" w:cs="Verdana"/>
                <w:color w:val="000000"/>
                <w:kern w:val="0"/>
                <w:sz w:val="16"/>
                <w:szCs w:val="16"/>
                <w:lang w:val="en-GB"/>
              </w:rPr>
            </w:pPr>
            <w:r w:rsidRPr="00920C6E">
              <w:rPr>
                <w:rFonts w:ascii="Verdana" w:hAnsi="Verdana" w:cs="Verdana"/>
                <w:color w:val="000000"/>
                <w:kern w:val="0"/>
                <w:sz w:val="16"/>
                <w:szCs w:val="16"/>
                <w:lang w:val="en-GB"/>
              </w:rPr>
              <w:t>(one row per cur-</w:t>
            </w:r>
            <w:proofErr w:type="spellStart"/>
            <w:r w:rsidRPr="00920C6E">
              <w:rPr>
                <w:rFonts w:ascii="Verdana" w:hAnsi="Verdana" w:cs="Verdana"/>
                <w:color w:val="000000"/>
                <w:kern w:val="0"/>
                <w:sz w:val="16"/>
                <w:szCs w:val="16"/>
                <w:lang w:val="en-GB"/>
              </w:rPr>
              <w:t>rency</w:t>
            </w:r>
            <w:proofErr w:type="spellEnd"/>
            <w:r w:rsidRPr="00920C6E">
              <w:rPr>
                <w:rFonts w:ascii="Verdana" w:hAnsi="Verdana" w:cs="Verdana"/>
                <w:color w:val="000000"/>
                <w:kern w:val="0"/>
                <w:sz w:val="16"/>
                <w:szCs w:val="16"/>
                <w:lang w:val="en-GB"/>
              </w:rPr>
              <w:t xml:space="preserve">) </w:t>
            </w:r>
          </w:p>
        </w:tc>
      </w:tr>
      <w:tr w:rsidR="00C66349" w:rsidRPr="00920C6E" w14:paraId="3DE2053C" w14:textId="77777777" w:rsidTr="00130978">
        <w:trPr>
          <w:trHeight w:val="372"/>
        </w:trPr>
        <w:tc>
          <w:tcPr>
            <w:tcW w:w="1223" w:type="dxa"/>
            <w:tcBorders>
              <w:top w:val="none" w:sz="6" w:space="0" w:color="auto"/>
              <w:bottom w:val="none" w:sz="6" w:space="0" w:color="auto"/>
              <w:right w:val="none" w:sz="6" w:space="0" w:color="auto"/>
            </w:tcBorders>
          </w:tcPr>
          <w:p w14:paraId="5B86C4A1" w14:textId="284710E3" w:rsidR="00373FD3" w:rsidRPr="00097D77" w:rsidRDefault="006E736A" w:rsidP="00373FD3">
            <w:pPr>
              <w:autoSpaceDE w:val="0"/>
              <w:autoSpaceDN w:val="0"/>
              <w:adjustRightInd w:val="0"/>
              <w:spacing w:after="0" w:line="240" w:lineRule="auto"/>
              <w:rPr>
                <w:rFonts w:ascii="Verdana" w:hAnsi="Verdana" w:cs="Verdana"/>
                <w:color w:val="EE0000"/>
                <w:kern w:val="0"/>
                <w:sz w:val="16"/>
                <w:szCs w:val="16"/>
                <w:lang w:val="en-GB"/>
              </w:rPr>
            </w:pPr>
            <w:r>
              <w:rPr>
                <w:rFonts w:ascii="Verdana" w:hAnsi="Verdana" w:cs="Verdana"/>
                <w:color w:val="EE0000"/>
                <w:kern w:val="0"/>
                <w:sz w:val="16"/>
                <w:szCs w:val="16"/>
                <w:lang w:val="en-GB"/>
              </w:rPr>
              <w:t>Currency 1</w:t>
            </w:r>
          </w:p>
          <w:p w14:paraId="4D52096B" w14:textId="65E828F7" w:rsidR="00373FD3" w:rsidRPr="006E736A" w:rsidRDefault="006E736A" w:rsidP="00373FD3">
            <w:pPr>
              <w:autoSpaceDE w:val="0"/>
              <w:autoSpaceDN w:val="0"/>
              <w:adjustRightInd w:val="0"/>
              <w:spacing w:after="0" w:line="240" w:lineRule="auto"/>
              <w:rPr>
                <w:rFonts w:ascii="Verdana" w:hAnsi="Verdana" w:cs="Verdana"/>
                <w:color w:val="EE0000"/>
                <w:kern w:val="0"/>
                <w:sz w:val="16"/>
                <w:szCs w:val="16"/>
                <w:lang w:val="en-GB"/>
              </w:rPr>
            </w:pPr>
            <w:r>
              <w:rPr>
                <w:rFonts w:ascii="Verdana" w:hAnsi="Verdana" w:cs="Verdana"/>
                <w:color w:val="EE0000"/>
                <w:kern w:val="0"/>
                <w:sz w:val="16"/>
                <w:szCs w:val="16"/>
                <w:lang w:val="en-GB"/>
              </w:rPr>
              <w:t>Currency 2</w:t>
            </w:r>
          </w:p>
        </w:tc>
        <w:tc>
          <w:tcPr>
            <w:tcW w:w="1720" w:type="dxa"/>
            <w:tcBorders>
              <w:top w:val="none" w:sz="6" w:space="0" w:color="auto"/>
              <w:left w:val="none" w:sz="6" w:space="0" w:color="auto"/>
              <w:bottom w:val="none" w:sz="6" w:space="0" w:color="auto"/>
              <w:right w:val="none" w:sz="6" w:space="0" w:color="auto"/>
            </w:tcBorders>
          </w:tcPr>
          <w:p w14:paraId="767C8D49" w14:textId="77777777" w:rsidR="00373FD3" w:rsidRPr="00373FD3" w:rsidRDefault="00373FD3" w:rsidP="00373FD3">
            <w:pPr>
              <w:autoSpaceDE w:val="0"/>
              <w:autoSpaceDN w:val="0"/>
              <w:adjustRightInd w:val="0"/>
              <w:spacing w:after="0" w:line="240" w:lineRule="auto"/>
              <w:rPr>
                <w:rFonts w:ascii="Verdana" w:hAnsi="Verdana" w:cs="Verdana"/>
                <w:color w:val="EE0000"/>
                <w:kern w:val="0"/>
                <w:sz w:val="16"/>
                <w:szCs w:val="16"/>
                <w:lang w:val="en-GB"/>
              </w:rPr>
            </w:pPr>
            <w:r w:rsidRPr="00373FD3">
              <w:rPr>
                <w:rFonts w:ascii="Verdana" w:hAnsi="Verdana" w:cs="Verdana"/>
                <w:color w:val="EE0000"/>
                <w:kern w:val="0"/>
                <w:sz w:val="16"/>
                <w:szCs w:val="16"/>
                <w:lang w:val="en-GB"/>
              </w:rPr>
              <w:t>Y</w:t>
            </w:r>
          </w:p>
          <w:p w14:paraId="5F4025D6" w14:textId="23452CB9" w:rsidR="00373FD3" w:rsidRPr="00920C6E" w:rsidRDefault="00373FD3" w:rsidP="00373FD3">
            <w:pPr>
              <w:autoSpaceDE w:val="0"/>
              <w:autoSpaceDN w:val="0"/>
              <w:adjustRightInd w:val="0"/>
              <w:spacing w:after="0" w:line="240" w:lineRule="auto"/>
              <w:rPr>
                <w:rFonts w:ascii="Verdana" w:hAnsi="Verdana" w:cs="Verdana"/>
                <w:color w:val="000000"/>
                <w:kern w:val="0"/>
                <w:sz w:val="16"/>
                <w:szCs w:val="16"/>
                <w:lang w:val="en-GB"/>
              </w:rPr>
            </w:pPr>
            <w:r w:rsidRPr="00373FD3">
              <w:rPr>
                <w:rFonts w:ascii="Verdana" w:hAnsi="Verdana" w:cs="Verdana"/>
                <w:color w:val="EE0000"/>
                <w:kern w:val="0"/>
                <w:sz w:val="16"/>
                <w:szCs w:val="16"/>
                <w:lang w:val="en-GB"/>
              </w:rPr>
              <w:t>Y</w:t>
            </w:r>
          </w:p>
        </w:tc>
        <w:tc>
          <w:tcPr>
            <w:tcW w:w="2835" w:type="dxa"/>
            <w:tcBorders>
              <w:top w:val="none" w:sz="6" w:space="0" w:color="auto"/>
              <w:left w:val="none" w:sz="6" w:space="0" w:color="auto"/>
              <w:bottom w:val="none" w:sz="6" w:space="0" w:color="auto"/>
              <w:right w:val="none" w:sz="6" w:space="0" w:color="auto"/>
            </w:tcBorders>
          </w:tcPr>
          <w:p w14:paraId="3EC968BD" w14:textId="77777777" w:rsidR="00373FD3" w:rsidRDefault="00373FD3" w:rsidP="00373FD3">
            <w:pPr>
              <w:autoSpaceDE w:val="0"/>
              <w:autoSpaceDN w:val="0"/>
              <w:adjustRightInd w:val="0"/>
              <w:spacing w:after="0" w:line="240" w:lineRule="auto"/>
              <w:rPr>
                <w:rFonts w:ascii="Verdana" w:hAnsi="Verdana" w:cs="Verdana"/>
                <w:color w:val="EE0000"/>
                <w:sz w:val="16"/>
                <w:szCs w:val="16"/>
                <w:lang w:val="en-GB"/>
              </w:rPr>
            </w:pPr>
            <w:proofErr w:type="spellStart"/>
            <w:r>
              <w:rPr>
                <w:rFonts w:ascii="Verdana" w:hAnsi="Verdana" w:cs="Verdana"/>
                <w:color w:val="EE0000"/>
                <w:sz w:val="16"/>
                <w:szCs w:val="16"/>
                <w:lang w:val="en-GB"/>
              </w:rPr>
              <w:t>CoBM</w:t>
            </w:r>
            <w:proofErr w:type="spellEnd"/>
          </w:p>
          <w:p w14:paraId="3AF86606" w14:textId="4FC3EA88" w:rsidR="00373FD3" w:rsidRPr="00920C6E" w:rsidRDefault="00373FD3" w:rsidP="00373FD3">
            <w:pPr>
              <w:autoSpaceDE w:val="0"/>
              <w:autoSpaceDN w:val="0"/>
              <w:adjustRightInd w:val="0"/>
              <w:spacing w:after="0" w:line="240" w:lineRule="auto"/>
              <w:rPr>
                <w:rFonts w:ascii="Verdana" w:hAnsi="Verdana" w:cs="Verdana"/>
                <w:color w:val="000000"/>
                <w:kern w:val="0"/>
                <w:sz w:val="16"/>
                <w:szCs w:val="16"/>
                <w:lang w:val="en-GB"/>
              </w:rPr>
            </w:pPr>
            <w:proofErr w:type="spellStart"/>
            <w:r>
              <w:rPr>
                <w:rFonts w:ascii="Verdana" w:hAnsi="Verdana" w:cs="Verdana"/>
                <w:color w:val="EE0000"/>
                <w:sz w:val="16"/>
                <w:szCs w:val="16"/>
                <w:lang w:val="en-GB"/>
              </w:rPr>
              <w:t>CoBM</w:t>
            </w:r>
            <w:proofErr w:type="spellEnd"/>
          </w:p>
        </w:tc>
        <w:tc>
          <w:tcPr>
            <w:tcW w:w="2127" w:type="dxa"/>
            <w:tcBorders>
              <w:top w:val="none" w:sz="6" w:space="0" w:color="auto"/>
              <w:left w:val="none" w:sz="6" w:space="0" w:color="auto"/>
              <w:bottom w:val="none" w:sz="6" w:space="0" w:color="auto"/>
              <w:right w:val="none" w:sz="6" w:space="0" w:color="auto"/>
            </w:tcBorders>
          </w:tcPr>
          <w:p w14:paraId="3D93CC26" w14:textId="77777777" w:rsidR="00373FD3" w:rsidRPr="00373FD3" w:rsidRDefault="00373FD3" w:rsidP="00373FD3">
            <w:pPr>
              <w:autoSpaceDE w:val="0"/>
              <w:autoSpaceDN w:val="0"/>
              <w:adjustRightInd w:val="0"/>
              <w:spacing w:after="0" w:line="240" w:lineRule="auto"/>
              <w:rPr>
                <w:rFonts w:ascii="Verdana" w:hAnsi="Verdana" w:cs="Verdana"/>
                <w:color w:val="EE0000"/>
                <w:kern w:val="0"/>
                <w:sz w:val="16"/>
                <w:szCs w:val="16"/>
                <w:lang w:val="en-GB"/>
              </w:rPr>
            </w:pPr>
            <w:r w:rsidRPr="00373FD3">
              <w:rPr>
                <w:rFonts w:ascii="Verdana" w:hAnsi="Verdana" w:cs="Verdana"/>
                <w:color w:val="EE0000"/>
                <w:kern w:val="0"/>
                <w:sz w:val="16"/>
                <w:szCs w:val="16"/>
                <w:lang w:val="en-GB"/>
              </w:rPr>
              <w:t>N</w:t>
            </w:r>
          </w:p>
          <w:p w14:paraId="666EC181" w14:textId="3C6983CD" w:rsidR="00373FD3" w:rsidRPr="00920C6E" w:rsidRDefault="006E736A" w:rsidP="00373FD3">
            <w:pPr>
              <w:autoSpaceDE w:val="0"/>
              <w:autoSpaceDN w:val="0"/>
              <w:adjustRightInd w:val="0"/>
              <w:spacing w:after="0" w:line="240" w:lineRule="auto"/>
              <w:rPr>
                <w:rFonts w:ascii="Verdana" w:hAnsi="Verdana" w:cs="Verdana"/>
                <w:color w:val="000000"/>
                <w:kern w:val="0"/>
                <w:sz w:val="16"/>
                <w:szCs w:val="16"/>
                <w:lang w:val="en-GB"/>
              </w:rPr>
            </w:pPr>
            <w:r>
              <w:rPr>
                <w:rFonts w:ascii="Verdana" w:hAnsi="Verdana" w:cs="Verdana"/>
                <w:color w:val="EE0000"/>
                <w:kern w:val="0"/>
                <w:sz w:val="16"/>
                <w:szCs w:val="16"/>
                <w:lang w:val="en-GB"/>
              </w:rPr>
              <w:t>Y</w:t>
            </w:r>
          </w:p>
        </w:tc>
        <w:tc>
          <w:tcPr>
            <w:tcW w:w="2551" w:type="dxa"/>
            <w:tcBorders>
              <w:top w:val="none" w:sz="6" w:space="0" w:color="auto"/>
              <w:left w:val="none" w:sz="6" w:space="0" w:color="auto"/>
              <w:bottom w:val="none" w:sz="6" w:space="0" w:color="auto"/>
              <w:right w:val="none" w:sz="6" w:space="0" w:color="auto"/>
            </w:tcBorders>
          </w:tcPr>
          <w:p w14:paraId="22FEF5DF" w14:textId="77777777" w:rsidR="0037474D" w:rsidRPr="00373FD3" w:rsidRDefault="0037474D" w:rsidP="0037474D">
            <w:pPr>
              <w:autoSpaceDE w:val="0"/>
              <w:autoSpaceDN w:val="0"/>
              <w:adjustRightInd w:val="0"/>
              <w:spacing w:after="0" w:line="240" w:lineRule="auto"/>
              <w:rPr>
                <w:rFonts w:ascii="Verdana" w:hAnsi="Verdana" w:cs="Verdana"/>
                <w:color w:val="EE0000"/>
                <w:kern w:val="0"/>
                <w:sz w:val="16"/>
                <w:szCs w:val="16"/>
                <w:lang w:val="en-GB"/>
              </w:rPr>
            </w:pPr>
            <w:r w:rsidRPr="00373FD3">
              <w:rPr>
                <w:rFonts w:ascii="Verdana" w:hAnsi="Verdana" w:cs="Verdana"/>
                <w:color w:val="EE0000"/>
                <w:kern w:val="0"/>
                <w:sz w:val="16"/>
                <w:szCs w:val="16"/>
                <w:lang w:val="en-GB"/>
              </w:rPr>
              <w:t>N</w:t>
            </w:r>
          </w:p>
          <w:p w14:paraId="6BA75D97" w14:textId="77777777" w:rsidR="00373FD3" w:rsidRDefault="0037474D" w:rsidP="0037474D">
            <w:pPr>
              <w:autoSpaceDE w:val="0"/>
              <w:autoSpaceDN w:val="0"/>
              <w:adjustRightInd w:val="0"/>
              <w:spacing w:after="0" w:line="240" w:lineRule="auto"/>
              <w:rPr>
                <w:rFonts w:ascii="Verdana" w:hAnsi="Verdana" w:cs="Verdana"/>
                <w:color w:val="EE0000"/>
                <w:kern w:val="0"/>
                <w:sz w:val="16"/>
                <w:szCs w:val="16"/>
                <w:lang w:val="en-GB"/>
              </w:rPr>
            </w:pPr>
            <w:r w:rsidRPr="00373FD3">
              <w:rPr>
                <w:rFonts w:ascii="Verdana" w:hAnsi="Verdana" w:cs="Verdana"/>
                <w:color w:val="EE0000"/>
                <w:kern w:val="0"/>
                <w:sz w:val="16"/>
                <w:szCs w:val="16"/>
                <w:lang w:val="en-GB"/>
              </w:rPr>
              <w:t>N</w:t>
            </w:r>
          </w:p>
          <w:p w14:paraId="42025D16" w14:textId="5406E697" w:rsidR="00A106BC" w:rsidRPr="00920C6E" w:rsidRDefault="00A106BC" w:rsidP="0037474D">
            <w:pPr>
              <w:autoSpaceDE w:val="0"/>
              <w:autoSpaceDN w:val="0"/>
              <w:adjustRightInd w:val="0"/>
              <w:spacing w:after="0" w:line="240" w:lineRule="auto"/>
              <w:rPr>
                <w:rFonts w:ascii="Verdana" w:hAnsi="Verdana" w:cs="Verdana"/>
                <w:color w:val="000000"/>
                <w:kern w:val="0"/>
                <w:sz w:val="16"/>
                <w:szCs w:val="16"/>
                <w:lang w:val="en-GB"/>
              </w:rPr>
            </w:pPr>
            <w:r>
              <w:rPr>
                <w:rFonts w:ascii="Verdana" w:hAnsi="Verdana" w:cs="Verdana"/>
                <w:color w:val="EE0000"/>
                <w:kern w:val="0"/>
                <w:sz w:val="16"/>
                <w:szCs w:val="16"/>
                <w:lang w:val="en-GB"/>
              </w:rPr>
              <w:t>The same settlement agent will be used for settlement transactions and CA processing</w:t>
            </w:r>
          </w:p>
        </w:tc>
        <w:tc>
          <w:tcPr>
            <w:tcW w:w="2268" w:type="dxa"/>
            <w:tcBorders>
              <w:top w:val="none" w:sz="6" w:space="0" w:color="auto"/>
              <w:left w:val="none" w:sz="6" w:space="0" w:color="auto"/>
              <w:bottom w:val="none" w:sz="6" w:space="0" w:color="auto"/>
              <w:right w:val="none" w:sz="6" w:space="0" w:color="auto"/>
            </w:tcBorders>
          </w:tcPr>
          <w:p w14:paraId="6FB9EC0E" w14:textId="029020EA" w:rsidR="00373FD3" w:rsidRPr="00A106BC" w:rsidRDefault="00A106BC" w:rsidP="00373FD3">
            <w:pPr>
              <w:autoSpaceDE w:val="0"/>
              <w:autoSpaceDN w:val="0"/>
              <w:adjustRightInd w:val="0"/>
              <w:spacing w:after="0" w:line="240" w:lineRule="auto"/>
              <w:rPr>
                <w:color w:val="EE0000"/>
                <w:sz w:val="16"/>
                <w:szCs w:val="16"/>
                <w:lang w:val="en-GB"/>
              </w:rPr>
            </w:pPr>
            <w:r w:rsidRPr="00A106BC">
              <w:rPr>
                <w:rFonts w:ascii="Verdana" w:hAnsi="Verdana" w:cs="Verdana"/>
                <w:color w:val="EE0000"/>
                <w:kern w:val="0"/>
                <w:sz w:val="16"/>
                <w:szCs w:val="16"/>
                <w:lang w:val="en-GB"/>
              </w:rPr>
              <w:t>No intention to use designated banking CSD</w:t>
            </w:r>
          </w:p>
        </w:tc>
        <w:tc>
          <w:tcPr>
            <w:tcW w:w="2410" w:type="dxa"/>
            <w:tcBorders>
              <w:top w:val="none" w:sz="6" w:space="0" w:color="auto"/>
              <w:left w:val="none" w:sz="6" w:space="0" w:color="auto"/>
              <w:bottom w:val="none" w:sz="6" w:space="0" w:color="auto"/>
            </w:tcBorders>
          </w:tcPr>
          <w:p w14:paraId="5FDD223E" w14:textId="5FC2B5AD" w:rsidR="00373FD3" w:rsidRDefault="00D14015" w:rsidP="00373FD3">
            <w:pPr>
              <w:autoSpaceDE w:val="0"/>
              <w:autoSpaceDN w:val="0"/>
              <w:adjustRightInd w:val="0"/>
              <w:spacing w:after="0" w:line="240" w:lineRule="auto"/>
              <w:rPr>
                <w:color w:val="EE0000"/>
                <w:sz w:val="16"/>
                <w:szCs w:val="16"/>
              </w:rPr>
            </w:pPr>
            <w:r>
              <w:rPr>
                <w:color w:val="EE0000"/>
                <w:sz w:val="16"/>
                <w:szCs w:val="16"/>
              </w:rPr>
              <w:t>N</w:t>
            </w:r>
          </w:p>
          <w:p w14:paraId="4AA1D7D6" w14:textId="4BC0A5A8" w:rsidR="00373FD3" w:rsidRPr="00373FD3" w:rsidRDefault="00D14015" w:rsidP="00373FD3">
            <w:pPr>
              <w:autoSpaceDE w:val="0"/>
              <w:autoSpaceDN w:val="0"/>
              <w:adjustRightInd w:val="0"/>
              <w:spacing w:after="0" w:line="240" w:lineRule="auto"/>
              <w:rPr>
                <w:color w:val="EE0000"/>
                <w:sz w:val="16"/>
                <w:szCs w:val="16"/>
              </w:rPr>
            </w:pPr>
            <w:r>
              <w:rPr>
                <w:color w:val="EE0000"/>
                <w:sz w:val="16"/>
                <w:szCs w:val="16"/>
              </w:rPr>
              <w:t>N</w:t>
            </w:r>
          </w:p>
        </w:tc>
      </w:tr>
      <w:tr w:rsidR="00130978" w:rsidRPr="00B14B71" w14:paraId="709063FE" w14:textId="77777777" w:rsidTr="00130978">
        <w:trPr>
          <w:trHeight w:val="2803"/>
        </w:trPr>
        <w:tc>
          <w:tcPr>
            <w:tcW w:w="1223" w:type="dxa"/>
            <w:tcBorders>
              <w:top w:val="none" w:sz="6" w:space="0" w:color="auto"/>
              <w:bottom w:val="none" w:sz="6" w:space="0" w:color="auto"/>
              <w:right w:val="none" w:sz="6" w:space="0" w:color="auto"/>
            </w:tcBorders>
            <w:shd w:val="clear" w:color="auto" w:fill="F2F2F2" w:themeFill="background1" w:themeFillShade="F2"/>
          </w:tcPr>
          <w:p w14:paraId="0D953CC4" w14:textId="77777777" w:rsidR="00373FD3" w:rsidRDefault="00373FD3" w:rsidP="00373FD3">
            <w:pPr>
              <w:pStyle w:val="Default"/>
              <w:rPr>
                <w:sz w:val="16"/>
                <w:szCs w:val="16"/>
              </w:rPr>
            </w:pPr>
            <w:r>
              <w:rPr>
                <w:rFonts w:ascii="Verdana" w:hAnsi="Verdana" w:cs="Verdana"/>
                <w:sz w:val="16"/>
                <w:szCs w:val="16"/>
              </w:rPr>
              <w:t xml:space="preserve">[blank </w:t>
            </w:r>
            <w:proofErr w:type="spellStart"/>
            <w:r>
              <w:rPr>
                <w:rFonts w:ascii="Verdana" w:hAnsi="Verdana" w:cs="Verdana"/>
                <w:sz w:val="16"/>
                <w:szCs w:val="16"/>
              </w:rPr>
              <w:t>space</w:t>
            </w:r>
            <w:proofErr w:type="spellEnd"/>
            <w:r>
              <w:rPr>
                <w:rFonts w:ascii="Verdana" w:hAnsi="Verdana" w:cs="Verdana"/>
                <w:sz w:val="16"/>
                <w:szCs w:val="16"/>
              </w:rPr>
              <w:t xml:space="preserve">] </w:t>
            </w:r>
          </w:p>
        </w:tc>
        <w:tc>
          <w:tcPr>
            <w:tcW w:w="1720"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3148DD1B" w14:textId="7F7E9B19" w:rsidR="00373FD3" w:rsidRPr="00920C6E" w:rsidRDefault="00373FD3" w:rsidP="00373FD3">
            <w:pPr>
              <w:pStyle w:val="Default"/>
              <w:rPr>
                <w:sz w:val="16"/>
                <w:szCs w:val="16"/>
                <w:lang w:val="en-GB"/>
              </w:rPr>
            </w:pPr>
            <w:r w:rsidRPr="00920C6E">
              <w:rPr>
                <w:rFonts w:ascii="Verdana" w:hAnsi="Verdana" w:cs="Verdana"/>
                <w:sz w:val="16"/>
                <w:szCs w:val="16"/>
                <w:lang w:val="en-GB"/>
              </w:rPr>
              <w:t xml:space="preserve">[Y/N] If </w:t>
            </w:r>
            <w:proofErr w:type="gramStart"/>
            <w:r w:rsidRPr="00920C6E">
              <w:rPr>
                <w:rFonts w:ascii="Verdana" w:hAnsi="Verdana" w:cs="Verdana"/>
                <w:sz w:val="16"/>
                <w:szCs w:val="16"/>
                <w:lang w:val="en-GB"/>
              </w:rPr>
              <w:t>Yes</w:t>
            </w:r>
            <w:proofErr w:type="gramEnd"/>
            <w:r w:rsidRPr="00920C6E">
              <w:rPr>
                <w:rFonts w:ascii="Verdana" w:hAnsi="Verdana" w:cs="Verdana"/>
                <w:sz w:val="16"/>
                <w:szCs w:val="16"/>
                <w:lang w:val="en-GB"/>
              </w:rPr>
              <w:t>, please provide details and indicate an estimated annual vol-</w:t>
            </w:r>
            <w:proofErr w:type="spellStart"/>
            <w:r w:rsidRPr="00920C6E">
              <w:rPr>
                <w:rFonts w:ascii="Verdana" w:hAnsi="Verdana" w:cs="Verdana"/>
                <w:sz w:val="16"/>
                <w:szCs w:val="16"/>
                <w:lang w:val="en-GB"/>
              </w:rPr>
              <w:t>ume</w:t>
            </w:r>
            <w:proofErr w:type="spellEnd"/>
            <w:r w:rsidRPr="00920C6E">
              <w:rPr>
                <w:rFonts w:ascii="Verdana" w:hAnsi="Verdana" w:cs="Verdana"/>
                <w:sz w:val="16"/>
                <w:szCs w:val="16"/>
                <w:lang w:val="en-GB"/>
              </w:rPr>
              <w:t xml:space="preserve">/value of such transactions in aggregate form in euro. </w:t>
            </w:r>
          </w:p>
        </w:tc>
        <w:tc>
          <w:tcPr>
            <w:tcW w:w="2835"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53572D99" w14:textId="4BE0C7FE" w:rsidR="00373FD3" w:rsidRPr="00920C6E" w:rsidRDefault="00373FD3" w:rsidP="00373FD3">
            <w:pPr>
              <w:pStyle w:val="Default"/>
              <w:rPr>
                <w:sz w:val="16"/>
                <w:szCs w:val="16"/>
                <w:lang w:val="en-GB"/>
              </w:rPr>
            </w:pPr>
            <w:r w:rsidRPr="00920C6E">
              <w:rPr>
                <w:rFonts w:ascii="Verdana" w:hAnsi="Verdana" w:cs="Verdana"/>
                <w:sz w:val="16"/>
                <w:szCs w:val="16"/>
                <w:lang w:val="en-GB"/>
              </w:rPr>
              <w:t>[</w:t>
            </w:r>
            <w:proofErr w:type="spellStart"/>
            <w:r w:rsidRPr="00920C6E">
              <w:rPr>
                <w:rFonts w:ascii="Verdana" w:hAnsi="Verdana" w:cs="Verdana"/>
                <w:sz w:val="16"/>
                <w:szCs w:val="16"/>
                <w:lang w:val="en-GB"/>
              </w:rPr>
              <w:t>CeBM</w:t>
            </w:r>
            <w:proofErr w:type="spellEnd"/>
            <w:r w:rsidRPr="00920C6E">
              <w:rPr>
                <w:rFonts w:ascii="Verdana" w:hAnsi="Verdana" w:cs="Verdana"/>
                <w:sz w:val="16"/>
                <w:szCs w:val="16"/>
                <w:lang w:val="en-GB"/>
              </w:rPr>
              <w:t xml:space="preserve"> / </w:t>
            </w:r>
            <w:proofErr w:type="spellStart"/>
            <w:r w:rsidRPr="00920C6E">
              <w:rPr>
                <w:rFonts w:ascii="Verdana" w:hAnsi="Verdana" w:cs="Verdana"/>
                <w:sz w:val="16"/>
                <w:szCs w:val="16"/>
                <w:lang w:val="en-GB"/>
              </w:rPr>
              <w:t>CoBM</w:t>
            </w:r>
            <w:proofErr w:type="spellEnd"/>
            <w:r w:rsidRPr="00920C6E">
              <w:rPr>
                <w:rFonts w:ascii="Verdana" w:hAnsi="Verdana" w:cs="Verdana"/>
                <w:sz w:val="16"/>
                <w:szCs w:val="16"/>
                <w:lang w:val="en-GB"/>
              </w:rPr>
              <w:t xml:space="preserve">] If </w:t>
            </w:r>
            <w:proofErr w:type="spellStart"/>
            <w:r w:rsidRPr="00920C6E">
              <w:rPr>
                <w:rFonts w:ascii="Verdana" w:hAnsi="Verdana" w:cs="Verdana"/>
                <w:sz w:val="16"/>
                <w:szCs w:val="16"/>
                <w:lang w:val="en-GB"/>
              </w:rPr>
              <w:t>CoBM</w:t>
            </w:r>
            <w:proofErr w:type="spellEnd"/>
            <w:r w:rsidRPr="00920C6E">
              <w:rPr>
                <w:rFonts w:ascii="Verdana" w:hAnsi="Verdana" w:cs="Verdana"/>
                <w:sz w:val="16"/>
                <w:szCs w:val="16"/>
                <w:lang w:val="en-GB"/>
              </w:rPr>
              <w:t xml:space="preserve">, please </w:t>
            </w:r>
            <w:proofErr w:type="spellStart"/>
            <w:r w:rsidRPr="00920C6E">
              <w:rPr>
                <w:rFonts w:ascii="Verdana" w:hAnsi="Verdana" w:cs="Verdana"/>
                <w:sz w:val="16"/>
                <w:szCs w:val="16"/>
                <w:lang w:val="en-GB"/>
              </w:rPr>
              <w:t>indi</w:t>
            </w:r>
            <w:proofErr w:type="spellEnd"/>
            <w:r w:rsidRPr="00920C6E">
              <w:rPr>
                <w:rFonts w:ascii="Verdana" w:hAnsi="Verdana" w:cs="Verdana"/>
                <w:sz w:val="16"/>
                <w:szCs w:val="16"/>
                <w:lang w:val="en-GB"/>
              </w:rPr>
              <w:t xml:space="preserve">-cate whether the cash settlement is provided through your own account, via a designated credit </w:t>
            </w:r>
            <w:proofErr w:type="spellStart"/>
            <w:r w:rsidRPr="00920C6E">
              <w:rPr>
                <w:rFonts w:ascii="Verdana" w:hAnsi="Verdana" w:cs="Verdana"/>
                <w:sz w:val="16"/>
                <w:szCs w:val="16"/>
                <w:lang w:val="en-GB"/>
              </w:rPr>
              <w:t>insti-tution</w:t>
            </w:r>
            <w:proofErr w:type="spellEnd"/>
            <w:r w:rsidRPr="00920C6E">
              <w:rPr>
                <w:rFonts w:ascii="Verdana" w:hAnsi="Verdana" w:cs="Verdana"/>
                <w:sz w:val="16"/>
                <w:szCs w:val="16"/>
                <w:lang w:val="en-GB"/>
              </w:rPr>
              <w:t>(s) acting as settlement agent(s) (please specify the name(s)) or via a bank-</w:t>
            </w:r>
            <w:proofErr w:type="spellStart"/>
            <w:r w:rsidRPr="00920C6E">
              <w:rPr>
                <w:rFonts w:ascii="Verdana" w:hAnsi="Verdana" w:cs="Verdana"/>
                <w:sz w:val="16"/>
                <w:szCs w:val="16"/>
                <w:lang w:val="en-GB"/>
              </w:rPr>
              <w:t>ing</w:t>
            </w:r>
            <w:proofErr w:type="spellEnd"/>
            <w:r w:rsidRPr="00920C6E">
              <w:rPr>
                <w:rFonts w:ascii="Verdana" w:hAnsi="Verdana" w:cs="Verdana"/>
                <w:sz w:val="16"/>
                <w:szCs w:val="16"/>
                <w:lang w:val="en-GB"/>
              </w:rPr>
              <w:t xml:space="preserve"> CSD(s) acting as settlement agent(s) (please specify the name(s)) </w:t>
            </w:r>
          </w:p>
        </w:tc>
        <w:tc>
          <w:tcPr>
            <w:tcW w:w="2127"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527D29C9" w14:textId="3D16094C" w:rsidR="00373FD3" w:rsidRPr="00373FD3" w:rsidRDefault="00373FD3" w:rsidP="00373FD3">
            <w:pPr>
              <w:pStyle w:val="Default"/>
              <w:rPr>
                <w:sz w:val="16"/>
                <w:szCs w:val="16"/>
                <w:lang w:val="en-GB"/>
              </w:rPr>
            </w:pPr>
            <w:r w:rsidRPr="00920C6E">
              <w:rPr>
                <w:rFonts w:ascii="Verdana" w:hAnsi="Verdana" w:cs="Verdana"/>
                <w:sz w:val="16"/>
                <w:szCs w:val="16"/>
                <w:lang w:val="en-GB"/>
              </w:rPr>
              <w:t xml:space="preserve">[Y/N] If </w:t>
            </w:r>
            <w:proofErr w:type="gramStart"/>
            <w:r w:rsidRPr="00920C6E">
              <w:rPr>
                <w:rFonts w:ascii="Verdana" w:hAnsi="Verdana" w:cs="Verdana"/>
                <w:sz w:val="16"/>
                <w:szCs w:val="16"/>
                <w:lang w:val="en-GB"/>
              </w:rPr>
              <w:t>No</w:t>
            </w:r>
            <w:proofErr w:type="gramEnd"/>
            <w:r w:rsidRPr="00920C6E">
              <w:rPr>
                <w:rFonts w:ascii="Verdana" w:hAnsi="Verdana" w:cs="Verdana"/>
                <w:sz w:val="16"/>
                <w:szCs w:val="16"/>
                <w:lang w:val="en-GB"/>
              </w:rPr>
              <w:t>, which thresholds/ratios would ap-</w:t>
            </w:r>
            <w:proofErr w:type="spellStart"/>
            <w:r w:rsidRPr="00920C6E">
              <w:rPr>
                <w:rFonts w:ascii="Verdana" w:hAnsi="Verdana" w:cs="Verdana"/>
                <w:sz w:val="16"/>
                <w:szCs w:val="16"/>
                <w:lang w:val="en-GB"/>
              </w:rPr>
              <w:t>propriately</w:t>
            </w:r>
            <w:proofErr w:type="spellEnd"/>
            <w:r w:rsidRPr="00920C6E">
              <w:rPr>
                <w:rFonts w:ascii="Verdana" w:hAnsi="Verdana" w:cs="Verdana"/>
                <w:sz w:val="16"/>
                <w:szCs w:val="16"/>
                <w:lang w:val="en-GB"/>
              </w:rPr>
              <w:t xml:space="preserve"> address your envisaged needs in </w:t>
            </w:r>
            <w:proofErr w:type="spellStart"/>
            <w:r w:rsidRPr="00920C6E">
              <w:rPr>
                <w:rFonts w:ascii="Verdana" w:hAnsi="Verdana" w:cs="Verdana"/>
                <w:sz w:val="16"/>
                <w:szCs w:val="16"/>
                <w:lang w:val="en-GB"/>
              </w:rPr>
              <w:t>commer-cial</w:t>
            </w:r>
            <w:proofErr w:type="spellEnd"/>
            <w:r w:rsidRPr="00920C6E">
              <w:rPr>
                <w:rFonts w:ascii="Verdana" w:hAnsi="Verdana" w:cs="Verdana"/>
                <w:sz w:val="16"/>
                <w:szCs w:val="16"/>
                <w:lang w:val="en-GB"/>
              </w:rPr>
              <w:t xml:space="preserve"> bank money? </w:t>
            </w:r>
            <w:r w:rsidRPr="00373FD3">
              <w:rPr>
                <w:rFonts w:ascii="Verdana" w:hAnsi="Verdana" w:cs="Verdana"/>
                <w:sz w:val="16"/>
                <w:szCs w:val="16"/>
                <w:lang w:val="en-GB"/>
              </w:rPr>
              <w:t xml:space="preserve">Please justify your answer. </w:t>
            </w:r>
          </w:p>
        </w:tc>
        <w:tc>
          <w:tcPr>
            <w:tcW w:w="2551"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26B8F0BE" w14:textId="77777777" w:rsidR="00373FD3" w:rsidRPr="00920C6E" w:rsidRDefault="00373FD3" w:rsidP="00373FD3">
            <w:pPr>
              <w:pStyle w:val="Default"/>
              <w:rPr>
                <w:sz w:val="16"/>
                <w:szCs w:val="16"/>
                <w:lang w:val="en-GB"/>
              </w:rPr>
            </w:pPr>
            <w:r w:rsidRPr="00920C6E">
              <w:rPr>
                <w:rFonts w:ascii="Verdana" w:hAnsi="Verdana" w:cs="Verdana"/>
                <w:sz w:val="16"/>
                <w:szCs w:val="16"/>
                <w:lang w:val="en-GB"/>
              </w:rPr>
              <w:t xml:space="preserve">[Y/N] If </w:t>
            </w:r>
            <w:proofErr w:type="gramStart"/>
            <w:r w:rsidRPr="00920C6E">
              <w:rPr>
                <w:rFonts w:ascii="Verdana" w:hAnsi="Verdana" w:cs="Verdana"/>
                <w:sz w:val="16"/>
                <w:szCs w:val="16"/>
                <w:lang w:val="en-GB"/>
              </w:rPr>
              <w:t>Yes</w:t>
            </w:r>
            <w:proofErr w:type="gramEnd"/>
            <w:r w:rsidRPr="00920C6E">
              <w:rPr>
                <w:rFonts w:ascii="Verdana" w:hAnsi="Verdana" w:cs="Verdana"/>
                <w:sz w:val="16"/>
                <w:szCs w:val="16"/>
                <w:lang w:val="en-GB"/>
              </w:rPr>
              <w:t xml:space="preserve">, please pro-vide details. </w:t>
            </w:r>
          </w:p>
        </w:tc>
        <w:tc>
          <w:tcPr>
            <w:tcW w:w="2268" w:type="dxa"/>
            <w:tcBorders>
              <w:top w:val="none" w:sz="6" w:space="0" w:color="auto"/>
              <w:left w:val="none" w:sz="6" w:space="0" w:color="auto"/>
              <w:bottom w:val="none" w:sz="6" w:space="0" w:color="auto"/>
              <w:right w:val="none" w:sz="6" w:space="0" w:color="auto"/>
            </w:tcBorders>
            <w:shd w:val="clear" w:color="auto" w:fill="F2F2F2" w:themeFill="background1" w:themeFillShade="F2"/>
          </w:tcPr>
          <w:p w14:paraId="1FF87202" w14:textId="77777777" w:rsidR="00373FD3" w:rsidRDefault="00373FD3" w:rsidP="00373FD3">
            <w:pPr>
              <w:pStyle w:val="Default"/>
              <w:rPr>
                <w:sz w:val="16"/>
                <w:szCs w:val="16"/>
              </w:rPr>
            </w:pPr>
            <w:r>
              <w:rPr>
                <w:rFonts w:ascii="Verdana" w:hAnsi="Verdana" w:cs="Verdana"/>
                <w:sz w:val="16"/>
                <w:szCs w:val="16"/>
              </w:rPr>
              <w:t xml:space="preserve">[blank </w:t>
            </w:r>
            <w:proofErr w:type="spellStart"/>
            <w:r>
              <w:rPr>
                <w:rFonts w:ascii="Verdana" w:hAnsi="Verdana" w:cs="Verdana"/>
                <w:sz w:val="16"/>
                <w:szCs w:val="16"/>
              </w:rPr>
              <w:t>space</w:t>
            </w:r>
            <w:proofErr w:type="spellEnd"/>
            <w:r>
              <w:rPr>
                <w:rFonts w:ascii="Verdana" w:hAnsi="Verdana" w:cs="Verdana"/>
                <w:sz w:val="16"/>
                <w:szCs w:val="16"/>
              </w:rPr>
              <w:t xml:space="preserve">] </w:t>
            </w:r>
          </w:p>
        </w:tc>
        <w:tc>
          <w:tcPr>
            <w:tcW w:w="2410" w:type="dxa"/>
            <w:tcBorders>
              <w:top w:val="none" w:sz="6" w:space="0" w:color="auto"/>
              <w:left w:val="none" w:sz="6" w:space="0" w:color="auto"/>
              <w:bottom w:val="none" w:sz="6" w:space="0" w:color="auto"/>
            </w:tcBorders>
            <w:shd w:val="clear" w:color="auto" w:fill="F2F2F2" w:themeFill="background1" w:themeFillShade="F2"/>
          </w:tcPr>
          <w:p w14:paraId="193A670F" w14:textId="48EF2BB8" w:rsidR="00373FD3" w:rsidRPr="00920C6E" w:rsidRDefault="00373FD3" w:rsidP="00373FD3">
            <w:pPr>
              <w:pStyle w:val="Default"/>
              <w:rPr>
                <w:sz w:val="16"/>
                <w:szCs w:val="16"/>
                <w:lang w:val="en-GB"/>
              </w:rPr>
            </w:pPr>
            <w:r w:rsidRPr="00920C6E">
              <w:rPr>
                <w:rFonts w:ascii="Verdana" w:hAnsi="Verdana" w:cs="Verdana"/>
                <w:sz w:val="16"/>
                <w:szCs w:val="16"/>
                <w:lang w:val="en-GB"/>
              </w:rPr>
              <w:t xml:space="preserve">[Y/N] If </w:t>
            </w:r>
            <w:proofErr w:type="gramStart"/>
            <w:r w:rsidRPr="00920C6E">
              <w:rPr>
                <w:rFonts w:ascii="Verdana" w:hAnsi="Verdana" w:cs="Verdana"/>
                <w:sz w:val="16"/>
                <w:szCs w:val="16"/>
                <w:lang w:val="en-GB"/>
              </w:rPr>
              <w:t>Yes</w:t>
            </w:r>
            <w:proofErr w:type="gramEnd"/>
            <w:r w:rsidRPr="00920C6E">
              <w:rPr>
                <w:rFonts w:ascii="Verdana" w:hAnsi="Verdana" w:cs="Verdana"/>
                <w:sz w:val="16"/>
                <w:szCs w:val="16"/>
                <w:lang w:val="en-GB"/>
              </w:rPr>
              <w:t xml:space="preserve">, please pro-vide details and indicate what you consider the most efficient ways to remove those limitations. </w:t>
            </w:r>
          </w:p>
        </w:tc>
      </w:tr>
      <w:tr w:rsidR="00C66349" w:rsidRPr="00920C6E" w14:paraId="45F15B46" w14:textId="77777777" w:rsidTr="00130978">
        <w:trPr>
          <w:trHeight w:val="726"/>
        </w:trPr>
        <w:tc>
          <w:tcPr>
            <w:tcW w:w="1223" w:type="dxa"/>
            <w:tcBorders>
              <w:top w:val="none" w:sz="6" w:space="0" w:color="auto"/>
              <w:bottom w:val="none" w:sz="6" w:space="0" w:color="auto"/>
              <w:right w:val="none" w:sz="6" w:space="0" w:color="auto"/>
            </w:tcBorders>
          </w:tcPr>
          <w:p w14:paraId="790E9B67" w14:textId="77777777" w:rsidR="00A106BC" w:rsidRPr="00097D77" w:rsidRDefault="00A106BC" w:rsidP="00A106BC">
            <w:pPr>
              <w:autoSpaceDE w:val="0"/>
              <w:autoSpaceDN w:val="0"/>
              <w:adjustRightInd w:val="0"/>
              <w:spacing w:after="0" w:line="240" w:lineRule="auto"/>
              <w:rPr>
                <w:rFonts w:ascii="Verdana" w:hAnsi="Verdana" w:cs="Verdana"/>
                <w:color w:val="EE0000"/>
                <w:kern w:val="0"/>
                <w:sz w:val="16"/>
                <w:szCs w:val="16"/>
                <w:lang w:val="en-GB"/>
              </w:rPr>
            </w:pPr>
            <w:r>
              <w:rPr>
                <w:rFonts w:ascii="Verdana" w:hAnsi="Verdana" w:cs="Verdana"/>
                <w:color w:val="EE0000"/>
                <w:kern w:val="0"/>
                <w:sz w:val="16"/>
                <w:szCs w:val="16"/>
                <w:lang w:val="en-GB"/>
              </w:rPr>
              <w:t>Currency 1</w:t>
            </w:r>
          </w:p>
          <w:p w14:paraId="79A86E6C" w14:textId="406CBBDA" w:rsidR="00373FD3" w:rsidRDefault="00A106BC" w:rsidP="00A106BC">
            <w:pPr>
              <w:pStyle w:val="Default"/>
              <w:rPr>
                <w:rFonts w:ascii="Verdana" w:hAnsi="Verdana" w:cs="Verdana"/>
                <w:sz w:val="16"/>
                <w:szCs w:val="16"/>
              </w:rPr>
            </w:pPr>
            <w:r>
              <w:rPr>
                <w:rFonts w:ascii="Verdana" w:hAnsi="Verdana" w:cs="Verdana"/>
                <w:color w:val="EE0000"/>
                <w:sz w:val="16"/>
                <w:szCs w:val="16"/>
                <w:lang w:val="en-GB"/>
              </w:rPr>
              <w:t>Currency 2</w:t>
            </w:r>
          </w:p>
        </w:tc>
        <w:tc>
          <w:tcPr>
            <w:tcW w:w="1720" w:type="dxa"/>
            <w:tcBorders>
              <w:top w:val="none" w:sz="6" w:space="0" w:color="auto"/>
              <w:left w:val="none" w:sz="6" w:space="0" w:color="auto"/>
              <w:bottom w:val="none" w:sz="6" w:space="0" w:color="auto"/>
              <w:right w:val="none" w:sz="6" w:space="0" w:color="auto"/>
            </w:tcBorders>
          </w:tcPr>
          <w:p w14:paraId="25030200" w14:textId="049DBA1C" w:rsidR="00373FD3" w:rsidRDefault="00A106BC" w:rsidP="00373FD3">
            <w:pPr>
              <w:pStyle w:val="Default"/>
              <w:rPr>
                <w:rFonts w:ascii="Verdana" w:hAnsi="Verdana" w:cs="Verdana"/>
                <w:color w:val="EE0000"/>
                <w:sz w:val="16"/>
                <w:szCs w:val="16"/>
                <w:lang w:val="en-GB"/>
              </w:rPr>
            </w:pPr>
            <w:r>
              <w:rPr>
                <w:rFonts w:ascii="Verdana" w:hAnsi="Verdana" w:cs="Verdana"/>
                <w:color w:val="EE0000"/>
                <w:sz w:val="16"/>
                <w:szCs w:val="16"/>
                <w:lang w:val="en-GB"/>
              </w:rPr>
              <w:t>1</w:t>
            </w:r>
            <w:r w:rsidRPr="0037474D">
              <w:rPr>
                <w:rFonts w:ascii="Verdana" w:hAnsi="Verdana" w:cs="Verdana"/>
                <w:color w:val="EE0000"/>
                <w:sz w:val="16"/>
                <w:szCs w:val="16"/>
                <w:lang w:val="en-GB"/>
              </w:rPr>
              <w:t> </w:t>
            </w:r>
            <w:r>
              <w:rPr>
                <w:rFonts w:ascii="Verdana" w:hAnsi="Verdana" w:cs="Verdana"/>
                <w:color w:val="EE0000"/>
                <w:sz w:val="16"/>
                <w:szCs w:val="16"/>
                <w:lang w:val="en-GB"/>
              </w:rPr>
              <w:t>05</w:t>
            </w:r>
            <w:r w:rsidRPr="0037474D">
              <w:rPr>
                <w:rFonts w:ascii="Verdana" w:hAnsi="Verdana" w:cs="Verdana"/>
                <w:color w:val="EE0000"/>
                <w:sz w:val="16"/>
                <w:szCs w:val="16"/>
                <w:lang w:val="en-GB"/>
              </w:rPr>
              <w:t xml:space="preserve">0 </w:t>
            </w:r>
            <w:proofErr w:type="spellStart"/>
            <w:r w:rsidRPr="0037474D">
              <w:rPr>
                <w:rFonts w:ascii="Verdana" w:hAnsi="Verdana" w:cs="Verdana"/>
                <w:color w:val="EE0000"/>
                <w:sz w:val="16"/>
                <w:szCs w:val="16"/>
                <w:lang w:val="en-GB"/>
              </w:rPr>
              <w:t>mEUR</w:t>
            </w:r>
            <w:proofErr w:type="spellEnd"/>
            <w:r>
              <w:rPr>
                <w:rFonts w:ascii="Verdana" w:hAnsi="Verdana" w:cs="Verdana"/>
                <w:color w:val="EE0000"/>
                <w:sz w:val="16"/>
                <w:szCs w:val="16"/>
                <w:lang w:val="en-GB"/>
              </w:rPr>
              <w:t xml:space="preserve"> </w:t>
            </w:r>
            <w:r w:rsidR="0037474D">
              <w:rPr>
                <w:rFonts w:ascii="Verdana" w:hAnsi="Verdana" w:cs="Verdana"/>
                <w:color w:val="EE0000"/>
                <w:sz w:val="16"/>
                <w:szCs w:val="16"/>
                <w:lang w:val="en-GB"/>
              </w:rPr>
              <w:t>2</w:t>
            </w:r>
            <w:r w:rsidR="0037474D" w:rsidRPr="0037474D">
              <w:rPr>
                <w:rFonts w:ascii="Verdana" w:hAnsi="Verdana" w:cs="Verdana"/>
                <w:color w:val="EE0000"/>
                <w:sz w:val="16"/>
                <w:szCs w:val="16"/>
                <w:lang w:val="en-GB"/>
              </w:rPr>
              <w:t> </w:t>
            </w:r>
            <w:r>
              <w:rPr>
                <w:rFonts w:ascii="Verdana" w:hAnsi="Verdana" w:cs="Verdana"/>
                <w:color w:val="EE0000"/>
                <w:sz w:val="16"/>
                <w:szCs w:val="16"/>
                <w:lang w:val="en-GB"/>
              </w:rPr>
              <w:t>6</w:t>
            </w:r>
            <w:r w:rsidR="0037474D" w:rsidRPr="0037474D">
              <w:rPr>
                <w:rFonts w:ascii="Verdana" w:hAnsi="Verdana" w:cs="Verdana"/>
                <w:color w:val="EE0000"/>
                <w:sz w:val="16"/>
                <w:szCs w:val="16"/>
                <w:lang w:val="en-GB"/>
              </w:rPr>
              <w:t xml:space="preserve">00 </w:t>
            </w:r>
            <w:proofErr w:type="spellStart"/>
            <w:r w:rsidR="0037474D" w:rsidRPr="0037474D">
              <w:rPr>
                <w:rFonts w:ascii="Verdana" w:hAnsi="Verdana" w:cs="Verdana"/>
                <w:color w:val="EE0000"/>
                <w:sz w:val="16"/>
                <w:szCs w:val="16"/>
                <w:lang w:val="en-GB"/>
              </w:rPr>
              <w:t>mEUR</w:t>
            </w:r>
            <w:proofErr w:type="spellEnd"/>
          </w:p>
          <w:p w14:paraId="4DA11879" w14:textId="72635852" w:rsidR="0037474D" w:rsidRPr="00920C6E" w:rsidRDefault="0037474D" w:rsidP="00373FD3">
            <w:pPr>
              <w:pStyle w:val="Default"/>
              <w:rPr>
                <w:rFonts w:ascii="Verdana" w:hAnsi="Verdana" w:cs="Verdana"/>
                <w:sz w:val="16"/>
                <w:szCs w:val="16"/>
                <w:lang w:val="en-GB"/>
              </w:rPr>
            </w:pPr>
          </w:p>
        </w:tc>
        <w:tc>
          <w:tcPr>
            <w:tcW w:w="2835" w:type="dxa"/>
            <w:tcBorders>
              <w:top w:val="none" w:sz="6" w:space="0" w:color="auto"/>
              <w:left w:val="none" w:sz="6" w:space="0" w:color="auto"/>
              <w:bottom w:val="none" w:sz="6" w:space="0" w:color="auto"/>
              <w:right w:val="none" w:sz="6" w:space="0" w:color="auto"/>
            </w:tcBorders>
          </w:tcPr>
          <w:p w14:paraId="3834C1E2" w14:textId="5A10FEBC" w:rsidR="00373FD3" w:rsidRPr="00920C6E" w:rsidRDefault="00A106BC" w:rsidP="00373FD3">
            <w:pPr>
              <w:pStyle w:val="Default"/>
              <w:rPr>
                <w:rFonts w:ascii="Verdana" w:hAnsi="Verdana" w:cs="Verdana"/>
                <w:sz w:val="16"/>
                <w:szCs w:val="16"/>
                <w:lang w:val="en-GB"/>
              </w:rPr>
            </w:pPr>
            <w:r>
              <w:rPr>
                <w:rFonts w:ascii="Verdana" w:hAnsi="Verdana" w:cs="Verdana"/>
                <w:color w:val="EE0000"/>
                <w:sz w:val="16"/>
                <w:szCs w:val="16"/>
                <w:lang w:val="en-GB"/>
              </w:rPr>
              <w:t>Local credit institutions from the same capital group as the credit institution used by KDPW</w:t>
            </w:r>
          </w:p>
        </w:tc>
        <w:tc>
          <w:tcPr>
            <w:tcW w:w="2127" w:type="dxa"/>
            <w:tcBorders>
              <w:top w:val="none" w:sz="6" w:space="0" w:color="auto"/>
              <w:left w:val="none" w:sz="6" w:space="0" w:color="auto"/>
              <w:bottom w:val="none" w:sz="6" w:space="0" w:color="auto"/>
              <w:right w:val="none" w:sz="6" w:space="0" w:color="auto"/>
            </w:tcBorders>
          </w:tcPr>
          <w:p w14:paraId="0E7FA927" w14:textId="1C5226B1" w:rsidR="00373FD3" w:rsidRPr="00254937" w:rsidRDefault="00254937" w:rsidP="00373FD3">
            <w:pPr>
              <w:pStyle w:val="Default"/>
              <w:rPr>
                <w:rFonts w:ascii="Verdana" w:hAnsi="Verdana" w:cs="Verdana"/>
                <w:color w:val="EE0000"/>
                <w:sz w:val="16"/>
                <w:szCs w:val="16"/>
                <w:lang w:val="en-GB"/>
              </w:rPr>
            </w:pPr>
            <w:r>
              <w:rPr>
                <w:rFonts w:ascii="Verdana" w:hAnsi="Verdana" w:cs="Verdana"/>
                <w:color w:val="EE0000"/>
                <w:sz w:val="16"/>
                <w:szCs w:val="16"/>
                <w:lang w:val="en-GB"/>
              </w:rPr>
              <w:t>At least for</w:t>
            </w:r>
          </w:p>
          <w:p w14:paraId="5AFED277" w14:textId="621084B9" w:rsidR="00A106BC" w:rsidRPr="00920C6E" w:rsidRDefault="00254937" w:rsidP="00373FD3">
            <w:pPr>
              <w:pStyle w:val="Default"/>
              <w:rPr>
                <w:rFonts w:ascii="Verdana" w:hAnsi="Verdana" w:cs="Verdana"/>
                <w:sz w:val="16"/>
                <w:szCs w:val="16"/>
                <w:lang w:val="en-GB"/>
              </w:rPr>
            </w:pPr>
            <w:r w:rsidRPr="00254937">
              <w:rPr>
                <w:rFonts w:ascii="Verdana" w:hAnsi="Verdana" w:cs="Verdana"/>
                <w:color w:val="EE0000"/>
                <w:sz w:val="16"/>
                <w:szCs w:val="16"/>
                <w:lang w:val="en-GB"/>
              </w:rPr>
              <w:t xml:space="preserve">4 500 </w:t>
            </w:r>
            <w:proofErr w:type="spellStart"/>
            <w:r w:rsidRPr="00254937">
              <w:rPr>
                <w:rFonts w:ascii="Verdana" w:hAnsi="Verdana" w:cs="Verdana"/>
                <w:color w:val="EE0000"/>
                <w:sz w:val="16"/>
                <w:szCs w:val="16"/>
                <w:lang w:val="en-GB"/>
              </w:rPr>
              <w:t>mEUR</w:t>
            </w:r>
            <w:proofErr w:type="spellEnd"/>
            <w:r w:rsidRPr="00254937">
              <w:rPr>
                <w:rFonts w:ascii="Verdana" w:hAnsi="Verdana" w:cs="Verdana"/>
                <w:color w:val="EE0000"/>
                <w:sz w:val="16"/>
                <w:szCs w:val="16"/>
                <w:lang w:val="en-GB"/>
              </w:rPr>
              <w:t xml:space="preserve"> </w:t>
            </w:r>
          </w:p>
        </w:tc>
        <w:tc>
          <w:tcPr>
            <w:tcW w:w="2551" w:type="dxa"/>
            <w:tcBorders>
              <w:top w:val="none" w:sz="6" w:space="0" w:color="auto"/>
              <w:left w:val="none" w:sz="6" w:space="0" w:color="auto"/>
              <w:bottom w:val="none" w:sz="6" w:space="0" w:color="auto"/>
              <w:right w:val="none" w:sz="6" w:space="0" w:color="auto"/>
            </w:tcBorders>
          </w:tcPr>
          <w:p w14:paraId="7CDD177D" w14:textId="57BC3E08" w:rsidR="00373FD3" w:rsidRPr="00920C6E" w:rsidRDefault="00373FD3" w:rsidP="00373FD3">
            <w:pPr>
              <w:pStyle w:val="Default"/>
              <w:rPr>
                <w:rFonts w:ascii="Verdana" w:hAnsi="Verdana" w:cs="Verdana"/>
                <w:sz w:val="16"/>
                <w:szCs w:val="16"/>
                <w:lang w:val="en-GB"/>
              </w:rPr>
            </w:pPr>
          </w:p>
        </w:tc>
        <w:tc>
          <w:tcPr>
            <w:tcW w:w="2268" w:type="dxa"/>
            <w:tcBorders>
              <w:top w:val="none" w:sz="6" w:space="0" w:color="auto"/>
              <w:left w:val="none" w:sz="6" w:space="0" w:color="auto"/>
              <w:bottom w:val="none" w:sz="6" w:space="0" w:color="auto"/>
              <w:right w:val="none" w:sz="6" w:space="0" w:color="auto"/>
            </w:tcBorders>
          </w:tcPr>
          <w:p w14:paraId="48DB04B4" w14:textId="77777777" w:rsidR="00373FD3" w:rsidRPr="00D14015" w:rsidRDefault="00373FD3" w:rsidP="00373FD3">
            <w:pPr>
              <w:pStyle w:val="Default"/>
              <w:rPr>
                <w:rFonts w:ascii="Verdana" w:hAnsi="Verdana" w:cs="Verdana"/>
                <w:sz w:val="16"/>
                <w:szCs w:val="16"/>
                <w:lang w:val="en-GB"/>
              </w:rPr>
            </w:pPr>
          </w:p>
        </w:tc>
        <w:tc>
          <w:tcPr>
            <w:tcW w:w="2410" w:type="dxa"/>
            <w:tcBorders>
              <w:top w:val="none" w:sz="6" w:space="0" w:color="auto"/>
              <w:left w:val="none" w:sz="6" w:space="0" w:color="auto"/>
              <w:bottom w:val="none" w:sz="6" w:space="0" w:color="auto"/>
            </w:tcBorders>
          </w:tcPr>
          <w:p w14:paraId="1550559E" w14:textId="77777777" w:rsidR="00373FD3" w:rsidRPr="00920C6E" w:rsidRDefault="00373FD3" w:rsidP="00373FD3">
            <w:pPr>
              <w:pStyle w:val="Default"/>
              <w:rPr>
                <w:rFonts w:ascii="Verdana" w:hAnsi="Verdana" w:cs="Verdana"/>
                <w:sz w:val="16"/>
                <w:szCs w:val="16"/>
                <w:lang w:val="en-GB"/>
              </w:rPr>
            </w:pPr>
          </w:p>
        </w:tc>
      </w:tr>
    </w:tbl>
    <w:p w14:paraId="55965892" w14:textId="77777777" w:rsidR="00920C6E" w:rsidRPr="0019175B" w:rsidRDefault="00920C6E">
      <w:pPr>
        <w:rPr>
          <w:rFonts w:cstheme="minorHAnsi"/>
          <w:lang w:val="en-GB"/>
        </w:rPr>
      </w:pPr>
    </w:p>
    <w:sectPr w:rsidR="00920C6E" w:rsidRPr="0019175B" w:rsidSect="00D575C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17B6"/>
    <w:multiLevelType w:val="hybridMultilevel"/>
    <w:tmpl w:val="5790B09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9517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75B"/>
    <w:rsid w:val="00097D77"/>
    <w:rsid w:val="000A5FDD"/>
    <w:rsid w:val="00130978"/>
    <w:rsid w:val="00133FC1"/>
    <w:rsid w:val="0019175B"/>
    <w:rsid w:val="00254937"/>
    <w:rsid w:val="002811F5"/>
    <w:rsid w:val="00373FD3"/>
    <w:rsid w:val="0037474D"/>
    <w:rsid w:val="00405B59"/>
    <w:rsid w:val="00427E43"/>
    <w:rsid w:val="004A0184"/>
    <w:rsid w:val="00550F6C"/>
    <w:rsid w:val="005977EC"/>
    <w:rsid w:val="00597E12"/>
    <w:rsid w:val="00640F20"/>
    <w:rsid w:val="006E736A"/>
    <w:rsid w:val="0070055E"/>
    <w:rsid w:val="00775A20"/>
    <w:rsid w:val="007F2480"/>
    <w:rsid w:val="00825B7D"/>
    <w:rsid w:val="0087715D"/>
    <w:rsid w:val="008907C0"/>
    <w:rsid w:val="008B27DE"/>
    <w:rsid w:val="00920C6E"/>
    <w:rsid w:val="00A106BC"/>
    <w:rsid w:val="00AE6D59"/>
    <w:rsid w:val="00B14B71"/>
    <w:rsid w:val="00B32F59"/>
    <w:rsid w:val="00C51496"/>
    <w:rsid w:val="00C66349"/>
    <w:rsid w:val="00D14015"/>
    <w:rsid w:val="00D263DD"/>
    <w:rsid w:val="00D575C7"/>
    <w:rsid w:val="00E80EC0"/>
    <w:rsid w:val="00ED3DD3"/>
    <w:rsid w:val="00ED7C3C"/>
    <w:rsid w:val="00F472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371C"/>
  <w15:chartTrackingRefBased/>
  <w15:docId w15:val="{07DF91C2-A83B-4C7D-9570-D001B76E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917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917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9175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9175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9175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9175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9175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9175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9175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9175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9175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9175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9175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9175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9175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9175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9175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9175B"/>
    <w:rPr>
      <w:rFonts w:eastAsiaTheme="majorEastAsia" w:cstheme="majorBidi"/>
      <w:color w:val="272727" w:themeColor="text1" w:themeTint="D8"/>
    </w:rPr>
  </w:style>
  <w:style w:type="paragraph" w:styleId="Tytu">
    <w:name w:val="Title"/>
    <w:basedOn w:val="Normalny"/>
    <w:next w:val="Normalny"/>
    <w:link w:val="TytuZnak"/>
    <w:uiPriority w:val="10"/>
    <w:qFormat/>
    <w:rsid w:val="00191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9175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9175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9175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9175B"/>
    <w:pPr>
      <w:spacing w:before="160"/>
      <w:jc w:val="center"/>
    </w:pPr>
    <w:rPr>
      <w:i/>
      <w:iCs/>
      <w:color w:val="404040" w:themeColor="text1" w:themeTint="BF"/>
    </w:rPr>
  </w:style>
  <w:style w:type="character" w:customStyle="1" w:styleId="CytatZnak">
    <w:name w:val="Cytat Znak"/>
    <w:basedOn w:val="Domylnaczcionkaakapitu"/>
    <w:link w:val="Cytat"/>
    <w:uiPriority w:val="29"/>
    <w:rsid w:val="0019175B"/>
    <w:rPr>
      <w:i/>
      <w:iCs/>
      <w:color w:val="404040" w:themeColor="text1" w:themeTint="BF"/>
    </w:rPr>
  </w:style>
  <w:style w:type="paragraph" w:styleId="Akapitzlist">
    <w:name w:val="List Paragraph"/>
    <w:basedOn w:val="Normalny"/>
    <w:uiPriority w:val="34"/>
    <w:qFormat/>
    <w:rsid w:val="0019175B"/>
    <w:pPr>
      <w:ind w:left="720"/>
      <w:contextualSpacing/>
    </w:pPr>
  </w:style>
  <w:style w:type="character" w:styleId="Wyrnienieintensywne">
    <w:name w:val="Intense Emphasis"/>
    <w:basedOn w:val="Domylnaczcionkaakapitu"/>
    <w:uiPriority w:val="21"/>
    <w:qFormat/>
    <w:rsid w:val="0019175B"/>
    <w:rPr>
      <w:i/>
      <w:iCs/>
      <w:color w:val="2F5496" w:themeColor="accent1" w:themeShade="BF"/>
    </w:rPr>
  </w:style>
  <w:style w:type="paragraph" w:styleId="Cytatintensywny">
    <w:name w:val="Intense Quote"/>
    <w:basedOn w:val="Normalny"/>
    <w:next w:val="Normalny"/>
    <w:link w:val="CytatintensywnyZnak"/>
    <w:uiPriority w:val="30"/>
    <w:qFormat/>
    <w:rsid w:val="001917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9175B"/>
    <w:rPr>
      <w:i/>
      <w:iCs/>
      <w:color w:val="2F5496" w:themeColor="accent1" w:themeShade="BF"/>
    </w:rPr>
  </w:style>
  <w:style w:type="character" w:styleId="Odwoanieintensywne">
    <w:name w:val="Intense Reference"/>
    <w:basedOn w:val="Domylnaczcionkaakapitu"/>
    <w:uiPriority w:val="32"/>
    <w:qFormat/>
    <w:rsid w:val="0019175B"/>
    <w:rPr>
      <w:b/>
      <w:bCs/>
      <w:smallCaps/>
      <w:color w:val="2F5496" w:themeColor="accent1" w:themeShade="BF"/>
      <w:spacing w:val="5"/>
    </w:rPr>
  </w:style>
  <w:style w:type="paragraph" w:customStyle="1" w:styleId="Default">
    <w:name w:val="Default"/>
    <w:rsid w:val="0019175B"/>
    <w:pPr>
      <w:autoSpaceDE w:val="0"/>
      <w:autoSpaceDN w:val="0"/>
      <w:adjustRightInd w:val="0"/>
      <w:spacing w:after="0" w:line="240" w:lineRule="auto"/>
    </w:pPr>
    <w:rPr>
      <w:rFonts w:ascii="Calibri" w:hAnsi="Calibri" w:cs="Calibri"/>
      <w:color w:val="000000"/>
      <w:kern w:val="0"/>
      <w:sz w:val="24"/>
      <w:szCs w:val="24"/>
    </w:rPr>
  </w:style>
  <w:style w:type="paragraph" w:styleId="Bezodstpw">
    <w:name w:val="No Spacing"/>
    <w:aliases w:val="MONIKA"/>
    <w:link w:val="BezodstpwZnak"/>
    <w:uiPriority w:val="1"/>
    <w:qFormat/>
    <w:rsid w:val="00B14B71"/>
    <w:pPr>
      <w:spacing w:after="0" w:line="240" w:lineRule="auto"/>
    </w:pPr>
    <w:rPr>
      <w:rFonts w:ascii="Times New Roman" w:hAnsi="Times New Roman"/>
      <w:kern w:val="0"/>
      <w:sz w:val="24"/>
      <w:szCs w:val="24"/>
      <w:lang w:eastAsia="pl-PL"/>
      <w14:ligatures w14:val="none"/>
    </w:rPr>
  </w:style>
  <w:style w:type="character" w:customStyle="1" w:styleId="BezodstpwZnak">
    <w:name w:val="Bez odstępów Znak"/>
    <w:aliases w:val="MONIKA Znak"/>
    <w:basedOn w:val="Domylnaczcionkaakapitu"/>
    <w:link w:val="Bezodstpw"/>
    <w:uiPriority w:val="1"/>
    <w:rsid w:val="00B14B71"/>
    <w:rPr>
      <w:rFonts w:ascii="Times New Roman" w:hAnsi="Times New Roman"/>
      <w:kern w:val="0"/>
      <w:sz w:val="24"/>
      <w:szCs w:val="24"/>
      <w:lang w:eastAsia="pl-PL"/>
      <w14:ligatures w14:val="none"/>
    </w:rPr>
  </w:style>
  <w:style w:type="paragraph" w:styleId="Spistreci7">
    <w:name w:val="toc 7"/>
    <w:basedOn w:val="Normalny"/>
    <w:next w:val="Normalny"/>
    <w:autoRedefine/>
    <w:uiPriority w:val="39"/>
    <w:rsid w:val="00B14B71"/>
    <w:pPr>
      <w:spacing w:after="0" w:line="240" w:lineRule="auto"/>
      <w:ind w:left="1320"/>
    </w:pPr>
    <w:rPr>
      <w:rFonts w:eastAsia="Times New Roman" w:cs="Times New Roman"/>
      <w:kern w:val="0"/>
      <w:sz w:val="18"/>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8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1255</Words>
  <Characters>7533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Goszczyńska Renata</dc:creator>
  <cp:keywords/>
  <dc:description/>
  <cp:lastModifiedBy>Pycko Sławomir</cp:lastModifiedBy>
  <cp:revision>3</cp:revision>
  <dcterms:created xsi:type="dcterms:W3CDTF">2025-06-16T14:19:00Z</dcterms:created>
  <dcterms:modified xsi:type="dcterms:W3CDTF">2025-06-16T15:20:00Z</dcterms:modified>
</cp:coreProperties>
</file>