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ECDCC" w14:textId="214348EF" w:rsidR="003B5A0D" w:rsidRPr="003B5A0D" w:rsidRDefault="004B0FE5" w:rsidP="003B5A0D">
      <w:pPr>
        <w:pStyle w:val="Title"/>
        <w:rPr>
          <w:rFonts w:asciiTheme="minorHAnsi" w:hAnsiTheme="minorHAnsi"/>
        </w:rPr>
      </w:pPr>
      <w:bookmarkStart w:id="0" w:name="_Hlk80009632"/>
      <w:bookmarkEnd w:id="0"/>
      <w:r w:rsidRPr="003C1250">
        <w:rPr>
          <w:rFonts w:asciiTheme="minorHAnsi" w:hAnsiTheme="minorHAnsi"/>
        </w:rPr>
        <w:t>A</w:t>
      </w:r>
      <w:r w:rsidR="00AA0270" w:rsidRPr="003C1250">
        <w:rPr>
          <w:rFonts w:asciiTheme="minorHAnsi" w:hAnsiTheme="minorHAnsi"/>
        </w:rPr>
        <w:t xml:space="preserve">FME </w:t>
      </w:r>
      <w:r w:rsidR="00AC30B3" w:rsidRPr="003C1250">
        <w:rPr>
          <w:rFonts w:asciiTheme="minorHAnsi" w:hAnsiTheme="minorHAnsi"/>
        </w:rPr>
        <w:t xml:space="preserve">response – EBA consultation on </w:t>
      </w:r>
      <w:r w:rsidR="007C5923">
        <w:rPr>
          <w:rFonts w:asciiTheme="minorHAnsi" w:hAnsiTheme="minorHAnsi"/>
        </w:rPr>
        <w:t>RTS</w:t>
      </w:r>
      <w:r w:rsidR="00E262D2">
        <w:rPr>
          <w:rFonts w:asciiTheme="minorHAnsi" w:hAnsiTheme="minorHAnsi"/>
        </w:rPr>
        <w:t xml:space="preserve"> for assessing the materiality of extensions and changes of the IRBA</w:t>
      </w:r>
    </w:p>
    <w:p w14:paraId="35C1A615" w14:textId="26E0E92D" w:rsidR="00387BAA" w:rsidRPr="00CA0795" w:rsidRDefault="00101307" w:rsidP="003B5A0D">
      <w:pPr>
        <w:pStyle w:val="Date"/>
      </w:pPr>
      <w:r>
        <w:t>March 10</w:t>
      </w:r>
      <w:r w:rsidR="00200030">
        <w:t>, 2025</w:t>
      </w:r>
      <w:r w:rsidR="00742C9C" w:rsidRPr="005C407E">
        <w:tab/>
      </w:r>
      <w:r w:rsidR="00742C9C" w:rsidRPr="005C407E">
        <w:tab/>
      </w:r>
      <w:r w:rsidR="00742C9C" w:rsidRPr="005C407E">
        <w:tab/>
      </w:r>
      <w:r w:rsidR="00742C9C" w:rsidRPr="005C407E">
        <w:tab/>
      </w:r>
      <w:r w:rsidR="00742C9C" w:rsidRPr="005C407E">
        <w:tab/>
        <w:t xml:space="preserve">           </w:t>
      </w:r>
    </w:p>
    <w:p w14:paraId="150AA6BF" w14:textId="066EADB7" w:rsidR="0064576F" w:rsidRPr="0064576F" w:rsidRDefault="0064576F" w:rsidP="009B4BD3">
      <w:pPr>
        <w:spacing w:line="276" w:lineRule="auto"/>
        <w:rPr>
          <w:rFonts w:cs="Arial"/>
          <w:b/>
        </w:rPr>
      </w:pPr>
      <w:r w:rsidRPr="0064576F">
        <w:rPr>
          <w:rFonts w:cs="Arial"/>
        </w:rPr>
        <w:t>The Association for Financial Markets in Europe (</w:t>
      </w:r>
      <w:r w:rsidRPr="0064576F">
        <w:rPr>
          <w:rFonts w:cs="Arial"/>
          <w:bCs/>
        </w:rPr>
        <w:t>AFME</w:t>
      </w:r>
      <w:r w:rsidRPr="0064576F">
        <w:rPr>
          <w:rFonts w:cs="Arial"/>
        </w:rPr>
        <w:t xml:space="preserve">) welcomes the opportunity to respond to the EBA’s </w:t>
      </w:r>
      <w:r w:rsidRPr="001075C5">
        <w:rPr>
          <w:rFonts w:cs="Arial"/>
          <w:b/>
          <w:bCs/>
        </w:rPr>
        <w:t>consultatio</w:t>
      </w:r>
      <w:r w:rsidR="001075C5" w:rsidRPr="001075C5">
        <w:rPr>
          <w:rFonts w:cs="Arial"/>
          <w:b/>
          <w:bCs/>
        </w:rPr>
        <w:t>n</w:t>
      </w:r>
      <w:r w:rsidR="00213EBC">
        <w:rPr>
          <w:rStyle w:val="Strong"/>
          <w:rFonts w:cs="Open Sans"/>
          <w:shd w:val="clear" w:color="auto" w:fill="FFFFFF"/>
        </w:rPr>
        <w:t xml:space="preserve"> on</w:t>
      </w:r>
      <w:r w:rsidR="00F23D2C">
        <w:rPr>
          <w:rStyle w:val="Strong"/>
          <w:rFonts w:cs="Open Sans"/>
          <w:shd w:val="clear" w:color="auto" w:fill="FFFFFF"/>
        </w:rPr>
        <w:t xml:space="preserve"> draft RTS</w:t>
      </w:r>
      <w:r w:rsidR="00D92D02">
        <w:rPr>
          <w:rStyle w:val="Strong"/>
          <w:rFonts w:cs="Open Sans"/>
          <w:shd w:val="clear" w:color="auto" w:fill="FFFFFF"/>
        </w:rPr>
        <w:t xml:space="preserve"> for assessing the materiality of extensions and changes of the IRBA.</w:t>
      </w:r>
    </w:p>
    <w:p w14:paraId="54ABB278" w14:textId="77777777" w:rsidR="0064576F" w:rsidRPr="0064576F" w:rsidRDefault="0064576F" w:rsidP="009B4BD3">
      <w:pPr>
        <w:spacing w:line="276" w:lineRule="auto"/>
        <w:rPr>
          <w:rFonts w:cs="Arial"/>
        </w:rPr>
      </w:pPr>
    </w:p>
    <w:p w14:paraId="59F0D121" w14:textId="38D60C07" w:rsidR="00AC30B3" w:rsidRDefault="0064576F" w:rsidP="009B4BD3">
      <w:pPr>
        <w:pStyle w:val="Default"/>
        <w:spacing w:before="0" w:after="120" w:line="276" w:lineRule="auto"/>
        <w:rPr>
          <w:rFonts w:asciiTheme="minorHAnsi" w:hAnsiTheme="minorHAnsi"/>
          <w:sz w:val="22"/>
          <w:szCs w:val="22"/>
          <w:lang w:val="en-GB"/>
        </w:rPr>
      </w:pPr>
      <w:r w:rsidRPr="0064576F">
        <w:rPr>
          <w:rFonts w:asciiTheme="minorHAnsi" w:hAnsiTheme="minorHAnsi"/>
          <w:sz w:val="22"/>
          <w:szCs w:val="22"/>
          <w:lang w:val="en-GB"/>
        </w:rPr>
        <w:t>AFME represents a broad array of European and global participants in the wholesale financial markets. Its members comprise pan-EU and global banks as well as key regional banks, brokers, law firms, investors and other financial market participants. We advocate stable, competitive, sustainable European financial markets that support economic growth and benefit society. AFME is the European member of the Global Financial Markets Association (GFMA) a global alliance with the Securities Industry and Financial Markets Association (SIFMA) in the US, and the Asia Securities Industry and Financial Markets Association (ASIFMA) in Asia. AFME is listed on the EU Register of Interest Representatives, registration number 65110063986-76.</w:t>
      </w:r>
    </w:p>
    <w:p w14:paraId="278853DA" w14:textId="62D103D3" w:rsidR="00F51EB0" w:rsidRDefault="00AC2DBD" w:rsidP="00761962">
      <w:pPr>
        <w:pStyle w:val="Default"/>
        <w:spacing w:before="0" w:after="120" w:line="276" w:lineRule="auto"/>
        <w:rPr>
          <w:rFonts w:asciiTheme="minorHAnsi" w:hAnsiTheme="minorHAnsi"/>
          <w:b/>
          <w:bCs/>
          <w:sz w:val="22"/>
          <w:szCs w:val="22"/>
          <w:lang w:val="en-GB"/>
        </w:rPr>
      </w:pPr>
      <w:r>
        <w:rPr>
          <w:rFonts w:asciiTheme="minorHAnsi" w:hAnsiTheme="minorHAnsi"/>
          <w:b/>
          <w:bCs/>
          <w:sz w:val="22"/>
          <w:szCs w:val="22"/>
          <w:lang w:val="en-GB"/>
        </w:rPr>
        <w:t>Overarching</w:t>
      </w:r>
      <w:r w:rsidR="00F51EB0" w:rsidRPr="00F51EB0">
        <w:rPr>
          <w:rFonts w:asciiTheme="minorHAnsi" w:hAnsiTheme="minorHAnsi"/>
          <w:b/>
          <w:bCs/>
          <w:sz w:val="22"/>
          <w:szCs w:val="22"/>
          <w:lang w:val="en-GB"/>
        </w:rPr>
        <w:t xml:space="preserve"> Comments</w:t>
      </w:r>
    </w:p>
    <w:p w14:paraId="129A98EA" w14:textId="05CEDA97" w:rsidR="00637F41" w:rsidRDefault="001D144D" w:rsidP="00CC27A5">
      <w:pPr>
        <w:spacing w:after="120" w:line="276" w:lineRule="auto"/>
        <w:jc w:val="both"/>
        <w:rPr>
          <w:rFonts w:eastAsiaTheme="minorHAnsi" w:cs="Cambria"/>
          <w:color w:val="000000"/>
          <w:lang w:eastAsia="en-US"/>
        </w:rPr>
      </w:pPr>
      <w:r w:rsidRPr="009333B5">
        <w:rPr>
          <w:rFonts w:eastAsiaTheme="minorHAnsi" w:cs="Cambria"/>
          <w:color w:val="000000"/>
          <w:lang w:eastAsia="en-US"/>
        </w:rPr>
        <w:t>The Original CRR (</w:t>
      </w:r>
      <w:r w:rsidR="00F012B5" w:rsidRPr="009333B5">
        <w:rPr>
          <w:rFonts w:eastAsiaTheme="minorHAnsi" w:cs="Cambria"/>
          <w:color w:val="000000"/>
          <w:lang w:eastAsia="en-US"/>
        </w:rPr>
        <w:t xml:space="preserve">529/2014) </w:t>
      </w:r>
      <w:r w:rsidR="00163259" w:rsidRPr="009333B5">
        <w:rPr>
          <w:rFonts w:eastAsiaTheme="minorHAnsi" w:cs="Cambria"/>
          <w:color w:val="000000"/>
          <w:lang w:eastAsia="en-US"/>
        </w:rPr>
        <w:t xml:space="preserve">– </w:t>
      </w:r>
      <w:r w:rsidR="00F012B5" w:rsidRPr="009333B5">
        <w:rPr>
          <w:rFonts w:eastAsiaTheme="minorHAnsi" w:cs="Cambria"/>
          <w:color w:val="000000"/>
          <w:lang w:eastAsia="en-US"/>
        </w:rPr>
        <w:t>which entered into force over 10 years ago</w:t>
      </w:r>
      <w:r w:rsidR="00163259" w:rsidRPr="009333B5">
        <w:rPr>
          <w:rFonts w:eastAsiaTheme="minorHAnsi" w:cs="Cambria"/>
          <w:color w:val="000000"/>
          <w:lang w:eastAsia="en-US"/>
        </w:rPr>
        <w:t xml:space="preserve"> –</w:t>
      </w:r>
      <w:r w:rsidR="00F012B5" w:rsidRPr="009333B5">
        <w:rPr>
          <w:rFonts w:eastAsiaTheme="minorHAnsi" w:cs="Cambria"/>
          <w:color w:val="000000"/>
          <w:lang w:eastAsia="en-US"/>
        </w:rPr>
        <w:t xml:space="preserve"> forms the basis upon which banks structure </w:t>
      </w:r>
      <w:r w:rsidR="00101CFA" w:rsidRPr="009333B5">
        <w:rPr>
          <w:rFonts w:eastAsiaTheme="minorHAnsi" w:cs="Cambria"/>
          <w:color w:val="000000"/>
          <w:lang w:eastAsia="en-US"/>
        </w:rPr>
        <w:t xml:space="preserve">their supervisory dialogue whenever they plan to change features of their IRB framework. </w:t>
      </w:r>
      <w:r w:rsidR="00D74038" w:rsidRPr="009333B5">
        <w:rPr>
          <w:rFonts w:eastAsiaTheme="minorHAnsi" w:cs="Cambria"/>
          <w:color w:val="000000"/>
          <w:lang w:eastAsia="en-US"/>
        </w:rPr>
        <w:t>We note from banks’ experience</w:t>
      </w:r>
      <w:r w:rsidR="00101CFA" w:rsidRPr="009333B5">
        <w:rPr>
          <w:rFonts w:eastAsiaTheme="minorHAnsi" w:cs="Cambria"/>
          <w:color w:val="000000"/>
          <w:lang w:eastAsia="en-US"/>
        </w:rPr>
        <w:t xml:space="preserve">, the level of involvement for both banks and supervisors highly </w:t>
      </w:r>
      <w:r w:rsidR="00015B16" w:rsidRPr="009333B5">
        <w:rPr>
          <w:rFonts w:eastAsiaTheme="minorHAnsi" w:cs="Cambria"/>
          <w:color w:val="000000"/>
          <w:lang w:eastAsia="en-US"/>
        </w:rPr>
        <w:t>depend</w:t>
      </w:r>
      <w:r w:rsidR="00101CFA" w:rsidRPr="009333B5">
        <w:rPr>
          <w:rFonts w:eastAsiaTheme="minorHAnsi" w:cs="Cambria"/>
          <w:color w:val="000000"/>
          <w:lang w:eastAsia="en-US"/>
        </w:rPr>
        <w:t xml:space="preserve"> on the categorization of the model change. For </w:t>
      </w:r>
      <w:r w:rsidR="00222F70" w:rsidRPr="009333B5">
        <w:rPr>
          <w:rFonts w:eastAsiaTheme="minorHAnsi" w:cs="Cambria"/>
          <w:color w:val="000000"/>
          <w:lang w:eastAsia="en-US"/>
        </w:rPr>
        <w:t xml:space="preserve">instance, for </w:t>
      </w:r>
      <w:r w:rsidR="00101CFA" w:rsidRPr="009333B5">
        <w:rPr>
          <w:rFonts w:eastAsiaTheme="minorHAnsi" w:cs="Cambria"/>
          <w:color w:val="000000"/>
          <w:lang w:eastAsia="en-US"/>
        </w:rPr>
        <w:t xml:space="preserve">banks supervised by SSM, whenever a material change is triggered, it systematically leads to an IMI mission with strong investment and corresponding phases and planning. The whole process can last several years until supervisory approval is given, without which </w:t>
      </w:r>
      <w:r w:rsidR="0071260B" w:rsidRPr="009333B5">
        <w:rPr>
          <w:rFonts w:eastAsiaTheme="minorHAnsi" w:cs="Cambria"/>
          <w:color w:val="000000"/>
          <w:lang w:eastAsia="en-US"/>
        </w:rPr>
        <w:t xml:space="preserve">banks cannot implement </w:t>
      </w:r>
      <w:r w:rsidR="00F37AB6" w:rsidRPr="009333B5">
        <w:rPr>
          <w:rFonts w:eastAsiaTheme="minorHAnsi" w:cs="Cambria"/>
          <w:color w:val="000000"/>
          <w:lang w:eastAsia="en-US"/>
        </w:rPr>
        <w:t>the changes</w:t>
      </w:r>
      <w:r w:rsidR="00101CFA" w:rsidRPr="009333B5">
        <w:rPr>
          <w:rFonts w:eastAsiaTheme="minorHAnsi" w:cs="Cambria"/>
          <w:color w:val="000000"/>
          <w:lang w:eastAsia="en-US"/>
        </w:rPr>
        <w:t xml:space="preserve">. The duration of such </w:t>
      </w:r>
      <w:r w:rsidR="006F5E17" w:rsidRPr="009333B5">
        <w:rPr>
          <w:rFonts w:eastAsiaTheme="minorHAnsi" w:cs="Cambria"/>
          <w:color w:val="000000"/>
          <w:lang w:eastAsia="en-US"/>
        </w:rPr>
        <w:t xml:space="preserve">a </w:t>
      </w:r>
      <w:r w:rsidR="00101CFA" w:rsidRPr="009333B5">
        <w:rPr>
          <w:rFonts w:eastAsiaTheme="minorHAnsi" w:cs="Cambria"/>
          <w:color w:val="000000"/>
          <w:lang w:eastAsia="en-US"/>
        </w:rPr>
        <w:t>process for material changes may be deterrent for timely implementation of changes</w:t>
      </w:r>
      <w:r w:rsidR="00B767E4">
        <w:rPr>
          <w:rFonts w:eastAsiaTheme="minorHAnsi" w:cs="Cambria"/>
          <w:color w:val="000000"/>
          <w:lang w:eastAsia="en-US"/>
        </w:rPr>
        <w:t>,</w:t>
      </w:r>
      <w:r w:rsidR="00101CFA" w:rsidRPr="009333B5">
        <w:rPr>
          <w:rFonts w:eastAsiaTheme="minorHAnsi" w:cs="Cambria"/>
          <w:color w:val="000000"/>
          <w:lang w:eastAsia="en-US"/>
        </w:rPr>
        <w:t xml:space="preserve"> which aim to improve the IRB framework for banks. In this context, although there are some welcome simplifications in</w:t>
      </w:r>
      <w:r w:rsidR="00F37AB6" w:rsidRPr="009333B5">
        <w:rPr>
          <w:rFonts w:eastAsiaTheme="minorHAnsi" w:cs="Cambria"/>
          <w:color w:val="000000"/>
          <w:lang w:eastAsia="en-US"/>
        </w:rPr>
        <w:t>troduced in</w:t>
      </w:r>
      <w:r w:rsidR="00101CFA" w:rsidRPr="009333B5">
        <w:rPr>
          <w:rFonts w:eastAsiaTheme="minorHAnsi" w:cs="Cambria"/>
          <w:color w:val="000000"/>
          <w:lang w:eastAsia="en-US"/>
        </w:rPr>
        <w:t xml:space="preserve"> the EBA consultation paper, </w:t>
      </w:r>
      <w:r w:rsidR="009B2B4B" w:rsidRPr="009333B5">
        <w:rPr>
          <w:rFonts w:eastAsiaTheme="minorHAnsi" w:cs="Cambria"/>
          <w:color w:val="000000"/>
          <w:lang w:eastAsia="en-US"/>
        </w:rPr>
        <w:t>not all the new</w:t>
      </w:r>
      <w:r w:rsidR="00101CFA" w:rsidRPr="009333B5">
        <w:rPr>
          <w:rFonts w:eastAsiaTheme="minorHAnsi" w:cs="Cambria"/>
          <w:color w:val="000000"/>
          <w:lang w:eastAsia="en-US"/>
        </w:rPr>
        <w:t xml:space="preserve"> features </w:t>
      </w:r>
      <w:r w:rsidR="009B2B4B" w:rsidRPr="009333B5">
        <w:rPr>
          <w:rFonts w:eastAsiaTheme="minorHAnsi" w:cs="Cambria"/>
          <w:color w:val="000000"/>
          <w:lang w:eastAsia="en-US"/>
        </w:rPr>
        <w:t>will</w:t>
      </w:r>
      <w:r w:rsidR="00101CFA" w:rsidRPr="009333B5">
        <w:rPr>
          <w:rFonts w:eastAsiaTheme="minorHAnsi" w:cs="Cambria"/>
          <w:color w:val="000000"/>
          <w:lang w:eastAsia="en-US"/>
        </w:rPr>
        <w:t xml:space="preserve"> significantly alleviate the burden for both banks and supervisors </w:t>
      </w:r>
      <w:r w:rsidR="00591816" w:rsidRPr="009333B5">
        <w:rPr>
          <w:rFonts w:eastAsiaTheme="minorHAnsi" w:cs="Cambria"/>
          <w:color w:val="000000"/>
          <w:lang w:eastAsia="en-US"/>
        </w:rPr>
        <w:t>as</w:t>
      </w:r>
      <w:r w:rsidR="00101CFA" w:rsidRPr="009333B5">
        <w:rPr>
          <w:rFonts w:eastAsiaTheme="minorHAnsi" w:cs="Cambria"/>
          <w:color w:val="000000"/>
          <w:lang w:eastAsia="en-US"/>
        </w:rPr>
        <w:t xml:space="preserve"> numerous </w:t>
      </w:r>
      <w:r w:rsidR="00591816" w:rsidRPr="009333B5">
        <w:rPr>
          <w:rFonts w:eastAsiaTheme="minorHAnsi" w:cs="Cambria"/>
          <w:color w:val="000000"/>
          <w:lang w:eastAsia="en-US"/>
        </w:rPr>
        <w:t>“</w:t>
      </w:r>
      <w:r w:rsidR="00101CFA" w:rsidRPr="009333B5">
        <w:rPr>
          <w:rFonts w:eastAsiaTheme="minorHAnsi" w:cs="Cambria"/>
          <w:color w:val="000000"/>
          <w:lang w:eastAsia="en-US"/>
        </w:rPr>
        <w:t>material changes</w:t>
      </w:r>
      <w:r w:rsidR="00591816" w:rsidRPr="009333B5">
        <w:rPr>
          <w:rFonts w:eastAsiaTheme="minorHAnsi" w:cs="Cambria"/>
          <w:color w:val="000000"/>
          <w:lang w:eastAsia="en-US"/>
        </w:rPr>
        <w:t xml:space="preserve">” </w:t>
      </w:r>
      <w:r w:rsidR="009B2B4B" w:rsidRPr="009333B5">
        <w:rPr>
          <w:rFonts w:eastAsiaTheme="minorHAnsi" w:cs="Cambria"/>
          <w:color w:val="000000"/>
          <w:lang w:eastAsia="en-US"/>
        </w:rPr>
        <w:t>will</w:t>
      </w:r>
      <w:r w:rsidR="00591816" w:rsidRPr="009333B5">
        <w:rPr>
          <w:rFonts w:eastAsiaTheme="minorHAnsi" w:cs="Cambria"/>
          <w:color w:val="000000"/>
          <w:lang w:eastAsia="en-US"/>
        </w:rPr>
        <w:t xml:space="preserve"> still be required</w:t>
      </w:r>
      <w:r w:rsidR="00101CFA" w:rsidRPr="009333B5">
        <w:rPr>
          <w:rFonts w:eastAsiaTheme="minorHAnsi" w:cs="Cambria"/>
          <w:color w:val="000000"/>
          <w:lang w:eastAsia="en-US"/>
        </w:rPr>
        <w:t xml:space="preserve">. </w:t>
      </w:r>
    </w:p>
    <w:p w14:paraId="6BD44115" w14:textId="3D019EEE" w:rsidR="00101CFA" w:rsidRPr="00CC27A5" w:rsidRDefault="00B76709" w:rsidP="00CC27A5">
      <w:pPr>
        <w:spacing w:after="120" w:line="276" w:lineRule="auto"/>
        <w:jc w:val="both"/>
        <w:rPr>
          <w:rFonts w:eastAsiaTheme="minorHAnsi" w:cs="Cambria"/>
          <w:color w:val="000000"/>
          <w:lang w:eastAsia="en-US"/>
        </w:rPr>
      </w:pPr>
      <w:r>
        <w:rPr>
          <w:rFonts w:eastAsiaTheme="minorHAnsi" w:cs="Cambria"/>
          <w:color w:val="000000"/>
          <w:lang w:eastAsia="en-US"/>
        </w:rPr>
        <w:t>Hence, f</w:t>
      </w:r>
      <w:r w:rsidR="00101CFA" w:rsidRPr="009333B5">
        <w:rPr>
          <w:rFonts w:eastAsiaTheme="minorHAnsi" w:cs="Cambria"/>
          <w:color w:val="000000"/>
          <w:lang w:eastAsia="en-US"/>
        </w:rPr>
        <w:t>rom a broader perspective, we would welcome any initiative to further simplify the framework. In particular,</w:t>
      </w:r>
      <w:r w:rsidR="00591816" w:rsidRPr="009333B5">
        <w:rPr>
          <w:rFonts w:eastAsiaTheme="minorHAnsi" w:cs="Cambria"/>
          <w:color w:val="000000"/>
          <w:lang w:eastAsia="en-US"/>
        </w:rPr>
        <w:t xml:space="preserve"> we think </w:t>
      </w:r>
      <w:r w:rsidR="007C7EF3" w:rsidRPr="009333B5">
        <w:rPr>
          <w:rFonts w:eastAsiaTheme="minorHAnsi" w:cs="Cambria"/>
          <w:color w:val="000000"/>
          <w:lang w:eastAsia="en-US"/>
        </w:rPr>
        <w:t>in case of material classification, there should be a judgmental layer at the end of the process which allows changes to the classification from a material to non-material categorization. This judgmental reclassification could be an option available to both parties (banks and supervisors), which can be justified based on</w:t>
      </w:r>
      <w:r w:rsidR="005C4089" w:rsidRPr="009333B5">
        <w:rPr>
          <w:rFonts w:eastAsiaTheme="minorHAnsi" w:cs="Cambria"/>
          <w:color w:val="000000"/>
          <w:lang w:eastAsia="en-US"/>
        </w:rPr>
        <w:t xml:space="preserve"> the impact</w:t>
      </w:r>
      <w:r w:rsidR="007C7EF3" w:rsidRPr="009333B5">
        <w:rPr>
          <w:rFonts w:eastAsiaTheme="minorHAnsi" w:cs="Cambria"/>
          <w:color w:val="000000"/>
          <w:lang w:eastAsia="en-US"/>
        </w:rPr>
        <w:t xml:space="preserve"> for</w:t>
      </w:r>
      <w:r w:rsidR="00741DAA" w:rsidRPr="009333B5">
        <w:rPr>
          <w:rFonts w:eastAsiaTheme="minorHAnsi" w:cs="Cambria"/>
          <w:color w:val="000000"/>
          <w:lang w:eastAsia="en-US"/>
        </w:rPr>
        <w:t xml:space="preserve"> </w:t>
      </w:r>
      <w:r w:rsidR="007C7EF3" w:rsidRPr="009333B5">
        <w:rPr>
          <w:rFonts w:eastAsiaTheme="minorHAnsi" w:cs="Cambria"/>
          <w:color w:val="000000"/>
          <w:lang w:eastAsia="en-US"/>
        </w:rPr>
        <w:t>the bank and could be proposed by the bank</w:t>
      </w:r>
      <w:r w:rsidR="00B60E03">
        <w:rPr>
          <w:rFonts w:eastAsiaTheme="minorHAnsi" w:cs="Cambria"/>
          <w:color w:val="000000"/>
          <w:lang w:eastAsia="en-US"/>
        </w:rPr>
        <w:t xml:space="preserve"> in the first instance</w:t>
      </w:r>
      <w:r w:rsidR="007C7EF3" w:rsidRPr="009333B5">
        <w:rPr>
          <w:rFonts w:eastAsiaTheme="minorHAnsi" w:cs="Cambria"/>
          <w:color w:val="000000"/>
          <w:lang w:eastAsia="en-US"/>
        </w:rPr>
        <w:t xml:space="preserve">. Experience shows that in some cases, supervisors are bound by Regulation 529/2014 to apply material change even if their judgement would have concluded to it to be a non-material change. We think that such leeway to a judgmental reclassification should be </w:t>
      </w:r>
      <w:r w:rsidR="00245A25">
        <w:rPr>
          <w:rFonts w:eastAsiaTheme="minorHAnsi" w:cs="Cambria"/>
          <w:color w:val="000000"/>
          <w:lang w:eastAsia="en-US"/>
        </w:rPr>
        <w:t xml:space="preserve">explicitly </w:t>
      </w:r>
      <w:r w:rsidR="007C7EF3" w:rsidRPr="009333B5">
        <w:rPr>
          <w:rFonts w:eastAsiaTheme="minorHAnsi" w:cs="Cambria"/>
          <w:color w:val="000000"/>
          <w:lang w:eastAsia="en-US"/>
        </w:rPr>
        <w:t>considered in the RTS.</w:t>
      </w:r>
    </w:p>
    <w:p w14:paraId="37B92CF7" w14:textId="740F451A" w:rsidR="00E21AB6" w:rsidRPr="00594077" w:rsidRDefault="006C5F25" w:rsidP="00B22374">
      <w:pPr>
        <w:shd w:val="clear" w:color="auto" w:fill="FFFFFF"/>
        <w:spacing w:after="120" w:line="276" w:lineRule="auto"/>
        <w:jc w:val="both"/>
        <w:rPr>
          <w:rFonts w:cs="Arial"/>
          <w:lang w:eastAsia="fr-FR"/>
        </w:rPr>
      </w:pPr>
      <w:r>
        <w:rPr>
          <w:rFonts w:cs="Arial"/>
          <w:color w:val="000000"/>
          <w:lang w:eastAsia="fr-FR"/>
        </w:rPr>
        <w:t>In addition, we note t</w:t>
      </w:r>
      <w:r w:rsidR="00E21AB6" w:rsidRPr="00594077">
        <w:rPr>
          <w:rFonts w:cs="Arial"/>
          <w:color w:val="000000"/>
          <w:lang w:eastAsia="fr-FR"/>
        </w:rPr>
        <w:t>he EBA, in collaboration with competent authorities has explored the option of combining qualitative and quantitative criteria to trigger a material model change. While EBA’s preliminary conclusion at this stage is that qualitative triggers should be maintained on a standalone basis, we find th</w:t>
      </w:r>
      <w:r w:rsidR="00C47984">
        <w:rPr>
          <w:rFonts w:cs="Arial"/>
          <w:color w:val="000000"/>
          <w:lang w:eastAsia="fr-FR"/>
        </w:rPr>
        <w:t xml:space="preserve">e suggestion to combine </w:t>
      </w:r>
      <w:r w:rsidR="00E21AB6" w:rsidRPr="00594077">
        <w:rPr>
          <w:rFonts w:cs="Arial"/>
          <w:color w:val="000000"/>
          <w:lang w:eastAsia="fr-FR"/>
        </w:rPr>
        <w:t>overall very relevant.</w:t>
      </w:r>
    </w:p>
    <w:p w14:paraId="55FEDA78" w14:textId="77777777" w:rsidR="00E21AB6" w:rsidRPr="00594077" w:rsidRDefault="00E21AB6" w:rsidP="00B22374">
      <w:pPr>
        <w:shd w:val="clear" w:color="auto" w:fill="FFFFFF"/>
        <w:spacing w:after="120" w:line="276" w:lineRule="auto"/>
        <w:jc w:val="both"/>
        <w:rPr>
          <w:rFonts w:cs="Arial"/>
          <w:lang w:eastAsia="fr-FR"/>
        </w:rPr>
      </w:pPr>
      <w:r w:rsidRPr="00594077">
        <w:rPr>
          <w:rFonts w:cs="Arial"/>
          <w:color w:val="000000"/>
          <w:lang w:eastAsia="fr-FR"/>
        </w:rPr>
        <w:t>We wish to emphasise our general preference for this approach, which in our view may be further enhanced by incorporating the general idea of flexibility granted to competent authorities for the requalification of the model changes, as follows:</w:t>
      </w:r>
    </w:p>
    <w:p w14:paraId="2D100629" w14:textId="77777777" w:rsidR="00E21AB6" w:rsidRPr="00594077" w:rsidRDefault="00E21AB6" w:rsidP="00066C11">
      <w:pPr>
        <w:pStyle w:val="ListParagraph"/>
        <w:numPr>
          <w:ilvl w:val="0"/>
          <w:numId w:val="14"/>
        </w:numPr>
        <w:shd w:val="clear" w:color="auto" w:fill="FFFFFF"/>
        <w:spacing w:after="120" w:line="276" w:lineRule="auto"/>
        <w:ind w:left="1423" w:hanging="357"/>
        <w:contextualSpacing w:val="0"/>
        <w:jc w:val="both"/>
        <w:rPr>
          <w:rFonts w:cs="Arial"/>
          <w:lang w:eastAsia="fr-FR"/>
        </w:rPr>
      </w:pPr>
      <w:r w:rsidRPr="00594077">
        <w:rPr>
          <w:rFonts w:cs="Arial"/>
          <w:color w:val="000000"/>
          <w:lang w:eastAsia="fr-FR"/>
        </w:rPr>
        <w:lastRenderedPageBreak/>
        <w:t>If both qualitative and quantitative criteria for material change are met, the change should be considered material, unless the competent authority makes use of the above-mentioned judgmental reclassification.</w:t>
      </w:r>
    </w:p>
    <w:p w14:paraId="710B4DE2" w14:textId="28691252" w:rsidR="00E21AB6" w:rsidRPr="00E21AB6" w:rsidRDefault="00E21AB6" w:rsidP="00066C11">
      <w:pPr>
        <w:numPr>
          <w:ilvl w:val="0"/>
          <w:numId w:val="14"/>
        </w:numPr>
        <w:shd w:val="clear" w:color="auto" w:fill="FFFFFF"/>
        <w:spacing w:after="120" w:line="276" w:lineRule="auto"/>
        <w:ind w:left="1423" w:hanging="357"/>
        <w:jc w:val="both"/>
        <w:rPr>
          <w:rFonts w:cs="Arial"/>
          <w:lang w:eastAsia="fr-FR"/>
        </w:rPr>
      </w:pPr>
      <w:r w:rsidRPr="00594077">
        <w:rPr>
          <w:rFonts w:cs="Arial"/>
          <w:color w:val="000000"/>
          <w:lang w:eastAsia="fr-FR"/>
        </w:rPr>
        <w:t>If only one of the two criteria is met, an ex-ante notification shall be made by the supervised institution, allowing the JST/CA to analyse the information provided, request additional information if necessary, and ultimately determine whether the qualification of the model change should be elevated to ‘material’, under a risk-based, prudent but proportionate approach.</w:t>
      </w:r>
    </w:p>
    <w:p w14:paraId="59B7C552" w14:textId="7AECEB01" w:rsidR="00E21AB6" w:rsidRPr="00594077" w:rsidRDefault="00E21AB6" w:rsidP="00B22374">
      <w:pPr>
        <w:pStyle w:val="BodyText"/>
        <w:spacing w:line="276" w:lineRule="auto"/>
        <w:rPr>
          <w:color w:val="000000"/>
          <w:shd w:val="clear" w:color="auto" w:fill="FFFFFF"/>
        </w:rPr>
      </w:pPr>
      <w:r w:rsidRPr="00594077">
        <w:rPr>
          <w:rFonts w:cs="Arial"/>
          <w:color w:val="000000"/>
          <w:lang w:eastAsia="fr-FR"/>
        </w:rPr>
        <w:t>These supervisory discretions would prevent an overly mechani</w:t>
      </w:r>
      <w:r w:rsidR="003120DE">
        <w:rPr>
          <w:rFonts w:cs="Arial"/>
          <w:color w:val="000000"/>
          <w:lang w:eastAsia="fr-FR"/>
        </w:rPr>
        <w:t>stic</w:t>
      </w:r>
      <w:r w:rsidRPr="00594077">
        <w:rPr>
          <w:rFonts w:cs="Arial"/>
          <w:color w:val="000000"/>
          <w:lang w:eastAsia="fr-FR"/>
        </w:rPr>
        <w:t xml:space="preserve"> approach to materiality classification - which may generate unintended burden for supervisors and institutions, thereby supporting the objective of simplification pursued in the update of CDR 529/2014, as indicated in the recital (5) of the draft RTS subject to consultation</w:t>
      </w:r>
      <w:r>
        <w:rPr>
          <w:rFonts w:cs="Arial"/>
          <w:color w:val="000000"/>
          <w:lang w:eastAsia="fr-FR"/>
        </w:rPr>
        <w:t>.</w:t>
      </w:r>
    </w:p>
    <w:p w14:paraId="0B726435" w14:textId="5EB5D554" w:rsidR="001F23DA" w:rsidRDefault="001F23DA" w:rsidP="00214B23">
      <w:pPr>
        <w:pStyle w:val="BodyText"/>
        <w:spacing w:line="276" w:lineRule="auto"/>
        <w:rPr>
          <w:b/>
          <w:bCs/>
          <w:color w:val="000000"/>
          <w:shd w:val="clear" w:color="auto" w:fill="FFFFFF"/>
        </w:rPr>
      </w:pPr>
      <w:r w:rsidRPr="001F23DA">
        <w:rPr>
          <w:b/>
          <w:bCs/>
          <w:color w:val="000000"/>
          <w:shd w:val="clear" w:color="auto" w:fill="FFFFFF"/>
        </w:rPr>
        <w:t xml:space="preserve">Question 1. Do you have any comments on the clarification of the scope of the revised draft regulatory technical standards to specify the conditions for assessing the materiality of the use of an existing rating system for other additional exposures not already covered by that rating system and changes to rating systems under the IRB Approach? </w:t>
      </w:r>
    </w:p>
    <w:p w14:paraId="1CC7E51E" w14:textId="1466E56C" w:rsidR="0020251B" w:rsidRDefault="0020251B" w:rsidP="00214B23">
      <w:pPr>
        <w:pStyle w:val="BodyText"/>
        <w:spacing w:line="276" w:lineRule="auto"/>
        <w:rPr>
          <w:color w:val="000000"/>
          <w:shd w:val="clear" w:color="auto" w:fill="FFFFFF"/>
        </w:rPr>
      </w:pPr>
      <w:r>
        <w:rPr>
          <w:color w:val="000000"/>
          <w:shd w:val="clear" w:color="auto" w:fill="FFFFFF"/>
        </w:rPr>
        <w:t xml:space="preserve">AFME members welcome the introduction of a recital to try and clarify the scope of the RTS, however there are </w:t>
      </w:r>
      <w:r w:rsidR="00CC4D05">
        <w:rPr>
          <w:color w:val="000000"/>
          <w:shd w:val="clear" w:color="auto" w:fill="FFFFFF"/>
        </w:rPr>
        <w:t>several</w:t>
      </w:r>
      <w:r>
        <w:rPr>
          <w:color w:val="000000"/>
          <w:shd w:val="clear" w:color="auto" w:fill="FFFFFF"/>
        </w:rPr>
        <w:t xml:space="preserve"> uncertainties remaining around what should or should not be considered in scope and additional aspects the EBA should </w:t>
      </w:r>
      <w:proofErr w:type="gramStart"/>
      <w:r>
        <w:rPr>
          <w:color w:val="000000"/>
          <w:shd w:val="clear" w:color="auto" w:fill="FFFFFF"/>
        </w:rPr>
        <w:t>take into account</w:t>
      </w:r>
      <w:proofErr w:type="gramEnd"/>
      <w:r>
        <w:rPr>
          <w:color w:val="000000"/>
          <w:shd w:val="clear" w:color="auto" w:fill="FFFFFF"/>
        </w:rPr>
        <w:t xml:space="preserve"> and confirm in the RTS. We have listed these below.</w:t>
      </w:r>
    </w:p>
    <w:p w14:paraId="3612F5FE" w14:textId="2AA48ECB" w:rsidR="00DB6D65" w:rsidRPr="000434DA" w:rsidRDefault="00DB6D65" w:rsidP="00214B23">
      <w:pPr>
        <w:pStyle w:val="BodyText"/>
        <w:spacing w:line="276" w:lineRule="auto"/>
        <w:rPr>
          <w:color w:val="000000"/>
          <w:shd w:val="clear" w:color="auto" w:fill="FFFFFF"/>
        </w:rPr>
      </w:pPr>
      <w:r>
        <w:rPr>
          <w:color w:val="000000"/>
          <w:shd w:val="clear" w:color="auto" w:fill="FFFFFF"/>
        </w:rPr>
        <w:t>Scope:</w:t>
      </w:r>
    </w:p>
    <w:p w14:paraId="04725475" w14:textId="317330B0" w:rsidR="00003230" w:rsidRPr="00F2192E" w:rsidRDefault="00105961" w:rsidP="00F2192E">
      <w:pPr>
        <w:numPr>
          <w:ilvl w:val="0"/>
          <w:numId w:val="13"/>
        </w:numPr>
        <w:suppressAutoHyphens/>
        <w:spacing w:after="120" w:line="276" w:lineRule="auto"/>
        <w:ind w:left="714" w:hanging="357"/>
        <w:jc w:val="both"/>
        <w:rPr>
          <w:color w:val="000000"/>
          <w:shd w:val="clear" w:color="auto" w:fill="FFFFFF"/>
        </w:rPr>
      </w:pPr>
      <w:r w:rsidRPr="00F2192E">
        <w:rPr>
          <w:color w:val="000000"/>
          <w:shd w:val="clear" w:color="auto" w:fill="FFFFFF"/>
        </w:rPr>
        <w:t xml:space="preserve">The </w:t>
      </w:r>
      <w:r w:rsidR="000B2FD3" w:rsidRPr="00F2192E">
        <w:rPr>
          <w:color w:val="000000"/>
          <w:shd w:val="clear" w:color="auto" w:fill="FFFFFF"/>
        </w:rPr>
        <w:t xml:space="preserve">EBA is requested to clarify what it understands "updates to the data used in the ongoing application of the rating systems in order to calculate the risk weight exposure amount for the application portfolio" to </w:t>
      </w:r>
      <w:r w:rsidR="00F01E83" w:rsidRPr="00F2192E">
        <w:rPr>
          <w:color w:val="000000"/>
          <w:shd w:val="clear" w:color="auto" w:fill="FFFFFF"/>
        </w:rPr>
        <w:t xml:space="preserve">include </w:t>
      </w:r>
      <w:r w:rsidR="00106DB8" w:rsidRPr="00F2192E">
        <w:rPr>
          <w:color w:val="000000"/>
          <w:shd w:val="clear" w:color="auto" w:fill="FFFFFF"/>
        </w:rPr>
        <w:t>and</w:t>
      </w:r>
      <w:r w:rsidR="000B2FD3" w:rsidRPr="00F2192E">
        <w:rPr>
          <w:color w:val="000000"/>
          <w:shd w:val="clear" w:color="auto" w:fill="FFFFFF"/>
        </w:rPr>
        <w:t xml:space="preserve"> provi</w:t>
      </w:r>
      <w:r w:rsidR="000361A7" w:rsidRPr="00F2192E">
        <w:rPr>
          <w:color w:val="000000"/>
          <w:shd w:val="clear" w:color="auto" w:fill="FFFFFF"/>
        </w:rPr>
        <w:t xml:space="preserve">de </w:t>
      </w:r>
      <w:r w:rsidR="000B2FD3" w:rsidRPr="00F2192E">
        <w:rPr>
          <w:color w:val="000000"/>
          <w:shd w:val="clear" w:color="auto" w:fill="FFFFFF"/>
        </w:rPr>
        <w:t>examples. Given that one type of data update remains within the scope of the RTS and the other out</w:t>
      </w:r>
      <w:r w:rsidR="000361A7" w:rsidRPr="00F2192E">
        <w:rPr>
          <w:color w:val="000000"/>
          <w:shd w:val="clear" w:color="auto" w:fill="FFFFFF"/>
        </w:rPr>
        <w:t xml:space="preserve"> of scope</w:t>
      </w:r>
      <w:r w:rsidR="000B2FD3" w:rsidRPr="00F2192E">
        <w:rPr>
          <w:color w:val="000000"/>
          <w:shd w:val="clear" w:color="auto" w:fill="FFFFFF"/>
        </w:rPr>
        <w:t>, a clear</w:t>
      </w:r>
      <w:r w:rsidR="000361A7" w:rsidRPr="00F2192E">
        <w:rPr>
          <w:color w:val="000000"/>
          <w:shd w:val="clear" w:color="auto" w:fill="FFFFFF"/>
        </w:rPr>
        <w:t>er</w:t>
      </w:r>
      <w:r w:rsidR="000B2FD3" w:rsidRPr="00F2192E">
        <w:rPr>
          <w:color w:val="000000"/>
          <w:shd w:val="clear" w:color="auto" w:fill="FFFFFF"/>
        </w:rPr>
        <w:t xml:space="preserve"> definition would be very helpful.</w:t>
      </w:r>
      <w:r w:rsidR="00003230" w:rsidRPr="00F2192E">
        <w:rPr>
          <w:color w:val="000000"/>
          <w:shd w:val="clear" w:color="auto" w:fill="FFFFFF"/>
        </w:rPr>
        <w:t xml:space="preserve"> In particular</w:t>
      </w:r>
      <w:r w:rsidR="001E18FF">
        <w:rPr>
          <w:color w:val="000000"/>
          <w:shd w:val="clear" w:color="auto" w:fill="FFFFFF"/>
        </w:rPr>
        <w:t>,</w:t>
      </w:r>
      <w:r w:rsidR="00003230" w:rsidRPr="00F2192E">
        <w:rPr>
          <w:color w:val="000000"/>
          <w:shd w:val="clear" w:color="auto" w:fill="FFFFFF"/>
        </w:rPr>
        <w:t xml:space="preserve"> we consider that the remediation of data quality issues (e.g. amending missing/incorrect LTV input data or fixing data traceability issues)</w:t>
      </w:r>
      <w:r w:rsidR="009A26B4" w:rsidRPr="00F2192E">
        <w:rPr>
          <w:color w:val="000000"/>
          <w:shd w:val="clear" w:color="auto" w:fill="FFFFFF"/>
        </w:rPr>
        <w:t xml:space="preserve"> should be out of scope</w:t>
      </w:r>
      <w:r w:rsidR="00003230" w:rsidRPr="00F2192E">
        <w:rPr>
          <w:color w:val="000000"/>
          <w:shd w:val="clear" w:color="auto" w:fill="FFFFFF"/>
        </w:rPr>
        <w:t>, even if they affect the modelling process (as it should not be considered an IRB change).</w:t>
      </w:r>
    </w:p>
    <w:p w14:paraId="395EA2BE" w14:textId="163DB115" w:rsidR="008A21C9" w:rsidRPr="00F2192E" w:rsidRDefault="00971511" w:rsidP="00F2192E">
      <w:pPr>
        <w:pStyle w:val="BodyText"/>
        <w:numPr>
          <w:ilvl w:val="0"/>
          <w:numId w:val="15"/>
        </w:numPr>
        <w:spacing w:line="276" w:lineRule="auto"/>
        <w:ind w:left="714" w:hanging="357"/>
        <w:rPr>
          <w:color w:val="000000"/>
          <w:shd w:val="clear" w:color="auto" w:fill="FFFFFF"/>
        </w:rPr>
      </w:pPr>
      <w:r w:rsidRPr="00F2192E">
        <w:rPr>
          <w:color w:val="000000"/>
          <w:shd w:val="clear" w:color="auto" w:fill="FFFFFF"/>
        </w:rPr>
        <w:t>W</w:t>
      </w:r>
      <w:r w:rsidR="00E51A72" w:rsidRPr="00F2192E">
        <w:rPr>
          <w:color w:val="000000"/>
          <w:shd w:val="clear" w:color="auto" w:fill="FFFFFF"/>
        </w:rPr>
        <w:t xml:space="preserve">e think it should be made clear that the recalibration after backtesting only as a mechanical effect of adding one additional year of default is considered out of scope </w:t>
      </w:r>
      <w:r w:rsidR="00CC4D05" w:rsidRPr="00F2192E">
        <w:rPr>
          <w:color w:val="000000"/>
          <w:shd w:val="clear" w:color="auto" w:fill="FFFFFF"/>
        </w:rPr>
        <w:t>to</w:t>
      </w:r>
      <w:r w:rsidR="00E51A72" w:rsidRPr="00F2192E">
        <w:rPr>
          <w:color w:val="000000"/>
          <w:shd w:val="clear" w:color="auto" w:fill="FFFFFF"/>
        </w:rPr>
        <w:t xml:space="preserve"> avoid undue burden for both banks and supervisors. Our recommendation is that they are part of the “ongoing application of rating systems” which should be clarified.</w:t>
      </w:r>
      <w:r w:rsidR="0025237E">
        <w:rPr>
          <w:color w:val="000000"/>
          <w:shd w:val="clear" w:color="auto" w:fill="FFFFFF"/>
        </w:rPr>
        <w:t xml:space="preserve"> </w:t>
      </w:r>
      <w:r w:rsidR="007C1CF6">
        <w:rPr>
          <w:color w:val="000000"/>
          <w:shd w:val="clear" w:color="auto" w:fill="FFFFFF"/>
        </w:rPr>
        <w:t>Alternatively it can be subject to ex post notification.</w:t>
      </w:r>
      <w:r w:rsidR="00E51A72" w:rsidRPr="00F2192E">
        <w:rPr>
          <w:color w:val="000000"/>
          <w:shd w:val="clear" w:color="auto" w:fill="FFFFFF"/>
        </w:rPr>
        <w:t xml:space="preserve"> </w:t>
      </w:r>
    </w:p>
    <w:p w14:paraId="6227DC9E" w14:textId="5E9B03A6" w:rsidR="00971511" w:rsidRDefault="00CC1171" w:rsidP="00F2192E">
      <w:pPr>
        <w:pStyle w:val="BodyText"/>
        <w:numPr>
          <w:ilvl w:val="0"/>
          <w:numId w:val="15"/>
        </w:numPr>
        <w:spacing w:line="276" w:lineRule="auto"/>
        <w:ind w:left="714" w:hanging="357"/>
        <w:rPr>
          <w:shd w:val="clear" w:color="auto" w:fill="FFFFFF"/>
          <w:lang w:val="en-US"/>
        </w:rPr>
      </w:pPr>
      <w:r>
        <w:rPr>
          <w:color w:val="000000"/>
          <w:shd w:val="clear" w:color="auto" w:fill="FFFFFF"/>
        </w:rPr>
        <w:t xml:space="preserve">Changes in exposure class: </w:t>
      </w:r>
      <w:r w:rsidR="00971511" w:rsidRPr="00F2192E">
        <w:rPr>
          <w:color w:val="000000"/>
          <w:shd w:val="clear" w:color="auto" w:fill="FFFFFF"/>
        </w:rPr>
        <w:t xml:space="preserve">There is a lack of clarity on the boundaries of the changes to be notified </w:t>
      </w:r>
      <w:r w:rsidR="00CC4D05" w:rsidRPr="00F2192E">
        <w:rPr>
          <w:color w:val="000000"/>
          <w:shd w:val="clear" w:color="auto" w:fill="FFFFFF"/>
        </w:rPr>
        <w:t>regarding</w:t>
      </w:r>
      <w:r w:rsidR="00971511" w:rsidRPr="00F2192E">
        <w:rPr>
          <w:color w:val="000000"/>
          <w:shd w:val="clear" w:color="auto" w:fill="FFFFFF"/>
        </w:rPr>
        <w:t xml:space="preserve"> those having an impact on RWA formula: indeed, we could have changes that impact the RWA formula but without impacting the PD, LGD, CCF models. For example, the allocation to the exposure class Retail-QRRE, which under the new CRR3 represents an explicit</w:t>
      </w:r>
      <w:r w:rsidR="00971511" w:rsidRPr="000B2FD3">
        <w:rPr>
          <w:shd w:val="clear" w:color="auto" w:fill="FFFFFF"/>
          <w:lang w:val="en-US"/>
        </w:rPr>
        <w:t xml:space="preserve"> new exposure class as per amended Art 147 depends </w:t>
      </w:r>
      <w:r w:rsidR="00971511" w:rsidRPr="00FC572F">
        <w:rPr>
          <w:shd w:val="clear" w:color="auto" w:fill="FFFFFF"/>
          <w:lang w:val="en-US"/>
        </w:rPr>
        <w:t xml:space="preserve">on </w:t>
      </w:r>
      <w:r w:rsidR="00971511" w:rsidRPr="000B2FD3">
        <w:rPr>
          <w:shd w:val="clear" w:color="auto" w:fill="FFFFFF"/>
          <w:lang w:val="en-US"/>
        </w:rPr>
        <w:t xml:space="preserve">a list of criteria (including the check on the volatility of loss rate) but it does not necessarily impact the models of the underlying credit risk parameters. </w:t>
      </w:r>
      <w:r w:rsidR="00971511" w:rsidRPr="00FC572F">
        <w:rPr>
          <w:shd w:val="clear" w:color="auto" w:fill="FFFFFF"/>
          <w:lang w:val="en-US"/>
        </w:rPr>
        <w:t>We would like the EBA to confirm if</w:t>
      </w:r>
      <w:r w:rsidR="00971511" w:rsidRPr="000B2FD3">
        <w:rPr>
          <w:shd w:val="clear" w:color="auto" w:fill="FFFFFF"/>
          <w:lang w:val="en-US"/>
        </w:rPr>
        <w:t xml:space="preserve"> this type of change </w:t>
      </w:r>
      <w:r w:rsidR="00971511" w:rsidRPr="00FC572F">
        <w:rPr>
          <w:shd w:val="clear" w:color="auto" w:fill="FFFFFF"/>
          <w:lang w:val="en-US"/>
        </w:rPr>
        <w:t>requires</w:t>
      </w:r>
      <w:r w:rsidR="00971511" w:rsidRPr="000B2FD3">
        <w:rPr>
          <w:shd w:val="clear" w:color="auto" w:fill="FFFFFF"/>
          <w:lang w:val="en-US"/>
        </w:rPr>
        <w:t xml:space="preserve"> notification </w:t>
      </w:r>
      <w:r w:rsidR="00971511" w:rsidRPr="00FC572F">
        <w:rPr>
          <w:shd w:val="clear" w:color="auto" w:fill="FFFFFF"/>
          <w:lang w:val="en-US"/>
        </w:rPr>
        <w:t>sin</w:t>
      </w:r>
      <w:r w:rsidR="00971511" w:rsidRPr="000B2FD3">
        <w:rPr>
          <w:shd w:val="clear" w:color="auto" w:fill="FFFFFF"/>
          <w:lang w:val="en-US"/>
        </w:rPr>
        <w:t xml:space="preserve">ce par. 11 – page 7 (“On the contrary, the methodology for assigning exposures to exposure classes continues to fall within the scope of the RTS on model change as changes to this methodology may also affect the internal risk estimates used for RWEA calculation and not only the formula used for RWEA calculation itself.”) could </w:t>
      </w:r>
      <w:r w:rsidR="00971511" w:rsidRPr="00FC572F">
        <w:rPr>
          <w:shd w:val="clear" w:color="auto" w:fill="FFFFFF"/>
          <w:lang w:val="en-US"/>
        </w:rPr>
        <w:t>be open to interpretation.</w:t>
      </w:r>
      <w:r w:rsidR="00971511" w:rsidRPr="000B2FD3">
        <w:rPr>
          <w:shd w:val="clear" w:color="auto" w:fill="FFFFFF"/>
          <w:lang w:val="en-US"/>
        </w:rPr>
        <w:t xml:space="preserve"> This clarification </w:t>
      </w:r>
      <w:proofErr w:type="gramStart"/>
      <w:r w:rsidR="00971511" w:rsidRPr="000B2FD3">
        <w:rPr>
          <w:shd w:val="clear" w:color="auto" w:fill="FFFFFF"/>
          <w:lang w:val="en-US"/>
        </w:rPr>
        <w:t>is</w:t>
      </w:r>
      <w:r w:rsidR="00971511" w:rsidRPr="00FC572F">
        <w:rPr>
          <w:shd w:val="clear" w:color="auto" w:fill="FFFFFF"/>
          <w:lang w:val="en-US"/>
        </w:rPr>
        <w:t xml:space="preserve"> also</w:t>
      </w:r>
      <w:r w:rsidR="00971511" w:rsidRPr="000B2FD3">
        <w:rPr>
          <w:shd w:val="clear" w:color="auto" w:fill="FFFFFF"/>
          <w:lang w:val="en-US"/>
        </w:rPr>
        <w:t xml:space="preserve"> needed</w:t>
      </w:r>
      <w:proofErr w:type="gramEnd"/>
      <w:r w:rsidR="00971511" w:rsidRPr="000B2FD3">
        <w:rPr>
          <w:shd w:val="clear" w:color="auto" w:fill="FFFFFF"/>
          <w:lang w:val="en-US"/>
        </w:rPr>
        <w:t xml:space="preserve"> with respect to par. 22.</w:t>
      </w:r>
      <w:r w:rsidR="006507CD" w:rsidRPr="006507CD">
        <w:rPr>
          <w:shd w:val="clear" w:color="auto" w:fill="FFFFFF"/>
          <w:lang w:val="en-US"/>
        </w:rPr>
        <w:t xml:space="preserve"> </w:t>
      </w:r>
      <w:r w:rsidR="006507CD">
        <w:rPr>
          <w:shd w:val="clear" w:color="auto" w:fill="FFFFFF"/>
          <w:lang w:val="en-US"/>
        </w:rPr>
        <w:t>It</w:t>
      </w:r>
      <w:r w:rsidR="006507CD" w:rsidRPr="000D197E">
        <w:rPr>
          <w:shd w:val="clear" w:color="auto" w:fill="FFFFFF"/>
          <w:lang w:val="en-US"/>
        </w:rPr>
        <w:t xml:space="preserve"> is our understanding that just </w:t>
      </w:r>
      <w:r w:rsidR="006507CD" w:rsidRPr="000D197E">
        <w:rPr>
          <w:shd w:val="clear" w:color="auto" w:fill="FFFFFF"/>
          <w:lang w:val="en-US"/>
        </w:rPr>
        <w:lastRenderedPageBreak/>
        <w:t>assigning exposures to exposures classes should</w:t>
      </w:r>
      <w:r w:rsidR="006507CD">
        <w:rPr>
          <w:shd w:val="clear" w:color="auto" w:fill="FFFFFF"/>
          <w:lang w:val="en-US"/>
        </w:rPr>
        <w:t xml:space="preserve"> not</w:t>
      </w:r>
      <w:r w:rsidR="006507CD" w:rsidRPr="000D197E">
        <w:rPr>
          <w:shd w:val="clear" w:color="auto" w:fill="FFFFFF"/>
          <w:lang w:val="en-US"/>
        </w:rPr>
        <w:t xml:space="preserve"> be in scope of this RTS</w:t>
      </w:r>
      <w:r w:rsidR="006507CD">
        <w:rPr>
          <w:shd w:val="clear" w:color="auto" w:fill="FFFFFF"/>
          <w:lang w:val="en-US"/>
        </w:rPr>
        <w:t xml:space="preserve"> and would welcome clarity on this in the final RTS</w:t>
      </w:r>
      <w:r w:rsidR="006507CD" w:rsidRPr="000D197E">
        <w:rPr>
          <w:shd w:val="clear" w:color="auto" w:fill="FFFFFF"/>
          <w:lang w:val="en-US"/>
        </w:rPr>
        <w:t>.</w:t>
      </w:r>
    </w:p>
    <w:p w14:paraId="5FF90F07" w14:textId="09509F40" w:rsidR="00EE3D8D" w:rsidRDefault="00DF1726" w:rsidP="006507CD">
      <w:pPr>
        <w:pStyle w:val="BodyText"/>
        <w:spacing w:line="276" w:lineRule="auto"/>
        <w:ind w:left="720"/>
        <w:rPr>
          <w:shd w:val="clear" w:color="auto" w:fill="FFFFFF"/>
          <w:lang w:val="en-US"/>
        </w:rPr>
      </w:pPr>
      <w:r>
        <w:rPr>
          <w:shd w:val="clear" w:color="auto" w:fill="FFFFFF"/>
          <w:lang w:val="en-US"/>
        </w:rPr>
        <w:t xml:space="preserve">With regard </w:t>
      </w:r>
      <w:r w:rsidR="00EE3D8D" w:rsidRPr="00D72904">
        <w:rPr>
          <w:shd w:val="clear" w:color="auto" w:fill="FFFFFF"/>
          <w:lang w:val="en-US"/>
        </w:rPr>
        <w:t xml:space="preserve">to the changes to rating systems, it </w:t>
      </w:r>
      <w:proofErr w:type="gramStart"/>
      <w:r w:rsidR="00EE3D8D" w:rsidRPr="00D72904">
        <w:rPr>
          <w:shd w:val="clear" w:color="auto" w:fill="FFFFFF"/>
          <w:lang w:val="en-US"/>
        </w:rPr>
        <w:t>is mentioned</w:t>
      </w:r>
      <w:proofErr w:type="gramEnd"/>
      <w:r w:rsidR="00EE3D8D" w:rsidRPr="00D72904">
        <w:rPr>
          <w:shd w:val="clear" w:color="auto" w:fill="FFFFFF"/>
          <w:lang w:val="en-US"/>
        </w:rPr>
        <w:t xml:space="preserve"> that changes not affecting the performance of a rating system are not in scope of the RTS, regardless of whether they are mandatory or not and even if they have a potential impact on the RWA calculation. However, in the case of changes to the methodology for assigning exposures to exposures classes, they </w:t>
      </w:r>
      <w:proofErr w:type="gramStart"/>
      <w:r w:rsidR="00EE3D8D" w:rsidRPr="00D72904">
        <w:rPr>
          <w:shd w:val="clear" w:color="auto" w:fill="FFFFFF"/>
          <w:lang w:val="en-US"/>
        </w:rPr>
        <w:t>are always considered</w:t>
      </w:r>
      <w:proofErr w:type="gramEnd"/>
      <w:r w:rsidR="00EE3D8D" w:rsidRPr="00D72904">
        <w:rPr>
          <w:shd w:val="clear" w:color="auto" w:fill="FFFFFF"/>
          <w:lang w:val="en-US"/>
        </w:rPr>
        <w:t xml:space="preserve"> in scope of the RTS due to the potential impact on the risk parameters. Nevertheless, not all the changes to the exposure classes definition may affect the internal risk estimates, as the range of application of rating systems may not vary. The range of applications of each rating system </w:t>
      </w:r>
      <w:proofErr w:type="gramStart"/>
      <w:r w:rsidR="00EE3D8D" w:rsidRPr="00D72904">
        <w:rPr>
          <w:shd w:val="clear" w:color="auto" w:fill="FFFFFF"/>
          <w:lang w:val="en-US"/>
        </w:rPr>
        <w:t>is defined</w:t>
      </w:r>
      <w:proofErr w:type="gramEnd"/>
      <w:r w:rsidR="00EE3D8D" w:rsidRPr="00D72904">
        <w:rPr>
          <w:shd w:val="clear" w:color="auto" w:fill="FFFFFF"/>
          <w:lang w:val="en-US"/>
        </w:rPr>
        <w:t xml:space="preserve"> based on management practices and business mode, so the range is consistent over time, according to paragraph 13 of the EBA/GL/2017/16, although it could imply a potential misalignment with the exposure classes defined for RWA calculation. This interpretation </w:t>
      </w:r>
      <w:proofErr w:type="gramStart"/>
      <w:r w:rsidR="00EE3D8D" w:rsidRPr="00D72904">
        <w:rPr>
          <w:shd w:val="clear" w:color="auto" w:fill="FFFFFF"/>
          <w:lang w:val="en-US"/>
        </w:rPr>
        <w:t>is also sustained</w:t>
      </w:r>
      <w:proofErr w:type="gramEnd"/>
      <w:r w:rsidR="00EE3D8D" w:rsidRPr="00D72904">
        <w:rPr>
          <w:shd w:val="clear" w:color="auto" w:fill="FFFFFF"/>
          <w:lang w:val="en-US"/>
        </w:rPr>
        <w:t xml:space="preserve"> in the Basel Framework, standard CRE 30.5: </w:t>
      </w:r>
    </w:p>
    <w:p w14:paraId="314AF3FD" w14:textId="77777777" w:rsidR="00273A93" w:rsidRDefault="00EE3D8D" w:rsidP="0024372B">
      <w:pPr>
        <w:pStyle w:val="BodyText"/>
        <w:spacing w:line="276" w:lineRule="auto"/>
        <w:ind w:left="720"/>
        <w:rPr>
          <w:i/>
          <w:iCs/>
          <w:shd w:val="clear" w:color="auto" w:fill="FFFFFF"/>
          <w:lang w:val="en-US"/>
        </w:rPr>
      </w:pPr>
      <w:r w:rsidRPr="00D72904">
        <w:rPr>
          <w:shd w:val="clear" w:color="auto" w:fill="FFFFFF"/>
          <w:lang w:val="en-US"/>
        </w:rPr>
        <w:t>‘</w:t>
      </w:r>
      <w:r w:rsidRPr="00D72904">
        <w:rPr>
          <w:i/>
          <w:iCs/>
          <w:shd w:val="clear" w:color="auto" w:fill="FFFFFF"/>
          <w:lang w:val="en-US"/>
        </w:rPr>
        <w:t xml:space="preserve">The classification of exposures in this way is broadly consistent with established bank practice. However, </w:t>
      </w:r>
      <w:proofErr w:type="gramStart"/>
      <w:r w:rsidRPr="00D72904">
        <w:rPr>
          <w:i/>
          <w:iCs/>
          <w:shd w:val="clear" w:color="auto" w:fill="FFFFFF"/>
          <w:lang w:val="en-US"/>
        </w:rPr>
        <w:t>some</w:t>
      </w:r>
      <w:proofErr w:type="gramEnd"/>
      <w:r w:rsidRPr="00D72904">
        <w:rPr>
          <w:i/>
          <w:iCs/>
          <w:shd w:val="clear" w:color="auto" w:fill="FFFFFF"/>
          <w:lang w:val="en-US"/>
        </w:rPr>
        <w:t xml:space="preserve"> banks may use different definitions in their internal risk management and measurement systems. While it is not the intention of the Committee to require banks to change the way in which they manage their business and risks, banks </w:t>
      </w:r>
      <w:proofErr w:type="gramStart"/>
      <w:r w:rsidRPr="00D72904">
        <w:rPr>
          <w:i/>
          <w:iCs/>
          <w:shd w:val="clear" w:color="auto" w:fill="FFFFFF"/>
          <w:lang w:val="en-US"/>
        </w:rPr>
        <w:t>are required</w:t>
      </w:r>
      <w:proofErr w:type="gramEnd"/>
      <w:r w:rsidRPr="00D72904">
        <w:rPr>
          <w:i/>
          <w:iCs/>
          <w:shd w:val="clear" w:color="auto" w:fill="FFFFFF"/>
          <w:lang w:val="en-US"/>
        </w:rPr>
        <w:t xml:space="preserve"> to apply the appropriate treatment to each exposure for the purposes of deriving their minimum capital requirement. Banks must demonstrate to supervisors that their methodology for assigning exposures to different classes is appropriate and consistent over time</w:t>
      </w:r>
      <w:proofErr w:type="gramStart"/>
      <w:r w:rsidRPr="00D72904">
        <w:rPr>
          <w:i/>
          <w:iCs/>
          <w:shd w:val="clear" w:color="auto" w:fill="FFFFFF"/>
          <w:lang w:val="en-US"/>
        </w:rPr>
        <w:t>’</w:t>
      </w:r>
      <w:r w:rsidR="00DD6ABD">
        <w:rPr>
          <w:i/>
          <w:iCs/>
          <w:shd w:val="clear" w:color="auto" w:fill="FFFFFF"/>
          <w:lang w:val="en-US"/>
        </w:rPr>
        <w:t>.</w:t>
      </w:r>
      <w:proofErr w:type="gramEnd"/>
      <w:r w:rsidR="00DD6ABD">
        <w:rPr>
          <w:i/>
          <w:iCs/>
          <w:shd w:val="clear" w:color="auto" w:fill="FFFFFF"/>
          <w:lang w:val="en-US"/>
        </w:rPr>
        <w:t xml:space="preserve"> </w:t>
      </w:r>
    </w:p>
    <w:p w14:paraId="3614EB71" w14:textId="61F5E479" w:rsidR="00235AD9" w:rsidRDefault="00DA4944" w:rsidP="00273A93">
      <w:pPr>
        <w:pStyle w:val="BodyText"/>
        <w:numPr>
          <w:ilvl w:val="0"/>
          <w:numId w:val="23"/>
        </w:numPr>
        <w:spacing w:line="276" w:lineRule="auto"/>
        <w:rPr>
          <w:shd w:val="clear" w:color="auto" w:fill="FFFFFF"/>
          <w:lang w:val="en-US"/>
        </w:rPr>
      </w:pPr>
      <w:r>
        <w:rPr>
          <w:shd w:val="clear" w:color="auto" w:fill="FFFFFF"/>
          <w:lang w:val="en-US"/>
        </w:rPr>
        <w:t xml:space="preserve">Model performance: </w:t>
      </w:r>
      <w:r w:rsidRPr="00514F7B">
        <w:rPr>
          <w:shd w:val="clear" w:color="auto" w:fill="FFFFFF"/>
          <w:lang w:val="en-US"/>
        </w:rPr>
        <w:t>we understand that the EBA is capitalizing on its statement made on CRR3, which segment</w:t>
      </w:r>
      <w:r>
        <w:rPr>
          <w:shd w:val="clear" w:color="auto" w:fill="FFFFFF"/>
          <w:lang w:val="en-US"/>
        </w:rPr>
        <w:t>s</w:t>
      </w:r>
      <w:r w:rsidRPr="00514F7B">
        <w:rPr>
          <w:shd w:val="clear" w:color="auto" w:fill="FFFFFF"/>
          <w:lang w:val="en-US"/>
        </w:rPr>
        <w:t xml:space="preserve"> classifications based on whether the changes impact the model performance. In this context, we understand that the need for model change submission is based on whether the changes impact the performance of the models or not. </w:t>
      </w:r>
    </w:p>
    <w:p w14:paraId="3F55B38E" w14:textId="4BA22E92" w:rsidR="00D72904" w:rsidRDefault="005B2F9E" w:rsidP="00D72904">
      <w:pPr>
        <w:pStyle w:val="BodyText"/>
        <w:numPr>
          <w:ilvl w:val="0"/>
          <w:numId w:val="15"/>
        </w:numPr>
        <w:spacing w:line="276" w:lineRule="auto"/>
        <w:rPr>
          <w:shd w:val="clear" w:color="auto" w:fill="FFFFFF"/>
          <w:lang w:val="en-US"/>
        </w:rPr>
      </w:pPr>
      <w:r>
        <w:rPr>
          <w:shd w:val="clear" w:color="auto" w:fill="FFFFFF"/>
          <w:lang w:val="en-US"/>
        </w:rPr>
        <w:t xml:space="preserve">Further, </w:t>
      </w:r>
      <w:r w:rsidR="00D57B91" w:rsidRPr="0047058B">
        <w:rPr>
          <w:shd w:val="clear" w:color="auto" w:fill="FFFFFF"/>
          <w:lang w:val="en-US"/>
        </w:rPr>
        <w:t xml:space="preserve">apart from the validation process, it is our understanding that the rest of the rating </w:t>
      </w:r>
      <w:r w:rsidR="00A96649">
        <w:rPr>
          <w:shd w:val="clear" w:color="auto" w:fill="FFFFFF"/>
          <w:lang w:val="en-US"/>
        </w:rPr>
        <w:t>automation</w:t>
      </w:r>
      <w:r w:rsidR="00D57B91" w:rsidRPr="0047058B">
        <w:rPr>
          <w:shd w:val="clear" w:color="auto" w:fill="FFFFFF"/>
          <w:lang w:val="en-US"/>
        </w:rPr>
        <w:t xml:space="preserve"> processes that have no impact on the model</w:t>
      </w:r>
      <w:r w:rsidR="006E677C">
        <w:rPr>
          <w:shd w:val="clear" w:color="auto" w:fill="FFFFFF"/>
          <w:lang w:val="en-US"/>
        </w:rPr>
        <w:t xml:space="preserve"> performance</w:t>
      </w:r>
      <w:r w:rsidR="00D57B91" w:rsidRPr="0047058B">
        <w:rPr>
          <w:shd w:val="clear" w:color="auto" w:fill="FFFFFF"/>
          <w:lang w:val="en-US"/>
        </w:rPr>
        <w:t xml:space="preserve"> do not fall within the scope irrespective of the quantitative impact on capital</w:t>
      </w:r>
      <w:r>
        <w:rPr>
          <w:shd w:val="clear" w:color="auto" w:fill="FFFFFF"/>
          <w:lang w:val="en-US"/>
        </w:rPr>
        <w:t xml:space="preserve">. </w:t>
      </w:r>
      <w:r w:rsidR="00DA4944" w:rsidRPr="00514F7B">
        <w:rPr>
          <w:shd w:val="clear" w:color="auto" w:fill="FFFFFF"/>
          <w:lang w:val="en-US"/>
        </w:rPr>
        <w:t>In this context, the RTS should state permanently that changes imposed by regulation which do not affect the performance of the rating systems are out of scope.</w:t>
      </w:r>
      <w:r w:rsidR="00032B08" w:rsidRPr="00032B08">
        <w:rPr>
          <w:shd w:val="clear" w:color="auto" w:fill="FFFFFF"/>
          <w:lang w:val="en-US"/>
        </w:rPr>
        <w:t xml:space="preserve"> </w:t>
      </w:r>
    </w:p>
    <w:p w14:paraId="6CF935C0" w14:textId="47902A9C" w:rsidR="007119A8" w:rsidRDefault="00637198" w:rsidP="007119A8">
      <w:pPr>
        <w:pStyle w:val="ListParagraph"/>
        <w:numPr>
          <w:ilvl w:val="0"/>
          <w:numId w:val="15"/>
        </w:numPr>
        <w:spacing w:after="120" w:line="276" w:lineRule="auto"/>
        <w:jc w:val="both"/>
        <w:rPr>
          <w:shd w:val="clear" w:color="auto" w:fill="FFFFFF"/>
          <w:lang w:val="en-US"/>
        </w:rPr>
      </w:pPr>
      <w:r>
        <w:rPr>
          <w:shd w:val="clear" w:color="auto" w:fill="FFFFFF"/>
          <w:lang w:val="en-US"/>
        </w:rPr>
        <w:t>The EBA should c</w:t>
      </w:r>
      <w:r w:rsidR="001F57CE" w:rsidRPr="001F57CE">
        <w:rPr>
          <w:shd w:val="clear" w:color="auto" w:fill="FFFFFF"/>
          <w:lang w:val="en-US"/>
        </w:rPr>
        <w:t>larify whether changes in FIRB LGD</w:t>
      </w:r>
      <w:r w:rsidR="001F4F26">
        <w:rPr>
          <w:shd w:val="clear" w:color="auto" w:fill="FFFFFF"/>
          <w:lang w:val="en-US"/>
        </w:rPr>
        <w:t xml:space="preserve"> and CCF</w:t>
      </w:r>
      <w:r w:rsidR="00643825">
        <w:rPr>
          <w:shd w:val="clear" w:color="auto" w:fill="FFFFFF"/>
          <w:lang w:val="en-US"/>
        </w:rPr>
        <w:t xml:space="preserve"> </w:t>
      </w:r>
      <w:proofErr w:type="gramStart"/>
      <w:r w:rsidR="00643825">
        <w:rPr>
          <w:shd w:val="clear" w:color="auto" w:fill="FFFFFF"/>
          <w:lang w:val="en-US"/>
        </w:rPr>
        <w:t>are</w:t>
      </w:r>
      <w:r w:rsidR="001F57CE" w:rsidRPr="001F57CE">
        <w:rPr>
          <w:shd w:val="clear" w:color="auto" w:fill="FFFFFF"/>
          <w:lang w:val="en-US"/>
        </w:rPr>
        <w:t xml:space="preserve"> considered</w:t>
      </w:r>
      <w:proofErr w:type="gramEnd"/>
      <w:r w:rsidR="001F57CE" w:rsidRPr="001F57CE">
        <w:rPr>
          <w:shd w:val="clear" w:color="auto" w:fill="FFFFFF"/>
          <w:lang w:val="en-US"/>
        </w:rPr>
        <w:t xml:space="preserve"> in scope (where they do not directly affect aspects within scope of a rating system).</w:t>
      </w:r>
      <w:r>
        <w:rPr>
          <w:shd w:val="clear" w:color="auto" w:fill="FFFFFF"/>
          <w:lang w:val="en-US"/>
        </w:rPr>
        <w:t xml:space="preserve"> </w:t>
      </w:r>
      <w:r w:rsidR="001F57CE" w:rsidRPr="001F57CE">
        <w:rPr>
          <w:shd w:val="clear" w:color="auto" w:fill="FFFFFF"/>
          <w:lang w:val="en-US"/>
        </w:rPr>
        <w:t xml:space="preserve">In par. 11 of section 3.2 the EBA states that changes in the parameters Maturity (M), Total Annual Sales (S) and the SA-CCF assignment to off-balance sheet items which solely affect the formula used for RWEA calculation should not be within the scope of the RTS on model change as they do not directly affect aspects within the scope of a rating system. With this differentiation of changes which solely affect the formula used for RWEA calculation we would like </w:t>
      </w:r>
      <w:r w:rsidR="00C5013A">
        <w:rPr>
          <w:shd w:val="clear" w:color="auto" w:fill="FFFFFF"/>
          <w:lang w:val="en-US"/>
        </w:rPr>
        <w:t>clarity on</w:t>
      </w:r>
      <w:r w:rsidR="001F57CE" w:rsidRPr="001F57CE">
        <w:rPr>
          <w:shd w:val="clear" w:color="auto" w:fill="FFFFFF"/>
          <w:lang w:val="en-US"/>
        </w:rPr>
        <w:t xml:space="preserve"> whether changes in the assignment of F-IRB LGD to exposure would </w:t>
      </w:r>
      <w:proofErr w:type="gramStart"/>
      <w:r w:rsidR="001F57CE" w:rsidRPr="001F57CE">
        <w:rPr>
          <w:shd w:val="clear" w:color="auto" w:fill="FFFFFF"/>
          <w:lang w:val="en-US"/>
        </w:rPr>
        <w:t>be also considered</w:t>
      </w:r>
      <w:proofErr w:type="gramEnd"/>
      <w:r w:rsidR="001F57CE" w:rsidRPr="001F57CE">
        <w:rPr>
          <w:shd w:val="clear" w:color="auto" w:fill="FFFFFF"/>
          <w:lang w:val="en-US"/>
        </w:rPr>
        <w:t xml:space="preserve"> as part of these items, in the same way that SA-CCF assignment to off-balance sheet items are considered. </w:t>
      </w:r>
    </w:p>
    <w:p w14:paraId="6A4A3175" w14:textId="77777777" w:rsidR="007119A8" w:rsidRDefault="007119A8" w:rsidP="000434DA">
      <w:pPr>
        <w:pStyle w:val="ListParagraph"/>
        <w:spacing w:after="120" w:line="276" w:lineRule="auto"/>
        <w:jc w:val="both"/>
        <w:rPr>
          <w:shd w:val="clear" w:color="auto" w:fill="FFFFFF"/>
          <w:lang w:val="en-US"/>
        </w:rPr>
      </w:pPr>
    </w:p>
    <w:p w14:paraId="78EB20CC" w14:textId="301C0131" w:rsidR="007119A8" w:rsidRPr="00C5013A" w:rsidRDefault="00A24FB6" w:rsidP="007119A8">
      <w:pPr>
        <w:pStyle w:val="ListParagraph"/>
        <w:numPr>
          <w:ilvl w:val="0"/>
          <w:numId w:val="15"/>
        </w:numPr>
        <w:spacing w:after="120" w:line="276" w:lineRule="auto"/>
        <w:jc w:val="both"/>
        <w:rPr>
          <w:shd w:val="clear" w:color="auto" w:fill="FFFFFF"/>
          <w:lang w:val="en-US"/>
        </w:rPr>
      </w:pPr>
      <w:r>
        <w:rPr>
          <w:shd w:val="clear" w:color="auto" w:fill="FFFFFF"/>
          <w:lang w:val="en-US"/>
        </w:rPr>
        <w:t xml:space="preserve"> Can </w:t>
      </w:r>
      <w:r w:rsidR="007119A8">
        <w:rPr>
          <w:shd w:val="clear" w:color="auto" w:fill="FFFFFF"/>
          <w:lang w:val="en-US"/>
        </w:rPr>
        <w:t>the EBA confirm if the</w:t>
      </w:r>
      <w:r w:rsidR="007119A8" w:rsidRPr="007119A8">
        <w:rPr>
          <w:shd w:val="clear" w:color="auto" w:fill="FFFFFF"/>
          <w:lang w:val="en-US"/>
        </w:rPr>
        <w:t xml:space="preserve"> following examples should </w:t>
      </w:r>
      <w:proofErr w:type="gramStart"/>
      <w:r w:rsidR="007119A8" w:rsidRPr="007119A8">
        <w:rPr>
          <w:shd w:val="clear" w:color="auto" w:fill="FFFFFF"/>
          <w:lang w:val="en-US"/>
        </w:rPr>
        <w:t>be considered</w:t>
      </w:r>
      <w:proofErr w:type="gramEnd"/>
      <w:r w:rsidR="007119A8" w:rsidRPr="007119A8">
        <w:rPr>
          <w:shd w:val="clear" w:color="auto" w:fill="FFFFFF"/>
          <w:lang w:val="en-US"/>
        </w:rPr>
        <w:t xml:space="preserve"> out of the scope of these RTS:</w:t>
      </w:r>
    </w:p>
    <w:p w14:paraId="40640587" w14:textId="701541DB" w:rsidR="00F25154" w:rsidRPr="00C10A61" w:rsidRDefault="00F25154" w:rsidP="00C10A61">
      <w:pPr>
        <w:numPr>
          <w:ilvl w:val="0"/>
          <w:numId w:val="17"/>
        </w:numPr>
        <w:spacing w:before="120" w:after="120" w:line="276" w:lineRule="auto"/>
        <w:rPr>
          <w:lang w:val="en-US"/>
        </w:rPr>
      </w:pPr>
      <w:r w:rsidRPr="00C10A61">
        <w:rPr>
          <w:lang w:val="en-US"/>
        </w:rPr>
        <w:t>Populat</w:t>
      </w:r>
      <w:r w:rsidR="00424BF9" w:rsidRPr="00C10A61">
        <w:rPr>
          <w:lang w:val="en-US"/>
        </w:rPr>
        <w:t>ion of</w:t>
      </w:r>
      <w:r w:rsidRPr="00C10A61">
        <w:rPr>
          <w:lang w:val="en-US"/>
        </w:rPr>
        <w:t xml:space="preserve"> amortization tables of the loans to apply the M of 162.2</w:t>
      </w:r>
      <w:r w:rsidR="00F06016">
        <w:rPr>
          <w:lang w:val="en-US"/>
        </w:rPr>
        <w:t>(</w:t>
      </w:r>
      <w:r w:rsidRPr="00C10A61">
        <w:rPr>
          <w:lang w:val="en-US"/>
        </w:rPr>
        <w:t>a)</w:t>
      </w:r>
    </w:p>
    <w:p w14:paraId="7EDB8A5E" w14:textId="0C12FB79" w:rsidR="00F25154" w:rsidRPr="00C10A61" w:rsidRDefault="007119A8" w:rsidP="00C10A61">
      <w:pPr>
        <w:numPr>
          <w:ilvl w:val="0"/>
          <w:numId w:val="17"/>
        </w:numPr>
        <w:spacing w:before="120" w:after="120" w:line="276" w:lineRule="auto"/>
        <w:jc w:val="both"/>
        <w:rPr>
          <w:shd w:val="clear" w:color="auto" w:fill="FFFFFF"/>
          <w:lang w:val="en-US"/>
        </w:rPr>
      </w:pPr>
      <w:r w:rsidRPr="00C10A61">
        <w:rPr>
          <w:shd w:val="clear" w:color="auto" w:fill="FFFFFF"/>
          <w:lang w:val="en-US"/>
        </w:rPr>
        <w:t>Identi</w:t>
      </w:r>
      <w:r w:rsidR="00955C2A" w:rsidRPr="00C10A61">
        <w:rPr>
          <w:shd w:val="clear" w:color="auto" w:fill="FFFFFF"/>
          <w:lang w:val="en-US"/>
        </w:rPr>
        <w:t>f</w:t>
      </w:r>
      <w:r w:rsidR="00424BF9" w:rsidRPr="00C10A61">
        <w:rPr>
          <w:shd w:val="clear" w:color="auto" w:fill="FFFFFF"/>
          <w:lang w:val="en-US"/>
        </w:rPr>
        <w:t>ication of</w:t>
      </w:r>
      <w:r w:rsidRPr="00C10A61">
        <w:rPr>
          <w:shd w:val="clear" w:color="auto" w:fill="FFFFFF"/>
          <w:lang w:val="en-US"/>
        </w:rPr>
        <w:t xml:space="preserve"> trade finance products and apply the M of 162.3.</w:t>
      </w:r>
    </w:p>
    <w:p w14:paraId="5A088B0C" w14:textId="77777777" w:rsidR="007119A8" w:rsidRPr="00C10A61" w:rsidRDefault="007119A8" w:rsidP="00C10A61">
      <w:pPr>
        <w:numPr>
          <w:ilvl w:val="0"/>
          <w:numId w:val="17"/>
        </w:numPr>
        <w:spacing w:before="120" w:after="120" w:line="276" w:lineRule="auto"/>
        <w:jc w:val="both"/>
        <w:rPr>
          <w:shd w:val="clear" w:color="auto" w:fill="FFFFFF"/>
          <w:lang w:val="en-US"/>
        </w:rPr>
      </w:pPr>
      <w:r w:rsidRPr="00C10A61">
        <w:rPr>
          <w:shd w:val="clear" w:color="auto" w:fill="FFFFFF"/>
          <w:lang w:val="en-US"/>
        </w:rPr>
        <w:t>Identification of covered bonds to apply the LGD of 11.25%.</w:t>
      </w:r>
    </w:p>
    <w:p w14:paraId="14F5FF2E" w14:textId="5BAFFD26" w:rsidR="005B581F" w:rsidRPr="00DD6ABD" w:rsidRDefault="005B581F" w:rsidP="00C10A61">
      <w:pPr>
        <w:numPr>
          <w:ilvl w:val="0"/>
          <w:numId w:val="17"/>
        </w:numPr>
        <w:spacing w:before="120" w:after="120" w:line="276" w:lineRule="auto"/>
        <w:rPr>
          <w:lang w:val="en-US"/>
        </w:rPr>
      </w:pPr>
      <w:r w:rsidRPr="00DD6ABD">
        <w:rPr>
          <w:lang w:val="en-US"/>
        </w:rPr>
        <w:lastRenderedPageBreak/>
        <w:t>Classification</w:t>
      </w:r>
      <w:r w:rsidR="00E7558C" w:rsidRPr="00DD6ABD">
        <w:rPr>
          <w:lang w:val="en-US"/>
        </w:rPr>
        <w:t xml:space="preserve"> or reclassification</w:t>
      </w:r>
      <w:r w:rsidRPr="00DD6ABD">
        <w:rPr>
          <w:lang w:val="en-US"/>
        </w:rPr>
        <w:t xml:space="preserve"> of products</w:t>
      </w:r>
      <w:r w:rsidR="00E7558C" w:rsidRPr="00DD6ABD">
        <w:rPr>
          <w:lang w:val="en-US"/>
        </w:rPr>
        <w:t>/portfolios</w:t>
      </w:r>
      <w:r w:rsidRPr="00DD6ABD">
        <w:rPr>
          <w:lang w:val="en-US"/>
        </w:rPr>
        <w:t xml:space="preserve"> in buckets of the</w:t>
      </w:r>
      <w:r w:rsidR="00035FFD" w:rsidRPr="00DD6ABD">
        <w:rPr>
          <w:lang w:val="en-US"/>
        </w:rPr>
        <w:t xml:space="preserve"> Article</w:t>
      </w:r>
      <w:r w:rsidRPr="00DD6ABD">
        <w:rPr>
          <w:lang w:val="en-US"/>
        </w:rPr>
        <w:t xml:space="preserve"> 111</w:t>
      </w:r>
      <w:r w:rsidR="00035FFD" w:rsidRPr="00DD6ABD">
        <w:rPr>
          <w:lang w:val="en-US"/>
        </w:rPr>
        <w:t>(</w:t>
      </w:r>
      <w:r w:rsidRPr="00DD6ABD">
        <w:rPr>
          <w:lang w:val="en-US"/>
        </w:rPr>
        <w:t>2</w:t>
      </w:r>
      <w:r w:rsidR="00035FFD" w:rsidRPr="00DD6ABD">
        <w:rPr>
          <w:lang w:val="en-US"/>
        </w:rPr>
        <w:t>) and Annex 1</w:t>
      </w:r>
      <w:r w:rsidRPr="00DD6ABD">
        <w:rPr>
          <w:lang w:val="en-US"/>
        </w:rPr>
        <w:t xml:space="preserve"> </w:t>
      </w:r>
      <w:r w:rsidR="00BF7E0C" w:rsidRPr="00DD6ABD">
        <w:rPr>
          <w:lang w:val="en-US"/>
        </w:rPr>
        <w:t>to</w:t>
      </w:r>
      <w:r w:rsidRPr="00DD6ABD">
        <w:rPr>
          <w:lang w:val="en-US"/>
        </w:rPr>
        <w:t xml:space="preserve"> assign SA</w:t>
      </w:r>
      <w:r w:rsidR="00955C2A" w:rsidRPr="00DD6ABD">
        <w:rPr>
          <w:lang w:val="en-US"/>
        </w:rPr>
        <w:t xml:space="preserve"> </w:t>
      </w:r>
      <w:r w:rsidRPr="00DD6ABD">
        <w:rPr>
          <w:lang w:val="en-US"/>
        </w:rPr>
        <w:t xml:space="preserve">CCFs when an institution has not received permission to use </w:t>
      </w:r>
      <w:r w:rsidR="00BE535D" w:rsidRPr="00DD6ABD">
        <w:rPr>
          <w:lang w:val="en-US"/>
        </w:rPr>
        <w:t>A</w:t>
      </w:r>
      <w:r w:rsidRPr="00DD6ABD">
        <w:rPr>
          <w:lang w:val="en-US"/>
        </w:rPr>
        <w:t>IRB-</w:t>
      </w:r>
      <w:r w:rsidR="00015B16" w:rsidRPr="00DD6ABD">
        <w:rPr>
          <w:lang w:val="en-US"/>
        </w:rPr>
        <w:t>CCF (</w:t>
      </w:r>
      <w:r w:rsidR="00320288" w:rsidRPr="00DD6ABD">
        <w:rPr>
          <w:lang w:val="en-US"/>
        </w:rPr>
        <w:t xml:space="preserve">Art.166.8, </w:t>
      </w:r>
      <w:r w:rsidR="00320288" w:rsidRPr="00DD6ABD">
        <w:t>166.8 bis and 166.8 ter</w:t>
      </w:r>
      <w:r w:rsidR="00320288" w:rsidRPr="00DD6ABD">
        <w:rPr>
          <w:lang w:val="en-US"/>
        </w:rPr>
        <w:t>)</w:t>
      </w:r>
      <w:r w:rsidRPr="00DD6ABD">
        <w:rPr>
          <w:lang w:val="en-US"/>
        </w:rPr>
        <w:t xml:space="preserve">. </w:t>
      </w:r>
    </w:p>
    <w:p w14:paraId="2D7DCE5C" w14:textId="1DDCD024" w:rsidR="005B581F" w:rsidRPr="00C10A61" w:rsidRDefault="005B581F" w:rsidP="00C10A61">
      <w:pPr>
        <w:numPr>
          <w:ilvl w:val="0"/>
          <w:numId w:val="17"/>
        </w:numPr>
        <w:spacing w:before="120" w:after="120" w:line="276" w:lineRule="auto"/>
        <w:rPr>
          <w:lang w:val="en-US"/>
        </w:rPr>
      </w:pPr>
      <w:r w:rsidRPr="00C10A61">
        <w:rPr>
          <w:lang w:val="en-US"/>
        </w:rPr>
        <w:t>Identification of new products that could fall under the CCF of the 166.8.b to apply SA</w:t>
      </w:r>
      <w:r w:rsidR="00955C2A" w:rsidRPr="00C10A61">
        <w:rPr>
          <w:lang w:val="en-US"/>
        </w:rPr>
        <w:t xml:space="preserve"> </w:t>
      </w:r>
      <w:r w:rsidRPr="00C10A61">
        <w:rPr>
          <w:lang w:val="en-US"/>
        </w:rPr>
        <w:t>CCFs.</w:t>
      </w:r>
    </w:p>
    <w:p w14:paraId="3217F96B" w14:textId="5F7C6CAD" w:rsidR="005B581F" w:rsidRPr="00C10A61" w:rsidRDefault="005B581F" w:rsidP="00C10A61">
      <w:pPr>
        <w:numPr>
          <w:ilvl w:val="0"/>
          <w:numId w:val="17"/>
        </w:numPr>
        <w:spacing w:before="120" w:after="120" w:line="276" w:lineRule="auto"/>
        <w:rPr>
          <w:lang w:val="en-US"/>
        </w:rPr>
      </w:pPr>
      <w:r w:rsidRPr="00C10A61">
        <w:rPr>
          <w:lang w:val="en-US"/>
        </w:rPr>
        <w:t>Identification of revenues in the application of the SME factor. </w:t>
      </w:r>
    </w:p>
    <w:p w14:paraId="5CC85696" w14:textId="63D19F92" w:rsidR="005B581F" w:rsidRPr="00C10A61" w:rsidRDefault="005B581F" w:rsidP="00C10A61">
      <w:pPr>
        <w:numPr>
          <w:ilvl w:val="0"/>
          <w:numId w:val="17"/>
        </w:numPr>
        <w:spacing w:before="120" w:after="120" w:line="276" w:lineRule="auto"/>
        <w:jc w:val="both"/>
        <w:rPr>
          <w:lang w:val="en-US"/>
        </w:rPr>
      </w:pPr>
      <w:r w:rsidRPr="00C10A61">
        <w:rPr>
          <w:lang w:val="en-US"/>
        </w:rPr>
        <w:t>Start</w:t>
      </w:r>
      <w:r w:rsidR="00955C2A" w:rsidRPr="00C10A61">
        <w:rPr>
          <w:lang w:val="en-US"/>
        </w:rPr>
        <w:t>ing</w:t>
      </w:r>
      <w:r w:rsidRPr="00C10A61">
        <w:rPr>
          <w:lang w:val="en-US"/>
        </w:rPr>
        <w:t xml:space="preserve"> to apply an option that is </w:t>
      </w:r>
      <w:proofErr w:type="gramStart"/>
      <w:r w:rsidRPr="00C10A61">
        <w:rPr>
          <w:lang w:val="en-US"/>
        </w:rPr>
        <w:t>directly stated</w:t>
      </w:r>
      <w:proofErr w:type="gramEnd"/>
      <w:r w:rsidRPr="00C10A61">
        <w:rPr>
          <w:lang w:val="en-US"/>
        </w:rPr>
        <w:t xml:space="preserve"> in the CRR (e.g. Article 161.7 states that an institution shall be permitted to apply article 230 even for funded credit protection that cannot be included in an A-IRB LGD (</w:t>
      </w:r>
      <w:r w:rsidR="00213976" w:rsidRPr="00C10A61">
        <w:rPr>
          <w:lang w:val="en-US"/>
        </w:rPr>
        <w:t>because of</w:t>
      </w:r>
      <w:r w:rsidRPr="00C10A61">
        <w:rPr>
          <w:lang w:val="en-US"/>
        </w:rPr>
        <w:t xml:space="preserve"> the lack of data).</w:t>
      </w:r>
    </w:p>
    <w:p w14:paraId="42AB55EC" w14:textId="77777777" w:rsidR="008777BE" w:rsidRDefault="007119A8" w:rsidP="00C10A61">
      <w:pPr>
        <w:numPr>
          <w:ilvl w:val="0"/>
          <w:numId w:val="17"/>
        </w:numPr>
        <w:spacing w:before="120" w:after="120" w:line="276" w:lineRule="auto"/>
        <w:jc w:val="both"/>
        <w:rPr>
          <w:shd w:val="clear" w:color="auto" w:fill="FFFFFF"/>
          <w:lang w:val="en-US"/>
        </w:rPr>
      </w:pPr>
      <w:r w:rsidRPr="00C10A61">
        <w:rPr>
          <w:shd w:val="clear" w:color="auto" w:fill="FFFFFF"/>
          <w:lang w:val="en-US"/>
        </w:rPr>
        <w:t xml:space="preserve">Identify new products that could fall under the CCF of the </w:t>
      </w:r>
      <w:r w:rsidRPr="0047058B">
        <w:rPr>
          <w:shd w:val="clear" w:color="auto" w:fill="FFFFFF"/>
          <w:lang w:val="en-US"/>
        </w:rPr>
        <w:t>166.8 or 166.10.</w:t>
      </w:r>
      <w:r w:rsidR="005B581F" w:rsidRPr="005B581F">
        <w:rPr>
          <w:shd w:val="clear" w:color="auto" w:fill="FFFFFF"/>
          <w:lang w:val="en-US"/>
        </w:rPr>
        <w:t xml:space="preserve"> </w:t>
      </w:r>
      <w:r w:rsidR="005B581F">
        <w:rPr>
          <w:shd w:val="clear" w:color="auto" w:fill="FFFFFF"/>
          <w:lang w:val="en-US"/>
        </w:rPr>
        <w:t>(FIRB CCF)</w:t>
      </w:r>
      <w:r w:rsidR="008777BE">
        <w:rPr>
          <w:shd w:val="clear" w:color="auto" w:fill="FFFFFF"/>
          <w:lang w:val="en-US"/>
        </w:rPr>
        <w:t xml:space="preserve">. </w:t>
      </w:r>
    </w:p>
    <w:p w14:paraId="4F8FF083" w14:textId="162C75AE" w:rsidR="007119A8" w:rsidRPr="0047058B" w:rsidRDefault="007119A8" w:rsidP="00C10A61">
      <w:pPr>
        <w:numPr>
          <w:ilvl w:val="0"/>
          <w:numId w:val="17"/>
        </w:numPr>
        <w:spacing w:before="120" w:after="120" w:line="276" w:lineRule="auto"/>
        <w:jc w:val="both"/>
        <w:rPr>
          <w:shd w:val="clear" w:color="auto" w:fill="FFFFFF"/>
          <w:lang w:val="en-US"/>
        </w:rPr>
      </w:pPr>
      <w:r w:rsidRPr="0047058B">
        <w:rPr>
          <w:shd w:val="clear" w:color="auto" w:fill="FFFFFF"/>
          <w:lang w:val="en-US"/>
        </w:rPr>
        <w:t>Changes in the application of the SME factor.</w:t>
      </w:r>
    </w:p>
    <w:p w14:paraId="600AA0CA" w14:textId="77777777" w:rsidR="007119A8" w:rsidRPr="0047058B" w:rsidRDefault="007119A8" w:rsidP="00C10A61">
      <w:pPr>
        <w:numPr>
          <w:ilvl w:val="0"/>
          <w:numId w:val="17"/>
        </w:numPr>
        <w:spacing w:before="120" w:after="120" w:line="276" w:lineRule="auto"/>
        <w:jc w:val="both"/>
        <w:rPr>
          <w:shd w:val="clear" w:color="auto" w:fill="FFFFFF"/>
          <w:lang w:val="en-US"/>
        </w:rPr>
      </w:pPr>
      <w:r w:rsidRPr="0047058B">
        <w:rPr>
          <w:shd w:val="clear" w:color="auto" w:fill="FFFFFF"/>
          <w:lang w:val="en-US"/>
        </w:rPr>
        <w:t>Application of the FIRB approach to the corporate and institutions exposure classes (</w:t>
      </w:r>
      <w:proofErr w:type="gramStart"/>
      <w:r w:rsidRPr="0047058B">
        <w:rPr>
          <w:shd w:val="clear" w:color="auto" w:fill="FFFFFF"/>
          <w:lang w:val="en-US"/>
        </w:rPr>
        <w:t>e.g.</w:t>
      </w:r>
      <w:proofErr w:type="gramEnd"/>
      <w:r w:rsidRPr="0047058B">
        <w:rPr>
          <w:shd w:val="clear" w:color="auto" w:fill="FFFFFF"/>
          <w:lang w:val="en-US"/>
        </w:rPr>
        <w:t xml:space="preserve"> Application of CRMT, Application of new real guarantees to apply LGD 230 (FIRB), Recognition of additional credit protection in the regulatory LGD under FIRB).</w:t>
      </w:r>
    </w:p>
    <w:p w14:paraId="79955294" w14:textId="68F56CC4" w:rsidR="00D72904" w:rsidRDefault="007119A8" w:rsidP="00C10A61">
      <w:pPr>
        <w:numPr>
          <w:ilvl w:val="0"/>
          <w:numId w:val="17"/>
        </w:numPr>
        <w:spacing w:before="120" w:after="120" w:line="276" w:lineRule="auto"/>
        <w:jc w:val="both"/>
        <w:rPr>
          <w:shd w:val="clear" w:color="auto" w:fill="FFFFFF"/>
          <w:lang w:val="en-US"/>
        </w:rPr>
      </w:pPr>
      <w:r w:rsidRPr="0047058B">
        <w:rPr>
          <w:shd w:val="clear" w:color="auto" w:fill="FFFFFF"/>
          <w:lang w:val="en-US"/>
        </w:rPr>
        <w:t>Implementation of the regulatory floors (</w:t>
      </w:r>
      <w:proofErr w:type="gramStart"/>
      <w:r w:rsidRPr="0047058B">
        <w:rPr>
          <w:shd w:val="clear" w:color="auto" w:fill="FFFFFF"/>
          <w:lang w:val="en-US"/>
        </w:rPr>
        <w:t>e.g.</w:t>
      </w:r>
      <w:proofErr w:type="gramEnd"/>
      <w:r w:rsidRPr="0047058B">
        <w:rPr>
          <w:shd w:val="clear" w:color="auto" w:fill="FFFFFF"/>
          <w:lang w:val="en-US"/>
        </w:rPr>
        <w:t xml:space="preserve"> related to PD and LGD parameters, related to the 1-day floor</w:t>
      </w:r>
      <w:r w:rsidR="00B30668">
        <w:rPr>
          <w:shd w:val="clear" w:color="auto" w:fill="FFFFFF"/>
          <w:lang w:val="en-US"/>
        </w:rPr>
        <w:t>.</w:t>
      </w:r>
    </w:p>
    <w:p w14:paraId="32425D50" w14:textId="55D98AF7" w:rsidR="00B30668" w:rsidRPr="00686C70" w:rsidRDefault="00B30668" w:rsidP="00C10A61">
      <w:pPr>
        <w:numPr>
          <w:ilvl w:val="0"/>
          <w:numId w:val="17"/>
        </w:numPr>
        <w:spacing w:before="120" w:after="120" w:line="276" w:lineRule="auto"/>
        <w:jc w:val="both"/>
        <w:rPr>
          <w:shd w:val="clear" w:color="auto" w:fill="FFFFFF"/>
          <w:lang w:val="en-US"/>
        </w:rPr>
      </w:pPr>
      <w:r w:rsidRPr="00686C70">
        <w:rPr>
          <w:shd w:val="clear" w:color="auto" w:fill="FFFFFF"/>
          <w:lang w:val="en-US"/>
        </w:rPr>
        <w:t xml:space="preserve">Actions to </w:t>
      </w:r>
      <w:proofErr w:type="gramStart"/>
      <w:r w:rsidRPr="00686C70">
        <w:rPr>
          <w:shd w:val="clear" w:color="auto" w:fill="FFFFFF"/>
          <w:lang w:val="en-US"/>
        </w:rPr>
        <w:t>be conducted</w:t>
      </w:r>
      <w:proofErr w:type="gramEnd"/>
      <w:r w:rsidRPr="00686C70">
        <w:rPr>
          <w:shd w:val="clear" w:color="auto" w:fill="FFFFFF"/>
          <w:lang w:val="en-US"/>
        </w:rPr>
        <w:t xml:space="preserve"> </w:t>
      </w:r>
      <w:r w:rsidR="008777BE">
        <w:rPr>
          <w:shd w:val="clear" w:color="auto" w:fill="FFFFFF"/>
          <w:lang w:val="en-US"/>
        </w:rPr>
        <w:t>to implement</w:t>
      </w:r>
      <w:r w:rsidRPr="00686C70">
        <w:rPr>
          <w:shd w:val="clear" w:color="auto" w:fill="FFFFFF"/>
          <w:lang w:val="en-US"/>
        </w:rPr>
        <w:t xml:space="preserve"> regulatory add-ons as per Final Decision letters from the Supervisor.</w:t>
      </w:r>
    </w:p>
    <w:p w14:paraId="37029736" w14:textId="58D7C879" w:rsidR="00B30668" w:rsidRPr="00686C70" w:rsidRDefault="00B30668" w:rsidP="00C10A61">
      <w:pPr>
        <w:numPr>
          <w:ilvl w:val="0"/>
          <w:numId w:val="17"/>
        </w:numPr>
        <w:spacing w:before="120" w:after="120" w:line="276" w:lineRule="auto"/>
        <w:jc w:val="both"/>
        <w:rPr>
          <w:shd w:val="clear" w:color="auto" w:fill="FFFFFF"/>
          <w:lang w:val="en-US"/>
        </w:rPr>
      </w:pPr>
      <w:r w:rsidRPr="00686C70">
        <w:rPr>
          <w:shd w:val="clear" w:color="auto" w:fill="FFFFFF"/>
          <w:lang w:val="en-US"/>
        </w:rPr>
        <w:t xml:space="preserve">Actions to </w:t>
      </w:r>
      <w:proofErr w:type="gramStart"/>
      <w:r w:rsidRPr="00686C70">
        <w:rPr>
          <w:shd w:val="clear" w:color="auto" w:fill="FFFFFF"/>
          <w:lang w:val="en-US"/>
        </w:rPr>
        <w:t>be conducted</w:t>
      </w:r>
      <w:proofErr w:type="gramEnd"/>
      <w:r w:rsidRPr="00686C70">
        <w:rPr>
          <w:shd w:val="clear" w:color="auto" w:fill="FFFFFF"/>
          <w:lang w:val="en-US"/>
        </w:rPr>
        <w:t xml:space="preserve"> </w:t>
      </w:r>
      <w:r w:rsidR="008777BE">
        <w:rPr>
          <w:shd w:val="clear" w:color="auto" w:fill="FFFFFF"/>
          <w:lang w:val="en-US"/>
        </w:rPr>
        <w:t>to implement</w:t>
      </w:r>
      <w:r w:rsidRPr="00686C70">
        <w:rPr>
          <w:shd w:val="clear" w:color="auto" w:fill="FFFFFF"/>
          <w:lang w:val="en-US"/>
        </w:rPr>
        <w:t xml:space="preserve"> the remediation actions committed with Supervisor which are duly and timely notified in accordance with the remediation plans.</w:t>
      </w:r>
    </w:p>
    <w:p w14:paraId="796FC197" w14:textId="61F40355" w:rsidR="00B30668" w:rsidRPr="00686C70" w:rsidRDefault="00B30668" w:rsidP="00C10A61">
      <w:pPr>
        <w:numPr>
          <w:ilvl w:val="0"/>
          <w:numId w:val="17"/>
        </w:numPr>
        <w:spacing w:before="120" w:after="120" w:line="276" w:lineRule="auto"/>
        <w:jc w:val="both"/>
        <w:rPr>
          <w:shd w:val="clear" w:color="auto" w:fill="FFFFFF"/>
          <w:lang w:val="en-US"/>
        </w:rPr>
      </w:pPr>
      <w:r w:rsidRPr="00686C70">
        <w:rPr>
          <w:shd w:val="clear" w:color="auto" w:fill="FFFFFF"/>
          <w:lang w:val="en-US"/>
        </w:rPr>
        <w:t>Alignment between parameters used for internal business purposes and those used for regulatory capital purpose</w:t>
      </w:r>
      <w:r w:rsidR="00274B7C">
        <w:rPr>
          <w:shd w:val="clear" w:color="auto" w:fill="FFFFFF"/>
          <w:lang w:val="en-US"/>
        </w:rPr>
        <w:t>s</w:t>
      </w:r>
      <w:r w:rsidRPr="00686C70">
        <w:rPr>
          <w:shd w:val="clear" w:color="auto" w:fill="FFFFFF"/>
          <w:lang w:val="en-US"/>
        </w:rPr>
        <w:t xml:space="preserve"> regarding CRR A</w:t>
      </w:r>
      <w:r>
        <w:rPr>
          <w:shd w:val="clear" w:color="auto" w:fill="FFFFFF"/>
          <w:lang w:val="en-US"/>
        </w:rPr>
        <w:t>r</w:t>
      </w:r>
      <w:r w:rsidRPr="00686C70">
        <w:rPr>
          <w:shd w:val="clear" w:color="auto" w:fill="FFFFFF"/>
          <w:lang w:val="en-US"/>
        </w:rPr>
        <w:t>t. 179(1) and Par. 208-210 of the EAB GLs on PD and LGD estimation.</w:t>
      </w:r>
    </w:p>
    <w:p w14:paraId="4F62A8ED" w14:textId="77777777" w:rsidR="00B30668" w:rsidRPr="00686C70" w:rsidRDefault="00B30668" w:rsidP="00C10A61">
      <w:pPr>
        <w:numPr>
          <w:ilvl w:val="0"/>
          <w:numId w:val="17"/>
        </w:numPr>
        <w:spacing w:before="120" w:after="120" w:line="276" w:lineRule="auto"/>
        <w:jc w:val="both"/>
        <w:rPr>
          <w:shd w:val="clear" w:color="auto" w:fill="FFFFFF"/>
          <w:lang w:val="en-US"/>
        </w:rPr>
      </w:pPr>
      <w:r w:rsidRPr="00686C70">
        <w:rPr>
          <w:shd w:val="clear" w:color="auto" w:fill="FFFFFF"/>
          <w:lang w:val="en-US"/>
        </w:rPr>
        <w:t>Changes in the internal methodological guidelines and standards.</w:t>
      </w:r>
    </w:p>
    <w:p w14:paraId="16F77BAB" w14:textId="77777777" w:rsidR="00B30668" w:rsidRPr="00C373E2" w:rsidRDefault="00B30668" w:rsidP="00C10A61">
      <w:pPr>
        <w:numPr>
          <w:ilvl w:val="0"/>
          <w:numId w:val="17"/>
        </w:numPr>
        <w:spacing w:before="120" w:after="120" w:line="276" w:lineRule="auto"/>
        <w:jc w:val="both"/>
        <w:rPr>
          <w:shd w:val="clear" w:color="auto" w:fill="FFFFFF"/>
          <w:lang w:val="en-US"/>
        </w:rPr>
      </w:pPr>
      <w:r w:rsidRPr="00686C70">
        <w:rPr>
          <w:shd w:val="clear" w:color="auto" w:fill="FFFFFF"/>
          <w:lang w:val="en-US"/>
        </w:rPr>
        <w:t>Consideration of the year as 365.25 days in the calculation of the maturity of the total assets of the customer.</w:t>
      </w:r>
    </w:p>
    <w:p w14:paraId="6BA35116" w14:textId="3759AB5B" w:rsidR="00954ED9" w:rsidRPr="000434DA" w:rsidRDefault="00D773BE" w:rsidP="003B01EB">
      <w:pPr>
        <w:pStyle w:val="BodyText"/>
        <w:numPr>
          <w:ilvl w:val="0"/>
          <w:numId w:val="18"/>
        </w:numPr>
        <w:spacing w:line="276" w:lineRule="auto"/>
        <w:ind w:left="714" w:hanging="357"/>
        <w:rPr>
          <w:shd w:val="clear" w:color="auto" w:fill="FFFFFF"/>
          <w:lang w:val="en-US"/>
        </w:rPr>
      </w:pPr>
      <w:r>
        <w:t>The adaptation of institutions’ internal policies on IRB changes</w:t>
      </w:r>
      <w:r w:rsidR="000D3181">
        <w:t xml:space="preserve"> and</w:t>
      </w:r>
      <w:r>
        <w:t xml:space="preserve"> management to implement these RTS</w:t>
      </w:r>
      <w:r w:rsidR="00387B8D">
        <w:t xml:space="preserve"> should be out of scope.</w:t>
      </w:r>
    </w:p>
    <w:p w14:paraId="5F072D26" w14:textId="212F6392" w:rsidR="00387B8D" w:rsidRPr="000434DA" w:rsidRDefault="00387B8D" w:rsidP="003B01EB">
      <w:pPr>
        <w:pStyle w:val="ListParagraph"/>
        <w:numPr>
          <w:ilvl w:val="0"/>
          <w:numId w:val="18"/>
        </w:numPr>
        <w:spacing w:after="120" w:line="276" w:lineRule="auto"/>
        <w:ind w:left="714" w:hanging="357"/>
        <w:jc w:val="both"/>
        <w:rPr>
          <w:shd w:val="clear" w:color="auto" w:fill="FFFFFF"/>
          <w:lang w:val="en-US"/>
        </w:rPr>
      </w:pPr>
      <w:r w:rsidRPr="00387B8D">
        <w:rPr>
          <w:shd w:val="clear" w:color="auto" w:fill="FFFFFF"/>
          <w:lang w:val="en-US"/>
        </w:rPr>
        <w:t xml:space="preserve">Finally, we are of the view that the alignment of the documentation or implementation of the ECB approved model (pre-notification or material change) resulting from the outcome of the proper functioning of the control environment should also </w:t>
      </w:r>
      <w:proofErr w:type="gramStart"/>
      <w:r w:rsidRPr="00387B8D">
        <w:rPr>
          <w:shd w:val="clear" w:color="auto" w:fill="FFFFFF"/>
          <w:lang w:val="en-US"/>
        </w:rPr>
        <w:t>be excluded</w:t>
      </w:r>
      <w:proofErr w:type="gramEnd"/>
      <w:r w:rsidRPr="00387B8D">
        <w:rPr>
          <w:shd w:val="clear" w:color="auto" w:fill="FFFFFF"/>
          <w:lang w:val="en-US"/>
        </w:rPr>
        <w:t xml:space="preserve"> from scope of these RTS.</w:t>
      </w:r>
      <w:r w:rsidR="00F27819">
        <w:rPr>
          <w:shd w:val="clear" w:color="auto" w:fill="FFFFFF"/>
          <w:lang w:val="en-US"/>
        </w:rPr>
        <w:t xml:space="preserve"> </w:t>
      </w:r>
      <w:r w:rsidR="00F27819" w:rsidRPr="00E25985">
        <w:rPr>
          <w:shd w:val="clear" w:color="auto" w:fill="FFFFFF"/>
          <w:lang w:val="en-US"/>
        </w:rPr>
        <w:t>Corrections of errors in the technical implementation of the model, which are not due to a recalibration of the model, should be out</w:t>
      </w:r>
      <w:r w:rsidR="00F27819">
        <w:rPr>
          <w:shd w:val="clear" w:color="auto" w:fill="FFFFFF"/>
          <w:lang w:val="en-US"/>
        </w:rPr>
        <w:t xml:space="preserve"> of scope</w:t>
      </w:r>
      <w:r w:rsidR="00F27819" w:rsidRPr="00E25985">
        <w:rPr>
          <w:shd w:val="clear" w:color="auto" w:fill="FFFFFF"/>
          <w:lang w:val="en-US"/>
        </w:rPr>
        <w:t xml:space="preserve">. </w:t>
      </w:r>
      <w:r w:rsidR="00F27819">
        <w:rPr>
          <w:shd w:val="clear" w:color="auto" w:fill="FFFFFF"/>
          <w:lang w:val="en-US"/>
        </w:rPr>
        <w:t>For instance,</w:t>
      </w:r>
      <w:r w:rsidR="00F27819" w:rsidRPr="00CD7B1C">
        <w:rPr>
          <w:shd w:val="clear" w:color="auto" w:fill="FFFFFF"/>
          <w:lang w:val="en-US"/>
        </w:rPr>
        <w:t xml:space="preserve"> allocation excels.</w:t>
      </w:r>
    </w:p>
    <w:p w14:paraId="077B5D21" w14:textId="41C66097" w:rsidR="00971511" w:rsidRPr="000434DA" w:rsidRDefault="00971511" w:rsidP="00971511">
      <w:pPr>
        <w:pStyle w:val="BodyText"/>
        <w:spacing w:line="276" w:lineRule="auto"/>
        <w:rPr>
          <w:b/>
          <w:bCs/>
          <w:shd w:val="clear" w:color="auto" w:fill="FFFFFF"/>
          <w:lang w:val="en-US"/>
        </w:rPr>
      </w:pPr>
      <w:r w:rsidRPr="000434DA">
        <w:rPr>
          <w:b/>
          <w:bCs/>
          <w:shd w:val="clear" w:color="auto" w:fill="FFFFFF"/>
          <w:lang w:val="en-US"/>
        </w:rPr>
        <w:t>Additional clarification:</w:t>
      </w:r>
    </w:p>
    <w:p w14:paraId="7B002C5A" w14:textId="0925B0F6" w:rsidR="00971511" w:rsidRPr="000434DA" w:rsidRDefault="00F7266D" w:rsidP="000434DA">
      <w:pPr>
        <w:pStyle w:val="BodyText"/>
        <w:numPr>
          <w:ilvl w:val="0"/>
          <w:numId w:val="16"/>
        </w:numPr>
        <w:spacing w:line="276" w:lineRule="auto"/>
        <w:rPr>
          <w:b/>
          <w:bCs/>
          <w:shd w:val="clear" w:color="auto" w:fill="FFFFFF"/>
          <w:lang w:val="en-US"/>
        </w:rPr>
      </w:pPr>
      <w:r w:rsidRPr="000434DA">
        <w:rPr>
          <w:b/>
          <w:bCs/>
          <w:shd w:val="clear" w:color="auto" w:fill="FFFFFF"/>
          <w:lang w:val="en-US"/>
        </w:rPr>
        <w:t xml:space="preserve">Reflecting </w:t>
      </w:r>
      <w:r w:rsidR="00971511" w:rsidRPr="000434DA">
        <w:rPr>
          <w:b/>
          <w:bCs/>
          <w:shd w:val="clear" w:color="auto" w:fill="FFFFFF"/>
          <w:lang w:val="en-US"/>
        </w:rPr>
        <w:t>Machine learning</w:t>
      </w:r>
      <w:r w:rsidRPr="000434DA">
        <w:rPr>
          <w:b/>
          <w:bCs/>
          <w:shd w:val="clear" w:color="auto" w:fill="FFFFFF"/>
          <w:lang w:val="en-US"/>
        </w:rPr>
        <w:t xml:space="preserve"> in the context of the RTS and impact on </w:t>
      </w:r>
      <w:r w:rsidR="00D64C6D" w:rsidRPr="000434DA">
        <w:rPr>
          <w:b/>
          <w:bCs/>
          <w:shd w:val="clear" w:color="auto" w:fill="FFFFFF"/>
          <w:lang w:val="en-US"/>
        </w:rPr>
        <w:t>model changes</w:t>
      </w:r>
    </w:p>
    <w:p w14:paraId="08E28997" w14:textId="629A1FDC" w:rsidR="00063F39" w:rsidRPr="00AB0A46" w:rsidRDefault="00AB0A46" w:rsidP="00F2192E">
      <w:pPr>
        <w:spacing w:after="120" w:line="276" w:lineRule="auto"/>
        <w:jc w:val="both"/>
        <w:rPr>
          <w:shd w:val="clear" w:color="auto" w:fill="FFFFFF"/>
        </w:rPr>
      </w:pPr>
      <w:r>
        <w:rPr>
          <w:shd w:val="clear" w:color="auto" w:fill="FFFFFF"/>
        </w:rPr>
        <w:t>A</w:t>
      </w:r>
      <w:r w:rsidRPr="00AB0A46">
        <w:rPr>
          <w:shd w:val="clear" w:color="auto" w:fill="FFFFFF"/>
        </w:rPr>
        <w:t xml:space="preserve"> general point of clarification </w:t>
      </w:r>
      <w:r>
        <w:rPr>
          <w:shd w:val="clear" w:color="auto" w:fill="FFFFFF"/>
        </w:rPr>
        <w:t>is</w:t>
      </w:r>
      <w:r w:rsidRPr="00AB0A46">
        <w:rPr>
          <w:shd w:val="clear" w:color="auto" w:fill="FFFFFF"/>
        </w:rPr>
        <w:t xml:space="preserve"> related to changes/model novelties related to Machine Learning components possibly nested into internal models’ structures to enhance their performance. Such technicalities tend to be characterized by high frequency of reparameterizations that appears not fitting under both the current and new RTS. </w:t>
      </w:r>
      <w:r>
        <w:rPr>
          <w:shd w:val="clear" w:color="auto" w:fill="FFFFFF"/>
        </w:rPr>
        <w:t>In</w:t>
      </w:r>
      <w:r w:rsidRPr="00AB0A46">
        <w:rPr>
          <w:shd w:val="clear" w:color="auto" w:fill="FFFFFF"/>
        </w:rPr>
        <w:t xml:space="preserve"> this vein, it </w:t>
      </w:r>
      <w:r>
        <w:rPr>
          <w:shd w:val="clear" w:color="auto" w:fill="FFFFFF"/>
        </w:rPr>
        <w:t>is</w:t>
      </w:r>
      <w:r w:rsidRPr="00AB0A46">
        <w:rPr>
          <w:shd w:val="clear" w:color="auto" w:fill="FFFFFF"/>
        </w:rPr>
        <w:t xml:space="preserve"> necessary to get full clarity on how to cope with these technicalities and this revision </w:t>
      </w:r>
      <w:r w:rsidR="000566F1">
        <w:rPr>
          <w:shd w:val="clear" w:color="auto" w:fill="FFFFFF"/>
        </w:rPr>
        <w:t xml:space="preserve">of the RTS </w:t>
      </w:r>
      <w:r>
        <w:rPr>
          <w:shd w:val="clear" w:color="auto" w:fill="FFFFFF"/>
        </w:rPr>
        <w:t>is</w:t>
      </w:r>
      <w:r w:rsidRPr="00AB0A46">
        <w:rPr>
          <w:shd w:val="clear" w:color="auto" w:fill="FFFFFF"/>
        </w:rPr>
        <w:t xml:space="preserve"> an opportunity to qualify the regulatory requirements on this topic, duly considering the related </w:t>
      </w:r>
      <w:r w:rsidRPr="00AB0A46">
        <w:rPr>
          <w:shd w:val="clear" w:color="auto" w:fill="FFFFFF"/>
        </w:rPr>
        <w:lastRenderedPageBreak/>
        <w:t xml:space="preserve">peculiarities. Should the Recital (2) be left unchanged, such recital could deter the use of such techniques. </w:t>
      </w:r>
      <w:r w:rsidR="00903E3E" w:rsidRPr="00AB0A46">
        <w:rPr>
          <w:b/>
          <w:bCs/>
          <w:shd w:val="clear" w:color="auto" w:fill="FFFFFF"/>
        </w:rPr>
        <w:t>Thus, we propose to alleviate the burden by considering that a mechanical recalibration following regular updates of data, without any rebuilding of the model, should be subject to an</w:t>
      </w:r>
      <w:r w:rsidR="00903E3E">
        <w:rPr>
          <w:b/>
          <w:bCs/>
          <w:shd w:val="clear" w:color="auto" w:fill="FFFFFF"/>
        </w:rPr>
        <w:t xml:space="preserve"> </w:t>
      </w:r>
      <w:r w:rsidR="002348CA">
        <w:rPr>
          <w:b/>
          <w:bCs/>
          <w:shd w:val="clear" w:color="auto" w:fill="FFFFFF"/>
        </w:rPr>
        <w:t>annual</w:t>
      </w:r>
      <w:r w:rsidR="00903E3E" w:rsidRPr="00AB0A46">
        <w:rPr>
          <w:b/>
          <w:bCs/>
          <w:shd w:val="clear" w:color="auto" w:fill="FFFFFF"/>
        </w:rPr>
        <w:t xml:space="preserve"> ex-post notification</w:t>
      </w:r>
      <w:r w:rsidR="009C35BA">
        <w:rPr>
          <w:b/>
          <w:bCs/>
          <w:shd w:val="clear" w:color="auto" w:fill="FFFFFF"/>
        </w:rPr>
        <w:t>.</w:t>
      </w:r>
    </w:p>
    <w:p w14:paraId="0E03F6DA" w14:textId="77777777" w:rsidR="001F23DA" w:rsidRDefault="001F23DA" w:rsidP="00214B23">
      <w:pPr>
        <w:pStyle w:val="BodyText"/>
        <w:spacing w:line="276" w:lineRule="auto"/>
        <w:rPr>
          <w:b/>
          <w:bCs/>
          <w:color w:val="000000"/>
          <w:shd w:val="clear" w:color="auto" w:fill="FFFFFF"/>
        </w:rPr>
      </w:pPr>
      <w:r w:rsidRPr="001F23DA">
        <w:rPr>
          <w:b/>
          <w:bCs/>
          <w:color w:val="000000"/>
          <w:shd w:val="clear" w:color="auto" w:fill="FFFFFF"/>
        </w:rPr>
        <w:t xml:space="preserve">Question 2. Do you have any comments on the clarifications and revisions made to the qualitative criteria for assessing the materiality of changes as described in the Annex I, part II, Section 1 and Annex I, part II, Section 2? </w:t>
      </w:r>
    </w:p>
    <w:p w14:paraId="2F94AB53" w14:textId="09EFCBE3" w:rsidR="00C1773B" w:rsidRDefault="00C1773B" w:rsidP="00BB2334">
      <w:pPr>
        <w:spacing w:line="276" w:lineRule="auto"/>
        <w:jc w:val="both"/>
        <w:rPr>
          <w:lang w:val="en-US"/>
        </w:rPr>
      </w:pPr>
      <w:r w:rsidRPr="000A4C9C">
        <w:t>I</w:t>
      </w:r>
      <w:r w:rsidRPr="000A4C9C">
        <w:rPr>
          <w:lang w:val="en-US"/>
        </w:rPr>
        <w:t xml:space="preserve">t is very important to ensure consistency in the implementation of this RTS, </w:t>
      </w:r>
      <w:r>
        <w:rPr>
          <w:lang w:val="en-US"/>
        </w:rPr>
        <w:t xml:space="preserve">given </w:t>
      </w:r>
      <w:r w:rsidR="00BB2334">
        <w:rPr>
          <w:lang w:val="en-US"/>
        </w:rPr>
        <w:t>has</w:t>
      </w:r>
      <w:r>
        <w:rPr>
          <w:lang w:val="en-US"/>
        </w:rPr>
        <w:t xml:space="preserve"> such a</w:t>
      </w:r>
      <w:r w:rsidRPr="000A4C9C">
        <w:rPr>
          <w:lang w:val="en-US"/>
        </w:rPr>
        <w:t xml:space="preserve"> broad </w:t>
      </w:r>
      <w:r>
        <w:rPr>
          <w:lang w:val="en-US"/>
        </w:rPr>
        <w:t xml:space="preserve">scope which could </w:t>
      </w:r>
      <w:r w:rsidRPr="000A4C9C">
        <w:rPr>
          <w:lang w:val="en-US"/>
        </w:rPr>
        <w:t>leav</w:t>
      </w:r>
      <w:r>
        <w:rPr>
          <w:lang w:val="en-US"/>
        </w:rPr>
        <w:t>e</w:t>
      </w:r>
      <w:r w:rsidRPr="000A4C9C">
        <w:rPr>
          <w:lang w:val="en-US"/>
        </w:rPr>
        <w:t xml:space="preserve"> too much room for interpretation between supervisors and jurisdictions.</w:t>
      </w:r>
    </w:p>
    <w:p w14:paraId="1FF6FB93" w14:textId="77777777" w:rsidR="00C04A5F" w:rsidRDefault="00C04A5F" w:rsidP="001B6C6F">
      <w:pPr>
        <w:jc w:val="both"/>
        <w:rPr>
          <w:lang w:val="en-US"/>
        </w:rPr>
      </w:pPr>
    </w:p>
    <w:p w14:paraId="5DD72C4C" w14:textId="77777777" w:rsidR="00A84CF7" w:rsidRPr="003A1DEB" w:rsidRDefault="00A84CF7" w:rsidP="00A84CF7">
      <w:pPr>
        <w:pStyle w:val="BodyText"/>
        <w:spacing w:line="276" w:lineRule="auto"/>
        <w:rPr>
          <w:shd w:val="clear" w:color="auto" w:fill="FFFFFF"/>
          <w:lang w:val="en-US"/>
        </w:rPr>
      </w:pPr>
      <w:r w:rsidRPr="003A1DEB">
        <w:rPr>
          <w:shd w:val="clear" w:color="auto" w:fill="FFFFFF"/>
          <w:lang w:val="en-US"/>
        </w:rPr>
        <w:t xml:space="preserve">In the new RTS, changes in the methodology used for assigning exposures to different exposure classes (according to article 147 of CRR) </w:t>
      </w:r>
      <w:proofErr w:type="gramStart"/>
      <w:r w:rsidRPr="003A1DEB">
        <w:rPr>
          <w:shd w:val="clear" w:color="auto" w:fill="FFFFFF"/>
          <w:lang w:val="en-US"/>
        </w:rPr>
        <w:t>are reclassified</w:t>
      </w:r>
      <w:proofErr w:type="gramEnd"/>
      <w:r w:rsidRPr="003A1DEB">
        <w:rPr>
          <w:shd w:val="clear" w:color="auto" w:fill="FFFFFF"/>
          <w:lang w:val="en-US"/>
        </w:rPr>
        <w:t xml:space="preserve"> as ex-ante notifications. However, the EBA mandate according to article 143(5) of CRR is to write “standards to specify the conditions for assessing the materiality of the use of an existing rating system for other additional exposures not already covered by that rating system and changes to rating systems under the IRB Approach”. The EBA therefore presumes that rating systems and exposure classes </w:t>
      </w:r>
      <w:proofErr w:type="gramStart"/>
      <w:r w:rsidRPr="003A1DEB">
        <w:rPr>
          <w:shd w:val="clear" w:color="auto" w:fill="FFFFFF"/>
          <w:lang w:val="en-US"/>
        </w:rPr>
        <w:t>are interlinked</w:t>
      </w:r>
      <w:proofErr w:type="gramEnd"/>
      <w:r w:rsidRPr="003A1DEB">
        <w:rPr>
          <w:shd w:val="clear" w:color="auto" w:fill="FFFFFF"/>
          <w:lang w:val="en-US"/>
        </w:rPr>
        <w:t xml:space="preserve">, meaning that any change to exposure classes will impact rating systems. However, such a link is not always the case in practice. Thus, we think such changes should </w:t>
      </w:r>
      <w:proofErr w:type="gramStart"/>
      <w:r w:rsidRPr="003A1DEB">
        <w:rPr>
          <w:shd w:val="clear" w:color="auto" w:fill="FFFFFF"/>
          <w:lang w:val="en-US"/>
        </w:rPr>
        <w:t>be excluded</w:t>
      </w:r>
      <w:proofErr w:type="gramEnd"/>
      <w:r w:rsidRPr="003A1DEB">
        <w:rPr>
          <w:shd w:val="clear" w:color="auto" w:fill="FFFFFF"/>
          <w:lang w:val="en-US"/>
        </w:rPr>
        <w:t xml:space="preserve"> from the scope of the RTS when such changes do not affect the models. Such changes will be consistent with the EBA stance which is to exclude aspects outside the rating systems which may only affect the RWA formula.</w:t>
      </w:r>
    </w:p>
    <w:p w14:paraId="22CB3840" w14:textId="77777777" w:rsidR="00A84CF7" w:rsidRPr="003A1DEB" w:rsidRDefault="00A84CF7" w:rsidP="00F2192E">
      <w:pPr>
        <w:pStyle w:val="BodyText"/>
        <w:spacing w:line="276" w:lineRule="auto"/>
        <w:rPr>
          <w:shd w:val="clear" w:color="auto" w:fill="FFFFFF"/>
          <w:lang w:val="en-US"/>
        </w:rPr>
      </w:pPr>
      <w:r w:rsidRPr="003A1DEB">
        <w:rPr>
          <w:shd w:val="clear" w:color="auto" w:fill="FFFFFF"/>
          <w:lang w:val="en-US"/>
        </w:rPr>
        <w:t xml:space="preserve">As mentioned in the criteria 2(f) from Annex I, Part II, Section 1 of the new proposed regulation, change in the fundamental methodology for estimating PD/LGD now </w:t>
      </w:r>
      <w:r>
        <w:rPr>
          <w:shd w:val="clear" w:color="auto" w:fill="FFFFFF"/>
          <w:lang w:val="en-US"/>
        </w:rPr>
        <w:t>includes</w:t>
      </w:r>
      <w:r w:rsidRPr="003A1DEB">
        <w:rPr>
          <w:shd w:val="clear" w:color="auto" w:fill="FFFFFF"/>
          <w:lang w:val="en-US"/>
        </w:rPr>
        <w:t xml:space="preserve"> methodology for deriving appropriate adjustments and should </w:t>
      </w:r>
      <w:proofErr w:type="gramStart"/>
      <w:r w:rsidRPr="003A1DEB">
        <w:rPr>
          <w:shd w:val="clear" w:color="auto" w:fill="FFFFFF"/>
          <w:lang w:val="en-US"/>
        </w:rPr>
        <w:t>be considered</w:t>
      </w:r>
      <w:proofErr w:type="gramEnd"/>
      <w:r w:rsidRPr="003A1DEB">
        <w:rPr>
          <w:shd w:val="clear" w:color="auto" w:fill="FFFFFF"/>
          <w:lang w:val="en-US"/>
        </w:rPr>
        <w:t xml:space="preserve"> as a material change (ex-ante notifications otherwise). For these cases, it is within the remit of the bank to define what constitutes a “change in the fundamental methodology</w:t>
      </w:r>
      <w:proofErr w:type="gramStart"/>
      <w:r w:rsidRPr="003A1DEB">
        <w:rPr>
          <w:shd w:val="clear" w:color="auto" w:fill="FFFFFF"/>
          <w:lang w:val="en-US"/>
        </w:rPr>
        <w:t>”.</w:t>
      </w:r>
      <w:proofErr w:type="gramEnd"/>
      <w:r w:rsidRPr="003A1DEB">
        <w:rPr>
          <w:shd w:val="clear" w:color="auto" w:fill="FFFFFF"/>
          <w:lang w:val="en-US"/>
        </w:rPr>
        <w:t xml:space="preserve"> In this exercise, difficulties may appear as from a supervisory perspective, this fundamental feature could not solely be based on RWA impact. Depending on the size of the exposures/models for the bank, the limit between material change and non-material change </w:t>
      </w:r>
      <w:proofErr w:type="gramStart"/>
      <w:r w:rsidRPr="003A1DEB">
        <w:rPr>
          <w:shd w:val="clear" w:color="auto" w:fill="FFFFFF"/>
          <w:lang w:val="en-US"/>
        </w:rPr>
        <w:t>is objectively captured</w:t>
      </w:r>
      <w:proofErr w:type="gramEnd"/>
      <w:r w:rsidRPr="003A1DEB">
        <w:rPr>
          <w:shd w:val="clear" w:color="auto" w:fill="FFFFFF"/>
          <w:lang w:val="en-US"/>
        </w:rPr>
        <w:t xml:space="preserve"> through RWA impact, rather than through more subjective criteria determined by the bank. This is why the limits between material and non-material regarding methodologies for estimating PD/LGD should be based on other quantitative criteria (RWA outcomes), </w:t>
      </w:r>
      <w:r>
        <w:rPr>
          <w:shd w:val="clear" w:color="auto" w:fill="FFFFFF"/>
          <w:lang w:val="en-US"/>
        </w:rPr>
        <w:t>these</w:t>
      </w:r>
      <w:r w:rsidRPr="003A1DEB">
        <w:rPr>
          <w:shd w:val="clear" w:color="auto" w:fill="FFFFFF"/>
          <w:lang w:val="en-US"/>
        </w:rPr>
        <w:t xml:space="preserve"> metrics </w:t>
      </w:r>
      <w:proofErr w:type="gramStart"/>
      <w:r>
        <w:rPr>
          <w:shd w:val="clear" w:color="auto" w:fill="FFFFFF"/>
          <w:lang w:val="en-US"/>
        </w:rPr>
        <w:t>being</w:t>
      </w:r>
      <w:r w:rsidRPr="003A1DEB">
        <w:rPr>
          <w:shd w:val="clear" w:color="auto" w:fill="FFFFFF"/>
          <w:lang w:val="en-US"/>
        </w:rPr>
        <w:t xml:space="preserve"> defined</w:t>
      </w:r>
      <w:proofErr w:type="gramEnd"/>
      <w:r w:rsidRPr="003A1DEB">
        <w:rPr>
          <w:shd w:val="clear" w:color="auto" w:fill="FFFFFF"/>
          <w:lang w:val="en-US"/>
        </w:rPr>
        <w:t xml:space="preserve"> by the bank. </w:t>
      </w:r>
      <w:r>
        <w:rPr>
          <w:shd w:val="clear" w:color="auto" w:fill="FFFFFF"/>
          <w:lang w:val="en-US"/>
        </w:rPr>
        <w:t>This</w:t>
      </w:r>
      <w:r w:rsidRPr="003A1DEB">
        <w:rPr>
          <w:shd w:val="clear" w:color="auto" w:fill="FFFFFF"/>
          <w:lang w:val="en-US"/>
        </w:rPr>
        <w:t xml:space="preserve"> should </w:t>
      </w:r>
      <w:proofErr w:type="gramStart"/>
      <w:r w:rsidRPr="003A1DEB">
        <w:rPr>
          <w:shd w:val="clear" w:color="auto" w:fill="FFFFFF"/>
          <w:lang w:val="en-US"/>
        </w:rPr>
        <w:t>be</w:t>
      </w:r>
      <w:r>
        <w:rPr>
          <w:shd w:val="clear" w:color="auto" w:fill="FFFFFF"/>
          <w:lang w:val="en-US"/>
        </w:rPr>
        <w:t xml:space="preserve"> clarified</w:t>
      </w:r>
      <w:proofErr w:type="gramEnd"/>
      <w:r w:rsidRPr="003A1DEB">
        <w:rPr>
          <w:shd w:val="clear" w:color="auto" w:fill="FFFFFF"/>
          <w:lang w:val="en-US"/>
        </w:rPr>
        <w:t xml:space="preserve"> in</w:t>
      </w:r>
      <w:r>
        <w:rPr>
          <w:shd w:val="clear" w:color="auto" w:fill="FFFFFF"/>
          <w:lang w:val="en-US"/>
        </w:rPr>
        <w:t xml:space="preserve"> the</w:t>
      </w:r>
      <w:r w:rsidRPr="003A1DEB">
        <w:rPr>
          <w:shd w:val="clear" w:color="auto" w:fill="FFFFFF"/>
          <w:lang w:val="en-US"/>
        </w:rPr>
        <w:t xml:space="preserve"> regulation.</w:t>
      </w:r>
    </w:p>
    <w:p w14:paraId="05AA528C" w14:textId="7278A50D" w:rsidR="001B6C6F" w:rsidRPr="000A4C9C" w:rsidRDefault="00C04A5F" w:rsidP="00F2192E">
      <w:pPr>
        <w:pStyle w:val="BodyText"/>
        <w:spacing w:line="276" w:lineRule="auto"/>
        <w:rPr>
          <w:lang w:val="en-US"/>
        </w:rPr>
      </w:pPr>
      <w:r>
        <w:rPr>
          <w:lang w:val="en-US"/>
        </w:rPr>
        <w:t xml:space="preserve">In general, while we acknowledge that focusing on final grades can be a valid alternative, we are deeply concerned that excluding other statistically sound options imposes undue burdens on modelling efforts. In practical terms, demonstrating such tests would necessitate the development of a shadow estimation of the risk parameter. </w:t>
      </w:r>
      <w:r>
        <w:t>We therefore recommend retaining this as an open option rather than prescribing that option as the sole valid alternative.</w:t>
      </w:r>
    </w:p>
    <w:p w14:paraId="75D782FE" w14:textId="2DD5D9EA" w:rsidR="003C52A6" w:rsidRPr="003C52A6" w:rsidRDefault="00E00CA5" w:rsidP="003C52A6">
      <w:pPr>
        <w:pStyle w:val="BodyText"/>
        <w:spacing w:line="276" w:lineRule="auto"/>
        <w:rPr>
          <w:shd w:val="clear" w:color="auto" w:fill="FFFFFF"/>
          <w:lang w:val="en-US"/>
        </w:rPr>
      </w:pPr>
      <w:r>
        <w:rPr>
          <w:shd w:val="clear" w:color="auto" w:fill="FFFFFF"/>
          <w:lang w:val="en-US"/>
        </w:rPr>
        <w:t>We have the following</w:t>
      </w:r>
      <w:r w:rsidR="00CE0FAC">
        <w:rPr>
          <w:shd w:val="clear" w:color="auto" w:fill="FFFFFF"/>
          <w:lang w:val="en-US"/>
        </w:rPr>
        <w:t xml:space="preserve"> specific</w:t>
      </w:r>
      <w:r>
        <w:rPr>
          <w:shd w:val="clear" w:color="auto" w:fill="FFFFFF"/>
          <w:lang w:val="en-US"/>
        </w:rPr>
        <w:t xml:space="preserve"> comments on the</w:t>
      </w:r>
      <w:r w:rsidR="003C52A6" w:rsidRPr="003C52A6">
        <w:rPr>
          <w:shd w:val="clear" w:color="auto" w:fill="FFFFFF"/>
          <w:lang w:val="en-US"/>
        </w:rPr>
        <w:t xml:space="preserve"> clarifications on qualitative criteri</w:t>
      </w:r>
      <w:r w:rsidR="00850F3A">
        <w:rPr>
          <w:shd w:val="clear" w:color="auto" w:fill="FFFFFF"/>
          <w:lang w:val="en-US"/>
        </w:rPr>
        <w:t>a and the requirement to have an</w:t>
      </w:r>
      <w:r w:rsidR="003C52A6" w:rsidRPr="003C52A6">
        <w:rPr>
          <w:shd w:val="clear" w:color="auto" w:fill="FFFFFF"/>
          <w:lang w:val="en-US"/>
        </w:rPr>
        <w:t xml:space="preserve"> appropriate framework to assess the significance of i) changes in the rank ordering; ii) changes in the distribution of obligors, facilities and exposures across grade or pool</w:t>
      </w:r>
      <w:r>
        <w:rPr>
          <w:shd w:val="clear" w:color="auto" w:fill="FFFFFF"/>
          <w:lang w:val="en-US"/>
        </w:rPr>
        <w:t>,</w:t>
      </w:r>
      <w:r w:rsidR="003C52A6" w:rsidRPr="003C52A6">
        <w:rPr>
          <w:shd w:val="clear" w:color="auto" w:fill="FFFFFF"/>
          <w:lang w:val="en-US"/>
        </w:rPr>
        <w:t xml:space="preserve"> and the </w:t>
      </w:r>
      <w:r w:rsidR="00EF0CE0">
        <w:rPr>
          <w:shd w:val="clear" w:color="auto" w:fill="FFFFFF"/>
          <w:lang w:val="en-US"/>
        </w:rPr>
        <w:t xml:space="preserve">need to </w:t>
      </w:r>
      <w:r w:rsidR="0039393A">
        <w:rPr>
          <w:shd w:val="clear" w:color="auto" w:fill="FFFFFF"/>
          <w:lang w:val="en-US"/>
        </w:rPr>
        <w:t>measure the metrics</w:t>
      </w:r>
      <w:r w:rsidR="003C52A6" w:rsidRPr="003C52A6">
        <w:rPr>
          <w:shd w:val="clear" w:color="auto" w:fill="FFFFFF"/>
          <w:lang w:val="en-US"/>
        </w:rPr>
        <w:t xml:space="preserve"> </w:t>
      </w:r>
      <w:r w:rsidR="00DC159D">
        <w:rPr>
          <w:shd w:val="clear" w:color="auto" w:fill="FFFFFF"/>
          <w:lang w:val="en-US"/>
        </w:rPr>
        <w:t xml:space="preserve">on </w:t>
      </w:r>
      <w:r w:rsidR="003C52A6" w:rsidRPr="003C52A6">
        <w:rPr>
          <w:shd w:val="clear" w:color="auto" w:fill="FFFFFF"/>
          <w:lang w:val="en-US"/>
        </w:rPr>
        <w:t xml:space="preserve">the </w:t>
      </w:r>
      <w:r w:rsidR="00DC159D">
        <w:rPr>
          <w:shd w:val="clear" w:color="auto" w:fill="FFFFFF"/>
          <w:lang w:val="en-US"/>
        </w:rPr>
        <w:t>basis</w:t>
      </w:r>
      <w:r w:rsidR="003C52A6" w:rsidRPr="003C52A6">
        <w:rPr>
          <w:shd w:val="clear" w:color="auto" w:fill="FFFFFF"/>
          <w:lang w:val="en-US"/>
        </w:rPr>
        <w:t xml:space="preserve"> of final</w:t>
      </w:r>
      <w:r w:rsidR="00DC159D">
        <w:rPr>
          <w:shd w:val="clear" w:color="auto" w:fill="FFFFFF"/>
          <w:lang w:val="en-US"/>
        </w:rPr>
        <w:t xml:space="preserve"> ratings or</w:t>
      </w:r>
      <w:r w:rsidR="003C52A6" w:rsidRPr="003C52A6">
        <w:rPr>
          <w:shd w:val="clear" w:color="auto" w:fill="FFFFFF"/>
          <w:lang w:val="en-US"/>
        </w:rPr>
        <w:t xml:space="preserve"> risk parameters: </w:t>
      </w:r>
    </w:p>
    <w:p w14:paraId="67C95065" w14:textId="316B2F23" w:rsidR="003C52A6" w:rsidRPr="003C52A6" w:rsidRDefault="003C52A6" w:rsidP="00015B16">
      <w:pPr>
        <w:pStyle w:val="BodyText"/>
        <w:numPr>
          <w:ilvl w:val="1"/>
          <w:numId w:val="7"/>
        </w:numPr>
        <w:spacing w:line="276" w:lineRule="auto"/>
        <w:rPr>
          <w:shd w:val="clear" w:color="auto" w:fill="FFFFFF"/>
          <w:lang w:val="en-US"/>
        </w:rPr>
      </w:pPr>
      <w:r w:rsidRPr="003C52A6">
        <w:rPr>
          <w:shd w:val="clear" w:color="auto" w:fill="FFFFFF"/>
          <w:lang w:val="en-US"/>
        </w:rPr>
        <w:t xml:space="preserve">given the requirement of having a MoC at grade level (as per ECB EGIM) a change in the MoC could </w:t>
      </w:r>
      <w:proofErr w:type="gramStart"/>
      <w:r w:rsidRPr="003C52A6">
        <w:rPr>
          <w:shd w:val="clear" w:color="auto" w:fill="FFFFFF"/>
          <w:lang w:val="en-US"/>
        </w:rPr>
        <w:t>have an effect on</w:t>
      </w:r>
      <w:proofErr w:type="gramEnd"/>
      <w:r w:rsidRPr="003C52A6">
        <w:rPr>
          <w:shd w:val="clear" w:color="auto" w:fill="FFFFFF"/>
          <w:lang w:val="en-US"/>
        </w:rPr>
        <w:t xml:space="preserve"> rank ordering or distribution despite no change in the main structure of the model. As such the analysis should </w:t>
      </w:r>
      <w:proofErr w:type="gramStart"/>
      <w:r w:rsidRPr="003C52A6">
        <w:rPr>
          <w:shd w:val="clear" w:color="auto" w:fill="FFFFFF"/>
          <w:lang w:val="en-US"/>
        </w:rPr>
        <w:t>be done</w:t>
      </w:r>
      <w:proofErr w:type="gramEnd"/>
      <w:r w:rsidRPr="003C52A6">
        <w:rPr>
          <w:shd w:val="clear" w:color="auto" w:fill="FFFFFF"/>
          <w:lang w:val="en-US"/>
        </w:rPr>
        <w:t xml:space="preserve"> on the final parameter both before and after MoC. </w:t>
      </w:r>
      <w:r w:rsidR="00813F13" w:rsidRPr="007D2D43">
        <w:rPr>
          <w:shd w:val="clear" w:color="auto" w:fill="FFFFFF"/>
          <w:lang w:val="en-US"/>
        </w:rPr>
        <w:t xml:space="preserve">The same </w:t>
      </w:r>
      <w:r w:rsidR="00AD54A9" w:rsidRPr="007D2D43">
        <w:rPr>
          <w:shd w:val="clear" w:color="auto" w:fill="FFFFFF"/>
          <w:lang w:val="en-US"/>
        </w:rPr>
        <w:t>holds for the</w:t>
      </w:r>
      <w:r w:rsidRPr="003C52A6">
        <w:rPr>
          <w:shd w:val="clear" w:color="auto" w:fill="FFFFFF"/>
          <w:lang w:val="en-US"/>
        </w:rPr>
        <w:t xml:space="preserve"> presence of </w:t>
      </w:r>
      <w:r w:rsidR="00AD54A9" w:rsidRPr="007D2D43">
        <w:rPr>
          <w:shd w:val="clear" w:color="auto" w:fill="FFFFFF"/>
          <w:lang w:val="en-US"/>
        </w:rPr>
        <w:t xml:space="preserve">a </w:t>
      </w:r>
      <w:r w:rsidR="007E0ADB">
        <w:rPr>
          <w:shd w:val="clear" w:color="auto" w:fill="FFFFFF"/>
          <w:lang w:val="en-US"/>
        </w:rPr>
        <w:t>li</w:t>
      </w:r>
      <w:r w:rsidRPr="003C52A6">
        <w:rPr>
          <w:shd w:val="clear" w:color="auto" w:fill="FFFFFF"/>
          <w:lang w:val="en-US"/>
        </w:rPr>
        <w:t xml:space="preserve">mitation operating at the level of single parameter PD-LGD-CCF and for which a model change </w:t>
      </w:r>
      <w:proofErr w:type="gramStart"/>
      <w:r w:rsidRPr="003C52A6">
        <w:rPr>
          <w:shd w:val="clear" w:color="auto" w:fill="FFFFFF"/>
          <w:lang w:val="en-US"/>
        </w:rPr>
        <w:t>is expected</w:t>
      </w:r>
      <w:proofErr w:type="gramEnd"/>
      <w:r w:rsidRPr="003C52A6">
        <w:rPr>
          <w:shd w:val="clear" w:color="auto" w:fill="FFFFFF"/>
          <w:lang w:val="en-US"/>
        </w:rPr>
        <w:t xml:space="preserve"> to address the related </w:t>
      </w:r>
      <w:r w:rsidR="00AD54A9" w:rsidRPr="007D2D43">
        <w:rPr>
          <w:shd w:val="clear" w:color="auto" w:fill="FFFFFF"/>
          <w:lang w:val="en-US"/>
        </w:rPr>
        <w:t>o</w:t>
      </w:r>
      <w:r w:rsidRPr="003C52A6">
        <w:rPr>
          <w:shd w:val="clear" w:color="auto" w:fill="FFFFFF"/>
          <w:lang w:val="en-US"/>
        </w:rPr>
        <w:t>bligation. Indeed,</w:t>
      </w:r>
      <w:r w:rsidR="00731163">
        <w:rPr>
          <w:shd w:val="clear" w:color="auto" w:fill="FFFFFF"/>
          <w:lang w:val="en-US"/>
        </w:rPr>
        <w:t xml:space="preserve"> while we understand</w:t>
      </w:r>
      <w:r w:rsidRPr="003C52A6">
        <w:rPr>
          <w:shd w:val="clear" w:color="auto" w:fill="FFFFFF"/>
          <w:lang w:val="en-US"/>
        </w:rPr>
        <w:t xml:space="preserve"> its consideration in the quantitative RWA criteria</w:t>
      </w:r>
      <w:r w:rsidR="0047688B">
        <w:rPr>
          <w:shd w:val="clear" w:color="auto" w:fill="FFFFFF"/>
          <w:lang w:val="en-US"/>
        </w:rPr>
        <w:t xml:space="preserve"> </w:t>
      </w:r>
      <w:r w:rsidRPr="003C52A6">
        <w:rPr>
          <w:shd w:val="clear" w:color="auto" w:fill="FFFFFF"/>
          <w:lang w:val="en-US"/>
        </w:rPr>
        <w:t xml:space="preserve">for the </w:t>
      </w:r>
      <w:r w:rsidRPr="003C52A6">
        <w:rPr>
          <w:shd w:val="clear" w:color="auto" w:fill="FFFFFF"/>
          <w:lang w:val="en-US"/>
        </w:rPr>
        <w:lastRenderedPageBreak/>
        <w:t>qualitative assessment</w:t>
      </w:r>
      <w:r w:rsidR="0047688B">
        <w:rPr>
          <w:shd w:val="clear" w:color="auto" w:fill="FFFFFF"/>
          <w:lang w:val="en-US"/>
        </w:rPr>
        <w:t>,</w:t>
      </w:r>
      <w:r w:rsidRPr="003C52A6">
        <w:rPr>
          <w:shd w:val="clear" w:color="auto" w:fill="FFFFFF"/>
          <w:lang w:val="en-US"/>
        </w:rPr>
        <w:t xml:space="preserve"> the interference of</w:t>
      </w:r>
      <w:r w:rsidR="002E08D2" w:rsidRPr="007D2D43">
        <w:rPr>
          <w:shd w:val="clear" w:color="auto" w:fill="FFFFFF"/>
          <w:lang w:val="en-US"/>
        </w:rPr>
        <w:t xml:space="preserve"> a </w:t>
      </w:r>
      <w:r w:rsidR="006C3610" w:rsidRPr="007D2D43">
        <w:rPr>
          <w:shd w:val="clear" w:color="auto" w:fill="FFFFFF"/>
          <w:lang w:val="en-US"/>
        </w:rPr>
        <w:t>l</w:t>
      </w:r>
      <w:r w:rsidRPr="003C52A6">
        <w:rPr>
          <w:shd w:val="clear" w:color="auto" w:fill="FFFFFF"/>
          <w:lang w:val="en-US"/>
        </w:rPr>
        <w:t xml:space="preserve">imitation in the assessment of the change and in the analysis of rank ordering and distribution should be avoided (being in the end a pure additional </w:t>
      </w:r>
      <w:r w:rsidR="00971C65" w:rsidRPr="007D2D43">
        <w:rPr>
          <w:shd w:val="clear" w:color="auto" w:fill="FFFFFF"/>
          <w:lang w:val="en-US"/>
        </w:rPr>
        <w:t>s</w:t>
      </w:r>
      <w:r w:rsidRPr="003C52A6">
        <w:rPr>
          <w:shd w:val="clear" w:color="auto" w:fill="FFFFFF"/>
          <w:lang w:val="en-US"/>
        </w:rPr>
        <w:t xml:space="preserve">upervisory </w:t>
      </w:r>
      <w:r w:rsidR="00971C65" w:rsidRPr="007D2D43">
        <w:rPr>
          <w:shd w:val="clear" w:color="auto" w:fill="FFFFFF"/>
          <w:lang w:val="en-US"/>
        </w:rPr>
        <w:t>c</w:t>
      </w:r>
      <w:r w:rsidRPr="003C52A6">
        <w:rPr>
          <w:shd w:val="clear" w:color="auto" w:fill="FFFFFF"/>
          <w:lang w:val="en-US"/>
        </w:rPr>
        <w:t>onservative measure)</w:t>
      </w:r>
      <w:proofErr w:type="gramStart"/>
      <w:r w:rsidRPr="003C52A6">
        <w:rPr>
          <w:shd w:val="clear" w:color="auto" w:fill="FFFFFF"/>
          <w:lang w:val="en-US"/>
        </w:rPr>
        <w:t>.  </w:t>
      </w:r>
      <w:proofErr w:type="gramEnd"/>
    </w:p>
    <w:p w14:paraId="311E11ED" w14:textId="21512749" w:rsidR="003C52A6" w:rsidRPr="003C52A6" w:rsidRDefault="003C52A6" w:rsidP="00015B16">
      <w:pPr>
        <w:pStyle w:val="BodyText"/>
        <w:numPr>
          <w:ilvl w:val="1"/>
          <w:numId w:val="7"/>
        </w:numPr>
        <w:spacing w:line="276" w:lineRule="auto"/>
        <w:rPr>
          <w:shd w:val="clear" w:color="auto" w:fill="FFFFFF"/>
          <w:lang w:val="en-US"/>
        </w:rPr>
      </w:pPr>
      <w:r w:rsidRPr="003C52A6">
        <w:rPr>
          <w:shd w:val="clear" w:color="auto" w:fill="FFFFFF"/>
          <w:lang w:val="en-US"/>
        </w:rPr>
        <w:t xml:space="preserve">Even if the analysis </w:t>
      </w:r>
      <w:r w:rsidR="002E08D2" w:rsidRPr="007D2D43">
        <w:rPr>
          <w:shd w:val="clear" w:color="auto" w:fill="FFFFFF"/>
          <w:lang w:val="en-US"/>
        </w:rPr>
        <w:t>were</w:t>
      </w:r>
      <w:r w:rsidRPr="003C52A6">
        <w:rPr>
          <w:shd w:val="clear" w:color="auto" w:fill="FFFFFF"/>
          <w:lang w:val="en-US"/>
        </w:rPr>
        <w:t xml:space="preserve"> defined on the final parameter it has to be ensured </w:t>
      </w:r>
      <w:r w:rsidR="006C3610" w:rsidRPr="007D2D43">
        <w:rPr>
          <w:shd w:val="clear" w:color="auto" w:fill="FFFFFF"/>
          <w:lang w:val="en-US"/>
        </w:rPr>
        <w:t>by</w:t>
      </w:r>
      <w:r w:rsidRPr="003C52A6">
        <w:rPr>
          <w:shd w:val="clear" w:color="auto" w:fill="FFFFFF"/>
          <w:lang w:val="en-US"/>
        </w:rPr>
        <w:t xml:space="preserve"> the </w:t>
      </w:r>
      <w:r w:rsidR="006C3610" w:rsidRPr="007D2D43">
        <w:rPr>
          <w:shd w:val="clear" w:color="auto" w:fill="FFFFFF"/>
          <w:lang w:val="en-US"/>
        </w:rPr>
        <w:t>b</w:t>
      </w:r>
      <w:r w:rsidRPr="003C52A6">
        <w:rPr>
          <w:shd w:val="clear" w:color="auto" w:fill="FFFFFF"/>
          <w:lang w:val="en-US"/>
        </w:rPr>
        <w:t xml:space="preserve">ank </w:t>
      </w:r>
      <w:r w:rsidR="00782163" w:rsidRPr="007D2D43">
        <w:rPr>
          <w:shd w:val="clear" w:color="auto" w:fill="FFFFFF"/>
          <w:lang w:val="en-US"/>
        </w:rPr>
        <w:t>that the</w:t>
      </w:r>
      <w:r w:rsidRPr="003C52A6">
        <w:rPr>
          <w:shd w:val="clear" w:color="auto" w:fill="FFFFFF"/>
          <w:lang w:val="en-US"/>
        </w:rPr>
        <w:t xml:space="preserve"> definition of the framework differentiate</w:t>
      </w:r>
      <w:r w:rsidR="00782163" w:rsidRPr="007D2D43">
        <w:rPr>
          <w:shd w:val="clear" w:color="auto" w:fill="FFFFFF"/>
          <w:lang w:val="en-US"/>
        </w:rPr>
        <w:t>s</w:t>
      </w:r>
      <w:r w:rsidRPr="003C52A6">
        <w:rPr>
          <w:shd w:val="clear" w:color="auto" w:fill="FFFFFF"/>
          <w:lang w:val="en-US"/>
        </w:rPr>
        <w:t xml:space="preserve"> between changes impacting the risk differentiation (expected as more intrusive in the structure of the model) and changes in the risk quantification (e.g. resulting for example from a pure extension of the time series). Indeed, the inclusion of additional years in a pure recalibration (rather than a </w:t>
      </w:r>
      <w:r w:rsidR="00055EDE" w:rsidRPr="007D2D43">
        <w:rPr>
          <w:shd w:val="clear" w:color="auto" w:fill="FFFFFF"/>
          <w:lang w:val="en-US"/>
        </w:rPr>
        <w:t xml:space="preserve">basic </w:t>
      </w:r>
      <w:r w:rsidRPr="003C52A6">
        <w:rPr>
          <w:shd w:val="clear" w:color="auto" w:fill="FFFFFF"/>
          <w:lang w:val="en-US"/>
        </w:rPr>
        <w:t>review of a MoC) could trigger</w:t>
      </w:r>
      <w:r w:rsidR="00C83170" w:rsidRPr="007D2D43">
        <w:rPr>
          <w:shd w:val="clear" w:color="auto" w:fill="FFFFFF"/>
          <w:lang w:val="en-US"/>
        </w:rPr>
        <w:t xml:space="preserve"> disorder</w:t>
      </w:r>
      <w:r w:rsidR="00055EDE" w:rsidRPr="007D2D43">
        <w:rPr>
          <w:shd w:val="clear" w:color="auto" w:fill="FFFFFF"/>
          <w:lang w:val="en-US"/>
        </w:rPr>
        <w:t xml:space="preserve"> </w:t>
      </w:r>
      <w:r w:rsidRPr="003C52A6">
        <w:rPr>
          <w:shd w:val="clear" w:color="auto" w:fill="FFFFFF"/>
          <w:lang w:val="en-US"/>
        </w:rPr>
        <w:t>in the rank ordering and rating distribution (since the parameter could increase or decrease) but without generating changes in the rating criteria / the risk differentiation features of the model (this is also clearly highlighted in Annex I - Part II - Section 1, letters d) and letters f). It appears clear that the check on rank ordering and rating distribution results</w:t>
      </w:r>
      <w:r w:rsidR="002230FD" w:rsidRPr="007D2D43">
        <w:rPr>
          <w:shd w:val="clear" w:color="auto" w:fill="FFFFFF"/>
          <w:lang w:val="en-US"/>
        </w:rPr>
        <w:t xml:space="preserve"> is</w:t>
      </w:r>
      <w:r w:rsidRPr="003C52A6">
        <w:rPr>
          <w:shd w:val="clear" w:color="auto" w:fill="FFFFFF"/>
          <w:lang w:val="en-US"/>
        </w:rPr>
        <w:t xml:space="preserve"> particularly relevant </w:t>
      </w:r>
      <w:r w:rsidR="002230FD" w:rsidRPr="007D2D43">
        <w:rPr>
          <w:shd w:val="clear" w:color="auto" w:fill="FFFFFF"/>
          <w:lang w:val="en-US"/>
        </w:rPr>
        <w:t>for</w:t>
      </w:r>
      <w:r w:rsidRPr="003C52A6">
        <w:rPr>
          <w:shd w:val="clear" w:color="auto" w:fill="FFFFFF"/>
          <w:lang w:val="en-US"/>
        </w:rPr>
        <w:t xml:space="preserve"> changes in the rating criteria as referred to in Article 170(1)(c) and (e) and Article 170(4) (i.e. letter d)) rather in presence of changes for estimating </w:t>
      </w:r>
      <w:r w:rsidRPr="00C65318">
        <w:rPr>
          <w:shd w:val="clear" w:color="auto" w:fill="FFFFFF"/>
          <w:lang w:val="en-US"/>
        </w:rPr>
        <w:t xml:space="preserve">PDs, LGDs including best estimate of expected loss, and conversion factors according to Articles 180, 181 and 182, thus pertaining to the risk quantification (i.e. letter f)). Therefore, and stated in any case the check on RWA quantitative impact, </w:t>
      </w:r>
      <w:r w:rsidR="00E10AEA" w:rsidRPr="00C65318">
        <w:rPr>
          <w:shd w:val="clear" w:color="auto" w:fill="FFFFFF"/>
          <w:lang w:val="en-US"/>
        </w:rPr>
        <w:t>banks need</w:t>
      </w:r>
      <w:r w:rsidRPr="00C65318">
        <w:rPr>
          <w:shd w:val="clear" w:color="auto" w:fill="FFFFFF"/>
          <w:lang w:val="en-US"/>
        </w:rPr>
        <w:t xml:space="preserve"> to have a framework that a</w:t>
      </w:r>
      <w:r w:rsidR="00E10AEA" w:rsidRPr="00C65318">
        <w:rPr>
          <w:shd w:val="clear" w:color="auto" w:fill="FFFFFF"/>
          <w:lang w:val="en-US"/>
        </w:rPr>
        <w:t>llows for</w:t>
      </w:r>
      <w:r w:rsidRPr="00C65318">
        <w:rPr>
          <w:shd w:val="clear" w:color="auto" w:fill="FFFFFF"/>
          <w:lang w:val="en-US"/>
        </w:rPr>
        <w:t xml:space="preserve"> a</w:t>
      </w:r>
      <w:r w:rsidR="002655A7" w:rsidRPr="00C65318">
        <w:rPr>
          <w:shd w:val="clear" w:color="auto" w:fill="FFFFFF"/>
          <w:lang w:val="en-US"/>
        </w:rPr>
        <w:t xml:space="preserve">n appropriate </w:t>
      </w:r>
      <w:r w:rsidRPr="00C65318">
        <w:rPr>
          <w:shd w:val="clear" w:color="auto" w:fill="FFFFFF"/>
          <w:lang w:val="en-US"/>
        </w:rPr>
        <w:t xml:space="preserve">differentiation in the nature of the change (i.e. if related to risk differentiation or to risk quantification) </w:t>
      </w:r>
      <w:r w:rsidR="002655A7" w:rsidRPr="00C65318">
        <w:rPr>
          <w:shd w:val="clear" w:color="auto" w:fill="FFFFFF"/>
          <w:lang w:val="en-US"/>
        </w:rPr>
        <w:t>when it comes to assessing</w:t>
      </w:r>
      <w:r w:rsidRPr="00C65318">
        <w:rPr>
          <w:shd w:val="clear" w:color="auto" w:fill="FFFFFF"/>
          <w:lang w:val="en-US"/>
        </w:rPr>
        <w:t xml:space="preserve"> the outcomes of the rank ordering and grade/pools distribution changes.</w:t>
      </w:r>
      <w:r w:rsidRPr="003C52A6">
        <w:rPr>
          <w:shd w:val="clear" w:color="auto" w:fill="FFFFFF"/>
          <w:lang w:val="en-US"/>
        </w:rPr>
        <w:t xml:space="preserve"> </w:t>
      </w:r>
    </w:p>
    <w:p w14:paraId="69A285C4" w14:textId="2D454E16" w:rsidR="003C52A6" w:rsidRPr="003C52A6" w:rsidRDefault="003C52A6" w:rsidP="00015B16">
      <w:pPr>
        <w:pStyle w:val="BodyText"/>
        <w:numPr>
          <w:ilvl w:val="1"/>
          <w:numId w:val="7"/>
        </w:numPr>
        <w:spacing w:line="276" w:lineRule="auto"/>
        <w:rPr>
          <w:i/>
          <w:iCs/>
          <w:shd w:val="clear" w:color="auto" w:fill="FFFFFF"/>
          <w:lang w:val="en-US"/>
        </w:rPr>
      </w:pPr>
      <w:r w:rsidRPr="003C52A6">
        <w:rPr>
          <w:shd w:val="clear" w:color="auto" w:fill="FFFFFF"/>
          <w:lang w:val="en-US"/>
        </w:rPr>
        <w:t xml:space="preserve">Finally </w:t>
      </w:r>
      <w:r w:rsidR="00A04D05" w:rsidRPr="007D2D43">
        <w:rPr>
          <w:shd w:val="clear" w:color="auto" w:fill="FFFFFF"/>
          <w:lang w:val="en-US"/>
        </w:rPr>
        <w:t xml:space="preserve">the </w:t>
      </w:r>
      <w:r w:rsidRPr="003C52A6">
        <w:rPr>
          <w:shd w:val="clear" w:color="auto" w:fill="FFFFFF"/>
          <w:lang w:val="en-US"/>
        </w:rPr>
        <w:t>rank ordering assessment for</w:t>
      </w:r>
      <w:r w:rsidR="00A04D05" w:rsidRPr="007D2D43">
        <w:rPr>
          <w:shd w:val="clear" w:color="auto" w:fill="FFFFFF"/>
          <w:lang w:val="en-US"/>
        </w:rPr>
        <w:t xml:space="preserve"> the</w:t>
      </w:r>
      <w:r w:rsidRPr="003C52A6">
        <w:rPr>
          <w:shd w:val="clear" w:color="auto" w:fill="FFFFFF"/>
          <w:lang w:val="en-US"/>
        </w:rPr>
        <w:t xml:space="preserve"> Slotting Approach</w:t>
      </w:r>
      <w:r w:rsidR="00A04D05" w:rsidRPr="007D2D43">
        <w:rPr>
          <w:shd w:val="clear" w:color="auto" w:fill="FFFFFF"/>
          <w:lang w:val="en-US"/>
        </w:rPr>
        <w:t>,</w:t>
      </w:r>
      <w:r w:rsidRPr="003C52A6">
        <w:rPr>
          <w:shd w:val="clear" w:color="auto" w:fill="FFFFFF"/>
          <w:lang w:val="en-US"/>
        </w:rPr>
        <w:t xml:space="preserve"> </w:t>
      </w:r>
      <w:r w:rsidR="00A04D05" w:rsidRPr="007D2D43">
        <w:rPr>
          <w:shd w:val="clear" w:color="auto" w:fill="FFFFFF"/>
          <w:lang w:val="en-US"/>
        </w:rPr>
        <w:t xml:space="preserve">which </w:t>
      </w:r>
      <w:r w:rsidRPr="003C52A6">
        <w:rPr>
          <w:shd w:val="clear" w:color="auto" w:fill="FFFFFF"/>
          <w:lang w:val="en-US"/>
        </w:rPr>
        <w:t>is a purel</w:t>
      </w:r>
      <w:r w:rsidR="002655A7" w:rsidRPr="007D2D43">
        <w:rPr>
          <w:shd w:val="clear" w:color="auto" w:fill="FFFFFF"/>
          <w:lang w:val="en-US"/>
        </w:rPr>
        <w:t>y</w:t>
      </w:r>
      <w:r w:rsidRPr="003C52A6">
        <w:rPr>
          <w:shd w:val="clear" w:color="auto" w:fill="FFFFFF"/>
          <w:lang w:val="en-US"/>
        </w:rPr>
        <w:t xml:space="preserve"> </w:t>
      </w:r>
      <w:r w:rsidR="002655A7" w:rsidRPr="007D2D43">
        <w:rPr>
          <w:shd w:val="clear" w:color="auto" w:fill="FFFFFF"/>
          <w:lang w:val="en-US"/>
        </w:rPr>
        <w:t>r</w:t>
      </w:r>
      <w:r w:rsidRPr="003C52A6">
        <w:rPr>
          <w:shd w:val="clear" w:color="auto" w:fill="FFFFFF"/>
          <w:lang w:val="en-US"/>
        </w:rPr>
        <w:t>egulatory based approach with just 4 p</w:t>
      </w:r>
      <w:r w:rsidR="00A04D05" w:rsidRPr="007D2D43">
        <w:rPr>
          <w:shd w:val="clear" w:color="auto" w:fill="FFFFFF"/>
          <w:lang w:val="en-US"/>
        </w:rPr>
        <w:t>ossible p</w:t>
      </w:r>
      <w:r w:rsidRPr="003C52A6">
        <w:rPr>
          <w:shd w:val="clear" w:color="auto" w:fill="FFFFFF"/>
          <w:lang w:val="en-US"/>
        </w:rPr>
        <w:t>erforming grades</w:t>
      </w:r>
      <w:r w:rsidR="00A04D05" w:rsidRPr="007D2D43">
        <w:rPr>
          <w:shd w:val="clear" w:color="auto" w:fill="FFFFFF"/>
          <w:lang w:val="en-US"/>
        </w:rPr>
        <w:t>,</w:t>
      </w:r>
      <w:r w:rsidRPr="003C52A6">
        <w:rPr>
          <w:shd w:val="clear" w:color="auto" w:fill="FFFFFF"/>
          <w:lang w:val="en-US"/>
        </w:rPr>
        <w:t xml:space="preserve"> appears as excessive considering that Specialized Lending portfolios are characterized by </w:t>
      </w:r>
      <w:r w:rsidR="00A04D05" w:rsidRPr="007D2D43">
        <w:rPr>
          <w:shd w:val="clear" w:color="auto" w:fill="FFFFFF"/>
          <w:lang w:val="en-US"/>
        </w:rPr>
        <w:t xml:space="preserve">a </w:t>
      </w:r>
      <w:r w:rsidRPr="003C52A6">
        <w:rPr>
          <w:shd w:val="clear" w:color="auto" w:fill="FFFFFF"/>
          <w:lang w:val="en-US"/>
        </w:rPr>
        <w:t>limited number of observations by definition and, as such, by an inherent volatility not necessarily due to the model change per s</w:t>
      </w:r>
      <w:r w:rsidR="00056ED6" w:rsidRPr="007D2D43">
        <w:rPr>
          <w:shd w:val="clear" w:color="auto" w:fill="FFFFFF"/>
          <w:lang w:val="en-US"/>
        </w:rPr>
        <w:t>e</w:t>
      </w:r>
      <w:r w:rsidRPr="003C52A6">
        <w:rPr>
          <w:shd w:val="clear" w:color="auto" w:fill="FFFFFF"/>
          <w:lang w:val="en-US"/>
        </w:rPr>
        <w:t xml:space="preserve"> but to the features of the portfolio snapshot considered in the specific point-in-time of the assessment.</w:t>
      </w:r>
      <w:r w:rsidRPr="003C52A6">
        <w:rPr>
          <w:i/>
          <w:iCs/>
          <w:shd w:val="clear" w:color="auto" w:fill="FFFFFF"/>
          <w:lang w:val="en-US"/>
        </w:rPr>
        <w:t xml:space="preserve"> </w:t>
      </w:r>
    </w:p>
    <w:p w14:paraId="1AAC7A76" w14:textId="6930B08B" w:rsidR="003C52A6" w:rsidRDefault="00056ED6" w:rsidP="00015B16">
      <w:pPr>
        <w:pStyle w:val="BodyText"/>
        <w:spacing w:line="276" w:lineRule="auto"/>
        <w:rPr>
          <w:shd w:val="clear" w:color="auto" w:fill="FFFFFF"/>
        </w:rPr>
      </w:pPr>
      <w:r w:rsidRPr="007D2D43">
        <w:rPr>
          <w:shd w:val="clear" w:color="auto" w:fill="FFFFFF"/>
        </w:rPr>
        <w:t>In addition, we believe room for flexibility should be introduced in the sentence “</w:t>
      </w:r>
      <w:r w:rsidRPr="007D2D43">
        <w:rPr>
          <w:i/>
          <w:iCs/>
          <w:shd w:val="clear" w:color="auto" w:fill="FFFFFF"/>
        </w:rPr>
        <w:t>For example, changes to traffic light thresholds of test metrics leading to a more positive validation result are deemed a material change; however, where such changes lead to an equally strict or more conservative validation result, an ex-ante notification is deemed appropriate. For this purpose, institutions should carefully consider the impact of the change on aggregated test outcomes where thresholds are set at a level higher than an individual test metric.</w:t>
      </w:r>
      <w:r w:rsidRPr="007D2D43">
        <w:rPr>
          <w:shd w:val="clear" w:color="auto" w:fill="FFFFFF"/>
        </w:rPr>
        <w:t xml:space="preserve">” Our understanding is that simple changes to traffic light thresholds of test metrics which lead to a more positive validation result are deemed a material change. On the other hand, there could be changes in the aggregation workflow of a test executed at different levels, that should be simulated to get the direction and the classification of the change. Since the validation framework could apply to an extended number of models across a banking group, the full simulation exercise would be </w:t>
      </w:r>
      <w:r w:rsidR="007E7AD6">
        <w:rPr>
          <w:shd w:val="clear" w:color="auto" w:fill="FFFFFF"/>
        </w:rPr>
        <w:t>ver</w:t>
      </w:r>
      <w:r w:rsidRPr="007D2D43">
        <w:rPr>
          <w:shd w:val="clear" w:color="auto" w:fill="FFFFFF"/>
        </w:rPr>
        <w:t>y burdensome; for this reason, we deem that the institution should have the possibility to sample the models to simulate, using appropriate materiality criteria, and classify the change based on the outcome on the sample. Moreover, some little fluctuations may be possible, e.g. most of the final test outcomes are the same except for a couple, which are less severe; in this case, we deem a classification as material would be incorrect. Further, there are cases in which the institution should have the possibility for a qualitative classification assessment, to complement the “mechanical” outcome of the simulation. For instance, if the institution introduces/reviews a materiality concept in the aggregation workflow, which penalizes less the immaterial component; per se, such an intervention is more lenient, but the final simulated outcome on the sampled models could be very marginal.</w:t>
      </w:r>
    </w:p>
    <w:p w14:paraId="2142E972" w14:textId="3E626525" w:rsidR="000A4C9C" w:rsidRDefault="001B6C6F" w:rsidP="00015B16">
      <w:pPr>
        <w:jc w:val="both"/>
        <w:rPr>
          <w:lang w:val="en-US"/>
        </w:rPr>
      </w:pPr>
      <w:r>
        <w:lastRenderedPageBreak/>
        <w:t>On</w:t>
      </w:r>
      <w:r w:rsidR="00C1773B">
        <w:t xml:space="preserve"> the definition of</w:t>
      </w:r>
      <w:r>
        <w:t xml:space="preserve"> </w:t>
      </w:r>
      <w:r w:rsidR="000A4C9C" w:rsidRPr="000A4C9C">
        <w:rPr>
          <w:lang w:val="en-US"/>
        </w:rPr>
        <w:t>default, we consider the following cases should be specified to be out of the scope of this RTS:</w:t>
      </w:r>
    </w:p>
    <w:p w14:paraId="3497B2E7" w14:textId="77777777" w:rsidR="00036E54" w:rsidRPr="000A4C9C" w:rsidRDefault="00036E54" w:rsidP="00015B16">
      <w:pPr>
        <w:jc w:val="both"/>
        <w:rPr>
          <w:lang w:val="en-US"/>
        </w:rPr>
      </w:pPr>
    </w:p>
    <w:p w14:paraId="1F027A2E" w14:textId="77777777" w:rsidR="000A4C9C" w:rsidRPr="000A4C9C" w:rsidRDefault="000A4C9C" w:rsidP="00015B16">
      <w:pPr>
        <w:numPr>
          <w:ilvl w:val="0"/>
          <w:numId w:val="9"/>
        </w:numPr>
        <w:spacing w:after="160" w:line="259" w:lineRule="auto"/>
        <w:jc w:val="both"/>
        <w:rPr>
          <w:lang w:val="en-US"/>
        </w:rPr>
      </w:pPr>
      <w:r w:rsidRPr="000A4C9C">
        <w:rPr>
          <w:lang w:val="en-US"/>
        </w:rPr>
        <w:t xml:space="preserve">Changes due to obligations or recommendations by IMIs or OSIs that do not result in a change to the IMI model being </w:t>
      </w:r>
      <w:proofErr w:type="gramStart"/>
      <w:r w:rsidRPr="000A4C9C">
        <w:rPr>
          <w:lang w:val="en-US"/>
        </w:rPr>
        <w:t>handled</w:t>
      </w:r>
      <w:proofErr w:type="gramEnd"/>
      <w:r w:rsidRPr="000A4C9C">
        <w:rPr>
          <w:lang w:val="en-US"/>
        </w:rPr>
        <w:t xml:space="preserve"> instead </w:t>
      </w:r>
      <w:proofErr w:type="gramStart"/>
      <w:r w:rsidRPr="000A4C9C">
        <w:rPr>
          <w:lang w:val="en-US"/>
        </w:rPr>
        <w:t>by</w:t>
      </w:r>
      <w:proofErr w:type="gramEnd"/>
      <w:r w:rsidRPr="000A4C9C">
        <w:rPr>
          <w:lang w:val="en-US"/>
        </w:rPr>
        <w:t xml:space="preserve"> the remediation plan agreed with the supervisor.</w:t>
      </w:r>
    </w:p>
    <w:p w14:paraId="1015FEF6" w14:textId="7CF58BAB" w:rsidR="000A4C9C" w:rsidRPr="007729D8" w:rsidRDefault="000A4C9C" w:rsidP="00015B16">
      <w:pPr>
        <w:numPr>
          <w:ilvl w:val="0"/>
          <w:numId w:val="9"/>
        </w:numPr>
        <w:spacing w:after="160" w:line="259" w:lineRule="auto"/>
        <w:jc w:val="both"/>
        <w:rPr>
          <w:lang w:val="en-US"/>
        </w:rPr>
      </w:pPr>
      <w:r w:rsidRPr="000A4C9C">
        <w:rPr>
          <w:lang w:val="en-US"/>
        </w:rPr>
        <w:t xml:space="preserve">Changes </w:t>
      </w:r>
      <w:r w:rsidR="007729D8">
        <w:rPr>
          <w:lang w:val="en-US"/>
        </w:rPr>
        <w:t>due to</w:t>
      </w:r>
      <w:r w:rsidRPr="000A4C9C">
        <w:rPr>
          <w:lang w:val="en-US"/>
        </w:rPr>
        <w:t xml:space="preserve"> changes </w:t>
      </w:r>
      <w:r w:rsidR="007729D8">
        <w:rPr>
          <w:lang w:val="en-US"/>
        </w:rPr>
        <w:t>in the</w:t>
      </w:r>
      <w:r w:rsidRPr="000A4C9C">
        <w:rPr>
          <w:lang w:val="en-US"/>
        </w:rPr>
        <w:t xml:space="preserve"> rules that d</w:t>
      </w:r>
      <w:r w:rsidR="008946C2">
        <w:rPr>
          <w:lang w:val="en-US"/>
        </w:rPr>
        <w:t xml:space="preserve">o </w:t>
      </w:r>
      <w:r w:rsidRPr="000A4C9C">
        <w:rPr>
          <w:lang w:val="en-US"/>
        </w:rPr>
        <w:t>not result in a change in the model.</w:t>
      </w:r>
      <w:r w:rsidR="008553C6" w:rsidRPr="008553C6">
        <w:rPr>
          <w:shd w:val="clear" w:color="auto" w:fill="FFFFFF"/>
          <w:lang w:val="en-US"/>
        </w:rPr>
        <w:t xml:space="preserve"> </w:t>
      </w:r>
      <w:r w:rsidR="008553C6">
        <w:rPr>
          <w:shd w:val="clear" w:color="auto" w:fill="FFFFFF"/>
          <w:lang w:val="en-US"/>
        </w:rPr>
        <w:t>That means, a</w:t>
      </w:r>
      <w:r w:rsidR="008553C6" w:rsidRPr="003A1DEB">
        <w:rPr>
          <w:shd w:val="clear" w:color="auto" w:fill="FFFFFF"/>
          <w:lang w:val="en-US"/>
        </w:rPr>
        <w:t xml:space="preserve">ny change imposed by new </w:t>
      </w:r>
      <w:r w:rsidR="008553C6">
        <w:rPr>
          <w:shd w:val="clear" w:color="auto" w:fill="FFFFFF"/>
          <w:lang w:val="en-US"/>
        </w:rPr>
        <w:t xml:space="preserve">regulatory </w:t>
      </w:r>
      <w:r w:rsidR="008553C6" w:rsidRPr="003A1DEB">
        <w:rPr>
          <w:shd w:val="clear" w:color="auto" w:fill="FFFFFF"/>
          <w:lang w:val="en-US"/>
        </w:rPr>
        <w:t xml:space="preserve">requirements </w:t>
      </w:r>
      <w:r w:rsidR="008553C6">
        <w:rPr>
          <w:shd w:val="clear" w:color="auto" w:fill="FFFFFF"/>
          <w:lang w:val="en-US"/>
        </w:rPr>
        <w:t>should</w:t>
      </w:r>
      <w:r w:rsidR="008553C6" w:rsidRPr="003A1DEB">
        <w:rPr>
          <w:shd w:val="clear" w:color="auto" w:fill="FFFFFF"/>
          <w:lang w:val="en-US"/>
        </w:rPr>
        <w:t xml:space="preserve"> not </w:t>
      </w:r>
      <w:proofErr w:type="gramStart"/>
      <w:r w:rsidR="008553C6">
        <w:rPr>
          <w:shd w:val="clear" w:color="auto" w:fill="FFFFFF"/>
          <w:lang w:val="en-US"/>
        </w:rPr>
        <w:t xml:space="preserve">be </w:t>
      </w:r>
      <w:r w:rsidR="008553C6" w:rsidRPr="003A1DEB">
        <w:rPr>
          <w:shd w:val="clear" w:color="auto" w:fill="FFFFFF"/>
          <w:lang w:val="en-US"/>
        </w:rPr>
        <w:t>considered</w:t>
      </w:r>
      <w:proofErr w:type="gramEnd"/>
      <w:r w:rsidR="008553C6" w:rsidRPr="003A1DEB">
        <w:rPr>
          <w:shd w:val="clear" w:color="auto" w:fill="FFFFFF"/>
          <w:lang w:val="en-US"/>
        </w:rPr>
        <w:t xml:space="preserve"> as material</w:t>
      </w:r>
      <w:r w:rsidR="008553C6">
        <w:rPr>
          <w:shd w:val="clear" w:color="auto" w:fill="FFFFFF"/>
          <w:lang w:val="en-US"/>
        </w:rPr>
        <w:t>.</w:t>
      </w:r>
    </w:p>
    <w:p w14:paraId="36E2E24F" w14:textId="77777777" w:rsidR="000A4C9C" w:rsidRPr="000A4C9C" w:rsidRDefault="000A4C9C" w:rsidP="00015B16">
      <w:pPr>
        <w:numPr>
          <w:ilvl w:val="0"/>
          <w:numId w:val="9"/>
        </w:numPr>
        <w:spacing w:after="160" w:line="259" w:lineRule="auto"/>
        <w:jc w:val="both"/>
        <w:rPr>
          <w:lang w:val="en-US"/>
        </w:rPr>
      </w:pPr>
      <w:r w:rsidRPr="000A4C9C">
        <w:rPr>
          <w:lang w:val="en-US"/>
        </w:rPr>
        <w:t>Changes in the marking criteria (</w:t>
      </w:r>
      <w:proofErr w:type="gramStart"/>
      <w:r w:rsidRPr="000A4C9C">
        <w:rPr>
          <w:lang w:val="en-US"/>
        </w:rPr>
        <w:t>e.g.</w:t>
      </w:r>
      <w:proofErr w:type="gramEnd"/>
      <w:r w:rsidRPr="000A4C9C">
        <w:rPr>
          <w:lang w:val="en-US"/>
        </w:rPr>
        <w:t xml:space="preserve"> thresholds, calculation formulas, etc.) of UTPs</w:t>
      </w:r>
    </w:p>
    <w:p w14:paraId="73BECB54" w14:textId="4409F972" w:rsidR="00926520" w:rsidRDefault="001A7A3A" w:rsidP="00015B16">
      <w:pPr>
        <w:pStyle w:val="BodyText"/>
        <w:spacing w:line="276" w:lineRule="auto"/>
        <w:rPr>
          <w:shd w:val="clear" w:color="auto" w:fill="FFFFFF"/>
          <w:lang w:val="en-US"/>
        </w:rPr>
      </w:pPr>
      <w:r>
        <w:rPr>
          <w:lang w:val="en-US"/>
        </w:rPr>
        <w:t>We</w:t>
      </w:r>
      <w:r w:rsidR="000A4C9C" w:rsidRPr="000A4C9C">
        <w:rPr>
          <w:lang w:val="en-US"/>
        </w:rPr>
        <w:t xml:space="preserve"> would appreciate more clarity on what “method to identify if the obligor is more than 90 dpd” is to </w:t>
      </w:r>
      <w:proofErr w:type="gramStart"/>
      <w:r w:rsidR="000A4C9C" w:rsidRPr="003A1DEB">
        <w:rPr>
          <w:shd w:val="clear" w:color="auto" w:fill="FFFFFF"/>
          <w:lang w:val="en-US"/>
        </w:rPr>
        <w:t>be considered</w:t>
      </w:r>
      <w:proofErr w:type="gramEnd"/>
      <w:r w:rsidR="000A4C9C" w:rsidRPr="003A1DEB">
        <w:rPr>
          <w:shd w:val="clear" w:color="auto" w:fill="FFFFFF"/>
          <w:lang w:val="en-US"/>
        </w:rPr>
        <w:t>.</w:t>
      </w:r>
    </w:p>
    <w:p w14:paraId="0BA289B8" w14:textId="77777777" w:rsidR="00C6622F" w:rsidRPr="00C6622F" w:rsidRDefault="00C6622F" w:rsidP="00015B16">
      <w:pPr>
        <w:spacing w:after="120" w:line="276" w:lineRule="auto"/>
        <w:jc w:val="both"/>
        <w:rPr>
          <w:b/>
          <w:bCs/>
          <w:u w:val="single"/>
          <w:shd w:val="clear" w:color="auto" w:fill="FFFFFF"/>
        </w:rPr>
      </w:pPr>
      <w:r w:rsidRPr="00C6622F">
        <w:rPr>
          <w:b/>
          <w:bCs/>
          <w:u w:val="single"/>
          <w:shd w:val="clear" w:color="auto" w:fill="FFFFFF"/>
        </w:rPr>
        <w:t>Changes to definition of default:</w:t>
      </w:r>
    </w:p>
    <w:p w14:paraId="758A0CAA" w14:textId="77777777" w:rsidR="00C6622F" w:rsidRPr="00C6622F" w:rsidRDefault="00C6622F" w:rsidP="00015B16">
      <w:pPr>
        <w:spacing w:after="120" w:line="276" w:lineRule="auto"/>
        <w:jc w:val="both"/>
        <w:rPr>
          <w:shd w:val="clear" w:color="auto" w:fill="FFFFFF"/>
        </w:rPr>
      </w:pPr>
      <w:r w:rsidRPr="00C6622F">
        <w:rPr>
          <w:shd w:val="clear" w:color="auto" w:fill="FFFFFF"/>
        </w:rPr>
        <w:t>Regarding changes to the definition of default, we welcome the EBA initiative to introduce better separation between changes which entail a material change and the other changes where ex-ante notifications are needed. In the proposed RTS, the following cases are listed as material:</w:t>
      </w:r>
    </w:p>
    <w:p w14:paraId="4C14D822" w14:textId="77777777" w:rsidR="00C6622F" w:rsidRPr="00C6622F" w:rsidRDefault="00C6622F" w:rsidP="00015B16">
      <w:pPr>
        <w:numPr>
          <w:ilvl w:val="0"/>
          <w:numId w:val="20"/>
        </w:numPr>
        <w:spacing w:after="120" w:line="276" w:lineRule="auto"/>
        <w:jc w:val="both"/>
        <w:rPr>
          <w:i/>
          <w:iCs/>
          <w:shd w:val="clear" w:color="auto" w:fill="FFFFFF"/>
        </w:rPr>
      </w:pPr>
      <w:r w:rsidRPr="00C6622F">
        <w:rPr>
          <w:i/>
          <w:iCs/>
          <w:shd w:val="clear" w:color="auto" w:fill="FFFFFF"/>
        </w:rPr>
        <w:t>they change the method to identify if the obligor is more than 90 days past due on any material credit obligation</w:t>
      </w:r>
    </w:p>
    <w:p w14:paraId="56B46C4A" w14:textId="77777777" w:rsidR="00C6622F" w:rsidRPr="00C6622F" w:rsidRDefault="00C6622F" w:rsidP="00015B16">
      <w:pPr>
        <w:numPr>
          <w:ilvl w:val="0"/>
          <w:numId w:val="20"/>
        </w:numPr>
        <w:spacing w:after="120" w:line="276" w:lineRule="auto"/>
        <w:jc w:val="both"/>
        <w:rPr>
          <w:i/>
          <w:iCs/>
          <w:shd w:val="clear" w:color="auto" w:fill="FFFFFF"/>
        </w:rPr>
      </w:pPr>
      <w:r w:rsidRPr="00C6622F">
        <w:rPr>
          <w:i/>
          <w:iCs/>
          <w:shd w:val="clear" w:color="auto" w:fill="FFFFFF"/>
        </w:rPr>
        <w:t>they change the level of application of the definition of default for retail exposures</w:t>
      </w:r>
    </w:p>
    <w:p w14:paraId="62AB27DA" w14:textId="77777777" w:rsidR="00C6622F" w:rsidRPr="00C6622F" w:rsidRDefault="00C6622F" w:rsidP="00015B16">
      <w:pPr>
        <w:numPr>
          <w:ilvl w:val="0"/>
          <w:numId w:val="20"/>
        </w:numPr>
        <w:spacing w:after="120" w:line="276" w:lineRule="auto"/>
        <w:jc w:val="both"/>
        <w:rPr>
          <w:i/>
          <w:iCs/>
          <w:shd w:val="clear" w:color="auto" w:fill="FFFFFF"/>
        </w:rPr>
      </w:pPr>
      <w:r w:rsidRPr="00C6622F">
        <w:rPr>
          <w:i/>
          <w:iCs/>
          <w:shd w:val="clear" w:color="auto" w:fill="FFFFFF"/>
        </w:rPr>
        <w:t>they change the use of external data</w:t>
      </w:r>
    </w:p>
    <w:p w14:paraId="5B24AF49" w14:textId="77777777" w:rsidR="00C6622F" w:rsidRPr="00C6622F" w:rsidRDefault="00C6622F" w:rsidP="00015B16">
      <w:pPr>
        <w:numPr>
          <w:ilvl w:val="0"/>
          <w:numId w:val="20"/>
        </w:numPr>
        <w:spacing w:after="120" w:line="276" w:lineRule="auto"/>
        <w:jc w:val="both"/>
        <w:rPr>
          <w:i/>
          <w:iCs/>
          <w:shd w:val="clear" w:color="auto" w:fill="FFFFFF"/>
        </w:rPr>
      </w:pPr>
      <w:r w:rsidRPr="00C6622F">
        <w:rPr>
          <w:i/>
          <w:iCs/>
          <w:shd w:val="clear" w:color="auto" w:fill="FFFFFF"/>
        </w:rPr>
        <w:t>they change whether an indication of unlikeliness to pay results in an automatic or in a manual default reclassification</w:t>
      </w:r>
    </w:p>
    <w:p w14:paraId="29655C3D" w14:textId="77777777" w:rsidR="00C6622F" w:rsidRPr="00C6622F" w:rsidRDefault="00C6622F" w:rsidP="00015B16">
      <w:pPr>
        <w:numPr>
          <w:ilvl w:val="0"/>
          <w:numId w:val="20"/>
        </w:numPr>
        <w:spacing w:after="120" w:line="276" w:lineRule="auto"/>
        <w:jc w:val="both"/>
        <w:rPr>
          <w:i/>
          <w:iCs/>
          <w:shd w:val="clear" w:color="auto" w:fill="FFFFFF"/>
        </w:rPr>
      </w:pPr>
      <w:r w:rsidRPr="00C6622F">
        <w:rPr>
          <w:i/>
          <w:iCs/>
          <w:shd w:val="clear" w:color="auto" w:fill="FFFFFF"/>
        </w:rPr>
        <w:t>they change the default classification in the reference dataset or scope of application of a rating system in a significant manner, the measure and level of which will have been defined by the institution</w:t>
      </w:r>
    </w:p>
    <w:p w14:paraId="29DB91C0" w14:textId="76C1FF86" w:rsidR="00C6622F" w:rsidRPr="00C6622F" w:rsidRDefault="00C6622F" w:rsidP="00015B16">
      <w:pPr>
        <w:spacing w:after="120" w:line="276" w:lineRule="auto"/>
        <w:jc w:val="both"/>
        <w:rPr>
          <w:shd w:val="clear" w:color="auto" w:fill="FFFFFF"/>
        </w:rPr>
      </w:pPr>
      <w:r w:rsidRPr="00C6622F">
        <w:rPr>
          <w:shd w:val="clear" w:color="auto" w:fill="FFFFFF"/>
        </w:rPr>
        <w:t>Dealing with the newly introduced criteria, we would like to share several comments:</w:t>
      </w:r>
    </w:p>
    <w:p w14:paraId="4AB8EC46" w14:textId="5A3B5583" w:rsidR="00C6622F" w:rsidRPr="001A4723" w:rsidRDefault="00C6622F" w:rsidP="00015B16">
      <w:pPr>
        <w:numPr>
          <w:ilvl w:val="0"/>
          <w:numId w:val="21"/>
        </w:numPr>
        <w:spacing w:after="120" w:line="276" w:lineRule="auto"/>
        <w:jc w:val="both"/>
        <w:rPr>
          <w:shd w:val="clear" w:color="auto" w:fill="FFFFFF"/>
        </w:rPr>
      </w:pPr>
      <w:r w:rsidRPr="00C6622F">
        <w:rPr>
          <w:shd w:val="clear" w:color="auto" w:fill="FFFFFF"/>
        </w:rPr>
        <w:t xml:space="preserve">We understand from the public hearing that the EBA would </w:t>
      </w:r>
      <w:r w:rsidR="00E46711">
        <w:rPr>
          <w:shd w:val="clear" w:color="auto" w:fill="FFFFFF"/>
        </w:rPr>
        <w:t xml:space="preserve">include </w:t>
      </w:r>
      <w:r w:rsidRPr="00C6622F">
        <w:rPr>
          <w:shd w:val="clear" w:color="auto" w:fill="FFFFFF"/>
        </w:rPr>
        <w:t xml:space="preserve">in the “material” category an extensive range of changes to definition of default related mostly to operational implementation issues. </w:t>
      </w:r>
      <w:r w:rsidR="00DD7E4E">
        <w:rPr>
          <w:shd w:val="clear" w:color="auto" w:fill="FFFFFF"/>
        </w:rPr>
        <w:t>We note that n</w:t>
      </w:r>
      <w:r w:rsidRPr="00C6622F">
        <w:rPr>
          <w:shd w:val="clear" w:color="auto" w:fill="FFFFFF"/>
        </w:rPr>
        <w:t xml:space="preserve">ot only may these changes </w:t>
      </w:r>
      <w:r w:rsidR="005A0B42">
        <w:rPr>
          <w:shd w:val="clear" w:color="auto" w:fill="FFFFFF"/>
        </w:rPr>
        <w:t>have no</w:t>
      </w:r>
      <w:r w:rsidRPr="00C6622F">
        <w:rPr>
          <w:shd w:val="clear" w:color="auto" w:fill="FFFFFF"/>
        </w:rPr>
        <w:t xml:space="preserve"> impact</w:t>
      </w:r>
      <w:r w:rsidR="00002A4C">
        <w:rPr>
          <w:shd w:val="clear" w:color="auto" w:fill="FFFFFF"/>
        </w:rPr>
        <w:t xml:space="preserve"> on</w:t>
      </w:r>
      <w:r w:rsidRPr="00C6622F">
        <w:rPr>
          <w:shd w:val="clear" w:color="auto" w:fill="FFFFFF"/>
        </w:rPr>
        <w:t xml:space="preserve"> rating systems, but such changes do not prevent the well-functioning of risk management functions. For instance, in a change of the batch frequency for defaulting exposures from monthly to daily (with exact date and number of days being stored in any case), the impact is only on the frequency at which the new defaults are stored in the systems. Such change not only is an improvement of the framework but also does not modify the result of the identification of default and </w:t>
      </w:r>
      <w:r w:rsidR="00002A4C">
        <w:rPr>
          <w:shd w:val="clear" w:color="auto" w:fill="FFFFFF"/>
        </w:rPr>
        <w:t>nor</w:t>
      </w:r>
      <w:r w:rsidRPr="00C6622F">
        <w:rPr>
          <w:shd w:val="clear" w:color="auto" w:fill="FFFFFF"/>
        </w:rPr>
        <w:t xml:space="preserve"> impact the rating systems. </w:t>
      </w:r>
    </w:p>
    <w:p w14:paraId="16E3660A" w14:textId="77777777" w:rsidR="001A4723" w:rsidRDefault="00C6622F" w:rsidP="00015B16">
      <w:pPr>
        <w:numPr>
          <w:ilvl w:val="0"/>
          <w:numId w:val="21"/>
        </w:numPr>
        <w:spacing w:after="120" w:line="276" w:lineRule="auto"/>
        <w:jc w:val="both"/>
        <w:rPr>
          <w:shd w:val="clear" w:color="auto" w:fill="FFFFFF"/>
        </w:rPr>
      </w:pPr>
      <w:r w:rsidRPr="00C6622F">
        <w:rPr>
          <w:shd w:val="clear" w:color="auto" w:fill="FFFFFF"/>
        </w:rPr>
        <w:t xml:space="preserve">In addition, some new requirements remain vague regarding “changes whether an indication of Unlikeliness to Pay results in an automatic or in a manual default reclassification”. Although it appears clear from the EBA position that modifying an UTP default event trigger from automatic to manual reclassification generate a material change, we understand that changes from manual to automatic reclassification rather than changes in general to UTP triggers shall be notified a minima as ex-ante </w:t>
      </w:r>
      <w:proofErr w:type="gramStart"/>
      <w:r w:rsidRPr="00C6622F">
        <w:rPr>
          <w:shd w:val="clear" w:color="auto" w:fill="FFFFFF"/>
        </w:rPr>
        <w:t>notifications</w:t>
      </w:r>
      <w:proofErr w:type="gramEnd"/>
      <w:r w:rsidRPr="00C6622F">
        <w:rPr>
          <w:shd w:val="clear" w:color="auto" w:fill="FFFFFF"/>
        </w:rPr>
        <w:t xml:space="preserve">. In practice, the UTP detection starts from the elementary early warning signals underlying the Portfolio Credit Monitoring process. The system of EWS strictly pertains to the credit operations of the banks and is subject to ongoing updates and fine-tuning thus requiring timeliness in the execution. Because of unclear boundaries of this requirement included in the new RTS, there can be a risk of introducing severe slowdown to credit operations if an ex-ante notification is foreseen also </w:t>
      </w:r>
      <w:r w:rsidRPr="00C6622F">
        <w:rPr>
          <w:shd w:val="clear" w:color="auto" w:fill="FFFFFF"/>
        </w:rPr>
        <w:lastRenderedPageBreak/>
        <w:t xml:space="preserve">for changes introduced at the level of elementary indicators in the EWS (that may have, even if indirectly, an impact on the default detection). This point deserves further attention and clarifications when defining the boundaries of the application perimeter of the RTS: </w:t>
      </w:r>
      <w:r w:rsidRPr="001A4723">
        <w:rPr>
          <w:shd w:val="clear" w:color="auto" w:fill="FFFFFF"/>
        </w:rPr>
        <w:t xml:space="preserve">our opinion is that process changes pertaining exclusively to the credit operations at the level of the elementary indicators of the Early Warning System should not be in the scope of this RTS; only changes in the rules and methodologies of default detection shall be covered by the RTS. </w:t>
      </w:r>
    </w:p>
    <w:p w14:paraId="291AA451" w14:textId="132F4515" w:rsidR="00C6622F" w:rsidRDefault="00C6622F" w:rsidP="00015B16">
      <w:pPr>
        <w:numPr>
          <w:ilvl w:val="0"/>
          <w:numId w:val="21"/>
        </w:numPr>
        <w:spacing w:after="120" w:line="276" w:lineRule="auto"/>
        <w:jc w:val="both"/>
        <w:rPr>
          <w:shd w:val="clear" w:color="auto" w:fill="FFFFFF"/>
        </w:rPr>
      </w:pPr>
      <w:r w:rsidRPr="001A4723">
        <w:rPr>
          <w:shd w:val="clear" w:color="auto" w:fill="FFFFFF"/>
        </w:rPr>
        <w:t>The classification criteria for a change in definition of default is considered as stand-alone compared to the related impact that would stem f</w:t>
      </w:r>
      <w:r w:rsidR="00CE3B9F">
        <w:rPr>
          <w:shd w:val="clear" w:color="auto" w:fill="FFFFFF"/>
        </w:rPr>
        <w:t>rom</w:t>
      </w:r>
      <w:r w:rsidRPr="001A4723">
        <w:rPr>
          <w:shd w:val="clear" w:color="auto" w:fill="FFFFFF"/>
        </w:rPr>
        <w:t xml:space="preserve"> internal models (that will be capture</w:t>
      </w:r>
      <w:r w:rsidR="00452719">
        <w:rPr>
          <w:shd w:val="clear" w:color="auto" w:fill="FFFFFF"/>
        </w:rPr>
        <w:t>d</w:t>
      </w:r>
      <w:r w:rsidRPr="001A4723">
        <w:rPr>
          <w:shd w:val="clear" w:color="auto" w:fill="FFFFFF"/>
        </w:rPr>
        <w:t xml:space="preserve"> with other criteria of the RTS). In this regard it is interesting to note that no impact on RW for non-defaulted assets is expected from the change of the definition of default (“</w:t>
      </w:r>
      <w:r w:rsidRPr="001A4723">
        <w:rPr>
          <w:i/>
          <w:iCs/>
          <w:shd w:val="clear" w:color="auto" w:fill="FFFFFF"/>
        </w:rPr>
        <w:t>It is also noted that a change of the definition of default alone does not change the risk weighting of non-defaulted exposures</w:t>
      </w:r>
      <w:r w:rsidRPr="001A4723">
        <w:rPr>
          <w:shd w:val="clear" w:color="auto" w:fill="FFFFFF"/>
        </w:rPr>
        <w:t xml:space="preserve">”). </w:t>
      </w:r>
      <w:r w:rsidR="00D61C03">
        <w:rPr>
          <w:shd w:val="clear" w:color="auto" w:fill="FFFFFF"/>
        </w:rPr>
        <w:t>Nonetheless</w:t>
      </w:r>
      <w:r w:rsidRPr="001A4723">
        <w:rPr>
          <w:shd w:val="clear" w:color="auto" w:fill="FFFFFF"/>
        </w:rPr>
        <w:t xml:space="preserve">, it has to be considered that the change in the default classification criteria would be prone to change the asset quality composition (i.e. performing/default composition), as such the pure migration from performing to default due to the changed classification policy is </w:t>
      </w:r>
      <w:r w:rsidR="00531232">
        <w:rPr>
          <w:shd w:val="clear" w:color="auto" w:fill="FFFFFF"/>
        </w:rPr>
        <w:t>likely</w:t>
      </w:r>
      <w:r w:rsidRPr="001A4723">
        <w:rPr>
          <w:shd w:val="clear" w:color="auto" w:fill="FFFFFF"/>
        </w:rPr>
        <w:t xml:space="preserve"> to generate an RWA impact due to the pure shift from one bucket to another. However, the RWA impact for changes in the definition of default are in the end purely related to the portfolio shift due to changed default criteria without any impact on the internal models </w:t>
      </w:r>
      <w:r w:rsidR="00A55F0C">
        <w:rPr>
          <w:shd w:val="clear" w:color="auto" w:fill="FFFFFF"/>
        </w:rPr>
        <w:t>(</w:t>
      </w:r>
      <w:r w:rsidRPr="001A4723">
        <w:rPr>
          <w:shd w:val="clear" w:color="auto" w:fill="FFFFFF"/>
        </w:rPr>
        <w:t>this latter</w:t>
      </w:r>
      <w:r w:rsidR="00A55F0C">
        <w:rPr>
          <w:shd w:val="clear" w:color="auto" w:fill="FFFFFF"/>
        </w:rPr>
        <w:t xml:space="preserve"> being</w:t>
      </w:r>
      <w:r w:rsidRPr="001A4723">
        <w:rPr>
          <w:shd w:val="clear" w:color="auto" w:fill="FFFFFF"/>
        </w:rPr>
        <w:t xml:space="preserve"> covered by other criteria of the RTS). Clarifications in this sense are of particular importance from the operational and execution standpoint considering the experience gained in the context of the material model changes carried out during the IRB Repair Program to adhere to the EBA-GL-2016-07 (where the impact on internal models were required). In this perspective, the most objective way to assess the impact would be to rely on quantitative metrics (e.g.: impacted default volumetry which could easier to assess than RWA impact). As an illustrative example, the change of an existing UTP trigger which was leading systematic to default into a trigger which is assessed on case-by-</w:t>
      </w:r>
      <w:r w:rsidRPr="00AC2DBD">
        <w:rPr>
          <w:shd w:val="clear" w:color="auto" w:fill="FFFFFF"/>
        </w:rPr>
        <w:t xml:space="preserve">case basis (other indication of UTP) leads to an impact of only few defaults, thus having nearly no impact on risk parameters. Such example of change is not material. </w:t>
      </w:r>
      <w:r w:rsidRPr="00AC2DBD">
        <w:t>This is why we would introduce a distinction between changes with an impact on ratings systems and changes with no impact on rating systems. In this sense, the subparagraph (e) of the point 3 of Annex I, Part I, Section 1 could be enough to capture the materiality of the change</w:t>
      </w:r>
      <w:r w:rsidR="0085530F" w:rsidRPr="00AC2DBD">
        <w:t xml:space="preserve"> (see our amendment below which would change (e) to letter (b)</w:t>
      </w:r>
      <w:r w:rsidR="00300424">
        <w:t>)</w:t>
      </w:r>
      <w:r w:rsidRPr="00AC2DBD">
        <w:t>.</w:t>
      </w:r>
    </w:p>
    <w:p w14:paraId="7E1E8F77" w14:textId="2F25E2AE" w:rsidR="00C6622F" w:rsidRPr="00C6622F" w:rsidRDefault="00C6622F" w:rsidP="00015B16">
      <w:pPr>
        <w:spacing w:after="120" w:line="276" w:lineRule="auto"/>
        <w:jc w:val="both"/>
        <w:rPr>
          <w:b/>
          <w:bCs/>
          <w:shd w:val="clear" w:color="auto" w:fill="FFFFFF"/>
        </w:rPr>
      </w:pPr>
      <w:r w:rsidRPr="00C6622F">
        <w:rPr>
          <w:b/>
          <w:bCs/>
          <w:shd w:val="clear" w:color="auto" w:fill="FFFFFF"/>
        </w:rPr>
        <w:t xml:space="preserve">Considering all </w:t>
      </w:r>
      <w:r w:rsidR="00A71776">
        <w:rPr>
          <w:b/>
          <w:bCs/>
          <w:shd w:val="clear" w:color="auto" w:fill="FFFFFF"/>
        </w:rPr>
        <w:t>of</w:t>
      </w:r>
      <w:r w:rsidRPr="00C6622F">
        <w:rPr>
          <w:b/>
          <w:bCs/>
          <w:shd w:val="clear" w:color="auto" w:fill="FFFFFF"/>
        </w:rPr>
        <w:t xml:space="preserve"> our concerns, we therefore propose the following amendment of the RTS (Annex I, Part I, Section 1):</w:t>
      </w:r>
    </w:p>
    <w:tbl>
      <w:tblPr>
        <w:tblStyle w:val="TableGrid"/>
        <w:tblW w:w="0" w:type="auto"/>
        <w:tblLook w:val="04A0" w:firstRow="1" w:lastRow="0" w:firstColumn="1" w:lastColumn="0" w:noHBand="0" w:noVBand="1"/>
      </w:tblPr>
      <w:tblGrid>
        <w:gridCol w:w="4531"/>
        <w:gridCol w:w="4531"/>
      </w:tblGrid>
      <w:tr w:rsidR="00C6622F" w:rsidRPr="00C6622F" w14:paraId="4A2D6CE1" w14:textId="77777777" w:rsidTr="00C6622F">
        <w:tc>
          <w:tcPr>
            <w:tcW w:w="4531" w:type="dxa"/>
            <w:tcBorders>
              <w:top w:val="single" w:sz="4" w:space="0" w:color="auto"/>
              <w:left w:val="single" w:sz="4" w:space="0" w:color="auto"/>
              <w:bottom w:val="single" w:sz="4" w:space="0" w:color="auto"/>
              <w:right w:val="single" w:sz="4" w:space="0" w:color="auto"/>
            </w:tcBorders>
            <w:hideMark/>
          </w:tcPr>
          <w:p w14:paraId="7572B27A" w14:textId="77777777" w:rsidR="00C6622F" w:rsidRPr="00C6622F" w:rsidRDefault="00C6622F" w:rsidP="00015B16">
            <w:pPr>
              <w:spacing w:after="120" w:line="276" w:lineRule="auto"/>
              <w:jc w:val="both"/>
              <w:rPr>
                <w:shd w:val="clear" w:color="auto" w:fill="FFFFFF"/>
              </w:rPr>
            </w:pPr>
            <w:r w:rsidRPr="00C6622F">
              <w:rPr>
                <w:shd w:val="clear" w:color="auto" w:fill="FFFFFF"/>
              </w:rPr>
              <w:t>Initial text</w:t>
            </w:r>
          </w:p>
        </w:tc>
        <w:tc>
          <w:tcPr>
            <w:tcW w:w="4531" w:type="dxa"/>
            <w:tcBorders>
              <w:top w:val="single" w:sz="4" w:space="0" w:color="auto"/>
              <w:left w:val="single" w:sz="4" w:space="0" w:color="auto"/>
              <w:bottom w:val="single" w:sz="4" w:space="0" w:color="auto"/>
              <w:right w:val="single" w:sz="4" w:space="0" w:color="auto"/>
            </w:tcBorders>
            <w:hideMark/>
          </w:tcPr>
          <w:p w14:paraId="4C35E20A" w14:textId="77777777" w:rsidR="00C6622F" w:rsidRPr="00C6622F" w:rsidRDefault="00C6622F" w:rsidP="00015B16">
            <w:pPr>
              <w:spacing w:after="120" w:line="276" w:lineRule="auto"/>
              <w:jc w:val="both"/>
              <w:rPr>
                <w:shd w:val="clear" w:color="auto" w:fill="FFFFFF"/>
              </w:rPr>
            </w:pPr>
            <w:r w:rsidRPr="00C6622F">
              <w:rPr>
                <w:shd w:val="clear" w:color="auto" w:fill="FFFFFF"/>
              </w:rPr>
              <w:t>Proposal for amended text</w:t>
            </w:r>
          </w:p>
        </w:tc>
      </w:tr>
      <w:tr w:rsidR="00C6622F" w:rsidRPr="00C6622F" w14:paraId="33BA98D5" w14:textId="77777777" w:rsidTr="00C6622F">
        <w:tc>
          <w:tcPr>
            <w:tcW w:w="4531" w:type="dxa"/>
            <w:tcBorders>
              <w:top w:val="single" w:sz="4" w:space="0" w:color="auto"/>
              <w:left w:val="single" w:sz="4" w:space="0" w:color="auto"/>
              <w:bottom w:val="single" w:sz="4" w:space="0" w:color="auto"/>
              <w:right w:val="single" w:sz="4" w:space="0" w:color="auto"/>
            </w:tcBorders>
            <w:hideMark/>
          </w:tcPr>
          <w:p w14:paraId="4BB6C602" w14:textId="77777777" w:rsidR="00C6622F" w:rsidRPr="00C6622F" w:rsidRDefault="00C6622F" w:rsidP="00015B16">
            <w:pPr>
              <w:spacing w:after="120" w:line="276" w:lineRule="auto"/>
              <w:jc w:val="both"/>
              <w:rPr>
                <w:i/>
                <w:iCs/>
                <w:shd w:val="clear" w:color="auto" w:fill="FFFFFF"/>
              </w:rPr>
            </w:pPr>
            <w:r w:rsidRPr="00C6622F">
              <w:rPr>
                <w:i/>
                <w:iCs/>
                <w:shd w:val="clear" w:color="auto" w:fill="FFFFFF"/>
              </w:rPr>
              <w:t xml:space="preserve">3. Changes in the definition of default according to Article 178 of Regulation (EU) No 575/2013, if any of the following conditions are met: </w:t>
            </w:r>
          </w:p>
          <w:p w14:paraId="3DD72580" w14:textId="77777777" w:rsidR="00C6622F" w:rsidRPr="00C6622F" w:rsidRDefault="00C6622F" w:rsidP="00015B16">
            <w:pPr>
              <w:spacing w:after="120" w:line="276" w:lineRule="auto"/>
              <w:jc w:val="both"/>
              <w:rPr>
                <w:i/>
                <w:iCs/>
                <w:shd w:val="clear" w:color="auto" w:fill="FFFFFF"/>
              </w:rPr>
            </w:pPr>
            <w:r w:rsidRPr="00C6622F">
              <w:rPr>
                <w:i/>
                <w:iCs/>
                <w:shd w:val="clear" w:color="auto" w:fill="FFFFFF"/>
              </w:rPr>
              <w:t xml:space="preserve">(a) they change the method to identify if the obligor is more than 90 days past due on any material credit obligation according to Article 178(1)(b) of Regulation (EU) No </w:t>
            </w:r>
            <w:proofErr w:type="gramStart"/>
            <w:r w:rsidRPr="00C6622F">
              <w:rPr>
                <w:i/>
                <w:iCs/>
                <w:shd w:val="clear" w:color="auto" w:fill="FFFFFF"/>
              </w:rPr>
              <w:t>575/2013;</w:t>
            </w:r>
            <w:proofErr w:type="gramEnd"/>
          </w:p>
          <w:p w14:paraId="01C67320" w14:textId="77777777" w:rsidR="00C6622F" w:rsidRPr="00C6622F" w:rsidRDefault="00C6622F" w:rsidP="00015B16">
            <w:pPr>
              <w:spacing w:after="120" w:line="276" w:lineRule="auto"/>
              <w:jc w:val="both"/>
              <w:rPr>
                <w:i/>
                <w:iCs/>
                <w:shd w:val="clear" w:color="auto" w:fill="FFFFFF"/>
              </w:rPr>
            </w:pPr>
            <w:r w:rsidRPr="00C6622F">
              <w:rPr>
                <w:i/>
                <w:iCs/>
                <w:shd w:val="clear" w:color="auto" w:fill="FFFFFF"/>
              </w:rPr>
              <w:t xml:space="preserve">(b) they change the level of application of the definition of default for retail exposures according to Article 178(1), second </w:t>
            </w:r>
            <w:r w:rsidRPr="00C6622F">
              <w:rPr>
                <w:i/>
                <w:iCs/>
                <w:shd w:val="clear" w:color="auto" w:fill="FFFFFF"/>
              </w:rPr>
              <w:lastRenderedPageBreak/>
              <w:t xml:space="preserve">subparagraph of Regulation (EU) No </w:t>
            </w:r>
            <w:proofErr w:type="gramStart"/>
            <w:r w:rsidRPr="00C6622F">
              <w:rPr>
                <w:i/>
                <w:iCs/>
                <w:shd w:val="clear" w:color="auto" w:fill="FFFFFF"/>
              </w:rPr>
              <w:t>575/2013;</w:t>
            </w:r>
            <w:proofErr w:type="gramEnd"/>
            <w:r w:rsidRPr="00C6622F">
              <w:rPr>
                <w:i/>
                <w:iCs/>
                <w:shd w:val="clear" w:color="auto" w:fill="FFFFFF"/>
              </w:rPr>
              <w:t xml:space="preserve"> </w:t>
            </w:r>
          </w:p>
          <w:p w14:paraId="353B3B03" w14:textId="77777777" w:rsidR="00C6622F" w:rsidRPr="00C6622F" w:rsidRDefault="00C6622F" w:rsidP="00015B16">
            <w:pPr>
              <w:spacing w:after="120" w:line="276" w:lineRule="auto"/>
              <w:jc w:val="both"/>
              <w:rPr>
                <w:i/>
                <w:iCs/>
                <w:shd w:val="clear" w:color="auto" w:fill="FFFFFF"/>
              </w:rPr>
            </w:pPr>
            <w:r w:rsidRPr="00C6622F">
              <w:rPr>
                <w:i/>
                <w:iCs/>
                <w:shd w:val="clear" w:color="auto" w:fill="FFFFFF"/>
              </w:rPr>
              <w:t xml:space="preserve">(c) they change the use of external data according to Article 178(4) of Regulation (EU) No </w:t>
            </w:r>
            <w:proofErr w:type="gramStart"/>
            <w:r w:rsidRPr="00C6622F">
              <w:rPr>
                <w:i/>
                <w:iCs/>
                <w:shd w:val="clear" w:color="auto" w:fill="FFFFFF"/>
              </w:rPr>
              <w:t>575/2013;</w:t>
            </w:r>
            <w:proofErr w:type="gramEnd"/>
            <w:r w:rsidRPr="00C6622F">
              <w:rPr>
                <w:i/>
                <w:iCs/>
                <w:shd w:val="clear" w:color="auto" w:fill="FFFFFF"/>
              </w:rPr>
              <w:t xml:space="preserve"> </w:t>
            </w:r>
          </w:p>
          <w:p w14:paraId="3C53B843" w14:textId="77777777" w:rsidR="00C6622F" w:rsidRPr="00C6622F" w:rsidRDefault="00C6622F" w:rsidP="00015B16">
            <w:pPr>
              <w:spacing w:after="120" w:line="276" w:lineRule="auto"/>
              <w:jc w:val="both"/>
              <w:rPr>
                <w:i/>
                <w:iCs/>
                <w:shd w:val="clear" w:color="auto" w:fill="FFFFFF"/>
              </w:rPr>
            </w:pPr>
            <w:r w:rsidRPr="00C6622F">
              <w:rPr>
                <w:i/>
                <w:iCs/>
                <w:shd w:val="clear" w:color="auto" w:fill="FFFFFF"/>
              </w:rPr>
              <w:t xml:space="preserve">(d) they change whether an indication of unlikeliness to pay according to Article 178(3) of Regulation (EU) No 575/2013 results in an automatic or in a manual default </w:t>
            </w:r>
            <w:proofErr w:type="gramStart"/>
            <w:r w:rsidRPr="00C6622F">
              <w:rPr>
                <w:i/>
                <w:iCs/>
                <w:shd w:val="clear" w:color="auto" w:fill="FFFFFF"/>
              </w:rPr>
              <w:t>reclassification;</w:t>
            </w:r>
            <w:proofErr w:type="gramEnd"/>
            <w:r w:rsidRPr="00C6622F">
              <w:rPr>
                <w:i/>
                <w:iCs/>
                <w:shd w:val="clear" w:color="auto" w:fill="FFFFFF"/>
              </w:rPr>
              <w:t xml:space="preserve"> </w:t>
            </w:r>
          </w:p>
          <w:p w14:paraId="72D0A878" w14:textId="77777777" w:rsidR="00C6622F" w:rsidRPr="00C6622F" w:rsidRDefault="00C6622F" w:rsidP="00015B16">
            <w:pPr>
              <w:spacing w:after="120" w:line="276" w:lineRule="auto"/>
              <w:jc w:val="both"/>
              <w:rPr>
                <w:shd w:val="clear" w:color="auto" w:fill="FFFFFF"/>
              </w:rPr>
            </w:pPr>
            <w:r w:rsidRPr="00C6622F">
              <w:rPr>
                <w:i/>
                <w:iCs/>
                <w:shd w:val="clear" w:color="auto" w:fill="FFFFFF"/>
              </w:rPr>
              <w:t>(e) they change the default classification in the reference dataset or scope of application of a rating system in a significant manner, the measure and level of which will have been defined by the institution</w:t>
            </w:r>
            <w:r w:rsidRPr="00C6622F">
              <w:rPr>
                <w:shd w:val="clear" w:color="auto" w:fill="FFFFFF"/>
              </w:rPr>
              <w:t>.</w:t>
            </w:r>
          </w:p>
        </w:tc>
        <w:tc>
          <w:tcPr>
            <w:tcW w:w="4531" w:type="dxa"/>
            <w:tcBorders>
              <w:top w:val="single" w:sz="4" w:space="0" w:color="auto"/>
              <w:left w:val="single" w:sz="4" w:space="0" w:color="auto"/>
              <w:bottom w:val="single" w:sz="4" w:space="0" w:color="auto"/>
              <w:right w:val="single" w:sz="4" w:space="0" w:color="auto"/>
            </w:tcBorders>
          </w:tcPr>
          <w:p w14:paraId="49DC0465" w14:textId="77777777" w:rsidR="00C6622F" w:rsidRPr="00C6622F" w:rsidRDefault="00C6622F" w:rsidP="00015B16">
            <w:pPr>
              <w:spacing w:after="120" w:line="276" w:lineRule="auto"/>
              <w:jc w:val="both"/>
              <w:rPr>
                <w:i/>
                <w:iCs/>
                <w:shd w:val="clear" w:color="auto" w:fill="FFFFFF"/>
              </w:rPr>
            </w:pPr>
            <w:r w:rsidRPr="00C6622F">
              <w:rPr>
                <w:i/>
                <w:iCs/>
                <w:shd w:val="clear" w:color="auto" w:fill="FFFFFF"/>
              </w:rPr>
              <w:lastRenderedPageBreak/>
              <w:t xml:space="preserve">3. Changes in </w:t>
            </w:r>
            <w:r w:rsidRPr="00C6622F">
              <w:rPr>
                <w:i/>
                <w:iCs/>
                <w:u w:val="single"/>
                <w:shd w:val="clear" w:color="auto" w:fill="FFFFFF"/>
              </w:rPr>
              <w:t>the methodologies and rules</w:t>
            </w:r>
            <w:r w:rsidRPr="00C6622F">
              <w:rPr>
                <w:i/>
                <w:iCs/>
                <w:shd w:val="clear" w:color="auto" w:fill="FFFFFF"/>
              </w:rPr>
              <w:t xml:space="preserve"> to the definition of default according to Article 178 of Regulation (EU) No 575/2013, if any of the following conditions are met: </w:t>
            </w:r>
          </w:p>
          <w:p w14:paraId="1D863CFF" w14:textId="77777777" w:rsidR="00AC2DBD" w:rsidRDefault="00C6622F" w:rsidP="00015B16">
            <w:pPr>
              <w:spacing w:after="120" w:line="276" w:lineRule="auto"/>
              <w:jc w:val="both"/>
              <w:rPr>
                <w:b/>
                <w:bCs/>
                <w:i/>
                <w:iCs/>
                <w:shd w:val="clear" w:color="auto" w:fill="FFFFFF"/>
              </w:rPr>
            </w:pPr>
            <w:r w:rsidRPr="005B0409">
              <w:rPr>
                <w:b/>
                <w:bCs/>
                <w:i/>
                <w:iCs/>
                <w:strike/>
                <w:shd w:val="clear" w:color="auto" w:fill="FFFFFF"/>
              </w:rPr>
              <w:t xml:space="preserve">(a) they change the method to identify if the obligor is more than 90 days past due on any material credit obligation according to Article 178(1)(b) of Regulation (EU) No </w:t>
            </w:r>
            <w:proofErr w:type="gramStart"/>
            <w:r w:rsidRPr="005B0409">
              <w:rPr>
                <w:b/>
                <w:bCs/>
                <w:i/>
                <w:iCs/>
                <w:strike/>
                <w:shd w:val="clear" w:color="auto" w:fill="FFFFFF"/>
              </w:rPr>
              <w:t>575/2013</w:t>
            </w:r>
            <w:r w:rsidRPr="005B0409">
              <w:rPr>
                <w:b/>
                <w:bCs/>
                <w:i/>
                <w:iCs/>
                <w:shd w:val="clear" w:color="auto" w:fill="FFFFFF"/>
              </w:rPr>
              <w:t>;</w:t>
            </w:r>
            <w:proofErr w:type="gramEnd"/>
          </w:p>
          <w:p w14:paraId="05CB530C" w14:textId="4CCE32F8" w:rsidR="00C6622F" w:rsidRPr="00C6622F" w:rsidRDefault="00BE601B" w:rsidP="00015B16">
            <w:pPr>
              <w:spacing w:after="120" w:line="276" w:lineRule="auto"/>
              <w:jc w:val="both"/>
              <w:rPr>
                <w:i/>
                <w:iCs/>
                <w:shd w:val="clear" w:color="auto" w:fill="FFFFFF"/>
              </w:rPr>
            </w:pPr>
            <w:r w:rsidRPr="00BE601B">
              <w:rPr>
                <w:i/>
                <w:iCs/>
                <w:strike/>
                <w:shd w:val="clear" w:color="auto" w:fill="FFFFFF"/>
              </w:rPr>
              <w:t>(b)</w:t>
            </w:r>
            <w:r w:rsidR="00C6622F" w:rsidRPr="00C6622F">
              <w:rPr>
                <w:i/>
                <w:iCs/>
                <w:u w:val="single"/>
                <w:shd w:val="clear" w:color="auto" w:fill="FFFFFF"/>
              </w:rPr>
              <w:t xml:space="preserve">(a) </w:t>
            </w:r>
            <w:r w:rsidR="00C6622F" w:rsidRPr="00C6622F">
              <w:rPr>
                <w:i/>
                <w:iCs/>
                <w:shd w:val="clear" w:color="auto" w:fill="FFFFFF"/>
              </w:rPr>
              <w:t xml:space="preserve">they change the level of application of the definition of default for retail exposures </w:t>
            </w:r>
            <w:r w:rsidR="00C6622F" w:rsidRPr="00C6622F">
              <w:rPr>
                <w:i/>
                <w:iCs/>
                <w:shd w:val="clear" w:color="auto" w:fill="FFFFFF"/>
              </w:rPr>
              <w:lastRenderedPageBreak/>
              <w:t xml:space="preserve">according to Article 178(1), second subparagraph of Regulation (EU) No </w:t>
            </w:r>
            <w:proofErr w:type="gramStart"/>
            <w:r w:rsidR="00C6622F" w:rsidRPr="00C6622F">
              <w:rPr>
                <w:i/>
                <w:iCs/>
                <w:shd w:val="clear" w:color="auto" w:fill="FFFFFF"/>
              </w:rPr>
              <w:t>575/2013;</w:t>
            </w:r>
            <w:proofErr w:type="gramEnd"/>
            <w:r w:rsidR="00C6622F" w:rsidRPr="00C6622F">
              <w:rPr>
                <w:i/>
                <w:iCs/>
                <w:shd w:val="clear" w:color="auto" w:fill="FFFFFF"/>
              </w:rPr>
              <w:t xml:space="preserve"> </w:t>
            </w:r>
          </w:p>
          <w:p w14:paraId="643D9A18" w14:textId="77777777" w:rsidR="00C6622F" w:rsidRPr="005B0409" w:rsidRDefault="00C6622F" w:rsidP="00015B16">
            <w:pPr>
              <w:spacing w:after="120" w:line="276" w:lineRule="auto"/>
              <w:jc w:val="both"/>
              <w:rPr>
                <w:b/>
                <w:bCs/>
                <w:i/>
                <w:iCs/>
                <w:strike/>
                <w:shd w:val="clear" w:color="auto" w:fill="FFFFFF"/>
              </w:rPr>
            </w:pPr>
            <w:r w:rsidRPr="005B0409">
              <w:rPr>
                <w:b/>
                <w:bCs/>
                <w:i/>
                <w:iCs/>
                <w:strike/>
                <w:shd w:val="clear" w:color="auto" w:fill="FFFFFF"/>
              </w:rPr>
              <w:t xml:space="preserve">(c) they change the use of external data according to Article 178(4) of Regulation (EU) No </w:t>
            </w:r>
            <w:proofErr w:type="gramStart"/>
            <w:r w:rsidRPr="005B0409">
              <w:rPr>
                <w:b/>
                <w:bCs/>
                <w:i/>
                <w:iCs/>
                <w:strike/>
                <w:shd w:val="clear" w:color="auto" w:fill="FFFFFF"/>
              </w:rPr>
              <w:t>575/2013;</w:t>
            </w:r>
            <w:proofErr w:type="gramEnd"/>
            <w:r w:rsidRPr="005B0409">
              <w:rPr>
                <w:b/>
                <w:bCs/>
                <w:i/>
                <w:iCs/>
                <w:strike/>
                <w:shd w:val="clear" w:color="auto" w:fill="FFFFFF"/>
              </w:rPr>
              <w:t xml:space="preserve"> </w:t>
            </w:r>
          </w:p>
          <w:p w14:paraId="2A4D8767" w14:textId="77777777" w:rsidR="00C6622F" w:rsidRPr="005B0409" w:rsidRDefault="00C6622F" w:rsidP="00015B16">
            <w:pPr>
              <w:spacing w:after="120" w:line="276" w:lineRule="auto"/>
              <w:jc w:val="both"/>
              <w:rPr>
                <w:b/>
                <w:bCs/>
                <w:i/>
                <w:iCs/>
                <w:strike/>
                <w:shd w:val="clear" w:color="auto" w:fill="FFFFFF"/>
              </w:rPr>
            </w:pPr>
            <w:r w:rsidRPr="005B0409">
              <w:rPr>
                <w:b/>
                <w:bCs/>
                <w:i/>
                <w:iCs/>
                <w:strike/>
                <w:shd w:val="clear" w:color="auto" w:fill="FFFFFF"/>
              </w:rPr>
              <w:t xml:space="preserve">(d) they change whether an indication of unlikeliness to pay according to Article 178(3) of Regulation (EU) No 575/2013 results in an automatic or in a manual default </w:t>
            </w:r>
            <w:proofErr w:type="gramStart"/>
            <w:r w:rsidRPr="005B0409">
              <w:rPr>
                <w:b/>
                <w:bCs/>
                <w:i/>
                <w:iCs/>
                <w:strike/>
                <w:shd w:val="clear" w:color="auto" w:fill="FFFFFF"/>
              </w:rPr>
              <w:t>reclassification;</w:t>
            </w:r>
            <w:proofErr w:type="gramEnd"/>
            <w:r w:rsidRPr="005B0409">
              <w:rPr>
                <w:b/>
                <w:bCs/>
                <w:i/>
                <w:iCs/>
                <w:strike/>
                <w:shd w:val="clear" w:color="auto" w:fill="FFFFFF"/>
              </w:rPr>
              <w:t xml:space="preserve"> </w:t>
            </w:r>
          </w:p>
          <w:p w14:paraId="0AC3CD0B" w14:textId="1D7E2696" w:rsidR="008A17D0" w:rsidRPr="008A17D0" w:rsidRDefault="00687F8C" w:rsidP="00015B16">
            <w:pPr>
              <w:spacing w:after="120" w:line="276" w:lineRule="auto"/>
              <w:jc w:val="both"/>
              <w:rPr>
                <w:shd w:val="clear" w:color="auto" w:fill="FFFFFF"/>
              </w:rPr>
            </w:pPr>
            <w:r w:rsidRPr="00687F8C">
              <w:rPr>
                <w:i/>
                <w:iCs/>
                <w:strike/>
                <w:u w:val="single"/>
                <w:shd w:val="clear" w:color="auto" w:fill="FFFFFF"/>
              </w:rPr>
              <w:t>(e)</w:t>
            </w:r>
            <w:r w:rsidR="00C6622F" w:rsidRPr="00C6622F">
              <w:rPr>
                <w:i/>
                <w:iCs/>
                <w:u w:val="single"/>
                <w:shd w:val="clear" w:color="auto" w:fill="FFFFFF"/>
              </w:rPr>
              <w:t>(b)</w:t>
            </w:r>
            <w:r w:rsidR="00C6622F" w:rsidRPr="00C6622F">
              <w:rPr>
                <w:i/>
                <w:iCs/>
                <w:shd w:val="clear" w:color="auto" w:fill="FFFFFF"/>
              </w:rPr>
              <w:t xml:space="preserve"> they change the default classification in the reference dataset or scope of application of a rating system in a significant manner, the measure and level of which will have been defined by the institution</w:t>
            </w:r>
            <w:r w:rsidR="00C6622F" w:rsidRPr="00C6622F">
              <w:rPr>
                <w:shd w:val="clear" w:color="auto" w:fill="FFFFFF"/>
              </w:rPr>
              <w:t xml:space="preserve">. </w:t>
            </w:r>
            <w:r w:rsidR="008A17D0" w:rsidRPr="008A17D0">
              <w:rPr>
                <w:b/>
                <w:bCs/>
                <w:i/>
                <w:iCs/>
                <w:u w:val="single"/>
                <w:shd w:val="clear" w:color="auto" w:fill="FFFFFF"/>
              </w:rPr>
              <w:t>When defining their metrics, institutions can use the relative impacted volumetry of default.</w:t>
            </w:r>
          </w:p>
          <w:p w14:paraId="4F6D6B4F" w14:textId="77777777" w:rsidR="00C6622F" w:rsidRPr="00C6622F" w:rsidRDefault="00C6622F" w:rsidP="00015B16">
            <w:pPr>
              <w:spacing w:after="120" w:line="276" w:lineRule="auto"/>
              <w:jc w:val="both"/>
              <w:rPr>
                <w:shd w:val="clear" w:color="auto" w:fill="FFFFFF"/>
              </w:rPr>
            </w:pPr>
          </w:p>
        </w:tc>
      </w:tr>
    </w:tbl>
    <w:p w14:paraId="1885E2C5" w14:textId="77777777" w:rsidR="00C6622F" w:rsidRPr="00C6622F" w:rsidRDefault="00C6622F" w:rsidP="00015B16">
      <w:pPr>
        <w:spacing w:after="120" w:line="276" w:lineRule="auto"/>
        <w:jc w:val="both"/>
        <w:rPr>
          <w:shd w:val="clear" w:color="auto" w:fill="FFFFFF"/>
        </w:rPr>
      </w:pPr>
    </w:p>
    <w:p w14:paraId="63596CAA" w14:textId="61E4B3CE" w:rsidR="00C6622F" w:rsidRPr="00C6622F" w:rsidRDefault="00C6622F" w:rsidP="00015B16">
      <w:pPr>
        <w:spacing w:after="120" w:line="276" w:lineRule="auto"/>
        <w:jc w:val="both"/>
        <w:rPr>
          <w:shd w:val="clear" w:color="auto" w:fill="FFFFFF"/>
        </w:rPr>
      </w:pPr>
      <w:r w:rsidRPr="00C6622F">
        <w:rPr>
          <w:shd w:val="clear" w:color="auto" w:fill="FFFFFF"/>
        </w:rPr>
        <w:t xml:space="preserve">In addition to this amendment, Article 4 of the RTS which relates to the calculation of quantitative criteria (RWA impact) should be modified </w:t>
      </w:r>
      <w:r w:rsidR="00BF7E0C" w:rsidRPr="00C6622F">
        <w:rPr>
          <w:shd w:val="clear" w:color="auto" w:fill="FFFFFF"/>
        </w:rPr>
        <w:t>to</w:t>
      </w:r>
      <w:r w:rsidRPr="00C6622F">
        <w:rPr>
          <w:shd w:val="clear" w:color="auto" w:fill="FFFFFF"/>
        </w:rPr>
        <w:t xml:space="preserve"> delete the quantitative criteria when changes to the definition of default are concerned (</w:t>
      </w:r>
      <w:proofErr w:type="gramStart"/>
      <w:r w:rsidRPr="00C6622F">
        <w:rPr>
          <w:shd w:val="clear" w:color="auto" w:fill="FFFFFF"/>
        </w:rPr>
        <w:t>in order to</w:t>
      </w:r>
      <w:proofErr w:type="gramEnd"/>
      <w:r w:rsidRPr="00C6622F">
        <w:rPr>
          <w:shd w:val="clear" w:color="auto" w:fill="FFFFFF"/>
        </w:rPr>
        <w:t xml:space="preserve"> rely uniquely on the quantitative measure regarding the change in the RDS or scope of application of a rating system in significant manner).</w:t>
      </w:r>
    </w:p>
    <w:p w14:paraId="2E55A3E6" w14:textId="0E4E7A84" w:rsidR="001F23DA" w:rsidRDefault="001F23DA" w:rsidP="00015B16">
      <w:pPr>
        <w:pStyle w:val="BodyText"/>
        <w:spacing w:line="276" w:lineRule="auto"/>
        <w:rPr>
          <w:b/>
          <w:bCs/>
          <w:color w:val="000000"/>
          <w:shd w:val="clear" w:color="auto" w:fill="FFFFFF"/>
        </w:rPr>
      </w:pPr>
      <w:r w:rsidRPr="001F23DA">
        <w:rPr>
          <w:b/>
          <w:bCs/>
          <w:color w:val="000000"/>
          <w:shd w:val="clear" w:color="auto" w:fill="FFFFFF"/>
        </w:rPr>
        <w:t xml:space="preserve">Question 3. Do you have any comments on the clarifications and revisions made to the qualitative criteria for assessing the materiality of extensions and reductions as described in the Annex I, Part I, Section 1 and Annex I, Part I, Section 2? </w:t>
      </w:r>
    </w:p>
    <w:p w14:paraId="4D9185E8" w14:textId="1B92BEF3" w:rsidR="002E10D3" w:rsidRDefault="002E10D3" w:rsidP="00015B16">
      <w:pPr>
        <w:spacing w:line="276" w:lineRule="auto"/>
        <w:jc w:val="both"/>
        <w:rPr>
          <w:shd w:val="clear" w:color="auto" w:fill="FFFFFF"/>
        </w:rPr>
      </w:pPr>
      <w:r>
        <w:rPr>
          <w:shd w:val="clear" w:color="auto" w:fill="FFFFFF"/>
        </w:rPr>
        <w:t>A</w:t>
      </w:r>
      <w:r w:rsidRPr="008E355A">
        <w:rPr>
          <w:shd w:val="clear" w:color="auto" w:fill="FFFFFF"/>
        </w:rPr>
        <w:t xml:space="preserve">ccording to paragraph 19 of the Background and rationale, the EBA mentions a </w:t>
      </w:r>
      <w:r w:rsidRPr="00D8141C">
        <w:rPr>
          <w:i/>
          <w:iCs/>
          <w:shd w:val="clear" w:color="auto" w:fill="FFFFFF"/>
        </w:rPr>
        <w:t xml:space="preserve">“As such, in accordance with Article 148(1) of Regulation (EU) 2024/1623, additional exposures that were not risk weighted by another rating system (i.e. under the Standardized Approach or by F-IRB if the scope of an LGD model is extended) require in any case an approval by the competent authority and are not within scope of this RTS”. </w:t>
      </w:r>
      <w:r w:rsidRPr="008E355A">
        <w:rPr>
          <w:shd w:val="clear" w:color="auto" w:fill="FFFFFF"/>
        </w:rPr>
        <w:t>However, Article 148(1) only refers to the approval of the roll-out plan and does not concern the request for an approval of a new rating system.</w:t>
      </w:r>
      <w:r w:rsidR="00D36645">
        <w:rPr>
          <w:shd w:val="clear" w:color="auto" w:fill="FFFFFF"/>
        </w:rPr>
        <w:t xml:space="preserve"> In addition, we consider that for this concrete case, </w:t>
      </w:r>
      <w:r w:rsidR="00D36645">
        <w:t>if representativeness and comparability can also be demonstrated, it should allow for its inclusion within a pre-notification, in the interest of flexibility within the process (e.g. the extension of a rating system to a type of exposure -of small size- currently treated under the standardised approach, for which representativeness can be argued).</w:t>
      </w:r>
    </w:p>
    <w:p w14:paraId="2D2FEE5E" w14:textId="77777777" w:rsidR="00FE60DF" w:rsidRPr="00FE60DF" w:rsidRDefault="00FE60DF" w:rsidP="00015B16">
      <w:pPr>
        <w:spacing w:line="240" w:lineRule="auto"/>
        <w:jc w:val="both"/>
        <w:rPr>
          <w:rFonts w:ascii="Calibri" w:hAnsi="Calibri" w:cs="Calibri"/>
          <w:i/>
          <w:iCs/>
          <w:color w:val="002060"/>
          <w:lang w:val="en-US"/>
        </w:rPr>
      </w:pPr>
    </w:p>
    <w:p w14:paraId="3798EB5E" w14:textId="77777777" w:rsidR="001F23DA" w:rsidRDefault="001F23DA" w:rsidP="00015B16">
      <w:pPr>
        <w:pStyle w:val="BodyText"/>
        <w:spacing w:line="276" w:lineRule="auto"/>
        <w:rPr>
          <w:b/>
          <w:bCs/>
          <w:color w:val="000000"/>
          <w:shd w:val="clear" w:color="auto" w:fill="FFFFFF"/>
        </w:rPr>
      </w:pPr>
      <w:r w:rsidRPr="001F23DA">
        <w:rPr>
          <w:b/>
          <w:bCs/>
          <w:color w:val="000000"/>
          <w:shd w:val="clear" w:color="auto" w:fill="FFFFFF"/>
        </w:rPr>
        <w:t xml:space="preserve">Question 4. Do you have any comments on the introduced clarification on the implementation of the quantitative threshold described in Article 4(1)(c)(i) and 4(1)(d)(i)? </w:t>
      </w:r>
    </w:p>
    <w:p w14:paraId="162AF4E7" w14:textId="77777777" w:rsidR="00AB0CF2" w:rsidRDefault="00D15106" w:rsidP="00015B16">
      <w:pPr>
        <w:pStyle w:val="BodyText"/>
        <w:spacing w:line="276" w:lineRule="auto"/>
        <w:rPr>
          <w:color w:val="000000"/>
          <w:shd w:val="clear" w:color="auto" w:fill="FFFFFF"/>
        </w:rPr>
      </w:pPr>
      <w:r w:rsidRPr="00D15106">
        <w:rPr>
          <w:color w:val="000000"/>
          <w:shd w:val="clear" w:color="auto" w:fill="FFFFFF"/>
        </w:rPr>
        <w:t xml:space="preserve">We </w:t>
      </w:r>
      <w:r w:rsidR="00481E9B">
        <w:rPr>
          <w:color w:val="000000"/>
          <w:shd w:val="clear" w:color="auto" w:fill="FFFFFF"/>
        </w:rPr>
        <w:t xml:space="preserve">consider </w:t>
      </w:r>
      <w:r w:rsidRPr="00D15106">
        <w:rPr>
          <w:color w:val="000000"/>
          <w:shd w:val="clear" w:color="auto" w:fill="FFFFFF"/>
        </w:rPr>
        <w:t xml:space="preserve">the proposal to aggregate changes to different rating systems </w:t>
      </w:r>
      <w:r w:rsidR="00F47E76">
        <w:rPr>
          <w:color w:val="000000"/>
          <w:shd w:val="clear" w:color="auto" w:fill="FFFFFF"/>
        </w:rPr>
        <w:t xml:space="preserve">and </w:t>
      </w:r>
      <w:r w:rsidRPr="00D15106">
        <w:rPr>
          <w:color w:val="000000"/>
          <w:shd w:val="clear" w:color="auto" w:fill="FFFFFF"/>
        </w:rPr>
        <w:t>to be implemented sequentially over time</w:t>
      </w:r>
      <w:r w:rsidR="00481E9B">
        <w:rPr>
          <w:color w:val="000000"/>
          <w:shd w:val="clear" w:color="auto" w:fill="FFFFFF"/>
        </w:rPr>
        <w:t xml:space="preserve"> as positive</w:t>
      </w:r>
      <w:r w:rsidRPr="00D15106">
        <w:rPr>
          <w:color w:val="000000"/>
          <w:shd w:val="clear" w:color="auto" w:fill="FFFFFF"/>
        </w:rPr>
        <w:t xml:space="preserve">. Nonetheless, we deem that </w:t>
      </w:r>
      <w:r w:rsidR="00481E9B">
        <w:rPr>
          <w:color w:val="000000"/>
          <w:shd w:val="clear" w:color="auto" w:fill="FFFFFF"/>
        </w:rPr>
        <w:t>greater</w:t>
      </w:r>
      <w:r w:rsidRPr="00D15106">
        <w:rPr>
          <w:color w:val="000000"/>
          <w:shd w:val="clear" w:color="auto" w:fill="FFFFFF"/>
        </w:rPr>
        <w:t xml:space="preserve"> clarification </w:t>
      </w:r>
      <w:r w:rsidR="00481E9B">
        <w:rPr>
          <w:color w:val="000000"/>
          <w:shd w:val="clear" w:color="auto" w:fill="FFFFFF"/>
        </w:rPr>
        <w:t>is needed in</w:t>
      </w:r>
      <w:r w:rsidRPr="00D15106">
        <w:rPr>
          <w:color w:val="000000"/>
          <w:shd w:val="clear" w:color="auto" w:fill="FFFFFF"/>
        </w:rPr>
        <w:t xml:space="preserve"> the sentence “</w:t>
      </w:r>
      <w:r w:rsidRPr="00D15106">
        <w:rPr>
          <w:i/>
          <w:iCs/>
          <w:color w:val="000000"/>
          <w:shd w:val="clear" w:color="auto" w:fill="FFFFFF"/>
        </w:rPr>
        <w:t>sequentially over time</w:t>
      </w:r>
      <w:r w:rsidRPr="00D15106">
        <w:rPr>
          <w:color w:val="000000"/>
          <w:shd w:val="clear" w:color="auto" w:fill="FFFFFF"/>
        </w:rPr>
        <w:t xml:space="preserve">”. </w:t>
      </w:r>
    </w:p>
    <w:p w14:paraId="6F839217" w14:textId="3C9C5D29" w:rsidR="00D45401" w:rsidRPr="004D7802" w:rsidRDefault="00D15106" w:rsidP="00015B16">
      <w:pPr>
        <w:pStyle w:val="BodyText"/>
        <w:numPr>
          <w:ilvl w:val="0"/>
          <w:numId w:val="19"/>
        </w:numPr>
        <w:spacing w:line="276" w:lineRule="auto"/>
        <w:rPr>
          <w:color w:val="000000"/>
          <w:shd w:val="clear" w:color="auto" w:fill="FFFFFF"/>
        </w:rPr>
      </w:pPr>
      <w:r w:rsidRPr="00D15106">
        <w:rPr>
          <w:color w:val="000000"/>
          <w:shd w:val="clear" w:color="auto" w:fill="FFFFFF"/>
        </w:rPr>
        <w:lastRenderedPageBreak/>
        <w:t xml:space="preserve">Is it limited to </w:t>
      </w:r>
      <w:r w:rsidR="00015B16" w:rsidRPr="00D15106">
        <w:rPr>
          <w:color w:val="000000"/>
          <w:shd w:val="clear" w:color="auto" w:fill="FFFFFF"/>
        </w:rPr>
        <w:t>stepwise</w:t>
      </w:r>
      <w:r w:rsidRPr="00D15106">
        <w:rPr>
          <w:color w:val="000000"/>
          <w:shd w:val="clear" w:color="auto" w:fill="FFFFFF"/>
        </w:rPr>
        <w:t xml:space="preserve"> implementation plans of a single change or is it intended also as multiple uncorrelated changes to the same rating systems: e.g. subsequent re-calibration shall be considered as separate changes? Another example could be linked to changes due to ECB findings, which may have six months </w:t>
      </w:r>
      <w:r w:rsidR="00DA7B35">
        <w:rPr>
          <w:color w:val="000000"/>
          <w:shd w:val="clear" w:color="auto" w:fill="FFFFFF"/>
        </w:rPr>
        <w:t>long</w:t>
      </w:r>
      <w:r w:rsidRPr="00D15106">
        <w:rPr>
          <w:color w:val="000000"/>
          <w:shd w:val="clear" w:color="auto" w:fill="FFFFFF"/>
        </w:rPr>
        <w:t xml:space="preserve"> action plans: shall we consider the changes as separate, although within 12 months?</w:t>
      </w:r>
      <w:r w:rsidR="00D45401" w:rsidRPr="00D45401">
        <w:rPr>
          <w:color w:val="000000"/>
          <w:shd w:val="clear" w:color="auto" w:fill="FFFFFF"/>
        </w:rPr>
        <w:t xml:space="preserve"> </w:t>
      </w:r>
      <w:r w:rsidR="00D45401">
        <w:rPr>
          <w:color w:val="000000"/>
          <w:shd w:val="clear" w:color="auto" w:fill="FFFFFF"/>
        </w:rPr>
        <w:t>H</w:t>
      </w:r>
      <w:r w:rsidR="00D45401" w:rsidRPr="004D7802">
        <w:rPr>
          <w:color w:val="000000"/>
          <w:shd w:val="clear" w:color="auto" w:fill="FFFFFF"/>
        </w:rPr>
        <w:t xml:space="preserve">ow should their impact be calculated? </w:t>
      </w:r>
    </w:p>
    <w:p w14:paraId="183CC8F0" w14:textId="0C17D77C" w:rsidR="00D15106" w:rsidRPr="00B92BC6" w:rsidRDefault="00D45401" w:rsidP="00015B16">
      <w:pPr>
        <w:pStyle w:val="BodyText"/>
        <w:numPr>
          <w:ilvl w:val="0"/>
          <w:numId w:val="19"/>
        </w:numPr>
        <w:spacing w:line="276" w:lineRule="auto"/>
        <w:rPr>
          <w:color w:val="000000"/>
          <w:shd w:val="clear" w:color="auto" w:fill="FFFFFF"/>
        </w:rPr>
      </w:pPr>
      <w:r>
        <w:rPr>
          <w:color w:val="000000"/>
          <w:shd w:val="clear" w:color="auto" w:fill="FFFFFF"/>
        </w:rPr>
        <w:t xml:space="preserve">In case a change affecting different rating systems, could institutions understand that these changes can be implemented sequentially? For instance, if the subsidiary of a bank receives a finding (e.g. on mortgages model) that could impact their standards or methodologies, the adjustment to solve the subsidiary finding should be implemented in all mortgage’s models within the Group sequentially to the extent mortgages models are to be reviewed considering the Groups’ model calendar. Moreover, </w:t>
      </w:r>
      <w:r w:rsidRPr="004D7802">
        <w:rPr>
          <w:color w:val="000000"/>
          <w:shd w:val="clear" w:color="auto" w:fill="FFFFFF"/>
        </w:rPr>
        <w:t xml:space="preserve">how should </w:t>
      </w:r>
      <w:r>
        <w:rPr>
          <w:color w:val="000000"/>
          <w:shd w:val="clear" w:color="auto" w:fill="FFFFFF"/>
        </w:rPr>
        <w:t>this</w:t>
      </w:r>
      <w:r w:rsidRPr="004D7802">
        <w:rPr>
          <w:color w:val="000000"/>
          <w:shd w:val="clear" w:color="auto" w:fill="FFFFFF"/>
        </w:rPr>
        <w:t xml:space="preserve"> impact be calculated? </w:t>
      </w:r>
    </w:p>
    <w:p w14:paraId="3708D6B2" w14:textId="24BF48A8" w:rsidR="005A3AB3" w:rsidRPr="000E38C0" w:rsidRDefault="000E38C0" w:rsidP="00015B16">
      <w:pPr>
        <w:spacing w:after="120" w:line="276" w:lineRule="auto"/>
        <w:jc w:val="both"/>
        <w:rPr>
          <w:color w:val="000000"/>
          <w:shd w:val="clear" w:color="auto" w:fill="FFFFFF"/>
        </w:rPr>
      </w:pPr>
      <w:bookmarkStart w:id="1" w:name="_Hlk184821461"/>
      <w:r w:rsidRPr="000E38C0">
        <w:rPr>
          <w:color w:val="000000"/>
          <w:shd w:val="clear" w:color="auto" w:fill="FFFFFF"/>
        </w:rPr>
        <w:t xml:space="preserve">Regarding Article 3.3, </w:t>
      </w:r>
      <w:r w:rsidR="00166F5C">
        <w:rPr>
          <w:color w:val="000000"/>
          <w:shd w:val="clear" w:color="auto" w:fill="FFFFFF"/>
        </w:rPr>
        <w:t xml:space="preserve">which sets out where </w:t>
      </w:r>
      <w:r w:rsidRPr="000E38C0">
        <w:rPr>
          <w:color w:val="000000"/>
          <w:shd w:val="clear" w:color="auto" w:fill="FFFFFF"/>
        </w:rPr>
        <w:t>several cases should be assessed as a single change</w:t>
      </w:r>
      <w:bookmarkEnd w:id="1"/>
      <w:r w:rsidR="00166F5C">
        <w:rPr>
          <w:color w:val="000000"/>
          <w:shd w:val="clear" w:color="auto" w:fill="FFFFFF"/>
        </w:rPr>
        <w:t>, we would like to highlight that f</w:t>
      </w:r>
      <w:r w:rsidR="002E10D3">
        <w:rPr>
          <w:color w:val="000000"/>
          <w:shd w:val="clear" w:color="auto" w:fill="FFFFFF"/>
        </w:rPr>
        <w:t>ollowing considerations should be taken into account</w:t>
      </w:r>
      <w:r w:rsidR="00166F5C">
        <w:rPr>
          <w:color w:val="000000"/>
          <w:shd w:val="clear" w:color="auto" w:fill="FFFFFF"/>
        </w:rPr>
        <w:t xml:space="preserve"> and where necessary clarified</w:t>
      </w:r>
      <w:r w:rsidR="002E10D3">
        <w:rPr>
          <w:color w:val="000000"/>
          <w:shd w:val="clear" w:color="auto" w:fill="FFFFFF"/>
        </w:rPr>
        <w:t>:</w:t>
      </w:r>
    </w:p>
    <w:p w14:paraId="7F12F9B6" w14:textId="1CE916B4" w:rsidR="000E38C0" w:rsidRPr="000E38C0" w:rsidRDefault="000E38C0" w:rsidP="00015B16">
      <w:pPr>
        <w:pStyle w:val="ListParagraph"/>
        <w:numPr>
          <w:ilvl w:val="0"/>
          <w:numId w:val="11"/>
        </w:numPr>
        <w:spacing w:after="120" w:line="276" w:lineRule="auto"/>
        <w:jc w:val="both"/>
        <w:rPr>
          <w:color w:val="000000"/>
          <w:shd w:val="clear" w:color="auto" w:fill="FFFFFF"/>
        </w:rPr>
      </w:pPr>
      <w:r w:rsidRPr="000E38C0">
        <w:rPr>
          <w:color w:val="000000"/>
          <w:shd w:val="clear" w:color="auto" w:fill="FFFFFF"/>
        </w:rPr>
        <w:t xml:space="preserve">Modifications of the same nature and to the same rating system implemented sequentially over time should be bundled in a single model change. In </w:t>
      </w:r>
      <w:r w:rsidR="000E22A8">
        <w:rPr>
          <w:color w:val="000000"/>
          <w:shd w:val="clear" w:color="auto" w:fill="FFFFFF"/>
        </w:rPr>
        <w:t>such instances</w:t>
      </w:r>
      <w:r w:rsidRPr="000E38C0">
        <w:rPr>
          <w:color w:val="000000"/>
          <w:shd w:val="clear" w:color="auto" w:fill="FFFFFF"/>
        </w:rPr>
        <w:t>, we understand that we</w:t>
      </w:r>
      <w:r w:rsidR="000E22A8">
        <w:rPr>
          <w:color w:val="000000"/>
          <w:shd w:val="clear" w:color="auto" w:fill="FFFFFF"/>
        </w:rPr>
        <w:t xml:space="preserve"> are to</w:t>
      </w:r>
      <w:r w:rsidRPr="000E38C0">
        <w:rPr>
          <w:color w:val="000000"/>
          <w:shd w:val="clear" w:color="auto" w:fill="FFFFFF"/>
        </w:rPr>
        <w:t xml:space="preserve"> notify the supervisor</w:t>
      </w:r>
      <w:r w:rsidR="000E22A8">
        <w:rPr>
          <w:color w:val="000000"/>
          <w:shd w:val="clear" w:color="auto" w:fill="FFFFFF"/>
        </w:rPr>
        <w:t xml:space="preserve"> upfront</w:t>
      </w:r>
      <w:r w:rsidRPr="000E38C0">
        <w:rPr>
          <w:color w:val="000000"/>
          <w:shd w:val="clear" w:color="auto" w:fill="FFFFFF"/>
        </w:rPr>
        <w:t xml:space="preserve"> with a plan of changes (changes that we identify so far) and we may in practice end</w:t>
      </w:r>
      <w:r w:rsidR="000E22A8">
        <w:rPr>
          <w:color w:val="000000"/>
          <w:shd w:val="clear" w:color="auto" w:fill="FFFFFF"/>
        </w:rPr>
        <w:t xml:space="preserve"> up</w:t>
      </w:r>
      <w:r w:rsidRPr="000E38C0">
        <w:rPr>
          <w:color w:val="000000"/>
          <w:shd w:val="clear" w:color="auto" w:fill="FFFFFF"/>
        </w:rPr>
        <w:t xml:space="preserve"> with a multiyear plan. In this regard, the RTS could clarify that it</w:t>
      </w:r>
      <w:r w:rsidR="00880E49">
        <w:rPr>
          <w:color w:val="000000"/>
          <w:shd w:val="clear" w:color="auto" w:fill="FFFFFF"/>
        </w:rPr>
        <w:t xml:space="preserve"> is possible </w:t>
      </w:r>
      <w:r w:rsidRPr="000E38C0">
        <w:rPr>
          <w:color w:val="000000"/>
          <w:shd w:val="clear" w:color="auto" w:fill="FFFFFF"/>
        </w:rPr>
        <w:t>to introduce a reasonable</w:t>
      </w:r>
      <w:r w:rsidR="00880E49">
        <w:rPr>
          <w:color w:val="000000"/>
          <w:shd w:val="clear" w:color="auto" w:fill="FFFFFF"/>
        </w:rPr>
        <w:t xml:space="preserve"> and </w:t>
      </w:r>
      <w:r w:rsidRPr="000E38C0">
        <w:rPr>
          <w:color w:val="000000"/>
          <w:shd w:val="clear" w:color="auto" w:fill="FFFFFF"/>
        </w:rPr>
        <w:t xml:space="preserve">limited timeframe </w:t>
      </w:r>
      <w:r w:rsidR="00880E49">
        <w:rPr>
          <w:color w:val="000000"/>
          <w:shd w:val="clear" w:color="auto" w:fill="FFFFFF"/>
        </w:rPr>
        <w:t xml:space="preserve">for the </w:t>
      </w:r>
      <w:r w:rsidRPr="000E38C0">
        <w:rPr>
          <w:color w:val="000000"/>
          <w:shd w:val="clear" w:color="auto" w:fill="FFFFFF"/>
        </w:rPr>
        <w:t xml:space="preserve">changes to be bundled. </w:t>
      </w:r>
    </w:p>
    <w:p w14:paraId="11F23F24" w14:textId="77777777" w:rsidR="00790809" w:rsidRDefault="000E38C0" w:rsidP="00015B16">
      <w:pPr>
        <w:pStyle w:val="ListParagraph"/>
        <w:numPr>
          <w:ilvl w:val="0"/>
          <w:numId w:val="11"/>
        </w:numPr>
        <w:spacing w:after="120" w:line="276" w:lineRule="auto"/>
        <w:jc w:val="both"/>
        <w:rPr>
          <w:color w:val="000000"/>
          <w:shd w:val="clear" w:color="auto" w:fill="FFFFFF"/>
        </w:rPr>
      </w:pPr>
      <w:bookmarkStart w:id="2" w:name="_Hlk184821589"/>
      <w:r w:rsidRPr="000E38C0">
        <w:rPr>
          <w:color w:val="000000"/>
          <w:shd w:val="clear" w:color="auto" w:fill="FFFFFF"/>
        </w:rPr>
        <w:t xml:space="preserve">One change affecting multiple rating systems </w:t>
      </w:r>
      <w:bookmarkEnd w:id="2"/>
      <w:r w:rsidRPr="000E38C0">
        <w:rPr>
          <w:color w:val="000000"/>
          <w:shd w:val="clear" w:color="auto" w:fill="FFFFFF"/>
        </w:rPr>
        <w:t>(</w:t>
      </w:r>
      <w:r w:rsidR="0000187B">
        <w:rPr>
          <w:color w:val="000000"/>
          <w:shd w:val="clear" w:color="auto" w:fill="FFFFFF"/>
        </w:rPr>
        <w:t xml:space="preserve">i.e. a </w:t>
      </w:r>
      <w:r w:rsidRPr="000E38C0">
        <w:rPr>
          <w:color w:val="000000"/>
          <w:shd w:val="clear" w:color="auto" w:fill="FFFFFF"/>
        </w:rPr>
        <w:t>single change to rating systems in the IRB Approach) is considered a single change and we understand that its leads to an aggregation</w:t>
      </w:r>
      <w:r w:rsidR="0000187B">
        <w:rPr>
          <w:color w:val="000000"/>
          <w:shd w:val="clear" w:color="auto" w:fill="FFFFFF"/>
        </w:rPr>
        <w:t xml:space="preserve"> of</w:t>
      </w:r>
      <w:r w:rsidRPr="000E38C0">
        <w:rPr>
          <w:color w:val="000000"/>
          <w:shd w:val="clear" w:color="auto" w:fill="FFFFFF"/>
        </w:rPr>
        <w:t xml:space="preserve"> the RWA impact of the change across the rating systems affected. In</w:t>
      </w:r>
      <w:r w:rsidR="008445CD">
        <w:rPr>
          <w:color w:val="000000"/>
          <w:shd w:val="clear" w:color="auto" w:fill="FFFFFF"/>
        </w:rPr>
        <w:t xml:space="preserve"> such instances</w:t>
      </w:r>
      <w:r w:rsidRPr="000E38C0">
        <w:rPr>
          <w:color w:val="000000"/>
          <w:shd w:val="clear" w:color="auto" w:fill="FFFFFF"/>
        </w:rPr>
        <w:t>, the RTS should clarify that banks are expected to only report the aggregated metric (</w:t>
      </w:r>
      <w:r w:rsidR="008445CD">
        <w:rPr>
          <w:color w:val="000000"/>
          <w:shd w:val="clear" w:color="auto" w:fill="FFFFFF"/>
        </w:rPr>
        <w:t>rather than a</w:t>
      </w:r>
      <w:r w:rsidRPr="000E38C0">
        <w:rPr>
          <w:color w:val="000000"/>
          <w:shd w:val="clear" w:color="auto" w:fill="FFFFFF"/>
        </w:rPr>
        <w:t xml:space="preserve"> calculation at the level of one rating system). Moreover, </w:t>
      </w:r>
      <w:r w:rsidR="00C47F6B">
        <w:rPr>
          <w:color w:val="000000"/>
          <w:shd w:val="clear" w:color="auto" w:fill="FFFFFF"/>
        </w:rPr>
        <w:t>clarification would be welcomed</w:t>
      </w:r>
      <w:r w:rsidRPr="000E38C0">
        <w:rPr>
          <w:color w:val="000000"/>
          <w:shd w:val="clear" w:color="auto" w:fill="FFFFFF"/>
        </w:rPr>
        <w:t xml:space="preserve"> to specify that such bundle of model changes also apply for changes of </w:t>
      </w:r>
      <w:r w:rsidR="003D036F">
        <w:rPr>
          <w:color w:val="000000"/>
          <w:shd w:val="clear" w:color="auto" w:fill="FFFFFF"/>
        </w:rPr>
        <w:t xml:space="preserve">the </w:t>
      </w:r>
      <w:r w:rsidRPr="000E38C0">
        <w:rPr>
          <w:color w:val="000000"/>
          <w:shd w:val="clear" w:color="auto" w:fill="FFFFFF"/>
        </w:rPr>
        <w:t>model perimeter impacting several rating systems.</w:t>
      </w:r>
    </w:p>
    <w:p w14:paraId="1EB5071F" w14:textId="730760DB" w:rsidR="000E38C0" w:rsidRPr="00714E02" w:rsidRDefault="00791FF3" w:rsidP="00015B16">
      <w:pPr>
        <w:pStyle w:val="ListParagraph"/>
        <w:numPr>
          <w:ilvl w:val="0"/>
          <w:numId w:val="11"/>
        </w:numPr>
        <w:spacing w:after="120" w:line="276" w:lineRule="auto"/>
        <w:jc w:val="both"/>
        <w:rPr>
          <w:color w:val="000000"/>
          <w:shd w:val="clear" w:color="auto" w:fill="FFFFFF"/>
        </w:rPr>
      </w:pPr>
      <w:r w:rsidRPr="00790809">
        <w:rPr>
          <w:rFonts w:eastAsia="+mn-ea" w:cs="Arial"/>
          <w:kern w:val="2"/>
          <w:lang w:val="en-US"/>
        </w:rPr>
        <w:t>We also believe that ch</w:t>
      </w:r>
      <w:r w:rsidRPr="00791FF3">
        <w:t xml:space="preserve">anges in segmentation (especially for legal persons) should </w:t>
      </w:r>
      <w:proofErr w:type="gramStart"/>
      <w:r w:rsidRPr="00791FF3">
        <w:t>be assessed</w:t>
      </w:r>
      <w:proofErr w:type="gramEnd"/>
      <w:r w:rsidRPr="00791FF3">
        <w:t xml:space="preserve"> as a whole due to the inherent dependencies across different rating systems (e.g., depending on turnover, a customer could fall into Large Corporates, Enterprises, or SMEs). In our view, assessing a change in a segmented way separately as reductions and extensions will artificially inflate the materiality. Instead, we believe a more effective way to streamline the supervisory decision process would be to assess segmentation changes as a single and standalone type of change.</w:t>
      </w:r>
    </w:p>
    <w:p w14:paraId="03DE7272" w14:textId="77777777" w:rsidR="00CE2D99" w:rsidRDefault="001F23DA" w:rsidP="00015B16">
      <w:pPr>
        <w:pStyle w:val="BodyText"/>
        <w:spacing w:line="276" w:lineRule="auto"/>
        <w:rPr>
          <w:b/>
          <w:bCs/>
          <w:color w:val="000000"/>
          <w:shd w:val="clear" w:color="auto" w:fill="FFFFFF"/>
        </w:rPr>
      </w:pPr>
      <w:r w:rsidRPr="001F23DA">
        <w:rPr>
          <w:b/>
          <w:bCs/>
          <w:color w:val="000000"/>
          <w:shd w:val="clear" w:color="auto" w:fill="FFFFFF"/>
        </w:rPr>
        <w:t xml:space="preserve">Question 5. Do you have any comments on the revised 15% threshold described in Article 4(1)(d)(ii) related to the materiality of extensions of the range of application of rating systems? </w:t>
      </w:r>
    </w:p>
    <w:p w14:paraId="716D0B3E" w14:textId="0AF18B94" w:rsidR="003D036F" w:rsidRPr="00B219E7" w:rsidRDefault="007369BC" w:rsidP="00015B16">
      <w:pPr>
        <w:pStyle w:val="BodyText"/>
        <w:spacing w:line="276" w:lineRule="auto"/>
        <w:rPr>
          <w:i/>
          <w:iCs/>
          <w:color w:val="000000"/>
          <w:shd w:val="clear" w:color="auto" w:fill="FFFFFF"/>
        </w:rPr>
      </w:pPr>
      <w:r>
        <w:rPr>
          <w:color w:val="000000"/>
          <w:shd w:val="clear" w:color="auto" w:fill="FFFFFF"/>
        </w:rPr>
        <w:t>As per our general comments on the need for qualitative and quantitative thresholds with a supervisory override,</w:t>
      </w:r>
      <w:r w:rsidR="002A1AB9">
        <w:rPr>
          <w:color w:val="000000"/>
          <w:shd w:val="clear" w:color="auto" w:fill="FFFFFF"/>
        </w:rPr>
        <w:t xml:space="preserve"> </w:t>
      </w:r>
      <w:r w:rsidR="00892D29">
        <w:rPr>
          <w:color w:val="000000"/>
          <w:shd w:val="clear" w:color="auto" w:fill="FFFFFF"/>
        </w:rPr>
        <w:t>we welcome thi</w:t>
      </w:r>
      <w:r w:rsidR="002A1AB9">
        <w:rPr>
          <w:color w:val="000000"/>
          <w:shd w:val="clear" w:color="auto" w:fill="FFFFFF"/>
        </w:rPr>
        <w:t>s.</w:t>
      </w:r>
      <w:r>
        <w:rPr>
          <w:color w:val="000000"/>
          <w:shd w:val="clear" w:color="auto" w:fill="FFFFFF"/>
        </w:rPr>
        <w:t xml:space="preserve"> </w:t>
      </w:r>
      <w:r w:rsidR="007060D3" w:rsidRPr="007060D3">
        <w:rPr>
          <w:color w:val="000000"/>
          <w:shd w:val="clear" w:color="auto" w:fill="FFFFFF"/>
        </w:rPr>
        <w:t xml:space="preserve">Nonetheless, </w:t>
      </w:r>
      <w:r w:rsidR="00323CD5">
        <w:rPr>
          <w:color w:val="000000"/>
          <w:shd w:val="clear" w:color="auto" w:fill="FFFFFF"/>
        </w:rPr>
        <w:t xml:space="preserve">more </w:t>
      </w:r>
      <w:r w:rsidR="007060D3" w:rsidRPr="007060D3">
        <w:rPr>
          <w:color w:val="000000"/>
          <w:shd w:val="clear" w:color="auto" w:fill="FFFFFF"/>
        </w:rPr>
        <w:t xml:space="preserve">room for flexibility should be introduced </w:t>
      </w:r>
      <w:r w:rsidR="00323CD5">
        <w:rPr>
          <w:color w:val="000000"/>
          <w:shd w:val="clear" w:color="auto" w:fill="FFFFFF"/>
        </w:rPr>
        <w:t>in</w:t>
      </w:r>
      <w:r w:rsidR="007060D3" w:rsidRPr="007060D3">
        <w:rPr>
          <w:color w:val="000000"/>
          <w:shd w:val="clear" w:color="auto" w:fill="FFFFFF"/>
        </w:rPr>
        <w:t xml:space="preserve"> the sentence: “</w:t>
      </w:r>
      <w:r w:rsidR="007060D3" w:rsidRPr="007060D3">
        <w:rPr>
          <w:i/>
          <w:iCs/>
          <w:color w:val="000000"/>
          <w:shd w:val="clear" w:color="auto" w:fill="FFFFFF"/>
        </w:rPr>
        <w:t>This risk of this weak model performance on the new exposures becomes more pressing the larger the extensions of range of application of the rating system is in comparison to the existing range of application</w:t>
      </w:r>
      <w:r w:rsidR="007060D3" w:rsidRPr="007060D3">
        <w:rPr>
          <w:color w:val="000000"/>
          <w:shd w:val="clear" w:color="auto" w:fill="FFFFFF"/>
        </w:rPr>
        <w:t>”. It is indeed possible that the RWA increases by more than 15%</w:t>
      </w:r>
      <w:r w:rsidR="00323CD5">
        <w:rPr>
          <w:color w:val="000000"/>
          <w:shd w:val="clear" w:color="auto" w:fill="FFFFFF"/>
        </w:rPr>
        <w:t xml:space="preserve">, </w:t>
      </w:r>
      <w:r w:rsidR="007060D3" w:rsidRPr="007060D3">
        <w:rPr>
          <w:color w:val="000000"/>
          <w:shd w:val="clear" w:color="auto" w:fill="FFFFFF"/>
        </w:rPr>
        <w:t xml:space="preserve">but the actual performance measured in terms of ranking ability is under a significant threshold; in this case, we deem that a </w:t>
      </w:r>
      <w:r w:rsidR="00214272" w:rsidRPr="007060D3">
        <w:rPr>
          <w:color w:val="000000"/>
          <w:shd w:val="clear" w:color="auto" w:fill="FFFFFF"/>
        </w:rPr>
        <w:t xml:space="preserve">material </w:t>
      </w:r>
      <w:r w:rsidR="007060D3" w:rsidRPr="007060D3">
        <w:rPr>
          <w:color w:val="000000"/>
          <w:shd w:val="clear" w:color="auto" w:fill="FFFFFF"/>
        </w:rPr>
        <w:t xml:space="preserve">classification may be excessive and that further </w:t>
      </w:r>
      <w:r w:rsidR="003522A8">
        <w:rPr>
          <w:color w:val="000000"/>
          <w:shd w:val="clear" w:color="auto" w:fill="FFFFFF"/>
        </w:rPr>
        <w:t>justification</w:t>
      </w:r>
      <w:r w:rsidR="007060D3" w:rsidRPr="007060D3">
        <w:rPr>
          <w:color w:val="000000"/>
          <w:shd w:val="clear" w:color="auto" w:fill="FFFFFF"/>
        </w:rPr>
        <w:t xml:space="preserve"> on performance </w:t>
      </w:r>
      <w:r w:rsidR="007060D3" w:rsidRPr="001108DD">
        <w:rPr>
          <w:color w:val="000000"/>
          <w:shd w:val="clear" w:color="auto" w:fill="FFFFFF"/>
        </w:rPr>
        <w:t>could be added to support the non-materiality despite the RWA increase.</w:t>
      </w:r>
      <w:r w:rsidR="00F155AA" w:rsidRPr="00F155AA">
        <w:rPr>
          <w:color w:val="000000"/>
          <w:shd w:val="clear" w:color="auto" w:fill="FFFFFF"/>
        </w:rPr>
        <w:t xml:space="preserve"> Indeed,</w:t>
      </w:r>
      <w:r w:rsidR="00CD2478" w:rsidRPr="00CD2478">
        <w:rPr>
          <w:color w:val="000000"/>
          <w:shd w:val="clear" w:color="auto" w:fill="FFFFFF"/>
        </w:rPr>
        <w:t xml:space="preserve"> </w:t>
      </w:r>
      <w:r w:rsidR="00FF5F7F">
        <w:rPr>
          <w:color w:val="000000"/>
          <w:shd w:val="clear" w:color="auto" w:fill="FFFFFF"/>
        </w:rPr>
        <w:t xml:space="preserve">the </w:t>
      </w:r>
      <w:r w:rsidR="00CD2478" w:rsidRPr="00CD2478">
        <w:rPr>
          <w:color w:val="000000"/>
          <w:shd w:val="clear" w:color="auto" w:fill="FFFFFF"/>
        </w:rPr>
        <w:t>new ratio introduced by the EBA may lead to counterintuitive results.</w:t>
      </w:r>
      <w:r w:rsidR="001108DD">
        <w:rPr>
          <w:color w:val="000000"/>
          <w:shd w:val="clear" w:color="auto" w:fill="FFFFFF"/>
        </w:rPr>
        <w:t xml:space="preserve"> Hence, </w:t>
      </w:r>
      <w:r w:rsidR="00A72E63">
        <w:rPr>
          <w:color w:val="000000"/>
          <w:shd w:val="clear" w:color="auto" w:fill="FFFFFF"/>
        </w:rPr>
        <w:t>there should be flexibility fo</w:t>
      </w:r>
      <w:r w:rsidR="002A1AB9">
        <w:rPr>
          <w:color w:val="000000"/>
          <w:shd w:val="clear" w:color="auto" w:fill="FFFFFF"/>
        </w:rPr>
        <w:t>r</w:t>
      </w:r>
      <w:r w:rsidR="001108DD">
        <w:rPr>
          <w:color w:val="000000"/>
          <w:shd w:val="clear" w:color="auto" w:fill="FFFFFF"/>
        </w:rPr>
        <w:t xml:space="preserve"> the supervisor should be able to step-in </w:t>
      </w:r>
      <w:r w:rsidR="00AD6591">
        <w:rPr>
          <w:color w:val="000000"/>
          <w:shd w:val="clear" w:color="auto" w:fill="FFFFFF"/>
        </w:rPr>
        <w:t xml:space="preserve">for a judgement </w:t>
      </w:r>
      <w:r w:rsidR="008A0F18">
        <w:rPr>
          <w:color w:val="000000"/>
          <w:shd w:val="clear" w:color="auto" w:fill="FFFFFF"/>
        </w:rPr>
        <w:t>led decision on reclassification.</w:t>
      </w:r>
    </w:p>
    <w:p w14:paraId="066B7A43" w14:textId="77777777" w:rsidR="00CD2478" w:rsidRDefault="00CD2478" w:rsidP="00015B16">
      <w:pPr>
        <w:spacing w:after="120" w:line="276" w:lineRule="auto"/>
        <w:jc w:val="both"/>
        <w:rPr>
          <w:color w:val="000000"/>
          <w:shd w:val="clear" w:color="auto" w:fill="FFFFFF"/>
        </w:rPr>
      </w:pPr>
      <w:r w:rsidRPr="00CD2478">
        <w:rPr>
          <w:color w:val="000000"/>
          <w:shd w:val="clear" w:color="auto" w:fill="FFFFFF"/>
        </w:rPr>
        <w:lastRenderedPageBreak/>
        <w:t>Let us assume we have an extension on perimeter B of the rating system initially applied to A. We understand from the new EBA requirement that the new ratio will be calculated in the following way:</w:t>
      </w:r>
    </w:p>
    <w:p w14:paraId="4EEA6C62" w14:textId="77777777" w:rsidR="00FF5F7F" w:rsidRPr="00CD2478" w:rsidRDefault="00FF5F7F" w:rsidP="00015B16">
      <w:pPr>
        <w:jc w:val="both"/>
        <w:rPr>
          <w:color w:val="000000"/>
          <w:shd w:val="clear" w:color="auto" w:fill="FFFFFF"/>
        </w:rPr>
      </w:pPr>
    </w:p>
    <w:p w14:paraId="643E1270" w14:textId="7874472A" w:rsidR="00CD2478" w:rsidRPr="00CD2478" w:rsidRDefault="00CD2478" w:rsidP="00015B16">
      <w:pPr>
        <w:jc w:val="both"/>
        <w:rPr>
          <w:color w:val="000000"/>
          <w:shd w:val="clear" w:color="auto" w:fill="FFFFFF"/>
        </w:rPr>
      </w:pPr>
      <m:oMathPara>
        <m:oMath>
          <m:r>
            <m:rPr>
              <m:sty m:val="p"/>
            </m:rPr>
            <w:rPr>
              <w:rFonts w:ascii="Cambria Math" w:hAnsi="Cambria Math"/>
              <w:color w:val="000000"/>
              <w:shd w:val="clear" w:color="auto" w:fill="FFFFFF"/>
            </w:rPr>
            <m:t>New ratio=</m:t>
          </m:r>
          <m:f>
            <m:fPr>
              <m:ctrlPr>
                <w:rPr>
                  <w:rFonts w:ascii="Cambria Math" w:hAnsi="Cambria Math"/>
                  <w:color w:val="000000"/>
                  <w:shd w:val="clear" w:color="auto" w:fill="FFFFFF"/>
                </w:rPr>
              </m:ctrlPr>
            </m:fPr>
            <m:num>
              <m:sSubSup>
                <m:sSubSupPr>
                  <m:ctrlPr>
                    <w:rPr>
                      <w:rFonts w:ascii="Cambria Math" w:hAnsi="Cambria Math"/>
                      <w:color w:val="000000"/>
                      <w:shd w:val="clear" w:color="auto" w:fill="FFFFFF"/>
                    </w:rPr>
                  </m:ctrlPr>
                </m:sSubSupPr>
                <m:e>
                  <m:r>
                    <m:rPr>
                      <m:sty m:val="p"/>
                    </m:rPr>
                    <w:rPr>
                      <w:rFonts w:ascii="Cambria Math" w:hAnsi="Cambria Math"/>
                      <w:color w:val="000000"/>
                      <w:shd w:val="clear" w:color="auto" w:fill="FFFFFF"/>
                    </w:rPr>
                    <m:t>RWEA</m:t>
                  </m:r>
                </m:e>
                <m:sub>
                  <m:r>
                    <m:rPr>
                      <m:sty m:val="p"/>
                    </m:rPr>
                    <w:rPr>
                      <w:rFonts w:ascii="Cambria Math" w:hAnsi="Cambria Math"/>
                      <w:color w:val="000000"/>
                      <w:shd w:val="clear" w:color="auto" w:fill="FFFFFF"/>
                    </w:rPr>
                    <m:t>B</m:t>
                  </m:r>
                </m:sub>
                <m:sup>
                  <m:r>
                    <m:rPr>
                      <m:sty m:val="p"/>
                    </m:rPr>
                    <w:rPr>
                      <w:rFonts w:ascii="Cambria Math" w:hAnsi="Cambria Math"/>
                      <w:color w:val="000000"/>
                      <w:shd w:val="clear" w:color="auto" w:fill="FFFFFF"/>
                    </w:rPr>
                    <m:t>after</m:t>
                  </m:r>
                </m:sup>
              </m:sSubSup>
            </m:num>
            <m:den>
              <m:sSubSup>
                <m:sSubSupPr>
                  <m:ctrlPr>
                    <w:rPr>
                      <w:rFonts w:ascii="Cambria Math" w:hAnsi="Cambria Math"/>
                      <w:color w:val="000000"/>
                      <w:shd w:val="clear" w:color="auto" w:fill="FFFFFF"/>
                    </w:rPr>
                  </m:ctrlPr>
                </m:sSubSupPr>
                <m:e>
                  <m:r>
                    <m:rPr>
                      <m:sty m:val="p"/>
                    </m:rPr>
                    <w:rPr>
                      <w:rFonts w:ascii="Cambria Math" w:hAnsi="Cambria Math"/>
                      <w:color w:val="000000"/>
                      <w:shd w:val="clear" w:color="auto" w:fill="FFFFFF"/>
                    </w:rPr>
                    <m:t>RWEA</m:t>
                  </m:r>
                </m:e>
                <m:sub>
                  <m:r>
                    <m:rPr>
                      <m:sty m:val="p"/>
                    </m:rPr>
                    <w:rPr>
                      <w:rFonts w:ascii="Cambria Math" w:hAnsi="Cambria Math"/>
                      <w:color w:val="000000"/>
                      <w:shd w:val="clear" w:color="auto" w:fill="FFFFFF"/>
                    </w:rPr>
                    <m:t>A</m:t>
                  </m:r>
                </m:sub>
                <m:sup>
                  <m:r>
                    <m:rPr>
                      <m:sty m:val="p"/>
                    </m:rPr>
                    <w:rPr>
                      <w:rFonts w:ascii="Cambria Math" w:hAnsi="Cambria Math"/>
                      <w:color w:val="000000"/>
                      <w:shd w:val="clear" w:color="auto" w:fill="FFFFFF"/>
                    </w:rPr>
                    <m:t>before</m:t>
                  </m:r>
                </m:sup>
              </m:sSubSup>
            </m:den>
          </m:f>
        </m:oMath>
      </m:oMathPara>
    </w:p>
    <w:p w14:paraId="3C563212" w14:textId="77777777" w:rsidR="00CD2478" w:rsidRPr="00CD2478" w:rsidRDefault="00CD2478" w:rsidP="00015B16">
      <w:pPr>
        <w:jc w:val="both"/>
        <w:rPr>
          <w:color w:val="000000"/>
          <w:shd w:val="clear" w:color="auto" w:fill="FFFFFF"/>
        </w:rPr>
      </w:pPr>
    </w:p>
    <w:p w14:paraId="51CBBF25" w14:textId="77777777" w:rsidR="00CD2478" w:rsidRPr="00CD2478" w:rsidRDefault="00CD2478" w:rsidP="00015B16">
      <w:pPr>
        <w:jc w:val="both"/>
        <w:rPr>
          <w:color w:val="000000"/>
          <w:shd w:val="clear" w:color="auto" w:fill="FFFFFF"/>
        </w:rPr>
      </w:pPr>
      <w:r w:rsidRPr="00CD2478">
        <w:rPr>
          <w:color w:val="000000"/>
          <w:shd w:val="clear" w:color="auto" w:fill="FFFFFF"/>
        </w:rPr>
        <w:t>We can derive two cases in the calculation: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gridCol w:w="851"/>
        <w:gridCol w:w="1701"/>
        <w:gridCol w:w="1559"/>
        <w:gridCol w:w="1418"/>
      </w:tblGrid>
      <w:tr w:rsidR="00CD2478" w:rsidRPr="00CD2478" w14:paraId="79C779DD" w14:textId="77777777" w:rsidTr="002C11F9">
        <w:trPr>
          <w:tblCellSpacing w:w="15" w:type="dxa"/>
        </w:trPr>
        <w:tc>
          <w:tcPr>
            <w:tcW w:w="1656" w:type="dxa"/>
            <w:vAlign w:val="center"/>
            <w:hideMark/>
          </w:tcPr>
          <w:p w14:paraId="1070C9C8" w14:textId="77777777" w:rsidR="00CD2478" w:rsidRPr="00CD2478" w:rsidRDefault="00CD2478" w:rsidP="00015B16">
            <w:pPr>
              <w:jc w:val="both"/>
              <w:rPr>
                <w:color w:val="000000"/>
                <w:shd w:val="clear" w:color="auto" w:fill="FFFFFF"/>
              </w:rPr>
            </w:pPr>
            <w:r w:rsidRPr="00CD2478">
              <w:rPr>
                <w:color w:val="000000"/>
                <w:shd w:val="clear" w:color="auto" w:fill="FFFFFF"/>
              </w:rPr>
              <w:t>Example 1</w:t>
            </w:r>
          </w:p>
        </w:tc>
        <w:tc>
          <w:tcPr>
            <w:tcW w:w="821" w:type="dxa"/>
            <w:vAlign w:val="center"/>
            <w:hideMark/>
          </w:tcPr>
          <w:p w14:paraId="51F9C13E" w14:textId="77777777" w:rsidR="00CD2478" w:rsidRPr="00CD2478" w:rsidRDefault="00CD2478" w:rsidP="00015B16">
            <w:pPr>
              <w:jc w:val="both"/>
              <w:rPr>
                <w:color w:val="000000"/>
                <w:shd w:val="clear" w:color="auto" w:fill="FFFFFF"/>
              </w:rPr>
            </w:pPr>
            <w:r w:rsidRPr="00CD2478">
              <w:rPr>
                <w:color w:val="000000"/>
                <w:shd w:val="clear" w:color="auto" w:fill="FFFFFF"/>
              </w:rPr>
              <w:t>EAD</w:t>
            </w:r>
          </w:p>
        </w:tc>
        <w:tc>
          <w:tcPr>
            <w:tcW w:w="1671" w:type="dxa"/>
            <w:vAlign w:val="center"/>
            <w:hideMark/>
          </w:tcPr>
          <w:p w14:paraId="75773B37" w14:textId="77777777" w:rsidR="00CD2478" w:rsidRPr="00CD2478" w:rsidRDefault="00CD2478" w:rsidP="00015B16">
            <w:pPr>
              <w:jc w:val="both"/>
              <w:rPr>
                <w:color w:val="000000"/>
                <w:shd w:val="clear" w:color="auto" w:fill="FFFFFF"/>
              </w:rPr>
            </w:pPr>
            <w:r w:rsidRPr="00CD2478">
              <w:rPr>
                <w:color w:val="000000"/>
                <w:shd w:val="clear" w:color="auto" w:fill="FFFFFF"/>
              </w:rPr>
              <w:t>RWEA - Before</w:t>
            </w:r>
          </w:p>
        </w:tc>
        <w:tc>
          <w:tcPr>
            <w:tcW w:w="1529" w:type="dxa"/>
            <w:vAlign w:val="center"/>
            <w:hideMark/>
          </w:tcPr>
          <w:p w14:paraId="7A27A90F" w14:textId="77777777" w:rsidR="00CD2478" w:rsidRPr="00CD2478" w:rsidRDefault="00CD2478" w:rsidP="00015B16">
            <w:pPr>
              <w:jc w:val="both"/>
              <w:rPr>
                <w:color w:val="000000"/>
                <w:shd w:val="clear" w:color="auto" w:fill="FFFFFF"/>
              </w:rPr>
            </w:pPr>
            <w:r w:rsidRPr="00CD2478">
              <w:rPr>
                <w:color w:val="000000"/>
                <w:shd w:val="clear" w:color="auto" w:fill="FFFFFF"/>
              </w:rPr>
              <w:t>RWEA - After</w:t>
            </w:r>
          </w:p>
        </w:tc>
        <w:tc>
          <w:tcPr>
            <w:tcW w:w="1373" w:type="dxa"/>
            <w:vAlign w:val="center"/>
            <w:hideMark/>
          </w:tcPr>
          <w:p w14:paraId="5E8D9CDC" w14:textId="77777777" w:rsidR="00CD2478" w:rsidRPr="00CD2478" w:rsidRDefault="00CD2478" w:rsidP="00015B16">
            <w:pPr>
              <w:jc w:val="both"/>
              <w:rPr>
                <w:color w:val="000000"/>
                <w:shd w:val="clear" w:color="auto" w:fill="FFFFFF"/>
              </w:rPr>
            </w:pPr>
            <w:r w:rsidRPr="00CD2478">
              <w:rPr>
                <w:color w:val="000000"/>
                <w:shd w:val="clear" w:color="auto" w:fill="FFFFFF"/>
              </w:rPr>
              <w:t>New ratio</w:t>
            </w:r>
          </w:p>
        </w:tc>
      </w:tr>
      <w:tr w:rsidR="00CD2478" w:rsidRPr="00CD2478" w14:paraId="5F692116" w14:textId="77777777" w:rsidTr="002C11F9">
        <w:trPr>
          <w:tblCellSpacing w:w="15" w:type="dxa"/>
        </w:trPr>
        <w:tc>
          <w:tcPr>
            <w:tcW w:w="1656" w:type="dxa"/>
            <w:vAlign w:val="center"/>
            <w:hideMark/>
          </w:tcPr>
          <w:p w14:paraId="749AFA3C" w14:textId="77777777" w:rsidR="00CD2478" w:rsidRPr="00CD2478" w:rsidRDefault="00CD2478" w:rsidP="00015B16">
            <w:pPr>
              <w:jc w:val="both"/>
              <w:rPr>
                <w:color w:val="000000"/>
                <w:shd w:val="clear" w:color="auto" w:fill="FFFFFF"/>
              </w:rPr>
            </w:pPr>
            <w:r w:rsidRPr="00CD2478">
              <w:rPr>
                <w:color w:val="000000"/>
                <w:shd w:val="clear" w:color="auto" w:fill="FFFFFF"/>
              </w:rPr>
              <w:t>Perimeter A</w:t>
            </w:r>
          </w:p>
        </w:tc>
        <w:tc>
          <w:tcPr>
            <w:tcW w:w="821" w:type="dxa"/>
            <w:vAlign w:val="center"/>
            <w:hideMark/>
          </w:tcPr>
          <w:p w14:paraId="787EBFD0" w14:textId="77777777" w:rsidR="00CD2478" w:rsidRPr="00CD2478" w:rsidRDefault="00CD2478" w:rsidP="00015B16">
            <w:pPr>
              <w:jc w:val="both"/>
              <w:rPr>
                <w:color w:val="000000"/>
                <w:shd w:val="clear" w:color="auto" w:fill="FFFFFF"/>
              </w:rPr>
            </w:pPr>
            <w:r w:rsidRPr="00CD2478">
              <w:rPr>
                <w:color w:val="000000"/>
                <w:shd w:val="clear" w:color="auto" w:fill="FFFFFF"/>
              </w:rPr>
              <w:t>100</w:t>
            </w:r>
          </w:p>
        </w:tc>
        <w:tc>
          <w:tcPr>
            <w:tcW w:w="1671" w:type="dxa"/>
            <w:vAlign w:val="center"/>
            <w:hideMark/>
          </w:tcPr>
          <w:p w14:paraId="31917DAF" w14:textId="77777777" w:rsidR="00CD2478" w:rsidRPr="00CD2478" w:rsidRDefault="00CD2478" w:rsidP="00015B16">
            <w:pPr>
              <w:jc w:val="both"/>
              <w:rPr>
                <w:color w:val="000000"/>
                <w:shd w:val="clear" w:color="auto" w:fill="FFFFFF"/>
              </w:rPr>
            </w:pPr>
            <w:r w:rsidRPr="00CD2478">
              <w:rPr>
                <w:color w:val="000000"/>
                <w:shd w:val="clear" w:color="auto" w:fill="FFFFFF"/>
              </w:rPr>
              <w:t>50</w:t>
            </w:r>
          </w:p>
        </w:tc>
        <w:tc>
          <w:tcPr>
            <w:tcW w:w="1529" w:type="dxa"/>
            <w:vAlign w:val="center"/>
            <w:hideMark/>
          </w:tcPr>
          <w:p w14:paraId="358F6470" w14:textId="77777777" w:rsidR="00CD2478" w:rsidRPr="00CD2478" w:rsidRDefault="00CD2478" w:rsidP="00015B16">
            <w:pPr>
              <w:jc w:val="both"/>
              <w:rPr>
                <w:color w:val="000000"/>
                <w:shd w:val="clear" w:color="auto" w:fill="FFFFFF"/>
              </w:rPr>
            </w:pPr>
            <w:r w:rsidRPr="00CD2478">
              <w:rPr>
                <w:color w:val="000000"/>
                <w:shd w:val="clear" w:color="auto" w:fill="FFFFFF"/>
              </w:rPr>
              <w:t>50</w:t>
            </w:r>
          </w:p>
        </w:tc>
        <w:tc>
          <w:tcPr>
            <w:tcW w:w="1373" w:type="dxa"/>
            <w:vAlign w:val="center"/>
            <w:hideMark/>
          </w:tcPr>
          <w:p w14:paraId="590CE990" w14:textId="77777777" w:rsidR="00CD2478" w:rsidRPr="00CD2478" w:rsidRDefault="00CD2478" w:rsidP="00015B16">
            <w:pPr>
              <w:jc w:val="both"/>
              <w:rPr>
                <w:color w:val="000000"/>
                <w:shd w:val="clear" w:color="auto" w:fill="FFFFFF"/>
              </w:rPr>
            </w:pPr>
            <w:r w:rsidRPr="00CD2478">
              <w:rPr>
                <w:color w:val="000000"/>
                <w:shd w:val="clear" w:color="auto" w:fill="FFFFFF"/>
              </w:rPr>
              <w:t> </w:t>
            </w:r>
          </w:p>
        </w:tc>
      </w:tr>
      <w:tr w:rsidR="00CD2478" w:rsidRPr="00CD2478" w14:paraId="2D890791" w14:textId="77777777" w:rsidTr="002C11F9">
        <w:trPr>
          <w:tblCellSpacing w:w="15" w:type="dxa"/>
        </w:trPr>
        <w:tc>
          <w:tcPr>
            <w:tcW w:w="1656" w:type="dxa"/>
            <w:vAlign w:val="center"/>
            <w:hideMark/>
          </w:tcPr>
          <w:p w14:paraId="5F2738C9" w14:textId="77777777" w:rsidR="00CD2478" w:rsidRPr="00CD2478" w:rsidRDefault="00CD2478" w:rsidP="00015B16">
            <w:pPr>
              <w:jc w:val="both"/>
              <w:rPr>
                <w:color w:val="000000"/>
                <w:shd w:val="clear" w:color="auto" w:fill="FFFFFF"/>
              </w:rPr>
            </w:pPr>
            <w:r w:rsidRPr="00CD2478">
              <w:rPr>
                <w:color w:val="000000"/>
                <w:shd w:val="clear" w:color="auto" w:fill="FFFFFF"/>
              </w:rPr>
              <w:t>Perimeter B</w:t>
            </w:r>
          </w:p>
        </w:tc>
        <w:tc>
          <w:tcPr>
            <w:tcW w:w="821" w:type="dxa"/>
            <w:vAlign w:val="center"/>
            <w:hideMark/>
          </w:tcPr>
          <w:p w14:paraId="7EBA5128" w14:textId="77777777" w:rsidR="00CD2478" w:rsidRPr="00CD2478" w:rsidRDefault="00CD2478" w:rsidP="00015B16">
            <w:pPr>
              <w:jc w:val="both"/>
              <w:rPr>
                <w:color w:val="000000"/>
                <w:shd w:val="clear" w:color="auto" w:fill="FFFFFF"/>
              </w:rPr>
            </w:pPr>
            <w:r w:rsidRPr="00CD2478">
              <w:rPr>
                <w:color w:val="000000"/>
                <w:shd w:val="clear" w:color="auto" w:fill="FFFFFF"/>
              </w:rPr>
              <w:t>100</w:t>
            </w:r>
          </w:p>
        </w:tc>
        <w:tc>
          <w:tcPr>
            <w:tcW w:w="1671" w:type="dxa"/>
            <w:vAlign w:val="center"/>
            <w:hideMark/>
          </w:tcPr>
          <w:p w14:paraId="4CC85913" w14:textId="77777777" w:rsidR="00CD2478" w:rsidRPr="00CD2478" w:rsidRDefault="00CD2478" w:rsidP="00015B16">
            <w:pPr>
              <w:jc w:val="both"/>
              <w:rPr>
                <w:color w:val="000000"/>
                <w:shd w:val="clear" w:color="auto" w:fill="FFFFFF"/>
              </w:rPr>
            </w:pPr>
            <w:r w:rsidRPr="00CD2478">
              <w:rPr>
                <w:color w:val="000000"/>
                <w:shd w:val="clear" w:color="auto" w:fill="FFFFFF"/>
              </w:rPr>
              <w:t>50</w:t>
            </w:r>
          </w:p>
        </w:tc>
        <w:tc>
          <w:tcPr>
            <w:tcW w:w="1529" w:type="dxa"/>
            <w:vAlign w:val="center"/>
            <w:hideMark/>
          </w:tcPr>
          <w:p w14:paraId="3D0E1D52" w14:textId="77777777" w:rsidR="00CD2478" w:rsidRPr="00CD2478" w:rsidRDefault="00CD2478" w:rsidP="00015B16">
            <w:pPr>
              <w:jc w:val="both"/>
              <w:rPr>
                <w:color w:val="000000"/>
                <w:shd w:val="clear" w:color="auto" w:fill="FFFFFF"/>
              </w:rPr>
            </w:pPr>
            <w:r w:rsidRPr="00CD2478">
              <w:rPr>
                <w:color w:val="000000"/>
                <w:shd w:val="clear" w:color="auto" w:fill="FFFFFF"/>
              </w:rPr>
              <w:t>5</w:t>
            </w:r>
          </w:p>
        </w:tc>
        <w:tc>
          <w:tcPr>
            <w:tcW w:w="1373" w:type="dxa"/>
            <w:vAlign w:val="center"/>
            <w:hideMark/>
          </w:tcPr>
          <w:p w14:paraId="6187B073" w14:textId="77777777" w:rsidR="00CD2478" w:rsidRPr="00CD2478" w:rsidRDefault="00CD2478" w:rsidP="00015B16">
            <w:pPr>
              <w:jc w:val="both"/>
              <w:rPr>
                <w:color w:val="000000"/>
                <w:shd w:val="clear" w:color="auto" w:fill="FFFFFF"/>
              </w:rPr>
            </w:pPr>
            <w:r w:rsidRPr="00CD2478">
              <w:rPr>
                <w:color w:val="000000"/>
                <w:shd w:val="clear" w:color="auto" w:fill="FFFFFF"/>
              </w:rPr>
              <w:t>10%</w:t>
            </w:r>
          </w:p>
        </w:tc>
      </w:tr>
      <w:tr w:rsidR="00CD2478" w:rsidRPr="00CD2478" w14:paraId="4942C8F8" w14:textId="77777777" w:rsidTr="002C11F9">
        <w:trPr>
          <w:tblCellSpacing w:w="15" w:type="dxa"/>
        </w:trPr>
        <w:tc>
          <w:tcPr>
            <w:tcW w:w="1656" w:type="dxa"/>
            <w:vAlign w:val="center"/>
            <w:hideMark/>
          </w:tcPr>
          <w:p w14:paraId="7CF40CB4" w14:textId="77777777" w:rsidR="00CD2478" w:rsidRPr="00CD2478" w:rsidRDefault="00CD2478" w:rsidP="00015B16">
            <w:pPr>
              <w:jc w:val="both"/>
              <w:rPr>
                <w:color w:val="000000"/>
                <w:shd w:val="clear" w:color="auto" w:fill="FFFFFF"/>
              </w:rPr>
            </w:pPr>
            <w:r w:rsidRPr="00CD2478">
              <w:rPr>
                <w:color w:val="000000"/>
                <w:shd w:val="clear" w:color="auto" w:fill="FFFFFF"/>
              </w:rPr>
              <w:t xml:space="preserve">Perimeter A+B </w:t>
            </w:r>
          </w:p>
        </w:tc>
        <w:tc>
          <w:tcPr>
            <w:tcW w:w="821" w:type="dxa"/>
            <w:vAlign w:val="center"/>
            <w:hideMark/>
          </w:tcPr>
          <w:p w14:paraId="39985D16" w14:textId="77777777" w:rsidR="00CD2478" w:rsidRPr="00CD2478" w:rsidRDefault="00CD2478" w:rsidP="00015B16">
            <w:pPr>
              <w:jc w:val="both"/>
              <w:rPr>
                <w:color w:val="000000"/>
                <w:shd w:val="clear" w:color="auto" w:fill="FFFFFF"/>
              </w:rPr>
            </w:pPr>
            <w:r w:rsidRPr="00CD2478">
              <w:rPr>
                <w:color w:val="000000"/>
                <w:shd w:val="clear" w:color="auto" w:fill="FFFFFF"/>
              </w:rPr>
              <w:t>200</w:t>
            </w:r>
          </w:p>
        </w:tc>
        <w:tc>
          <w:tcPr>
            <w:tcW w:w="1671" w:type="dxa"/>
            <w:vAlign w:val="center"/>
            <w:hideMark/>
          </w:tcPr>
          <w:p w14:paraId="2537ED09" w14:textId="77777777" w:rsidR="00CD2478" w:rsidRPr="00CD2478" w:rsidRDefault="00CD2478" w:rsidP="00015B16">
            <w:pPr>
              <w:jc w:val="both"/>
              <w:rPr>
                <w:color w:val="000000"/>
                <w:shd w:val="clear" w:color="auto" w:fill="FFFFFF"/>
              </w:rPr>
            </w:pPr>
            <w:r w:rsidRPr="00CD2478">
              <w:rPr>
                <w:color w:val="000000"/>
                <w:shd w:val="clear" w:color="auto" w:fill="FFFFFF"/>
              </w:rPr>
              <w:t>100</w:t>
            </w:r>
          </w:p>
        </w:tc>
        <w:tc>
          <w:tcPr>
            <w:tcW w:w="1529" w:type="dxa"/>
            <w:vAlign w:val="center"/>
            <w:hideMark/>
          </w:tcPr>
          <w:p w14:paraId="6D8D3627" w14:textId="77777777" w:rsidR="00CD2478" w:rsidRPr="00CD2478" w:rsidRDefault="00CD2478" w:rsidP="00015B16">
            <w:pPr>
              <w:jc w:val="both"/>
              <w:rPr>
                <w:color w:val="000000"/>
                <w:shd w:val="clear" w:color="auto" w:fill="FFFFFF"/>
              </w:rPr>
            </w:pPr>
            <w:r w:rsidRPr="00CD2478">
              <w:rPr>
                <w:color w:val="000000"/>
                <w:shd w:val="clear" w:color="auto" w:fill="FFFFFF"/>
              </w:rPr>
              <w:t>55</w:t>
            </w:r>
          </w:p>
        </w:tc>
        <w:tc>
          <w:tcPr>
            <w:tcW w:w="1373" w:type="dxa"/>
            <w:vAlign w:val="center"/>
            <w:hideMark/>
          </w:tcPr>
          <w:p w14:paraId="5D6365BC" w14:textId="77777777" w:rsidR="00CD2478" w:rsidRPr="00CD2478" w:rsidRDefault="00CD2478" w:rsidP="00015B16">
            <w:pPr>
              <w:jc w:val="both"/>
              <w:rPr>
                <w:color w:val="000000"/>
                <w:shd w:val="clear" w:color="auto" w:fill="FFFFFF"/>
              </w:rPr>
            </w:pPr>
            <w:r w:rsidRPr="00CD2478">
              <w:rPr>
                <w:color w:val="000000"/>
                <w:shd w:val="clear" w:color="auto" w:fill="FFFFFF"/>
              </w:rPr>
              <w:t> </w:t>
            </w:r>
          </w:p>
        </w:tc>
      </w:tr>
      <w:tr w:rsidR="00CD2478" w:rsidRPr="00CD2478" w14:paraId="5B29D334" w14:textId="77777777" w:rsidTr="002C11F9">
        <w:trPr>
          <w:tblCellSpacing w:w="15" w:type="dxa"/>
        </w:trPr>
        <w:tc>
          <w:tcPr>
            <w:tcW w:w="1656" w:type="dxa"/>
            <w:vAlign w:val="center"/>
            <w:hideMark/>
          </w:tcPr>
          <w:p w14:paraId="2224AC9C" w14:textId="77777777" w:rsidR="00CD2478" w:rsidRPr="00CD2478" w:rsidRDefault="00CD2478" w:rsidP="00015B16">
            <w:pPr>
              <w:jc w:val="both"/>
              <w:rPr>
                <w:color w:val="000000"/>
                <w:shd w:val="clear" w:color="auto" w:fill="FFFFFF"/>
              </w:rPr>
            </w:pPr>
            <w:r w:rsidRPr="00CD2478">
              <w:rPr>
                <w:color w:val="000000"/>
                <w:shd w:val="clear" w:color="auto" w:fill="FFFFFF"/>
              </w:rPr>
              <w:t> </w:t>
            </w:r>
          </w:p>
        </w:tc>
        <w:tc>
          <w:tcPr>
            <w:tcW w:w="821" w:type="dxa"/>
            <w:vAlign w:val="center"/>
            <w:hideMark/>
          </w:tcPr>
          <w:p w14:paraId="73FEA054" w14:textId="77777777" w:rsidR="00CD2478" w:rsidRPr="00CD2478" w:rsidRDefault="00CD2478" w:rsidP="00015B16">
            <w:pPr>
              <w:jc w:val="both"/>
              <w:rPr>
                <w:color w:val="000000"/>
                <w:shd w:val="clear" w:color="auto" w:fill="FFFFFF"/>
              </w:rPr>
            </w:pPr>
            <w:r w:rsidRPr="00CD2478">
              <w:rPr>
                <w:color w:val="000000"/>
                <w:shd w:val="clear" w:color="auto" w:fill="FFFFFF"/>
              </w:rPr>
              <w:t> </w:t>
            </w:r>
          </w:p>
        </w:tc>
        <w:tc>
          <w:tcPr>
            <w:tcW w:w="1671" w:type="dxa"/>
            <w:vAlign w:val="center"/>
            <w:hideMark/>
          </w:tcPr>
          <w:p w14:paraId="0A59B78C" w14:textId="77777777" w:rsidR="00CD2478" w:rsidRPr="00CD2478" w:rsidRDefault="00CD2478" w:rsidP="00015B16">
            <w:pPr>
              <w:jc w:val="both"/>
              <w:rPr>
                <w:color w:val="000000"/>
                <w:shd w:val="clear" w:color="auto" w:fill="FFFFFF"/>
              </w:rPr>
            </w:pPr>
            <w:r w:rsidRPr="00CD2478">
              <w:rPr>
                <w:color w:val="000000"/>
                <w:shd w:val="clear" w:color="auto" w:fill="FFFFFF"/>
              </w:rPr>
              <w:t> </w:t>
            </w:r>
          </w:p>
        </w:tc>
        <w:tc>
          <w:tcPr>
            <w:tcW w:w="1529" w:type="dxa"/>
            <w:vAlign w:val="center"/>
            <w:hideMark/>
          </w:tcPr>
          <w:p w14:paraId="2EE3213F" w14:textId="77777777" w:rsidR="00CD2478" w:rsidRPr="00CD2478" w:rsidRDefault="00CD2478" w:rsidP="00015B16">
            <w:pPr>
              <w:jc w:val="both"/>
              <w:rPr>
                <w:color w:val="000000"/>
                <w:shd w:val="clear" w:color="auto" w:fill="FFFFFF"/>
              </w:rPr>
            </w:pPr>
            <w:r w:rsidRPr="00CD2478">
              <w:rPr>
                <w:color w:val="000000"/>
                <w:shd w:val="clear" w:color="auto" w:fill="FFFFFF"/>
              </w:rPr>
              <w:t> </w:t>
            </w:r>
          </w:p>
        </w:tc>
        <w:tc>
          <w:tcPr>
            <w:tcW w:w="1373" w:type="dxa"/>
            <w:vAlign w:val="center"/>
            <w:hideMark/>
          </w:tcPr>
          <w:p w14:paraId="5A7F27E1" w14:textId="77777777" w:rsidR="00CD2478" w:rsidRPr="00CD2478" w:rsidRDefault="00CD2478" w:rsidP="00015B16">
            <w:pPr>
              <w:jc w:val="both"/>
              <w:rPr>
                <w:color w:val="000000"/>
                <w:shd w:val="clear" w:color="auto" w:fill="FFFFFF"/>
              </w:rPr>
            </w:pPr>
            <w:r w:rsidRPr="00CD2478">
              <w:rPr>
                <w:color w:val="000000"/>
                <w:shd w:val="clear" w:color="auto" w:fill="FFFFFF"/>
              </w:rPr>
              <w:t> </w:t>
            </w:r>
          </w:p>
        </w:tc>
      </w:tr>
      <w:tr w:rsidR="00CD2478" w:rsidRPr="00CD2478" w14:paraId="1ACF714B" w14:textId="77777777" w:rsidTr="002C11F9">
        <w:trPr>
          <w:tblCellSpacing w:w="15" w:type="dxa"/>
        </w:trPr>
        <w:tc>
          <w:tcPr>
            <w:tcW w:w="1656" w:type="dxa"/>
            <w:vAlign w:val="center"/>
            <w:hideMark/>
          </w:tcPr>
          <w:p w14:paraId="6E986461" w14:textId="77777777" w:rsidR="00CD2478" w:rsidRPr="00CD2478" w:rsidRDefault="00CD2478" w:rsidP="00015B16">
            <w:pPr>
              <w:jc w:val="both"/>
              <w:rPr>
                <w:color w:val="000000"/>
                <w:shd w:val="clear" w:color="auto" w:fill="FFFFFF"/>
              </w:rPr>
            </w:pPr>
            <w:r w:rsidRPr="00CD2478">
              <w:rPr>
                <w:color w:val="000000"/>
                <w:shd w:val="clear" w:color="auto" w:fill="FFFFFF"/>
              </w:rPr>
              <w:t>Example 2</w:t>
            </w:r>
          </w:p>
        </w:tc>
        <w:tc>
          <w:tcPr>
            <w:tcW w:w="821" w:type="dxa"/>
            <w:vAlign w:val="center"/>
            <w:hideMark/>
          </w:tcPr>
          <w:p w14:paraId="674FCC0E" w14:textId="77777777" w:rsidR="00CD2478" w:rsidRPr="00CD2478" w:rsidRDefault="00CD2478" w:rsidP="00015B16">
            <w:pPr>
              <w:jc w:val="both"/>
              <w:rPr>
                <w:color w:val="000000"/>
                <w:shd w:val="clear" w:color="auto" w:fill="FFFFFF"/>
              </w:rPr>
            </w:pPr>
            <w:r w:rsidRPr="00CD2478">
              <w:rPr>
                <w:color w:val="000000"/>
                <w:shd w:val="clear" w:color="auto" w:fill="FFFFFF"/>
              </w:rPr>
              <w:t>EAD</w:t>
            </w:r>
          </w:p>
        </w:tc>
        <w:tc>
          <w:tcPr>
            <w:tcW w:w="1671" w:type="dxa"/>
            <w:vAlign w:val="center"/>
            <w:hideMark/>
          </w:tcPr>
          <w:p w14:paraId="7B5427CC" w14:textId="77777777" w:rsidR="00CD2478" w:rsidRPr="00CD2478" w:rsidRDefault="00CD2478" w:rsidP="00015B16">
            <w:pPr>
              <w:jc w:val="both"/>
              <w:rPr>
                <w:color w:val="000000"/>
                <w:shd w:val="clear" w:color="auto" w:fill="FFFFFF"/>
              </w:rPr>
            </w:pPr>
            <w:r w:rsidRPr="00CD2478">
              <w:rPr>
                <w:color w:val="000000"/>
                <w:shd w:val="clear" w:color="auto" w:fill="FFFFFF"/>
              </w:rPr>
              <w:t>RWEA - Before</w:t>
            </w:r>
          </w:p>
        </w:tc>
        <w:tc>
          <w:tcPr>
            <w:tcW w:w="1529" w:type="dxa"/>
            <w:vAlign w:val="center"/>
            <w:hideMark/>
          </w:tcPr>
          <w:p w14:paraId="6687C0D5" w14:textId="77777777" w:rsidR="00CD2478" w:rsidRPr="00CD2478" w:rsidRDefault="00CD2478" w:rsidP="00015B16">
            <w:pPr>
              <w:jc w:val="both"/>
              <w:rPr>
                <w:color w:val="000000"/>
                <w:shd w:val="clear" w:color="auto" w:fill="FFFFFF"/>
              </w:rPr>
            </w:pPr>
            <w:r w:rsidRPr="00CD2478">
              <w:rPr>
                <w:color w:val="000000"/>
                <w:shd w:val="clear" w:color="auto" w:fill="FFFFFF"/>
              </w:rPr>
              <w:t>RWEA - After</w:t>
            </w:r>
          </w:p>
        </w:tc>
        <w:tc>
          <w:tcPr>
            <w:tcW w:w="1373" w:type="dxa"/>
            <w:vAlign w:val="center"/>
            <w:hideMark/>
          </w:tcPr>
          <w:p w14:paraId="00FD91CF" w14:textId="77777777" w:rsidR="00CD2478" w:rsidRPr="00CD2478" w:rsidRDefault="00CD2478" w:rsidP="00015B16">
            <w:pPr>
              <w:jc w:val="both"/>
              <w:rPr>
                <w:color w:val="000000"/>
                <w:shd w:val="clear" w:color="auto" w:fill="FFFFFF"/>
              </w:rPr>
            </w:pPr>
            <w:r w:rsidRPr="00CD2478">
              <w:rPr>
                <w:color w:val="000000"/>
                <w:shd w:val="clear" w:color="auto" w:fill="FFFFFF"/>
              </w:rPr>
              <w:t>New ratio</w:t>
            </w:r>
          </w:p>
        </w:tc>
      </w:tr>
      <w:tr w:rsidR="00CD2478" w:rsidRPr="00CD2478" w14:paraId="7E040994" w14:textId="77777777" w:rsidTr="002C11F9">
        <w:trPr>
          <w:tblCellSpacing w:w="15" w:type="dxa"/>
        </w:trPr>
        <w:tc>
          <w:tcPr>
            <w:tcW w:w="1656" w:type="dxa"/>
            <w:vAlign w:val="center"/>
            <w:hideMark/>
          </w:tcPr>
          <w:p w14:paraId="2339FB7A" w14:textId="77777777" w:rsidR="00CD2478" w:rsidRPr="00CD2478" w:rsidRDefault="00CD2478" w:rsidP="00015B16">
            <w:pPr>
              <w:jc w:val="both"/>
              <w:rPr>
                <w:color w:val="000000"/>
                <w:shd w:val="clear" w:color="auto" w:fill="FFFFFF"/>
              </w:rPr>
            </w:pPr>
            <w:r w:rsidRPr="00CD2478">
              <w:rPr>
                <w:color w:val="000000"/>
                <w:shd w:val="clear" w:color="auto" w:fill="FFFFFF"/>
              </w:rPr>
              <w:t>Perimeter A</w:t>
            </w:r>
          </w:p>
        </w:tc>
        <w:tc>
          <w:tcPr>
            <w:tcW w:w="821" w:type="dxa"/>
            <w:vAlign w:val="center"/>
            <w:hideMark/>
          </w:tcPr>
          <w:p w14:paraId="02714344" w14:textId="77777777" w:rsidR="00CD2478" w:rsidRPr="00CD2478" w:rsidRDefault="00CD2478" w:rsidP="00015B16">
            <w:pPr>
              <w:jc w:val="both"/>
              <w:rPr>
                <w:color w:val="000000"/>
                <w:shd w:val="clear" w:color="auto" w:fill="FFFFFF"/>
              </w:rPr>
            </w:pPr>
            <w:r w:rsidRPr="00CD2478">
              <w:rPr>
                <w:color w:val="000000"/>
                <w:shd w:val="clear" w:color="auto" w:fill="FFFFFF"/>
              </w:rPr>
              <w:t>100</w:t>
            </w:r>
          </w:p>
        </w:tc>
        <w:tc>
          <w:tcPr>
            <w:tcW w:w="1671" w:type="dxa"/>
            <w:vAlign w:val="center"/>
            <w:hideMark/>
          </w:tcPr>
          <w:p w14:paraId="4E2E2B8E" w14:textId="77777777" w:rsidR="00CD2478" w:rsidRPr="00CD2478" w:rsidRDefault="00CD2478" w:rsidP="00015B16">
            <w:pPr>
              <w:jc w:val="both"/>
              <w:rPr>
                <w:color w:val="000000"/>
                <w:shd w:val="clear" w:color="auto" w:fill="FFFFFF"/>
              </w:rPr>
            </w:pPr>
            <w:r w:rsidRPr="00CD2478">
              <w:rPr>
                <w:color w:val="000000"/>
                <w:shd w:val="clear" w:color="auto" w:fill="FFFFFF"/>
              </w:rPr>
              <w:t>50</w:t>
            </w:r>
          </w:p>
        </w:tc>
        <w:tc>
          <w:tcPr>
            <w:tcW w:w="1529" w:type="dxa"/>
            <w:vAlign w:val="center"/>
            <w:hideMark/>
          </w:tcPr>
          <w:p w14:paraId="5C49D059" w14:textId="77777777" w:rsidR="00CD2478" w:rsidRPr="00CD2478" w:rsidRDefault="00CD2478" w:rsidP="00015B16">
            <w:pPr>
              <w:jc w:val="both"/>
              <w:rPr>
                <w:color w:val="000000"/>
                <w:shd w:val="clear" w:color="auto" w:fill="FFFFFF"/>
              </w:rPr>
            </w:pPr>
            <w:r w:rsidRPr="00CD2478">
              <w:rPr>
                <w:color w:val="000000"/>
                <w:shd w:val="clear" w:color="auto" w:fill="FFFFFF"/>
              </w:rPr>
              <w:t>50</w:t>
            </w:r>
          </w:p>
        </w:tc>
        <w:tc>
          <w:tcPr>
            <w:tcW w:w="1373" w:type="dxa"/>
            <w:vAlign w:val="center"/>
            <w:hideMark/>
          </w:tcPr>
          <w:p w14:paraId="16CAD2C2" w14:textId="77777777" w:rsidR="00CD2478" w:rsidRPr="00CD2478" w:rsidRDefault="00CD2478" w:rsidP="00015B16">
            <w:pPr>
              <w:jc w:val="both"/>
              <w:rPr>
                <w:color w:val="000000"/>
                <w:shd w:val="clear" w:color="auto" w:fill="FFFFFF"/>
              </w:rPr>
            </w:pPr>
            <w:r w:rsidRPr="00CD2478">
              <w:rPr>
                <w:color w:val="000000"/>
                <w:shd w:val="clear" w:color="auto" w:fill="FFFFFF"/>
              </w:rPr>
              <w:t> </w:t>
            </w:r>
          </w:p>
        </w:tc>
      </w:tr>
      <w:tr w:rsidR="00CD2478" w:rsidRPr="00CD2478" w14:paraId="2CFC3185" w14:textId="77777777" w:rsidTr="002C11F9">
        <w:trPr>
          <w:tblCellSpacing w:w="15" w:type="dxa"/>
        </w:trPr>
        <w:tc>
          <w:tcPr>
            <w:tcW w:w="1656" w:type="dxa"/>
            <w:vAlign w:val="center"/>
            <w:hideMark/>
          </w:tcPr>
          <w:p w14:paraId="7BF0804D" w14:textId="77777777" w:rsidR="00CD2478" w:rsidRPr="00CD2478" w:rsidRDefault="00CD2478" w:rsidP="00015B16">
            <w:pPr>
              <w:jc w:val="both"/>
              <w:rPr>
                <w:color w:val="000000"/>
                <w:shd w:val="clear" w:color="auto" w:fill="FFFFFF"/>
              </w:rPr>
            </w:pPr>
            <w:r w:rsidRPr="00CD2478">
              <w:rPr>
                <w:color w:val="000000"/>
                <w:shd w:val="clear" w:color="auto" w:fill="FFFFFF"/>
              </w:rPr>
              <w:t>Perimeter B</w:t>
            </w:r>
          </w:p>
        </w:tc>
        <w:tc>
          <w:tcPr>
            <w:tcW w:w="821" w:type="dxa"/>
            <w:vAlign w:val="center"/>
            <w:hideMark/>
          </w:tcPr>
          <w:p w14:paraId="54770ED2" w14:textId="77777777" w:rsidR="00CD2478" w:rsidRPr="00CD2478" w:rsidRDefault="00CD2478" w:rsidP="00015B16">
            <w:pPr>
              <w:jc w:val="both"/>
              <w:rPr>
                <w:color w:val="000000"/>
                <w:shd w:val="clear" w:color="auto" w:fill="FFFFFF"/>
              </w:rPr>
            </w:pPr>
            <w:r w:rsidRPr="00CD2478">
              <w:rPr>
                <w:color w:val="000000"/>
                <w:shd w:val="clear" w:color="auto" w:fill="FFFFFF"/>
              </w:rPr>
              <w:t>100</w:t>
            </w:r>
          </w:p>
        </w:tc>
        <w:tc>
          <w:tcPr>
            <w:tcW w:w="1671" w:type="dxa"/>
            <w:vAlign w:val="center"/>
            <w:hideMark/>
          </w:tcPr>
          <w:p w14:paraId="76806A13" w14:textId="77777777" w:rsidR="00CD2478" w:rsidRPr="00CD2478" w:rsidRDefault="00CD2478" w:rsidP="00015B16">
            <w:pPr>
              <w:jc w:val="both"/>
              <w:rPr>
                <w:color w:val="000000"/>
                <w:shd w:val="clear" w:color="auto" w:fill="FFFFFF"/>
              </w:rPr>
            </w:pPr>
            <w:r w:rsidRPr="00CD2478">
              <w:rPr>
                <w:color w:val="000000"/>
                <w:shd w:val="clear" w:color="auto" w:fill="FFFFFF"/>
              </w:rPr>
              <w:t>50</w:t>
            </w:r>
          </w:p>
        </w:tc>
        <w:tc>
          <w:tcPr>
            <w:tcW w:w="1529" w:type="dxa"/>
            <w:vAlign w:val="center"/>
            <w:hideMark/>
          </w:tcPr>
          <w:p w14:paraId="3772484C" w14:textId="77777777" w:rsidR="00CD2478" w:rsidRPr="00CD2478" w:rsidRDefault="00CD2478" w:rsidP="00015B16">
            <w:pPr>
              <w:jc w:val="both"/>
              <w:rPr>
                <w:color w:val="000000"/>
                <w:shd w:val="clear" w:color="auto" w:fill="FFFFFF"/>
              </w:rPr>
            </w:pPr>
            <w:r w:rsidRPr="00CD2478">
              <w:rPr>
                <w:color w:val="000000"/>
                <w:shd w:val="clear" w:color="auto" w:fill="FFFFFF"/>
              </w:rPr>
              <w:t>100</w:t>
            </w:r>
          </w:p>
        </w:tc>
        <w:tc>
          <w:tcPr>
            <w:tcW w:w="1373" w:type="dxa"/>
            <w:vAlign w:val="center"/>
            <w:hideMark/>
          </w:tcPr>
          <w:p w14:paraId="364C6CF1" w14:textId="77777777" w:rsidR="00CD2478" w:rsidRPr="00CD2478" w:rsidRDefault="00CD2478" w:rsidP="00015B16">
            <w:pPr>
              <w:jc w:val="both"/>
              <w:rPr>
                <w:color w:val="000000"/>
                <w:shd w:val="clear" w:color="auto" w:fill="FFFFFF"/>
              </w:rPr>
            </w:pPr>
            <w:r w:rsidRPr="00CD2478">
              <w:rPr>
                <w:color w:val="000000"/>
                <w:shd w:val="clear" w:color="auto" w:fill="FFFFFF"/>
              </w:rPr>
              <w:t>200%</w:t>
            </w:r>
          </w:p>
        </w:tc>
      </w:tr>
      <w:tr w:rsidR="00CD2478" w:rsidRPr="00CD2478" w14:paraId="582848E4" w14:textId="77777777" w:rsidTr="002C11F9">
        <w:trPr>
          <w:tblCellSpacing w:w="15" w:type="dxa"/>
        </w:trPr>
        <w:tc>
          <w:tcPr>
            <w:tcW w:w="1656" w:type="dxa"/>
            <w:vAlign w:val="center"/>
            <w:hideMark/>
          </w:tcPr>
          <w:p w14:paraId="6204783B" w14:textId="77777777" w:rsidR="00CD2478" w:rsidRPr="00CD2478" w:rsidRDefault="00CD2478" w:rsidP="00015B16">
            <w:pPr>
              <w:jc w:val="both"/>
              <w:rPr>
                <w:color w:val="000000"/>
                <w:shd w:val="clear" w:color="auto" w:fill="FFFFFF"/>
              </w:rPr>
            </w:pPr>
            <w:r w:rsidRPr="00CD2478">
              <w:rPr>
                <w:color w:val="000000"/>
                <w:shd w:val="clear" w:color="auto" w:fill="FFFFFF"/>
              </w:rPr>
              <w:t>Perimeter A+B</w:t>
            </w:r>
          </w:p>
        </w:tc>
        <w:tc>
          <w:tcPr>
            <w:tcW w:w="821" w:type="dxa"/>
            <w:vAlign w:val="center"/>
            <w:hideMark/>
          </w:tcPr>
          <w:p w14:paraId="6085631F" w14:textId="77777777" w:rsidR="00CD2478" w:rsidRPr="00CD2478" w:rsidRDefault="00CD2478" w:rsidP="00015B16">
            <w:pPr>
              <w:jc w:val="both"/>
              <w:rPr>
                <w:color w:val="000000"/>
                <w:shd w:val="clear" w:color="auto" w:fill="FFFFFF"/>
              </w:rPr>
            </w:pPr>
            <w:r w:rsidRPr="00CD2478">
              <w:rPr>
                <w:color w:val="000000"/>
                <w:shd w:val="clear" w:color="auto" w:fill="FFFFFF"/>
              </w:rPr>
              <w:t>200</w:t>
            </w:r>
          </w:p>
        </w:tc>
        <w:tc>
          <w:tcPr>
            <w:tcW w:w="1671" w:type="dxa"/>
            <w:vAlign w:val="center"/>
            <w:hideMark/>
          </w:tcPr>
          <w:p w14:paraId="7838877B" w14:textId="77777777" w:rsidR="00CD2478" w:rsidRPr="00CD2478" w:rsidRDefault="00CD2478" w:rsidP="00015B16">
            <w:pPr>
              <w:jc w:val="both"/>
              <w:rPr>
                <w:color w:val="000000"/>
                <w:shd w:val="clear" w:color="auto" w:fill="FFFFFF"/>
              </w:rPr>
            </w:pPr>
            <w:r w:rsidRPr="00CD2478">
              <w:rPr>
                <w:color w:val="000000"/>
                <w:shd w:val="clear" w:color="auto" w:fill="FFFFFF"/>
              </w:rPr>
              <w:t>100</w:t>
            </w:r>
          </w:p>
        </w:tc>
        <w:tc>
          <w:tcPr>
            <w:tcW w:w="1529" w:type="dxa"/>
            <w:vAlign w:val="center"/>
            <w:hideMark/>
          </w:tcPr>
          <w:p w14:paraId="2BB2771D" w14:textId="77777777" w:rsidR="00CD2478" w:rsidRPr="00CD2478" w:rsidRDefault="00CD2478" w:rsidP="00015B16">
            <w:pPr>
              <w:jc w:val="both"/>
              <w:rPr>
                <w:color w:val="000000"/>
                <w:shd w:val="clear" w:color="auto" w:fill="FFFFFF"/>
              </w:rPr>
            </w:pPr>
            <w:r w:rsidRPr="00CD2478">
              <w:rPr>
                <w:color w:val="000000"/>
                <w:shd w:val="clear" w:color="auto" w:fill="FFFFFF"/>
              </w:rPr>
              <w:t>150</w:t>
            </w:r>
          </w:p>
        </w:tc>
        <w:tc>
          <w:tcPr>
            <w:tcW w:w="1373" w:type="dxa"/>
            <w:vAlign w:val="center"/>
            <w:hideMark/>
          </w:tcPr>
          <w:p w14:paraId="78907012" w14:textId="77777777" w:rsidR="00CD2478" w:rsidRPr="00CD2478" w:rsidRDefault="00CD2478" w:rsidP="00015B16">
            <w:pPr>
              <w:jc w:val="both"/>
              <w:rPr>
                <w:color w:val="000000"/>
                <w:shd w:val="clear" w:color="auto" w:fill="FFFFFF"/>
              </w:rPr>
            </w:pPr>
            <w:r w:rsidRPr="00CD2478">
              <w:rPr>
                <w:color w:val="000000"/>
                <w:shd w:val="clear" w:color="auto" w:fill="FFFFFF"/>
              </w:rPr>
              <w:t> </w:t>
            </w:r>
          </w:p>
        </w:tc>
      </w:tr>
    </w:tbl>
    <w:p w14:paraId="1C813177" w14:textId="77777777" w:rsidR="00CD2478" w:rsidRPr="00CD2478" w:rsidRDefault="00CD2478" w:rsidP="00015B16">
      <w:pPr>
        <w:jc w:val="both"/>
        <w:rPr>
          <w:color w:val="000000"/>
          <w:shd w:val="clear" w:color="auto" w:fill="FFFFFF"/>
        </w:rPr>
      </w:pPr>
      <w:r w:rsidRPr="00CD2478">
        <w:rPr>
          <w:color w:val="000000"/>
          <w:shd w:val="clear" w:color="auto" w:fill="FFFFFF"/>
        </w:rPr>
        <w:t> </w:t>
      </w:r>
    </w:p>
    <w:p w14:paraId="516A5723" w14:textId="48FD5B42" w:rsidR="00CD2478" w:rsidRPr="00DF0072" w:rsidRDefault="00CD2478" w:rsidP="00015B16">
      <w:pPr>
        <w:spacing w:after="120" w:line="276" w:lineRule="auto"/>
        <w:jc w:val="both"/>
        <w:rPr>
          <w:color w:val="000000"/>
          <w:shd w:val="clear" w:color="auto" w:fill="FFFFFF"/>
        </w:rPr>
      </w:pPr>
      <w:r w:rsidRPr="00CD2478">
        <w:rPr>
          <w:color w:val="000000"/>
          <w:shd w:val="clear" w:color="auto" w:fill="FFFFFF"/>
        </w:rPr>
        <w:t xml:space="preserve">In Example 1, the model extended on perimeter B will lead to an important RWA reduction on the additional exposures (division by 10 of the RWA impact with </w:t>
      </w:r>
      <m:oMath>
        <m:sSubSup>
          <m:sSubSupPr>
            <m:ctrlPr>
              <w:rPr>
                <w:rFonts w:ascii="Cambria Math" w:hAnsi="Cambria Math"/>
                <w:color w:val="000000"/>
                <w:shd w:val="clear" w:color="auto" w:fill="FFFFFF"/>
              </w:rPr>
            </m:ctrlPr>
          </m:sSubSupPr>
          <m:e>
            <m:r>
              <m:rPr>
                <m:sty m:val="p"/>
              </m:rPr>
              <w:rPr>
                <w:rFonts w:ascii="Cambria Math" w:hAnsi="Cambria Math"/>
                <w:color w:val="000000"/>
                <w:shd w:val="clear" w:color="auto" w:fill="FFFFFF"/>
              </w:rPr>
              <m:t>RWEA</m:t>
            </m:r>
          </m:e>
          <m:sub>
            <m:r>
              <m:rPr>
                <m:sty m:val="p"/>
              </m:rPr>
              <w:rPr>
                <w:rFonts w:ascii="Cambria Math" w:hAnsi="Cambria Math"/>
                <w:color w:val="000000"/>
                <w:shd w:val="clear" w:color="auto" w:fill="FFFFFF"/>
              </w:rPr>
              <m:t>B</m:t>
            </m:r>
          </m:sub>
          <m:sup>
            <m:r>
              <m:rPr>
                <m:sty m:val="p"/>
              </m:rPr>
              <w:rPr>
                <w:rFonts w:ascii="Cambria Math" w:hAnsi="Cambria Math"/>
                <w:color w:val="000000"/>
                <w:shd w:val="clear" w:color="auto" w:fill="FFFFFF"/>
              </w:rPr>
              <m:t>after</m:t>
            </m:r>
          </m:sup>
        </m:sSubSup>
        <m:r>
          <m:rPr>
            <m:sty m:val="p"/>
          </m:rPr>
          <w:rPr>
            <w:rFonts w:ascii="Cambria Math" w:hAnsi="Cambria Math"/>
            <w:color w:val="000000"/>
            <w:shd w:val="clear" w:color="auto" w:fill="FFFFFF"/>
          </w:rPr>
          <m:t>=5</m:t>
        </m:r>
      </m:oMath>
      <w:r w:rsidRPr="00DF0072">
        <w:rPr>
          <w:color w:val="000000"/>
          <w:shd w:val="clear" w:color="auto" w:fill="FFFFFF"/>
        </w:rPr>
        <w:t xml:space="preserve">) and the new calculation results in a 10% ratio. In Example 2, the model extended on perimeter B will double the RWA impact on the additional exposures (100 after compared to 50 before) and the new calculation will result in a 200% ratio. The new calculation will imply that the scrutiny should be on the Example 2 case. However, the high reduction of RWA is observed for the Example 1 for which the model initially applied on A will lead to reduce significantly the RWA if it is applied on perimeter B. </w:t>
      </w:r>
    </w:p>
    <w:p w14:paraId="04A349DE" w14:textId="565DFA0C" w:rsidR="00CD2478" w:rsidRPr="00FF5F7F" w:rsidRDefault="00CD2478" w:rsidP="00015B16">
      <w:pPr>
        <w:spacing w:after="120" w:line="276" w:lineRule="auto"/>
        <w:jc w:val="both"/>
        <w:rPr>
          <w:color w:val="000000"/>
          <w:shd w:val="clear" w:color="auto" w:fill="FFFFFF"/>
        </w:rPr>
      </w:pPr>
      <w:r w:rsidRPr="00DF0072">
        <w:rPr>
          <w:color w:val="000000"/>
          <w:shd w:val="clear" w:color="auto" w:fill="FFFFFF"/>
        </w:rPr>
        <w:t>In addition, the new ratio will not be relevant in the case of both reduction and extension happening at the same time.</w:t>
      </w:r>
    </w:p>
    <w:p w14:paraId="1164DD4B" w14:textId="3575D0F7" w:rsidR="001F23DA" w:rsidRDefault="001F23DA" w:rsidP="003B01EB">
      <w:pPr>
        <w:pStyle w:val="BodyText"/>
        <w:spacing w:line="276" w:lineRule="auto"/>
        <w:rPr>
          <w:b/>
          <w:bCs/>
          <w:color w:val="000000"/>
          <w:shd w:val="clear" w:color="auto" w:fill="FFFFFF"/>
        </w:rPr>
      </w:pPr>
      <w:r w:rsidRPr="001F23DA">
        <w:rPr>
          <w:b/>
          <w:bCs/>
          <w:color w:val="000000"/>
          <w:shd w:val="clear" w:color="auto" w:fill="FFFFFF"/>
        </w:rPr>
        <w:t xml:space="preserve">Question 6. Do you have any </w:t>
      </w:r>
      <w:r w:rsidR="009456CA" w:rsidRPr="009456CA">
        <w:rPr>
          <w:b/>
          <w:bCs/>
          <w:color w:val="000000"/>
          <w:shd w:val="clear" w:color="auto" w:fill="FFFFFF"/>
        </w:rPr>
        <w:t>comments on the documentation requirement for extensions that require prior notification?</w:t>
      </w:r>
    </w:p>
    <w:p w14:paraId="624BB481" w14:textId="2DA723AB" w:rsidR="007060D3" w:rsidRPr="007060D3" w:rsidRDefault="0013132C" w:rsidP="003B01EB">
      <w:pPr>
        <w:pStyle w:val="BodyText"/>
        <w:spacing w:line="276" w:lineRule="auto"/>
        <w:rPr>
          <w:color w:val="000000"/>
          <w:shd w:val="clear" w:color="auto" w:fill="FFFFFF"/>
        </w:rPr>
      </w:pPr>
      <w:r w:rsidRPr="001D2690">
        <w:rPr>
          <w:color w:val="000000"/>
          <w:shd w:val="clear" w:color="auto" w:fill="FFFFFF"/>
        </w:rPr>
        <w:t>The new RTS specif</w:t>
      </w:r>
      <w:r w:rsidR="00F715F3" w:rsidRPr="001D2690">
        <w:rPr>
          <w:color w:val="000000"/>
          <w:shd w:val="clear" w:color="auto" w:fill="FFFFFF"/>
        </w:rPr>
        <w:t>ies</w:t>
      </w:r>
      <w:r w:rsidRPr="001D2690">
        <w:rPr>
          <w:color w:val="000000"/>
          <w:shd w:val="clear" w:color="auto" w:fill="FFFFFF"/>
        </w:rPr>
        <w:t xml:space="preserve"> that a phased change should be treated as a single change for the purposes of its impacts. </w:t>
      </w:r>
      <w:r>
        <w:t>However, if readiness to implement is required for the entirety of the change, the change could only be requested once everything has been completed, effectively eliminating any opportunity for phasing.</w:t>
      </w:r>
      <w:r w:rsidR="001B0743">
        <w:t xml:space="preserve"> </w:t>
      </w:r>
      <w:r w:rsidR="001D2690">
        <w:t>I</w:t>
      </w:r>
      <w:r w:rsidR="001D2690" w:rsidRPr="00845814">
        <w:t>n cases where changes need to be phased, the implementation date required will be covered by an implementation plan and the readiness to implement should be considered according to the implementation plan submitted as part of the documentation</w:t>
      </w:r>
      <w:r w:rsidR="00DE09FB" w:rsidRPr="00791FF3">
        <w:t>.</w:t>
      </w:r>
      <w:r>
        <w:t>).</w:t>
      </w:r>
      <w:r w:rsidR="009F219C">
        <w:rPr>
          <w:color w:val="000000"/>
          <w:shd w:val="clear" w:color="auto" w:fill="FFFFFF"/>
        </w:rPr>
        <w:t>Furthermore, c</w:t>
      </w:r>
      <w:r w:rsidR="007060D3" w:rsidRPr="007060D3">
        <w:rPr>
          <w:color w:val="000000"/>
          <w:shd w:val="clear" w:color="auto" w:fill="FFFFFF"/>
        </w:rPr>
        <w:t>onsultation Box 6 states: “</w:t>
      </w:r>
      <w:r w:rsidR="007060D3" w:rsidRPr="007060D3">
        <w:rPr>
          <w:i/>
          <w:iCs/>
          <w:color w:val="000000"/>
          <w:shd w:val="clear" w:color="auto" w:fill="FFFFFF"/>
          <w:lang w:val="en-US"/>
        </w:rPr>
        <w:t xml:space="preserve">It was considered that validation processes of institutions may be hampered if they are required to provide, for extensions that require prior notification, also the technical documentation and the assessment report of the validation function. In particular, this implies that an institution either has to wait for the periodical validation process before submitting the extension </w:t>
      </w:r>
      <w:r w:rsidR="00015B16" w:rsidRPr="007060D3">
        <w:rPr>
          <w:i/>
          <w:iCs/>
          <w:color w:val="000000"/>
          <w:shd w:val="clear" w:color="auto" w:fill="FFFFFF"/>
          <w:lang w:val="en-US"/>
        </w:rPr>
        <w:t>notification or</w:t>
      </w:r>
      <w:r w:rsidR="007060D3" w:rsidRPr="007060D3">
        <w:rPr>
          <w:i/>
          <w:iCs/>
          <w:color w:val="000000"/>
          <w:shd w:val="clear" w:color="auto" w:fill="FFFFFF"/>
          <w:lang w:val="en-US"/>
        </w:rPr>
        <w:t xml:space="preserve"> perform an ad-hoc assessment by the validation function in order to submit the extension for prior notification.</w:t>
      </w:r>
      <w:r w:rsidR="007060D3" w:rsidRPr="007060D3">
        <w:rPr>
          <w:color w:val="000000"/>
          <w:shd w:val="clear" w:color="auto" w:fill="FFFFFF"/>
        </w:rPr>
        <w:t>” We confirm that the validation process would be hampered by the proposed request on non-material extensions:</w:t>
      </w:r>
    </w:p>
    <w:p w14:paraId="0D5893E8" w14:textId="4F6B8444" w:rsidR="007060D3" w:rsidRPr="007060D3" w:rsidRDefault="007060D3" w:rsidP="003B01EB">
      <w:pPr>
        <w:pStyle w:val="BodyText"/>
        <w:numPr>
          <w:ilvl w:val="0"/>
          <w:numId w:val="6"/>
        </w:numPr>
        <w:spacing w:line="276" w:lineRule="auto"/>
        <w:rPr>
          <w:color w:val="000000"/>
          <w:shd w:val="clear" w:color="auto" w:fill="FFFFFF"/>
          <w:lang w:val="en-US"/>
        </w:rPr>
      </w:pPr>
      <w:r w:rsidRPr="007060D3">
        <w:rPr>
          <w:color w:val="000000"/>
          <w:shd w:val="clear" w:color="auto" w:fill="FFFFFF"/>
        </w:rPr>
        <w:t>The periodical validation process is executed according to the rules defined on the ECB Supplementary Validation Reporting</w:t>
      </w:r>
      <w:r w:rsidR="00F40F29">
        <w:rPr>
          <w:color w:val="000000"/>
          <w:shd w:val="clear" w:color="auto" w:fill="FFFFFF"/>
        </w:rPr>
        <w:t>,</w:t>
      </w:r>
      <w:r w:rsidRPr="007060D3">
        <w:rPr>
          <w:color w:val="000000"/>
          <w:shd w:val="clear" w:color="auto" w:fill="FFFFFF"/>
        </w:rPr>
        <w:t xml:space="preserve"> </w:t>
      </w:r>
      <w:r w:rsidR="003B3330">
        <w:rPr>
          <w:color w:val="000000"/>
          <w:shd w:val="clear" w:color="auto" w:fill="FFFFFF"/>
        </w:rPr>
        <w:t>requires</w:t>
      </w:r>
      <w:r w:rsidRPr="007060D3">
        <w:rPr>
          <w:color w:val="000000"/>
          <w:shd w:val="clear" w:color="auto" w:fill="FFFFFF"/>
        </w:rPr>
        <w:t xml:space="preserve"> the annual validation process assesses a model version in production (not proposed, under assessment by the JST) and, in</w:t>
      </w:r>
      <w:r w:rsidR="00F40F29">
        <w:rPr>
          <w:color w:val="000000"/>
          <w:shd w:val="clear" w:color="auto" w:fill="FFFFFF"/>
        </w:rPr>
        <w:t xml:space="preserve"> the</w:t>
      </w:r>
      <w:r w:rsidRPr="007060D3">
        <w:rPr>
          <w:color w:val="000000"/>
          <w:shd w:val="clear" w:color="auto" w:fill="FFFFFF"/>
        </w:rPr>
        <w:t xml:space="preserve"> case of PD,</w:t>
      </w:r>
      <w:r w:rsidR="003B3330">
        <w:rPr>
          <w:color w:val="000000"/>
          <w:shd w:val="clear" w:color="auto" w:fill="FFFFFF"/>
        </w:rPr>
        <w:t xml:space="preserve"> requires</w:t>
      </w:r>
      <w:r w:rsidRPr="007060D3">
        <w:rPr>
          <w:color w:val="000000"/>
          <w:shd w:val="clear" w:color="auto" w:fill="FFFFFF"/>
        </w:rPr>
        <w:t xml:space="preserve"> to perform the tests on </w:t>
      </w:r>
      <w:r w:rsidRPr="007060D3">
        <w:rPr>
          <w:color w:val="000000"/>
          <w:shd w:val="clear" w:color="auto" w:fill="FFFFFF"/>
        </w:rPr>
        <w:lastRenderedPageBreak/>
        <w:t>the model version in production at the beginning of the observation period (e.g. for the 2025 ongoing validation with observation period 31-12-23 to 31-12-24, the model version in production at 31-12-23 shall be considered). This means that the former proposal “</w:t>
      </w:r>
      <w:r w:rsidRPr="007060D3">
        <w:rPr>
          <w:i/>
          <w:iCs/>
          <w:color w:val="000000"/>
          <w:shd w:val="clear" w:color="auto" w:fill="FFFFFF"/>
          <w:lang w:val="en-US"/>
        </w:rPr>
        <w:t>wait for the periodical validation process before submitting the extension notification</w:t>
      </w:r>
      <w:r w:rsidRPr="007060D3">
        <w:rPr>
          <w:color w:val="000000"/>
          <w:shd w:val="clear" w:color="auto" w:fill="FFFFFF"/>
          <w:lang w:val="en-US"/>
        </w:rPr>
        <w:t>” is not applicable.</w:t>
      </w:r>
    </w:p>
    <w:p w14:paraId="7A749071" w14:textId="77777777" w:rsidR="003C16B3" w:rsidRDefault="007060D3" w:rsidP="003B01EB">
      <w:pPr>
        <w:pStyle w:val="BodyText"/>
        <w:numPr>
          <w:ilvl w:val="0"/>
          <w:numId w:val="6"/>
        </w:numPr>
        <w:spacing w:line="276" w:lineRule="auto"/>
        <w:rPr>
          <w:color w:val="000000"/>
          <w:shd w:val="clear" w:color="auto" w:fill="FFFFFF"/>
          <w:lang w:val="en-US"/>
        </w:rPr>
      </w:pPr>
      <w:r w:rsidRPr="007060D3">
        <w:rPr>
          <w:color w:val="000000"/>
          <w:shd w:val="clear" w:color="auto" w:fill="FFFFFF"/>
          <w:lang w:val="en-US"/>
        </w:rPr>
        <w:t>An ad hoc assessment may be the only option. Nonetheless, we would like to point out that, starting from 2024, a validation assessment is also to be included for a non-material change, when it is aimed at addressing Regulatory Findings (“a Supervised Entity may not consider that a remediation action has been fulfilled for a Regulatory Finding unless the Internal Validation Function or Internal Audit Function has confirmed that fulfilment”). For the same reasoning above on the impossibility to leverage on the periodical validation process, this request is a further additional ad-hoc activity that will hamper the validation process.</w:t>
      </w:r>
    </w:p>
    <w:p w14:paraId="46B23373" w14:textId="29A6AE2C" w:rsidR="004B59C6" w:rsidRPr="003C16B3" w:rsidRDefault="004B59C6" w:rsidP="003B01EB">
      <w:pPr>
        <w:pStyle w:val="BodyText"/>
        <w:spacing w:line="276" w:lineRule="auto"/>
        <w:rPr>
          <w:color w:val="000000"/>
          <w:shd w:val="clear" w:color="auto" w:fill="FFFFFF"/>
          <w:lang w:val="en-US"/>
        </w:rPr>
      </w:pPr>
      <w:r w:rsidRPr="003C16B3">
        <w:rPr>
          <w:color w:val="000000"/>
          <w:lang w:val="en-US"/>
        </w:rPr>
        <w:t>We also understand that the fact of requiring a report for perimeter extensions classified as non-material at the time those changes are approved</w:t>
      </w:r>
      <w:r w:rsidR="008B05BC" w:rsidRPr="003C16B3">
        <w:rPr>
          <w:color w:val="000000"/>
          <w:lang w:val="en-US"/>
        </w:rPr>
        <w:t xml:space="preserve"> will create</w:t>
      </w:r>
      <w:r w:rsidRPr="003C16B3">
        <w:rPr>
          <w:color w:val="000000"/>
          <w:lang w:val="en-US"/>
        </w:rPr>
        <w:t xml:space="preserve"> a burdensome obligation that is beyond the expectations of the EBA handbook, that in paragraph 96.c clearly states that “for non-material changes to a rating system the review of the changes could be performed during the regular (yearly) validation activities, and the result of the validation function’s assessment would be communicated to the CA via the usual validation report”. This paragraph 96.c provides room for synergies, avoiding duplication of efforts (like writing of two reports or launching of the same test on to different reference dates) and giving more flexibility on the executions of IV annual plans. We therefore consider this requirement </w:t>
      </w:r>
      <w:r w:rsidR="0006643C" w:rsidRPr="003C16B3">
        <w:rPr>
          <w:color w:val="000000"/>
          <w:lang w:val="en-US"/>
        </w:rPr>
        <w:t>disproportionate,</w:t>
      </w:r>
      <w:r w:rsidRPr="003C16B3">
        <w:rPr>
          <w:color w:val="000000"/>
          <w:lang w:val="en-US"/>
        </w:rPr>
        <w:t xml:space="preserve"> and we are concerned about the impact it entail</w:t>
      </w:r>
      <w:r w:rsidR="00617308" w:rsidRPr="003C16B3">
        <w:rPr>
          <w:color w:val="000000"/>
          <w:lang w:val="en-US"/>
        </w:rPr>
        <w:t>s</w:t>
      </w:r>
      <w:r w:rsidRPr="003C16B3">
        <w:rPr>
          <w:color w:val="000000"/>
          <w:lang w:val="en-US"/>
        </w:rPr>
        <w:t xml:space="preserve"> in terms of effort and its alignment with Internal Validation’s annual plans, which are already under significant strain.</w:t>
      </w:r>
      <w:r w:rsidRPr="003C16B3">
        <w:rPr>
          <w:color w:val="000000"/>
          <w:shd w:val="clear" w:color="auto" w:fill="FFFFFF"/>
          <w:lang w:val="en-US"/>
        </w:rPr>
        <w:t xml:space="preserve"> </w:t>
      </w:r>
    </w:p>
    <w:p w14:paraId="3432869F" w14:textId="7422AB0F" w:rsidR="007060D3" w:rsidRDefault="007060D3" w:rsidP="003B01EB">
      <w:pPr>
        <w:pStyle w:val="BodyText"/>
        <w:spacing w:line="276" w:lineRule="auto"/>
        <w:rPr>
          <w:color w:val="000000"/>
          <w:shd w:val="clear" w:color="auto" w:fill="FFFFFF"/>
          <w:lang w:val="en-US"/>
        </w:rPr>
      </w:pPr>
      <w:r w:rsidRPr="007060D3">
        <w:rPr>
          <w:color w:val="000000"/>
          <w:shd w:val="clear" w:color="auto" w:fill="FFFFFF"/>
          <w:lang w:val="en-US"/>
        </w:rPr>
        <w:t xml:space="preserve">For this reason, </w:t>
      </w:r>
      <w:proofErr w:type="gramStart"/>
      <w:r w:rsidR="00A708AB">
        <w:rPr>
          <w:color w:val="000000"/>
          <w:shd w:val="clear" w:color="auto" w:fill="FFFFFF"/>
          <w:lang w:val="en-US"/>
        </w:rPr>
        <w:t>it’s</w:t>
      </w:r>
      <w:proofErr w:type="gramEnd"/>
      <w:r w:rsidR="00A708AB">
        <w:rPr>
          <w:color w:val="000000"/>
          <w:shd w:val="clear" w:color="auto" w:fill="FFFFFF"/>
          <w:lang w:val="en-US"/>
        </w:rPr>
        <w:t xml:space="preserve"> worth </w:t>
      </w:r>
      <w:r w:rsidRPr="007060D3">
        <w:rPr>
          <w:color w:val="000000"/>
          <w:shd w:val="clear" w:color="auto" w:fill="FFFFFF"/>
          <w:lang w:val="en-US"/>
        </w:rPr>
        <w:t>identif</w:t>
      </w:r>
      <w:r w:rsidR="00AA01F6">
        <w:rPr>
          <w:color w:val="000000"/>
          <w:shd w:val="clear" w:color="auto" w:fill="FFFFFF"/>
          <w:lang w:val="en-US"/>
        </w:rPr>
        <w:t>y</w:t>
      </w:r>
      <w:r w:rsidR="00A708AB">
        <w:rPr>
          <w:color w:val="000000"/>
          <w:shd w:val="clear" w:color="auto" w:fill="FFFFFF"/>
          <w:lang w:val="en-US"/>
        </w:rPr>
        <w:t>ing</w:t>
      </w:r>
      <w:r w:rsidRPr="007060D3">
        <w:rPr>
          <w:color w:val="000000"/>
          <w:shd w:val="clear" w:color="auto" w:fill="FFFFFF"/>
          <w:lang w:val="en-US"/>
        </w:rPr>
        <w:t xml:space="preserve"> a set of tests to meet the EBA expectation on the topic, e.g. the validation deliverable in case of non-material extensions could cope with representativeness, rank ordering, stability (in case leveraging on and verifying what executed by Modelling for classification purposes)</w:t>
      </w:r>
      <w:r w:rsidR="00E326A3">
        <w:rPr>
          <w:color w:val="000000"/>
          <w:shd w:val="clear" w:color="auto" w:fill="FFFFFF"/>
          <w:lang w:val="en-US"/>
        </w:rPr>
        <w:t>.</w:t>
      </w:r>
    </w:p>
    <w:p w14:paraId="7DF4DBAF" w14:textId="7FEA6135" w:rsidR="00991888" w:rsidRPr="00491D84" w:rsidRDefault="00991888" w:rsidP="003B01EB">
      <w:pPr>
        <w:spacing w:after="120" w:line="276" w:lineRule="auto"/>
        <w:jc w:val="both"/>
        <w:rPr>
          <w:color w:val="000000"/>
          <w:shd w:val="clear" w:color="auto" w:fill="FFFFFF"/>
          <w:lang w:val="en-US"/>
        </w:rPr>
      </w:pPr>
      <w:r w:rsidRPr="00991888">
        <w:rPr>
          <w:color w:val="000000"/>
          <w:shd w:val="clear" w:color="auto" w:fill="FFFFFF"/>
          <w:lang w:val="en-US"/>
        </w:rPr>
        <w:t xml:space="preserve">Regarding documentation listed in Article 8(1) of this RTS, the assessment report </w:t>
      </w:r>
      <w:proofErr w:type="gramStart"/>
      <w:r w:rsidRPr="00991888">
        <w:rPr>
          <w:color w:val="000000"/>
          <w:shd w:val="clear" w:color="auto" w:fill="FFFFFF"/>
          <w:lang w:val="en-US"/>
        </w:rPr>
        <w:t>is understood</w:t>
      </w:r>
      <w:proofErr w:type="gramEnd"/>
      <w:r w:rsidRPr="00991888">
        <w:rPr>
          <w:color w:val="000000"/>
          <w:shd w:val="clear" w:color="auto" w:fill="FFFFFF"/>
          <w:lang w:val="en-US"/>
        </w:rPr>
        <w:t xml:space="preserve"> as a review of the model change classification (representativeness) is not a full review report of the model of the independent review team. Moreover, we also understand from the EBA that in this context “model performance” </w:t>
      </w:r>
      <w:proofErr w:type="gramStart"/>
      <w:r w:rsidRPr="00991888">
        <w:rPr>
          <w:color w:val="000000"/>
          <w:shd w:val="clear" w:color="auto" w:fill="FFFFFF"/>
          <w:lang w:val="en-US"/>
        </w:rPr>
        <w:t>is not understood</w:t>
      </w:r>
      <w:proofErr w:type="gramEnd"/>
      <w:r w:rsidRPr="00991888">
        <w:rPr>
          <w:color w:val="000000"/>
          <w:shd w:val="clear" w:color="auto" w:fill="FFFFFF"/>
          <w:lang w:val="en-US"/>
        </w:rPr>
        <w:t xml:space="preserve"> as an anticipated backtesting exercise, therefore it is not required from institutions to submit results of a first backtesting exerci</w:t>
      </w:r>
      <w:r w:rsidR="00CA2868">
        <w:rPr>
          <w:color w:val="000000"/>
          <w:shd w:val="clear" w:color="auto" w:fill="FFFFFF"/>
          <w:lang w:val="en-US"/>
        </w:rPr>
        <w:t>s</w:t>
      </w:r>
      <w:r w:rsidRPr="00991888">
        <w:rPr>
          <w:color w:val="000000"/>
          <w:shd w:val="clear" w:color="auto" w:fill="FFFFFF"/>
          <w:lang w:val="en-US"/>
        </w:rPr>
        <w:t xml:space="preserve">e when filing for extensions (first backtesting exercise is made after implementation of the models). We think that such stance will </w:t>
      </w:r>
      <w:proofErr w:type="gramStart"/>
      <w:r w:rsidRPr="00991888">
        <w:rPr>
          <w:color w:val="000000"/>
          <w:shd w:val="clear" w:color="auto" w:fill="FFFFFF"/>
          <w:lang w:val="en-US"/>
        </w:rPr>
        <w:t>be better understood</w:t>
      </w:r>
      <w:proofErr w:type="gramEnd"/>
      <w:r w:rsidRPr="00991888">
        <w:rPr>
          <w:color w:val="000000"/>
          <w:shd w:val="clear" w:color="auto" w:fill="FFFFFF"/>
          <w:lang w:val="en-US"/>
        </w:rPr>
        <w:t xml:space="preserve"> by supervisors if it is clearly mentioned in the RTS.</w:t>
      </w:r>
    </w:p>
    <w:p w14:paraId="775E35B6" w14:textId="79037032" w:rsidR="00C9009B" w:rsidRPr="009C1633" w:rsidRDefault="00C9009B" w:rsidP="00C9009B">
      <w:pPr>
        <w:pStyle w:val="NormalWeb"/>
        <w:shd w:val="clear" w:color="auto" w:fill="FFFFFF" w:themeFill="background1"/>
        <w:spacing w:before="300" w:beforeAutospacing="0" w:after="0" w:afterAutospacing="0" w:line="276" w:lineRule="auto"/>
        <w:jc w:val="both"/>
        <w:textAlignment w:val="baseline"/>
        <w:rPr>
          <w:rFonts w:asciiTheme="minorHAnsi" w:hAnsiTheme="minorHAnsi"/>
          <w:b/>
          <w:bCs/>
          <w:color w:val="191919"/>
          <w:sz w:val="22"/>
          <w:szCs w:val="22"/>
          <w:u w:val="single"/>
          <w:shd w:val="clear" w:color="auto" w:fill="FFFFFF"/>
        </w:rPr>
      </w:pPr>
      <w:r w:rsidRPr="009C1633">
        <w:rPr>
          <w:rFonts w:asciiTheme="minorHAnsi" w:hAnsiTheme="minorHAnsi"/>
          <w:b/>
          <w:bCs/>
          <w:color w:val="191919"/>
          <w:sz w:val="22"/>
          <w:szCs w:val="22"/>
          <w:u w:val="single"/>
          <w:shd w:val="clear" w:color="auto" w:fill="FFFFFF"/>
        </w:rPr>
        <w:t>Contact:</w:t>
      </w:r>
    </w:p>
    <w:p w14:paraId="743F7722" w14:textId="77777777" w:rsidR="00C9009B" w:rsidRPr="009C1633" w:rsidRDefault="00C9009B" w:rsidP="00C9009B">
      <w:pPr>
        <w:pStyle w:val="NormalWeb"/>
        <w:shd w:val="clear" w:color="auto" w:fill="FFFFFF" w:themeFill="background1"/>
        <w:spacing w:before="300" w:beforeAutospacing="0" w:after="0" w:afterAutospacing="0" w:line="276" w:lineRule="auto"/>
        <w:jc w:val="both"/>
        <w:textAlignment w:val="baseline"/>
        <w:rPr>
          <w:rFonts w:asciiTheme="minorHAnsi" w:hAnsiTheme="minorHAnsi"/>
          <w:b/>
          <w:bCs/>
          <w:color w:val="191919"/>
          <w:sz w:val="22"/>
          <w:szCs w:val="22"/>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C9009B" w14:paraId="5B7A23BF" w14:textId="77777777" w:rsidTr="00003D73">
        <w:tc>
          <w:tcPr>
            <w:tcW w:w="5097" w:type="dxa"/>
          </w:tcPr>
          <w:p w14:paraId="41CA4278" w14:textId="77777777" w:rsidR="00C9009B" w:rsidRPr="00E47997" w:rsidRDefault="00C9009B" w:rsidP="00003D73">
            <w:pPr>
              <w:autoSpaceDE w:val="0"/>
              <w:autoSpaceDN w:val="0"/>
              <w:adjustRightInd w:val="0"/>
              <w:rPr>
                <w:rFonts w:cs="Arial"/>
                <w:b/>
                <w:bCs/>
                <w:color w:val="000000"/>
              </w:rPr>
            </w:pPr>
            <w:r>
              <w:rPr>
                <w:rFonts w:cs="Arial"/>
                <w:b/>
                <w:bCs/>
                <w:color w:val="000000"/>
              </w:rPr>
              <w:t>Constance Usherwood</w:t>
            </w:r>
          </w:p>
          <w:p w14:paraId="0764DDD3" w14:textId="77777777" w:rsidR="00C9009B" w:rsidRPr="00E47997" w:rsidRDefault="00C9009B" w:rsidP="00003D73">
            <w:pPr>
              <w:autoSpaceDE w:val="0"/>
              <w:autoSpaceDN w:val="0"/>
              <w:adjustRightInd w:val="0"/>
              <w:rPr>
                <w:rFonts w:cs="Arial"/>
                <w:color w:val="000000"/>
              </w:rPr>
            </w:pPr>
            <w:r w:rsidRPr="00E47997">
              <w:rPr>
                <w:rFonts w:cs="Arial"/>
                <w:color w:val="000000"/>
              </w:rPr>
              <w:t>Director, Prudential Regulation</w:t>
            </w:r>
          </w:p>
          <w:p w14:paraId="439E8E2A" w14:textId="77777777" w:rsidR="00C9009B" w:rsidRPr="0045301D" w:rsidRDefault="00C9009B" w:rsidP="00003D73">
            <w:pPr>
              <w:autoSpaceDE w:val="0"/>
              <w:autoSpaceDN w:val="0"/>
              <w:adjustRightInd w:val="0"/>
              <w:rPr>
                <w:color w:val="78A22F" w:themeColor="accent1"/>
              </w:rPr>
            </w:pPr>
            <w:hyperlink r:id="rId11" w:history="1">
              <w:r w:rsidRPr="0045301D">
                <w:rPr>
                  <w:color w:val="78A22F" w:themeColor="accent1"/>
                </w:rPr>
                <w:t>constance.usherwood@afme.eu</w:t>
              </w:r>
            </w:hyperlink>
          </w:p>
          <w:p w14:paraId="34C0C909" w14:textId="77777777" w:rsidR="00C9009B" w:rsidRPr="0045301D" w:rsidRDefault="00C9009B" w:rsidP="00003D73">
            <w:pPr>
              <w:autoSpaceDE w:val="0"/>
              <w:autoSpaceDN w:val="0"/>
              <w:adjustRightInd w:val="0"/>
              <w:rPr>
                <w:color w:val="808285" w:themeColor="accent5"/>
              </w:rPr>
            </w:pPr>
            <w:r w:rsidRPr="00E47997">
              <w:rPr>
                <w:rFonts w:cs="Arial"/>
                <w:color w:val="000000"/>
              </w:rPr>
              <w:t xml:space="preserve">+44 20 3828 </w:t>
            </w:r>
            <w:r>
              <w:rPr>
                <w:rFonts w:cs="Arial"/>
                <w:color w:val="000000"/>
              </w:rPr>
              <w:t>2719</w:t>
            </w:r>
          </w:p>
        </w:tc>
      </w:tr>
    </w:tbl>
    <w:p w14:paraId="7D31B79E" w14:textId="77777777" w:rsidR="00C9009B" w:rsidRDefault="00C9009B" w:rsidP="00214AF9">
      <w:pPr>
        <w:pStyle w:val="BodyText"/>
        <w:spacing w:line="276" w:lineRule="auto"/>
        <w:rPr>
          <w:b/>
          <w:bCs/>
          <w:u w:val="single"/>
          <w:shd w:val="clear" w:color="auto" w:fill="FFFFFF"/>
        </w:rPr>
      </w:pPr>
    </w:p>
    <w:p w14:paraId="7DBFB051" w14:textId="3E01CAE9" w:rsidR="00400382" w:rsidRPr="00C61DF7" w:rsidRDefault="00400382" w:rsidP="00400382">
      <w:pPr>
        <w:pStyle w:val="BodyText"/>
        <w:spacing w:line="276" w:lineRule="auto"/>
        <w:rPr>
          <w:b/>
          <w:bCs/>
          <w:u w:val="single"/>
          <w:shd w:val="clear" w:color="auto" w:fill="FFFFFF"/>
        </w:rPr>
      </w:pPr>
    </w:p>
    <w:sectPr w:rsidR="00400382" w:rsidRPr="00C61DF7" w:rsidSect="003C0F20">
      <w:footerReference w:type="default" r:id="rId12"/>
      <w:headerReference w:type="first" r:id="rId13"/>
      <w:footerReference w:type="first" r:id="rId14"/>
      <w:pgSz w:w="11906" w:h="16838" w:code="9"/>
      <w:pgMar w:top="1701" w:right="851" w:bottom="1418"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437C1" w14:textId="77777777" w:rsidR="001645A4" w:rsidRDefault="001645A4" w:rsidP="00C42475">
      <w:pPr>
        <w:spacing w:line="240" w:lineRule="auto"/>
      </w:pPr>
      <w:r>
        <w:separator/>
      </w:r>
    </w:p>
  </w:endnote>
  <w:endnote w:type="continuationSeparator" w:id="0">
    <w:p w14:paraId="0641764A" w14:textId="77777777" w:rsidR="001645A4" w:rsidRDefault="001645A4" w:rsidP="00C42475">
      <w:pPr>
        <w:spacing w:line="240" w:lineRule="auto"/>
      </w:pPr>
      <w:r>
        <w:continuationSeparator/>
      </w:r>
    </w:p>
  </w:endnote>
  <w:endnote w:type="continuationNotice" w:id="1">
    <w:p w14:paraId="423BC339" w14:textId="77777777" w:rsidR="001645A4" w:rsidRDefault="001645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Credi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9D16" w14:textId="77777777" w:rsidR="00607592" w:rsidRPr="00B00C55" w:rsidRDefault="00607592" w:rsidP="007B1E9D">
    <w:pPr>
      <w:pStyle w:val="AFMEPagenumber"/>
      <w:rPr>
        <w:noProof/>
      </w:rPr>
    </w:pPr>
    <w:r w:rsidRPr="00D73F02">
      <w:rPr>
        <w:noProof/>
        <w:lang w:val="fr-FR" w:eastAsia="fr-FR"/>
      </w:rPr>
      <w:drawing>
        <wp:anchor distT="0" distB="0" distL="114300" distR="114300" simplePos="0" relativeHeight="251658241" behindDoc="0" locked="0" layoutInCell="1" allowOverlap="1" wp14:anchorId="50CAF7E1" wp14:editId="15944503">
          <wp:simplePos x="0" y="0"/>
          <wp:positionH relativeFrom="page">
            <wp:posOffset>6732905</wp:posOffset>
          </wp:positionH>
          <wp:positionV relativeFrom="page">
            <wp:posOffset>10009505</wp:posOffset>
          </wp:positionV>
          <wp:extent cx="101880" cy="14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ME_rgb_sl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80" cy="1440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3517AA7F">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67988"/>
      <w:docPartObj>
        <w:docPartGallery w:val="Page Numbers (Bottom of Page)"/>
        <w:docPartUnique/>
      </w:docPartObj>
    </w:sdtPr>
    <w:sdtEndPr>
      <w:rPr>
        <w:noProof/>
      </w:rPr>
    </w:sdtEndPr>
    <w:sdtContent>
      <w:p w14:paraId="225E3E36" w14:textId="5C3F57F7" w:rsidR="0027238A" w:rsidRDefault="002723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A4DCC" w14:textId="77777777" w:rsidR="005A1538" w:rsidRDefault="005A1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941E8" w14:textId="77777777" w:rsidR="001645A4" w:rsidRPr="00FB1672" w:rsidRDefault="001645A4" w:rsidP="00C42475">
      <w:pPr>
        <w:spacing w:line="240" w:lineRule="auto"/>
        <w:rPr>
          <w:color w:val="78A22F" w:themeColor="accent1"/>
        </w:rPr>
      </w:pPr>
      <w:r w:rsidRPr="00FB1672">
        <w:rPr>
          <w:color w:val="78A22F" w:themeColor="accent1"/>
        </w:rPr>
        <w:separator/>
      </w:r>
    </w:p>
  </w:footnote>
  <w:footnote w:type="continuationSeparator" w:id="0">
    <w:p w14:paraId="20825901" w14:textId="77777777" w:rsidR="001645A4" w:rsidRDefault="001645A4" w:rsidP="00C42475">
      <w:pPr>
        <w:spacing w:line="240" w:lineRule="auto"/>
      </w:pPr>
      <w:r>
        <w:continuationSeparator/>
      </w:r>
    </w:p>
  </w:footnote>
  <w:footnote w:type="continuationNotice" w:id="1">
    <w:p w14:paraId="018AAF3A" w14:textId="77777777" w:rsidR="001645A4" w:rsidRDefault="001645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314BC" w14:textId="77777777" w:rsidR="00607592" w:rsidRDefault="00607592" w:rsidP="00B00C55">
    <w:pPr>
      <w:pStyle w:val="AFMEFullName"/>
    </w:pPr>
    <w:r>
      <w:rPr>
        <w:lang w:val="fr-FR" w:eastAsia="fr-FR"/>
      </w:rPr>
      <w:drawing>
        <wp:anchor distT="0" distB="0" distL="114300" distR="114300" simplePos="0" relativeHeight="251658240" behindDoc="0" locked="0" layoutInCell="1" allowOverlap="1" wp14:anchorId="7428487F" wp14:editId="48722A1F">
          <wp:simplePos x="0" y="0"/>
          <wp:positionH relativeFrom="margin">
            <wp:posOffset>-635</wp:posOffset>
          </wp:positionH>
          <wp:positionV relativeFrom="page">
            <wp:posOffset>546100</wp:posOffset>
          </wp:positionV>
          <wp:extent cx="1439545" cy="563245"/>
          <wp:effectExtent l="0" t="0" r="825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563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3517AA7F" w:rsidRPr="00BA7875">
      <w:t>Association for Financial Markets in Europe</w:t>
    </w:r>
  </w:p>
  <w:p w14:paraId="056F328A" w14:textId="77777777" w:rsidR="00607592" w:rsidRDefault="00607592" w:rsidP="00B00C55">
    <w:pPr>
      <w:pStyle w:val="AFMEFull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A59"/>
    <w:multiLevelType w:val="hybridMultilevel"/>
    <w:tmpl w:val="67C68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4326CF"/>
    <w:multiLevelType w:val="multilevel"/>
    <w:tmpl w:val="2F484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12D49"/>
    <w:multiLevelType w:val="hybridMultilevel"/>
    <w:tmpl w:val="31B097D0"/>
    <w:lvl w:ilvl="0" w:tplc="5F9C61B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7D210B9"/>
    <w:multiLevelType w:val="multilevel"/>
    <w:tmpl w:val="023E8784"/>
    <w:styleLink w:val="AFMEBullets"/>
    <w:lvl w:ilvl="0">
      <w:start w:val="1"/>
      <w:numFmt w:val="bullet"/>
      <w:pStyle w:val="Bullets1"/>
      <w:lvlText w:val=""/>
      <w:lvlJc w:val="left"/>
      <w:pPr>
        <w:tabs>
          <w:tab w:val="num" w:pos="284"/>
        </w:tabs>
        <w:ind w:left="284" w:hanging="284"/>
      </w:pPr>
      <w:rPr>
        <w:rFonts w:ascii="Symbol" w:hAnsi="Symbol" w:hint="default"/>
        <w:color w:val="78A22F" w:themeColor="accent1"/>
      </w:rPr>
    </w:lvl>
    <w:lvl w:ilvl="1">
      <w:start w:val="1"/>
      <w:numFmt w:val="bullet"/>
      <w:pStyle w:val="Bullets2"/>
      <w:lvlText w:val=""/>
      <w:lvlJc w:val="left"/>
      <w:pPr>
        <w:tabs>
          <w:tab w:val="num" w:pos="567"/>
        </w:tabs>
        <w:ind w:left="567" w:hanging="283"/>
      </w:pPr>
      <w:rPr>
        <w:rFonts w:ascii="Symbol" w:hAnsi="Symbol" w:hint="default"/>
        <w:color w:val="58595B" w:themeColor="accent6"/>
      </w:rPr>
    </w:lvl>
    <w:lvl w:ilvl="2">
      <w:start w:val="1"/>
      <w:numFmt w:val="bullet"/>
      <w:pStyle w:val="Bullets3"/>
      <w:lvlText w:val=""/>
      <w:lvlJc w:val="left"/>
      <w:pPr>
        <w:tabs>
          <w:tab w:val="num" w:pos="851"/>
        </w:tabs>
        <w:ind w:left="851" w:hanging="284"/>
      </w:pPr>
      <w:rPr>
        <w:rFonts w:ascii="Symbol" w:hAnsi="Symbol" w:hint="default"/>
        <w:color w:val="C9DAAC" w:themeColor="accent2"/>
      </w:rPr>
    </w:lvl>
    <w:lvl w:ilvl="3">
      <w:start w:val="1"/>
      <w:numFmt w:val="bullet"/>
      <w:lvlText w:val=""/>
      <w:lvlJc w:val="left"/>
      <w:pPr>
        <w:tabs>
          <w:tab w:val="num" w:pos="1134"/>
        </w:tabs>
        <w:ind w:left="1134" w:hanging="283"/>
      </w:pPr>
      <w:rPr>
        <w:rFonts w:ascii="Symbol" w:hAnsi="Symbol" w:hint="default"/>
        <w:color w:val="CFD0D2" w:themeColor="accent3"/>
      </w:rPr>
    </w:lvl>
    <w:lvl w:ilvl="4">
      <w:start w:val="1"/>
      <w:numFmt w:val="bullet"/>
      <w:lvlText w:val=""/>
      <w:lvlJc w:val="left"/>
      <w:pPr>
        <w:tabs>
          <w:tab w:val="num" w:pos="1418"/>
        </w:tabs>
        <w:ind w:left="1418" w:hanging="284"/>
      </w:pPr>
      <w:rPr>
        <w:rFonts w:ascii="Symbol" w:hAnsi="Symbol" w:hint="default"/>
        <w:color w:val="808285" w:themeColor="accent5"/>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011956"/>
    <w:multiLevelType w:val="hybridMultilevel"/>
    <w:tmpl w:val="774E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5717E"/>
    <w:multiLevelType w:val="hybridMultilevel"/>
    <w:tmpl w:val="9BCA0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2B11587"/>
    <w:multiLevelType w:val="hybridMultilevel"/>
    <w:tmpl w:val="180A82F6"/>
    <w:lvl w:ilvl="0" w:tplc="AC7806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D227F"/>
    <w:multiLevelType w:val="multilevel"/>
    <w:tmpl w:val="1778BEA0"/>
    <w:styleLink w:val="AFMENumbering"/>
    <w:lvl w:ilvl="0">
      <w:start w:val="1"/>
      <w:numFmt w:val="none"/>
      <w:pStyle w:val="TOCHeading"/>
      <w:suff w:val="nothing"/>
      <w:lvlText w:val=""/>
      <w:lvlJc w:val="left"/>
      <w:pPr>
        <w:ind w:left="0" w:firstLine="0"/>
      </w:pPr>
      <w:rPr>
        <w:rFonts w:hint="default"/>
      </w:rPr>
    </w:lvl>
    <w:lvl w:ilvl="1">
      <w:start w:val="1"/>
      <w:numFmt w:val="decimal"/>
      <w:lvlRestart w:val="0"/>
      <w:pStyle w:val="Level1"/>
      <w:lvlText w:val="%2"/>
      <w:lvlJc w:val="left"/>
      <w:pPr>
        <w:tabs>
          <w:tab w:val="num" w:pos="567"/>
        </w:tabs>
        <w:ind w:left="567" w:hanging="567"/>
      </w:pPr>
      <w:rPr>
        <w:rFonts w:hint="default"/>
      </w:rPr>
    </w:lvl>
    <w:lvl w:ilvl="2">
      <w:start w:val="1"/>
      <w:numFmt w:val="decimal"/>
      <w:pStyle w:val="Level2"/>
      <w:lvlText w:val="%2.%3"/>
      <w:lvlJc w:val="left"/>
      <w:pPr>
        <w:tabs>
          <w:tab w:val="num" w:pos="567"/>
        </w:tabs>
        <w:ind w:left="567" w:hanging="567"/>
      </w:pPr>
      <w:rPr>
        <w:rFonts w:hint="default"/>
      </w:rPr>
    </w:lvl>
    <w:lvl w:ilvl="3">
      <w:start w:val="1"/>
      <w:numFmt w:val="lowerLetter"/>
      <w:pStyle w:val="Level3"/>
      <w:lvlText w:val="%4)"/>
      <w:lvlJc w:val="left"/>
      <w:pPr>
        <w:tabs>
          <w:tab w:val="num" w:pos="567"/>
        </w:tabs>
        <w:ind w:left="567" w:hanging="567"/>
      </w:pPr>
      <w:rPr>
        <w:rFonts w:hint="default"/>
      </w:rPr>
    </w:lvl>
    <w:lvl w:ilvl="4">
      <w:start w:val="1"/>
      <w:numFmt w:val="lowerRoman"/>
      <w:pStyle w:val="Level4"/>
      <w:lvlText w:val="%5."/>
      <w:lvlJc w:val="left"/>
      <w:pPr>
        <w:tabs>
          <w:tab w:val="num" w:pos="567"/>
        </w:tabs>
        <w:ind w:left="567" w:hanging="567"/>
      </w:pPr>
      <w:rPr>
        <w:rFonts w:hint="default"/>
      </w:rPr>
    </w:lvl>
    <w:lvl w:ilvl="5">
      <w:start w:val="1"/>
      <w:numFmt w:val="lowerLetter"/>
      <w:pStyle w:val="Level5"/>
      <w:lvlText w:val="%6."/>
      <w:lvlJc w:val="left"/>
      <w:pPr>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6C1CEA"/>
    <w:multiLevelType w:val="multilevel"/>
    <w:tmpl w:val="023E8784"/>
    <w:numStyleLink w:val="AFMEBullets"/>
  </w:abstractNum>
  <w:abstractNum w:abstractNumId="9" w15:restartNumberingAfterBreak="0">
    <w:nsid w:val="56B81AB1"/>
    <w:multiLevelType w:val="multilevel"/>
    <w:tmpl w:val="1778BEA0"/>
    <w:numStyleLink w:val="AFMENumbering"/>
  </w:abstractNum>
  <w:abstractNum w:abstractNumId="10" w15:restartNumberingAfterBreak="0">
    <w:nsid w:val="5B522699"/>
    <w:multiLevelType w:val="hybridMultilevel"/>
    <w:tmpl w:val="CF22D676"/>
    <w:lvl w:ilvl="0" w:tplc="653AEABC">
      <w:numFmt w:val="bullet"/>
      <w:lvlText w:val="-"/>
      <w:lvlJc w:val="left"/>
      <w:pPr>
        <w:ind w:left="720" w:hanging="360"/>
      </w:pPr>
      <w:rPr>
        <w:rFonts w:ascii="UniCredit" w:eastAsia="Times New Roman" w:hAnsi="UniCredi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4E161EF"/>
    <w:multiLevelType w:val="hybridMultilevel"/>
    <w:tmpl w:val="EDEC3DF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A5178A3"/>
    <w:multiLevelType w:val="hybridMultilevel"/>
    <w:tmpl w:val="B582E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214E2"/>
    <w:multiLevelType w:val="hybridMultilevel"/>
    <w:tmpl w:val="AB02F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464A45"/>
    <w:multiLevelType w:val="hybridMultilevel"/>
    <w:tmpl w:val="FF2C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D4CE3"/>
    <w:multiLevelType w:val="hybridMultilevel"/>
    <w:tmpl w:val="D0DE7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8345B8"/>
    <w:multiLevelType w:val="hybridMultilevel"/>
    <w:tmpl w:val="F4389D84"/>
    <w:lvl w:ilvl="0" w:tplc="15A47686">
      <w:numFmt w:val="bullet"/>
      <w:lvlText w:val="-"/>
      <w:lvlJc w:val="left"/>
      <w:pPr>
        <w:ind w:left="720" w:hanging="360"/>
      </w:pPr>
      <w:rPr>
        <w:rFonts w:ascii="UniCredit" w:eastAsiaTheme="minorHAnsi" w:hAnsi="UniCredit"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34C04D8"/>
    <w:multiLevelType w:val="hybridMultilevel"/>
    <w:tmpl w:val="41B425B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7BF337C"/>
    <w:multiLevelType w:val="multilevel"/>
    <w:tmpl w:val="D1B6B8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15:restartNumberingAfterBreak="0">
    <w:nsid w:val="78C32FFD"/>
    <w:multiLevelType w:val="hybridMultilevel"/>
    <w:tmpl w:val="5568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0C1CDE"/>
    <w:multiLevelType w:val="multilevel"/>
    <w:tmpl w:val="5298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5A87"/>
    <w:multiLevelType w:val="multilevel"/>
    <w:tmpl w:val="7254854C"/>
    <w:styleLink w:val="Sources"/>
    <w:lvl w:ilvl="0">
      <w:start w:val="1"/>
      <w:numFmt w:val="none"/>
      <w:pStyle w:val="Source"/>
      <w:suff w:val="space"/>
      <w:lvlText w:val="Source:"/>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FC502C7"/>
    <w:multiLevelType w:val="hybridMultilevel"/>
    <w:tmpl w:val="93AE1562"/>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num w:numId="1" w16cid:durableId="966201478">
    <w:abstractNumId w:val="7"/>
  </w:num>
  <w:num w:numId="2" w16cid:durableId="208759313">
    <w:abstractNumId w:val="3"/>
  </w:num>
  <w:num w:numId="3" w16cid:durableId="1566724818">
    <w:abstractNumId w:val="21"/>
  </w:num>
  <w:num w:numId="4" w16cid:durableId="118182461">
    <w:abstractNumId w:val="9"/>
  </w:num>
  <w:num w:numId="5" w16cid:durableId="229073561">
    <w:abstractNumId w:val="8"/>
  </w:num>
  <w:num w:numId="6" w16cid:durableId="2010213049">
    <w:abstractNumId w:val="10"/>
  </w:num>
  <w:num w:numId="7" w16cid:durableId="709960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4277097">
    <w:abstractNumId w:val="20"/>
  </w:num>
  <w:num w:numId="9" w16cid:durableId="107088805">
    <w:abstractNumId w:val="1"/>
  </w:num>
  <w:num w:numId="10" w16cid:durableId="1600983180">
    <w:abstractNumId w:val="15"/>
  </w:num>
  <w:num w:numId="11" w16cid:durableId="1534920510">
    <w:abstractNumId w:val="22"/>
  </w:num>
  <w:num w:numId="12" w16cid:durableId="1801222362">
    <w:abstractNumId w:val="6"/>
  </w:num>
  <w:num w:numId="13" w16cid:durableId="729962970">
    <w:abstractNumId w:val="18"/>
  </w:num>
  <w:num w:numId="14" w16cid:durableId="1867018818">
    <w:abstractNumId w:val="2"/>
  </w:num>
  <w:num w:numId="15" w16cid:durableId="1107197886">
    <w:abstractNumId w:val="14"/>
  </w:num>
  <w:num w:numId="16" w16cid:durableId="786389681">
    <w:abstractNumId w:val="19"/>
  </w:num>
  <w:num w:numId="17" w16cid:durableId="1263612650">
    <w:abstractNumId w:val="11"/>
  </w:num>
  <w:num w:numId="18" w16cid:durableId="114755419">
    <w:abstractNumId w:val="12"/>
  </w:num>
  <w:num w:numId="19" w16cid:durableId="394816081">
    <w:abstractNumId w:val="0"/>
  </w:num>
  <w:num w:numId="20" w16cid:durableId="439838890">
    <w:abstractNumId w:val="5"/>
  </w:num>
  <w:num w:numId="21" w16cid:durableId="197817828">
    <w:abstractNumId w:val="16"/>
  </w:num>
  <w:num w:numId="22" w16cid:durableId="2101485328">
    <w:abstractNumId w:val="13"/>
  </w:num>
  <w:num w:numId="23" w16cid:durableId="5799465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76"/>
    <w:rsid w:val="0000187B"/>
    <w:rsid w:val="00002284"/>
    <w:rsid w:val="00002A4C"/>
    <w:rsid w:val="00003230"/>
    <w:rsid w:val="000039EB"/>
    <w:rsid w:val="000042A9"/>
    <w:rsid w:val="00004CC5"/>
    <w:rsid w:val="000074A3"/>
    <w:rsid w:val="000078BC"/>
    <w:rsid w:val="00007AC1"/>
    <w:rsid w:val="00010DB5"/>
    <w:rsid w:val="00012235"/>
    <w:rsid w:val="00013E5A"/>
    <w:rsid w:val="000147FF"/>
    <w:rsid w:val="00015B16"/>
    <w:rsid w:val="00015B44"/>
    <w:rsid w:val="0001682E"/>
    <w:rsid w:val="0001708F"/>
    <w:rsid w:val="00017D6D"/>
    <w:rsid w:val="00017FF6"/>
    <w:rsid w:val="000200E8"/>
    <w:rsid w:val="00020BF8"/>
    <w:rsid w:val="00021D99"/>
    <w:rsid w:val="0002411D"/>
    <w:rsid w:val="000252CA"/>
    <w:rsid w:val="00026B64"/>
    <w:rsid w:val="00026E4B"/>
    <w:rsid w:val="0002760B"/>
    <w:rsid w:val="00031687"/>
    <w:rsid w:val="00032B08"/>
    <w:rsid w:val="00035FFD"/>
    <w:rsid w:val="000361A7"/>
    <w:rsid w:val="00036E54"/>
    <w:rsid w:val="00037438"/>
    <w:rsid w:val="00037830"/>
    <w:rsid w:val="00037C8C"/>
    <w:rsid w:val="00040779"/>
    <w:rsid w:val="00040F23"/>
    <w:rsid w:val="00041516"/>
    <w:rsid w:val="00041A50"/>
    <w:rsid w:val="000434DA"/>
    <w:rsid w:val="00043578"/>
    <w:rsid w:val="00046599"/>
    <w:rsid w:val="0005131D"/>
    <w:rsid w:val="00051735"/>
    <w:rsid w:val="00053C6B"/>
    <w:rsid w:val="000541A7"/>
    <w:rsid w:val="00054A99"/>
    <w:rsid w:val="0005539A"/>
    <w:rsid w:val="000555F8"/>
    <w:rsid w:val="00055EDE"/>
    <w:rsid w:val="000566F1"/>
    <w:rsid w:val="00056ED6"/>
    <w:rsid w:val="00061CAA"/>
    <w:rsid w:val="00062D23"/>
    <w:rsid w:val="000635C5"/>
    <w:rsid w:val="00063F39"/>
    <w:rsid w:val="0006411C"/>
    <w:rsid w:val="00064F7D"/>
    <w:rsid w:val="0006643C"/>
    <w:rsid w:val="00066C11"/>
    <w:rsid w:val="0006705A"/>
    <w:rsid w:val="00067099"/>
    <w:rsid w:val="00070DF8"/>
    <w:rsid w:val="0007157C"/>
    <w:rsid w:val="00071D0C"/>
    <w:rsid w:val="0007217C"/>
    <w:rsid w:val="00074561"/>
    <w:rsid w:val="000745DB"/>
    <w:rsid w:val="00074EB5"/>
    <w:rsid w:val="00081559"/>
    <w:rsid w:val="00081B2A"/>
    <w:rsid w:val="00082575"/>
    <w:rsid w:val="00086696"/>
    <w:rsid w:val="00086824"/>
    <w:rsid w:val="00091F2B"/>
    <w:rsid w:val="00091FB6"/>
    <w:rsid w:val="000924F1"/>
    <w:rsid w:val="00092805"/>
    <w:rsid w:val="00092A65"/>
    <w:rsid w:val="00092B1A"/>
    <w:rsid w:val="000933D7"/>
    <w:rsid w:val="00093607"/>
    <w:rsid w:val="00093CA5"/>
    <w:rsid w:val="00093CE7"/>
    <w:rsid w:val="0009491F"/>
    <w:rsid w:val="0009515A"/>
    <w:rsid w:val="00096141"/>
    <w:rsid w:val="000961CC"/>
    <w:rsid w:val="00096486"/>
    <w:rsid w:val="00097266"/>
    <w:rsid w:val="000A140D"/>
    <w:rsid w:val="000A4C9C"/>
    <w:rsid w:val="000A7EE6"/>
    <w:rsid w:val="000B000F"/>
    <w:rsid w:val="000B06E5"/>
    <w:rsid w:val="000B0C27"/>
    <w:rsid w:val="000B1B18"/>
    <w:rsid w:val="000B1C70"/>
    <w:rsid w:val="000B2FD3"/>
    <w:rsid w:val="000B3742"/>
    <w:rsid w:val="000B6B05"/>
    <w:rsid w:val="000B732F"/>
    <w:rsid w:val="000C0706"/>
    <w:rsid w:val="000C0AA0"/>
    <w:rsid w:val="000C1331"/>
    <w:rsid w:val="000C1D92"/>
    <w:rsid w:val="000C2D13"/>
    <w:rsid w:val="000C380A"/>
    <w:rsid w:val="000C4F4D"/>
    <w:rsid w:val="000C4F70"/>
    <w:rsid w:val="000D0536"/>
    <w:rsid w:val="000D0782"/>
    <w:rsid w:val="000D197E"/>
    <w:rsid w:val="000D1E1E"/>
    <w:rsid w:val="000D3181"/>
    <w:rsid w:val="000D429F"/>
    <w:rsid w:val="000D50A8"/>
    <w:rsid w:val="000D53CE"/>
    <w:rsid w:val="000D5644"/>
    <w:rsid w:val="000D5B78"/>
    <w:rsid w:val="000D5C46"/>
    <w:rsid w:val="000D5EF5"/>
    <w:rsid w:val="000D63F1"/>
    <w:rsid w:val="000D6606"/>
    <w:rsid w:val="000D6647"/>
    <w:rsid w:val="000D6F51"/>
    <w:rsid w:val="000D7561"/>
    <w:rsid w:val="000D7872"/>
    <w:rsid w:val="000D7D83"/>
    <w:rsid w:val="000D7E6F"/>
    <w:rsid w:val="000E0126"/>
    <w:rsid w:val="000E086F"/>
    <w:rsid w:val="000E08CE"/>
    <w:rsid w:val="000E0E6A"/>
    <w:rsid w:val="000E1595"/>
    <w:rsid w:val="000E22A8"/>
    <w:rsid w:val="000E243D"/>
    <w:rsid w:val="000E2E97"/>
    <w:rsid w:val="000E38C0"/>
    <w:rsid w:val="000E42EE"/>
    <w:rsid w:val="000E4AA9"/>
    <w:rsid w:val="000E565D"/>
    <w:rsid w:val="000E6E0B"/>
    <w:rsid w:val="000E6FC1"/>
    <w:rsid w:val="000E7607"/>
    <w:rsid w:val="000E7EF5"/>
    <w:rsid w:val="000F0686"/>
    <w:rsid w:val="000F0AB8"/>
    <w:rsid w:val="000F117C"/>
    <w:rsid w:val="000F3756"/>
    <w:rsid w:val="000F4235"/>
    <w:rsid w:val="000F4306"/>
    <w:rsid w:val="000F6737"/>
    <w:rsid w:val="000F6A49"/>
    <w:rsid w:val="001006B8"/>
    <w:rsid w:val="00100F7E"/>
    <w:rsid w:val="00101307"/>
    <w:rsid w:val="00101B47"/>
    <w:rsid w:val="00101B9D"/>
    <w:rsid w:val="00101CFA"/>
    <w:rsid w:val="00101E37"/>
    <w:rsid w:val="0010215B"/>
    <w:rsid w:val="00102466"/>
    <w:rsid w:val="00102658"/>
    <w:rsid w:val="00102C17"/>
    <w:rsid w:val="00102E52"/>
    <w:rsid w:val="0010507A"/>
    <w:rsid w:val="001052FF"/>
    <w:rsid w:val="00105961"/>
    <w:rsid w:val="0010597A"/>
    <w:rsid w:val="00106212"/>
    <w:rsid w:val="001063C8"/>
    <w:rsid w:val="00106DB8"/>
    <w:rsid w:val="001075C5"/>
    <w:rsid w:val="00107BC0"/>
    <w:rsid w:val="0011005A"/>
    <w:rsid w:val="00110178"/>
    <w:rsid w:val="001108DD"/>
    <w:rsid w:val="001116F1"/>
    <w:rsid w:val="00111F71"/>
    <w:rsid w:val="001143A2"/>
    <w:rsid w:val="00114F31"/>
    <w:rsid w:val="001175C6"/>
    <w:rsid w:val="001215CC"/>
    <w:rsid w:val="001219C8"/>
    <w:rsid w:val="00122632"/>
    <w:rsid w:val="0012466A"/>
    <w:rsid w:val="00124D4C"/>
    <w:rsid w:val="001251B5"/>
    <w:rsid w:val="0012597C"/>
    <w:rsid w:val="001262EF"/>
    <w:rsid w:val="00130887"/>
    <w:rsid w:val="001310BA"/>
    <w:rsid w:val="0013132C"/>
    <w:rsid w:val="00131A05"/>
    <w:rsid w:val="0013202B"/>
    <w:rsid w:val="0013266C"/>
    <w:rsid w:val="001328A4"/>
    <w:rsid w:val="001331BD"/>
    <w:rsid w:val="001347DA"/>
    <w:rsid w:val="0013487B"/>
    <w:rsid w:val="00134F17"/>
    <w:rsid w:val="001354E7"/>
    <w:rsid w:val="00136090"/>
    <w:rsid w:val="001360DD"/>
    <w:rsid w:val="001407B6"/>
    <w:rsid w:val="00141E1C"/>
    <w:rsid w:val="00145F9C"/>
    <w:rsid w:val="00146014"/>
    <w:rsid w:val="0014641F"/>
    <w:rsid w:val="0015179A"/>
    <w:rsid w:val="001525E6"/>
    <w:rsid w:val="00152D21"/>
    <w:rsid w:val="00152FFD"/>
    <w:rsid w:val="00153470"/>
    <w:rsid w:val="00153EFF"/>
    <w:rsid w:val="00154A6C"/>
    <w:rsid w:val="00154B1C"/>
    <w:rsid w:val="00155199"/>
    <w:rsid w:val="00155F16"/>
    <w:rsid w:val="001562AC"/>
    <w:rsid w:val="001608EF"/>
    <w:rsid w:val="001622B8"/>
    <w:rsid w:val="00162501"/>
    <w:rsid w:val="00162853"/>
    <w:rsid w:val="00163259"/>
    <w:rsid w:val="001633A6"/>
    <w:rsid w:val="001639BD"/>
    <w:rsid w:val="001645A4"/>
    <w:rsid w:val="00165EEC"/>
    <w:rsid w:val="0016630B"/>
    <w:rsid w:val="00166E97"/>
    <w:rsid w:val="00166F5C"/>
    <w:rsid w:val="0017021B"/>
    <w:rsid w:val="00170720"/>
    <w:rsid w:val="001714C7"/>
    <w:rsid w:val="00173051"/>
    <w:rsid w:val="00173313"/>
    <w:rsid w:val="00173599"/>
    <w:rsid w:val="001755E4"/>
    <w:rsid w:val="001767F0"/>
    <w:rsid w:val="001777C4"/>
    <w:rsid w:val="001818D1"/>
    <w:rsid w:val="00182096"/>
    <w:rsid w:val="001824A8"/>
    <w:rsid w:val="00183BA4"/>
    <w:rsid w:val="00183C79"/>
    <w:rsid w:val="0018425F"/>
    <w:rsid w:val="00185185"/>
    <w:rsid w:val="00186C4E"/>
    <w:rsid w:val="00187D34"/>
    <w:rsid w:val="00191FC0"/>
    <w:rsid w:val="00192078"/>
    <w:rsid w:val="001929B7"/>
    <w:rsid w:val="00193D4A"/>
    <w:rsid w:val="00194E96"/>
    <w:rsid w:val="00196783"/>
    <w:rsid w:val="001A0644"/>
    <w:rsid w:val="001A0A99"/>
    <w:rsid w:val="001A1BB6"/>
    <w:rsid w:val="001A2FC1"/>
    <w:rsid w:val="001A3B35"/>
    <w:rsid w:val="001A4258"/>
    <w:rsid w:val="001A4264"/>
    <w:rsid w:val="001A4723"/>
    <w:rsid w:val="001A4A44"/>
    <w:rsid w:val="001A61FA"/>
    <w:rsid w:val="001A68F2"/>
    <w:rsid w:val="001A7A3A"/>
    <w:rsid w:val="001A7ADD"/>
    <w:rsid w:val="001B00F1"/>
    <w:rsid w:val="001B0434"/>
    <w:rsid w:val="001B0743"/>
    <w:rsid w:val="001B0826"/>
    <w:rsid w:val="001B0BA4"/>
    <w:rsid w:val="001B227A"/>
    <w:rsid w:val="001B2A02"/>
    <w:rsid w:val="001B35AB"/>
    <w:rsid w:val="001B4416"/>
    <w:rsid w:val="001B4FE6"/>
    <w:rsid w:val="001B526A"/>
    <w:rsid w:val="001B5346"/>
    <w:rsid w:val="001B6336"/>
    <w:rsid w:val="001B6C6F"/>
    <w:rsid w:val="001B73C3"/>
    <w:rsid w:val="001C011C"/>
    <w:rsid w:val="001C0A3F"/>
    <w:rsid w:val="001C1E54"/>
    <w:rsid w:val="001C260F"/>
    <w:rsid w:val="001C2E63"/>
    <w:rsid w:val="001C3796"/>
    <w:rsid w:val="001C3CE1"/>
    <w:rsid w:val="001C6256"/>
    <w:rsid w:val="001C65C5"/>
    <w:rsid w:val="001C748B"/>
    <w:rsid w:val="001D0CDF"/>
    <w:rsid w:val="001D144D"/>
    <w:rsid w:val="001D163E"/>
    <w:rsid w:val="001D1E8E"/>
    <w:rsid w:val="001D2539"/>
    <w:rsid w:val="001D2690"/>
    <w:rsid w:val="001D33D0"/>
    <w:rsid w:val="001D43F0"/>
    <w:rsid w:val="001D6ECB"/>
    <w:rsid w:val="001D739D"/>
    <w:rsid w:val="001D757C"/>
    <w:rsid w:val="001D7E1E"/>
    <w:rsid w:val="001E0206"/>
    <w:rsid w:val="001E0D03"/>
    <w:rsid w:val="001E1757"/>
    <w:rsid w:val="001E18FF"/>
    <w:rsid w:val="001E2604"/>
    <w:rsid w:val="001E4B8F"/>
    <w:rsid w:val="001E59DA"/>
    <w:rsid w:val="001E5A4D"/>
    <w:rsid w:val="001E6231"/>
    <w:rsid w:val="001E6EAC"/>
    <w:rsid w:val="001F01B4"/>
    <w:rsid w:val="001F0FE8"/>
    <w:rsid w:val="001F11C2"/>
    <w:rsid w:val="001F1E8E"/>
    <w:rsid w:val="001F23DA"/>
    <w:rsid w:val="001F26CC"/>
    <w:rsid w:val="001F4F26"/>
    <w:rsid w:val="001F57CE"/>
    <w:rsid w:val="001F6651"/>
    <w:rsid w:val="001F68D1"/>
    <w:rsid w:val="001F7806"/>
    <w:rsid w:val="001F7C24"/>
    <w:rsid w:val="00200030"/>
    <w:rsid w:val="00200EA4"/>
    <w:rsid w:val="0020177D"/>
    <w:rsid w:val="0020251B"/>
    <w:rsid w:val="0020261E"/>
    <w:rsid w:val="00202A0A"/>
    <w:rsid w:val="00202DD8"/>
    <w:rsid w:val="00203859"/>
    <w:rsid w:val="00203A7E"/>
    <w:rsid w:val="00204EC9"/>
    <w:rsid w:val="00205B9B"/>
    <w:rsid w:val="002066D7"/>
    <w:rsid w:val="00206C33"/>
    <w:rsid w:val="002071C2"/>
    <w:rsid w:val="002106FC"/>
    <w:rsid w:val="0021081B"/>
    <w:rsid w:val="002108EE"/>
    <w:rsid w:val="00210EFF"/>
    <w:rsid w:val="00210F75"/>
    <w:rsid w:val="002112D2"/>
    <w:rsid w:val="002113A6"/>
    <w:rsid w:val="002114F6"/>
    <w:rsid w:val="00211A66"/>
    <w:rsid w:val="002125CC"/>
    <w:rsid w:val="00212739"/>
    <w:rsid w:val="00212B79"/>
    <w:rsid w:val="00213976"/>
    <w:rsid w:val="00213EBC"/>
    <w:rsid w:val="00214272"/>
    <w:rsid w:val="00214591"/>
    <w:rsid w:val="00214AF9"/>
    <w:rsid w:val="00214B23"/>
    <w:rsid w:val="00217665"/>
    <w:rsid w:val="00222660"/>
    <w:rsid w:val="00222DCC"/>
    <w:rsid w:val="00222F70"/>
    <w:rsid w:val="002230FD"/>
    <w:rsid w:val="00223C47"/>
    <w:rsid w:val="002241DA"/>
    <w:rsid w:val="0022490E"/>
    <w:rsid w:val="00225132"/>
    <w:rsid w:val="0022566E"/>
    <w:rsid w:val="0022735F"/>
    <w:rsid w:val="00233EF8"/>
    <w:rsid w:val="002344D0"/>
    <w:rsid w:val="002348CA"/>
    <w:rsid w:val="002350E0"/>
    <w:rsid w:val="00235AD9"/>
    <w:rsid w:val="00236276"/>
    <w:rsid w:val="0023632E"/>
    <w:rsid w:val="00236430"/>
    <w:rsid w:val="00240947"/>
    <w:rsid w:val="00242D30"/>
    <w:rsid w:val="0024372B"/>
    <w:rsid w:val="00244064"/>
    <w:rsid w:val="00244647"/>
    <w:rsid w:val="00244902"/>
    <w:rsid w:val="00245A25"/>
    <w:rsid w:val="0024663C"/>
    <w:rsid w:val="00246D03"/>
    <w:rsid w:val="002471BE"/>
    <w:rsid w:val="00250D4B"/>
    <w:rsid w:val="002511BC"/>
    <w:rsid w:val="00251CE2"/>
    <w:rsid w:val="0025237E"/>
    <w:rsid w:val="002529AA"/>
    <w:rsid w:val="00252CE8"/>
    <w:rsid w:val="00254021"/>
    <w:rsid w:val="002544C5"/>
    <w:rsid w:val="00254BE6"/>
    <w:rsid w:val="00255391"/>
    <w:rsid w:val="002559BE"/>
    <w:rsid w:val="002566B5"/>
    <w:rsid w:val="002567BB"/>
    <w:rsid w:val="00256D81"/>
    <w:rsid w:val="00256DB3"/>
    <w:rsid w:val="0026065A"/>
    <w:rsid w:val="002612EA"/>
    <w:rsid w:val="002617E7"/>
    <w:rsid w:val="0026244A"/>
    <w:rsid w:val="0026251D"/>
    <w:rsid w:val="0026268F"/>
    <w:rsid w:val="00262710"/>
    <w:rsid w:val="00263065"/>
    <w:rsid w:val="0026352C"/>
    <w:rsid w:val="00263595"/>
    <w:rsid w:val="00263C6B"/>
    <w:rsid w:val="00264960"/>
    <w:rsid w:val="00264C66"/>
    <w:rsid w:val="002655A7"/>
    <w:rsid w:val="002660E9"/>
    <w:rsid w:val="00270F77"/>
    <w:rsid w:val="002713C4"/>
    <w:rsid w:val="0027238A"/>
    <w:rsid w:val="00272B63"/>
    <w:rsid w:val="00272CFC"/>
    <w:rsid w:val="002732F3"/>
    <w:rsid w:val="002735A4"/>
    <w:rsid w:val="00273846"/>
    <w:rsid w:val="00273A93"/>
    <w:rsid w:val="00273AE1"/>
    <w:rsid w:val="00274B7C"/>
    <w:rsid w:val="00275172"/>
    <w:rsid w:val="00275465"/>
    <w:rsid w:val="002760DF"/>
    <w:rsid w:val="00277B86"/>
    <w:rsid w:val="00277BBE"/>
    <w:rsid w:val="00277E82"/>
    <w:rsid w:val="002808DC"/>
    <w:rsid w:val="00280E7F"/>
    <w:rsid w:val="00281695"/>
    <w:rsid w:val="00282272"/>
    <w:rsid w:val="0028443E"/>
    <w:rsid w:val="00285EED"/>
    <w:rsid w:val="00285F60"/>
    <w:rsid w:val="00286953"/>
    <w:rsid w:val="00293143"/>
    <w:rsid w:val="00293656"/>
    <w:rsid w:val="002936C6"/>
    <w:rsid w:val="00293C6E"/>
    <w:rsid w:val="00295499"/>
    <w:rsid w:val="00296788"/>
    <w:rsid w:val="002973B5"/>
    <w:rsid w:val="00297752"/>
    <w:rsid w:val="002977D0"/>
    <w:rsid w:val="002A11C1"/>
    <w:rsid w:val="002A17D4"/>
    <w:rsid w:val="002A1AB9"/>
    <w:rsid w:val="002A1F0B"/>
    <w:rsid w:val="002A25E0"/>
    <w:rsid w:val="002A285D"/>
    <w:rsid w:val="002A2E64"/>
    <w:rsid w:val="002A3069"/>
    <w:rsid w:val="002A3427"/>
    <w:rsid w:val="002A5285"/>
    <w:rsid w:val="002A592D"/>
    <w:rsid w:val="002A5AAE"/>
    <w:rsid w:val="002A6AAB"/>
    <w:rsid w:val="002A6CFD"/>
    <w:rsid w:val="002B0045"/>
    <w:rsid w:val="002B08CA"/>
    <w:rsid w:val="002B1428"/>
    <w:rsid w:val="002B1A6A"/>
    <w:rsid w:val="002B36D5"/>
    <w:rsid w:val="002B3900"/>
    <w:rsid w:val="002B7AB2"/>
    <w:rsid w:val="002C047D"/>
    <w:rsid w:val="002C0521"/>
    <w:rsid w:val="002C178B"/>
    <w:rsid w:val="002C277B"/>
    <w:rsid w:val="002C4183"/>
    <w:rsid w:val="002C44E1"/>
    <w:rsid w:val="002C47D0"/>
    <w:rsid w:val="002C74AD"/>
    <w:rsid w:val="002D0439"/>
    <w:rsid w:val="002D1940"/>
    <w:rsid w:val="002D19A8"/>
    <w:rsid w:val="002D258C"/>
    <w:rsid w:val="002D2C8B"/>
    <w:rsid w:val="002D2F2B"/>
    <w:rsid w:val="002D30EB"/>
    <w:rsid w:val="002D47B4"/>
    <w:rsid w:val="002D56BD"/>
    <w:rsid w:val="002D7AF3"/>
    <w:rsid w:val="002E08D2"/>
    <w:rsid w:val="002E10B5"/>
    <w:rsid w:val="002E10D3"/>
    <w:rsid w:val="002E2331"/>
    <w:rsid w:val="002E4290"/>
    <w:rsid w:val="002E5E11"/>
    <w:rsid w:val="002E7118"/>
    <w:rsid w:val="002F0558"/>
    <w:rsid w:val="002F2875"/>
    <w:rsid w:val="002F3620"/>
    <w:rsid w:val="002F5355"/>
    <w:rsid w:val="002F6554"/>
    <w:rsid w:val="002F684C"/>
    <w:rsid w:val="002F6D98"/>
    <w:rsid w:val="00300106"/>
    <w:rsid w:val="00300424"/>
    <w:rsid w:val="0030139A"/>
    <w:rsid w:val="00301C0A"/>
    <w:rsid w:val="00302D5F"/>
    <w:rsid w:val="00302D9D"/>
    <w:rsid w:val="00304D57"/>
    <w:rsid w:val="00306C2E"/>
    <w:rsid w:val="00310097"/>
    <w:rsid w:val="0031078C"/>
    <w:rsid w:val="00310E74"/>
    <w:rsid w:val="003120DE"/>
    <w:rsid w:val="0031269D"/>
    <w:rsid w:val="003128A9"/>
    <w:rsid w:val="0031389E"/>
    <w:rsid w:val="00315334"/>
    <w:rsid w:val="0031600E"/>
    <w:rsid w:val="00316820"/>
    <w:rsid w:val="00320288"/>
    <w:rsid w:val="003227A2"/>
    <w:rsid w:val="00323CD5"/>
    <w:rsid w:val="00324504"/>
    <w:rsid w:val="00325222"/>
    <w:rsid w:val="00326993"/>
    <w:rsid w:val="00326D33"/>
    <w:rsid w:val="00330675"/>
    <w:rsid w:val="00331058"/>
    <w:rsid w:val="003316E7"/>
    <w:rsid w:val="003317F1"/>
    <w:rsid w:val="00332287"/>
    <w:rsid w:val="00332394"/>
    <w:rsid w:val="0033311D"/>
    <w:rsid w:val="003337E0"/>
    <w:rsid w:val="00334223"/>
    <w:rsid w:val="00334C65"/>
    <w:rsid w:val="00335349"/>
    <w:rsid w:val="0033789C"/>
    <w:rsid w:val="00337BF1"/>
    <w:rsid w:val="00340618"/>
    <w:rsid w:val="00341E95"/>
    <w:rsid w:val="0034270C"/>
    <w:rsid w:val="003433CB"/>
    <w:rsid w:val="003437D6"/>
    <w:rsid w:val="00343BA6"/>
    <w:rsid w:val="003446AF"/>
    <w:rsid w:val="003452D5"/>
    <w:rsid w:val="0034653D"/>
    <w:rsid w:val="00347F46"/>
    <w:rsid w:val="00347FC0"/>
    <w:rsid w:val="0035176C"/>
    <w:rsid w:val="003522A8"/>
    <w:rsid w:val="00352CB7"/>
    <w:rsid w:val="00352E7D"/>
    <w:rsid w:val="003531E7"/>
    <w:rsid w:val="00353215"/>
    <w:rsid w:val="00354112"/>
    <w:rsid w:val="00355897"/>
    <w:rsid w:val="00355C7F"/>
    <w:rsid w:val="00357EE5"/>
    <w:rsid w:val="0036055C"/>
    <w:rsid w:val="00361243"/>
    <w:rsid w:val="00361383"/>
    <w:rsid w:val="003618DD"/>
    <w:rsid w:val="0036278B"/>
    <w:rsid w:val="003636B5"/>
    <w:rsid w:val="00365B05"/>
    <w:rsid w:val="00365D44"/>
    <w:rsid w:val="00365F2C"/>
    <w:rsid w:val="0036648E"/>
    <w:rsid w:val="003674B4"/>
    <w:rsid w:val="00367548"/>
    <w:rsid w:val="00372139"/>
    <w:rsid w:val="003729FC"/>
    <w:rsid w:val="00373853"/>
    <w:rsid w:val="00373E21"/>
    <w:rsid w:val="00374B0E"/>
    <w:rsid w:val="00374C88"/>
    <w:rsid w:val="00377FE3"/>
    <w:rsid w:val="003802BA"/>
    <w:rsid w:val="003806DE"/>
    <w:rsid w:val="0038315E"/>
    <w:rsid w:val="00384CAB"/>
    <w:rsid w:val="003861E8"/>
    <w:rsid w:val="00386241"/>
    <w:rsid w:val="003868BA"/>
    <w:rsid w:val="003869CC"/>
    <w:rsid w:val="00386D1D"/>
    <w:rsid w:val="00386F39"/>
    <w:rsid w:val="00387241"/>
    <w:rsid w:val="00387B8D"/>
    <w:rsid w:val="00387BAA"/>
    <w:rsid w:val="00387D00"/>
    <w:rsid w:val="00390753"/>
    <w:rsid w:val="00391800"/>
    <w:rsid w:val="0039393A"/>
    <w:rsid w:val="003942AE"/>
    <w:rsid w:val="00394D9E"/>
    <w:rsid w:val="00394F3B"/>
    <w:rsid w:val="003958EF"/>
    <w:rsid w:val="00397ACC"/>
    <w:rsid w:val="003A129A"/>
    <w:rsid w:val="003A1DEB"/>
    <w:rsid w:val="003A4466"/>
    <w:rsid w:val="003A4E02"/>
    <w:rsid w:val="003A5290"/>
    <w:rsid w:val="003A5811"/>
    <w:rsid w:val="003B01EB"/>
    <w:rsid w:val="003B0864"/>
    <w:rsid w:val="003B11A9"/>
    <w:rsid w:val="003B18FE"/>
    <w:rsid w:val="003B3330"/>
    <w:rsid w:val="003B4390"/>
    <w:rsid w:val="003B4A16"/>
    <w:rsid w:val="003B4C6F"/>
    <w:rsid w:val="003B5A0D"/>
    <w:rsid w:val="003B5A9B"/>
    <w:rsid w:val="003B6870"/>
    <w:rsid w:val="003B68BF"/>
    <w:rsid w:val="003B714A"/>
    <w:rsid w:val="003B75D9"/>
    <w:rsid w:val="003C0536"/>
    <w:rsid w:val="003C0F20"/>
    <w:rsid w:val="003C11C4"/>
    <w:rsid w:val="003C1250"/>
    <w:rsid w:val="003C16B3"/>
    <w:rsid w:val="003C206D"/>
    <w:rsid w:val="003C240D"/>
    <w:rsid w:val="003C4B3E"/>
    <w:rsid w:val="003C52A6"/>
    <w:rsid w:val="003C63CE"/>
    <w:rsid w:val="003C7083"/>
    <w:rsid w:val="003C7668"/>
    <w:rsid w:val="003C77F2"/>
    <w:rsid w:val="003D036F"/>
    <w:rsid w:val="003D2374"/>
    <w:rsid w:val="003D2D75"/>
    <w:rsid w:val="003D3F9D"/>
    <w:rsid w:val="003D4683"/>
    <w:rsid w:val="003D64BC"/>
    <w:rsid w:val="003D6581"/>
    <w:rsid w:val="003D66C0"/>
    <w:rsid w:val="003D6CB0"/>
    <w:rsid w:val="003D7689"/>
    <w:rsid w:val="003E0D57"/>
    <w:rsid w:val="003E2F1C"/>
    <w:rsid w:val="003E327F"/>
    <w:rsid w:val="003E411D"/>
    <w:rsid w:val="003E4F74"/>
    <w:rsid w:val="003E6654"/>
    <w:rsid w:val="003E6CDA"/>
    <w:rsid w:val="003F0576"/>
    <w:rsid w:val="003F1DB6"/>
    <w:rsid w:val="003F1F9B"/>
    <w:rsid w:val="003F2D58"/>
    <w:rsid w:val="003F2FA7"/>
    <w:rsid w:val="003F5301"/>
    <w:rsid w:val="003F548B"/>
    <w:rsid w:val="003F55DA"/>
    <w:rsid w:val="003F63C3"/>
    <w:rsid w:val="003F69BF"/>
    <w:rsid w:val="003F6AB0"/>
    <w:rsid w:val="003F6CF5"/>
    <w:rsid w:val="003F7627"/>
    <w:rsid w:val="003F78ED"/>
    <w:rsid w:val="00400382"/>
    <w:rsid w:val="004012F4"/>
    <w:rsid w:val="004019D8"/>
    <w:rsid w:val="004026F5"/>
    <w:rsid w:val="00402979"/>
    <w:rsid w:val="004039AE"/>
    <w:rsid w:val="00403A6C"/>
    <w:rsid w:val="00403B76"/>
    <w:rsid w:val="00403FDB"/>
    <w:rsid w:val="00405C14"/>
    <w:rsid w:val="00405EF5"/>
    <w:rsid w:val="00406127"/>
    <w:rsid w:val="00410872"/>
    <w:rsid w:val="00411ADF"/>
    <w:rsid w:val="00412108"/>
    <w:rsid w:val="00412C49"/>
    <w:rsid w:val="00415648"/>
    <w:rsid w:val="004158C7"/>
    <w:rsid w:val="00416126"/>
    <w:rsid w:val="00416FC6"/>
    <w:rsid w:val="00416FF3"/>
    <w:rsid w:val="004179EC"/>
    <w:rsid w:val="00420096"/>
    <w:rsid w:val="00421472"/>
    <w:rsid w:val="00421D98"/>
    <w:rsid w:val="00423C54"/>
    <w:rsid w:val="00424BF9"/>
    <w:rsid w:val="00424E90"/>
    <w:rsid w:val="00430348"/>
    <w:rsid w:val="00433C74"/>
    <w:rsid w:val="00436A50"/>
    <w:rsid w:val="0043712D"/>
    <w:rsid w:val="0044109A"/>
    <w:rsid w:val="00442598"/>
    <w:rsid w:val="00443B47"/>
    <w:rsid w:val="00444D80"/>
    <w:rsid w:val="00444F8A"/>
    <w:rsid w:val="0044532F"/>
    <w:rsid w:val="00445582"/>
    <w:rsid w:val="0044567A"/>
    <w:rsid w:val="00446763"/>
    <w:rsid w:val="00447336"/>
    <w:rsid w:val="00447699"/>
    <w:rsid w:val="004514EA"/>
    <w:rsid w:val="00452719"/>
    <w:rsid w:val="00452F05"/>
    <w:rsid w:val="004532E8"/>
    <w:rsid w:val="004538DC"/>
    <w:rsid w:val="00454741"/>
    <w:rsid w:val="004549A4"/>
    <w:rsid w:val="00454C6B"/>
    <w:rsid w:val="00455B09"/>
    <w:rsid w:val="00456567"/>
    <w:rsid w:val="004567D9"/>
    <w:rsid w:val="0045704A"/>
    <w:rsid w:val="004608C5"/>
    <w:rsid w:val="004624F9"/>
    <w:rsid w:val="00462B69"/>
    <w:rsid w:val="00463664"/>
    <w:rsid w:val="00463806"/>
    <w:rsid w:val="00463CF8"/>
    <w:rsid w:val="0046658F"/>
    <w:rsid w:val="00467769"/>
    <w:rsid w:val="004678EB"/>
    <w:rsid w:val="00467BDE"/>
    <w:rsid w:val="0047058B"/>
    <w:rsid w:val="004710BB"/>
    <w:rsid w:val="00471421"/>
    <w:rsid w:val="004716BD"/>
    <w:rsid w:val="0047301D"/>
    <w:rsid w:val="004732BE"/>
    <w:rsid w:val="00473614"/>
    <w:rsid w:val="00474648"/>
    <w:rsid w:val="00475305"/>
    <w:rsid w:val="0047677D"/>
    <w:rsid w:val="0047688B"/>
    <w:rsid w:val="004768E2"/>
    <w:rsid w:val="0047692C"/>
    <w:rsid w:val="00476C51"/>
    <w:rsid w:val="00476F42"/>
    <w:rsid w:val="00481955"/>
    <w:rsid w:val="00481E9B"/>
    <w:rsid w:val="00481EBB"/>
    <w:rsid w:val="00485302"/>
    <w:rsid w:val="00485B30"/>
    <w:rsid w:val="00486AD3"/>
    <w:rsid w:val="00486F17"/>
    <w:rsid w:val="00487A15"/>
    <w:rsid w:val="00487E6F"/>
    <w:rsid w:val="00491737"/>
    <w:rsid w:val="00491AFE"/>
    <w:rsid w:val="00491D84"/>
    <w:rsid w:val="00491FB2"/>
    <w:rsid w:val="00492786"/>
    <w:rsid w:val="00493FA4"/>
    <w:rsid w:val="00494841"/>
    <w:rsid w:val="0049537D"/>
    <w:rsid w:val="00495F63"/>
    <w:rsid w:val="00496851"/>
    <w:rsid w:val="00496915"/>
    <w:rsid w:val="004A1985"/>
    <w:rsid w:val="004A4206"/>
    <w:rsid w:val="004A579D"/>
    <w:rsid w:val="004A6AF6"/>
    <w:rsid w:val="004A7C07"/>
    <w:rsid w:val="004B01D0"/>
    <w:rsid w:val="004B0FE5"/>
    <w:rsid w:val="004B13B2"/>
    <w:rsid w:val="004B2B57"/>
    <w:rsid w:val="004B2E33"/>
    <w:rsid w:val="004B3827"/>
    <w:rsid w:val="004B3F55"/>
    <w:rsid w:val="004B4735"/>
    <w:rsid w:val="004B59C6"/>
    <w:rsid w:val="004C00E5"/>
    <w:rsid w:val="004C0F93"/>
    <w:rsid w:val="004C177A"/>
    <w:rsid w:val="004C313B"/>
    <w:rsid w:val="004C3FCC"/>
    <w:rsid w:val="004C46B3"/>
    <w:rsid w:val="004C5AE4"/>
    <w:rsid w:val="004C7F3A"/>
    <w:rsid w:val="004D08B0"/>
    <w:rsid w:val="004D1CED"/>
    <w:rsid w:val="004D2203"/>
    <w:rsid w:val="004D23F0"/>
    <w:rsid w:val="004D2DA4"/>
    <w:rsid w:val="004D4296"/>
    <w:rsid w:val="004D5709"/>
    <w:rsid w:val="004D5C65"/>
    <w:rsid w:val="004E055E"/>
    <w:rsid w:val="004E2C6C"/>
    <w:rsid w:val="004E6F78"/>
    <w:rsid w:val="004E730E"/>
    <w:rsid w:val="004F127F"/>
    <w:rsid w:val="004F17FB"/>
    <w:rsid w:val="004F1F43"/>
    <w:rsid w:val="004F27F1"/>
    <w:rsid w:val="004F499E"/>
    <w:rsid w:val="004F4F78"/>
    <w:rsid w:val="004F5033"/>
    <w:rsid w:val="004F5212"/>
    <w:rsid w:val="004F565D"/>
    <w:rsid w:val="004F57D2"/>
    <w:rsid w:val="004F5CA6"/>
    <w:rsid w:val="004F6DB9"/>
    <w:rsid w:val="004F724C"/>
    <w:rsid w:val="004F79AB"/>
    <w:rsid w:val="005001A9"/>
    <w:rsid w:val="0050022A"/>
    <w:rsid w:val="0050275B"/>
    <w:rsid w:val="0050276F"/>
    <w:rsid w:val="005045B6"/>
    <w:rsid w:val="00505C8A"/>
    <w:rsid w:val="0050741B"/>
    <w:rsid w:val="005076C8"/>
    <w:rsid w:val="00507A22"/>
    <w:rsid w:val="00507CF7"/>
    <w:rsid w:val="0051140F"/>
    <w:rsid w:val="005141F5"/>
    <w:rsid w:val="00514F7B"/>
    <w:rsid w:val="00515B0A"/>
    <w:rsid w:val="00517218"/>
    <w:rsid w:val="00520622"/>
    <w:rsid w:val="0052126A"/>
    <w:rsid w:val="005215BC"/>
    <w:rsid w:val="005222FC"/>
    <w:rsid w:val="00522E03"/>
    <w:rsid w:val="005243A0"/>
    <w:rsid w:val="00524CFE"/>
    <w:rsid w:val="0052532E"/>
    <w:rsid w:val="00526ECE"/>
    <w:rsid w:val="00527602"/>
    <w:rsid w:val="0053051C"/>
    <w:rsid w:val="00531232"/>
    <w:rsid w:val="00532111"/>
    <w:rsid w:val="005327B8"/>
    <w:rsid w:val="005332C0"/>
    <w:rsid w:val="005334C7"/>
    <w:rsid w:val="005338B3"/>
    <w:rsid w:val="005359F0"/>
    <w:rsid w:val="005362A5"/>
    <w:rsid w:val="00537412"/>
    <w:rsid w:val="0053742D"/>
    <w:rsid w:val="005402CF"/>
    <w:rsid w:val="00542135"/>
    <w:rsid w:val="0054272E"/>
    <w:rsid w:val="005427A8"/>
    <w:rsid w:val="00542B6F"/>
    <w:rsid w:val="00543785"/>
    <w:rsid w:val="00544040"/>
    <w:rsid w:val="00544D22"/>
    <w:rsid w:val="00545EB3"/>
    <w:rsid w:val="00545EC1"/>
    <w:rsid w:val="0055008E"/>
    <w:rsid w:val="0055009B"/>
    <w:rsid w:val="00550360"/>
    <w:rsid w:val="0055048D"/>
    <w:rsid w:val="00551635"/>
    <w:rsid w:val="0055163E"/>
    <w:rsid w:val="00551B25"/>
    <w:rsid w:val="00552E15"/>
    <w:rsid w:val="0055303F"/>
    <w:rsid w:val="0055349B"/>
    <w:rsid w:val="00556448"/>
    <w:rsid w:val="00556DBA"/>
    <w:rsid w:val="00557906"/>
    <w:rsid w:val="005601CB"/>
    <w:rsid w:val="00560F48"/>
    <w:rsid w:val="00561D89"/>
    <w:rsid w:val="00563134"/>
    <w:rsid w:val="00563D48"/>
    <w:rsid w:val="005647DB"/>
    <w:rsid w:val="00565069"/>
    <w:rsid w:val="005656DB"/>
    <w:rsid w:val="0056611D"/>
    <w:rsid w:val="00567168"/>
    <w:rsid w:val="00570248"/>
    <w:rsid w:val="005702FF"/>
    <w:rsid w:val="005704F1"/>
    <w:rsid w:val="00571C77"/>
    <w:rsid w:val="00571C83"/>
    <w:rsid w:val="0057280C"/>
    <w:rsid w:val="00573E36"/>
    <w:rsid w:val="00573F12"/>
    <w:rsid w:val="005741A1"/>
    <w:rsid w:val="00576623"/>
    <w:rsid w:val="005766E0"/>
    <w:rsid w:val="00576ACB"/>
    <w:rsid w:val="00577215"/>
    <w:rsid w:val="0057796B"/>
    <w:rsid w:val="00577B97"/>
    <w:rsid w:val="0058077F"/>
    <w:rsid w:val="00580DB2"/>
    <w:rsid w:val="00580EB7"/>
    <w:rsid w:val="005810DC"/>
    <w:rsid w:val="005811AB"/>
    <w:rsid w:val="00581685"/>
    <w:rsid w:val="00581B1D"/>
    <w:rsid w:val="00581C70"/>
    <w:rsid w:val="0058217A"/>
    <w:rsid w:val="00582976"/>
    <w:rsid w:val="00583154"/>
    <w:rsid w:val="00583726"/>
    <w:rsid w:val="00585128"/>
    <w:rsid w:val="005865B1"/>
    <w:rsid w:val="005867CF"/>
    <w:rsid w:val="0058693D"/>
    <w:rsid w:val="00587510"/>
    <w:rsid w:val="0059177B"/>
    <w:rsid w:val="00591816"/>
    <w:rsid w:val="00592CA7"/>
    <w:rsid w:val="005935F7"/>
    <w:rsid w:val="0059400F"/>
    <w:rsid w:val="00594349"/>
    <w:rsid w:val="0059591B"/>
    <w:rsid w:val="005A01C0"/>
    <w:rsid w:val="005A0B42"/>
    <w:rsid w:val="005A1538"/>
    <w:rsid w:val="005A2FEF"/>
    <w:rsid w:val="005A3AB3"/>
    <w:rsid w:val="005A6B11"/>
    <w:rsid w:val="005B0409"/>
    <w:rsid w:val="005B0754"/>
    <w:rsid w:val="005B0955"/>
    <w:rsid w:val="005B0C8F"/>
    <w:rsid w:val="005B13BE"/>
    <w:rsid w:val="005B2F9E"/>
    <w:rsid w:val="005B3A04"/>
    <w:rsid w:val="005B3A43"/>
    <w:rsid w:val="005B457D"/>
    <w:rsid w:val="005B581F"/>
    <w:rsid w:val="005B7558"/>
    <w:rsid w:val="005B7EC3"/>
    <w:rsid w:val="005C06C5"/>
    <w:rsid w:val="005C0D01"/>
    <w:rsid w:val="005C12F2"/>
    <w:rsid w:val="005C222F"/>
    <w:rsid w:val="005C264B"/>
    <w:rsid w:val="005C3A8E"/>
    <w:rsid w:val="005C3F88"/>
    <w:rsid w:val="005C407E"/>
    <w:rsid w:val="005C4089"/>
    <w:rsid w:val="005C462D"/>
    <w:rsid w:val="005C4C26"/>
    <w:rsid w:val="005C5760"/>
    <w:rsid w:val="005C5950"/>
    <w:rsid w:val="005C633E"/>
    <w:rsid w:val="005C6A8B"/>
    <w:rsid w:val="005C6E87"/>
    <w:rsid w:val="005D0391"/>
    <w:rsid w:val="005D087F"/>
    <w:rsid w:val="005D0A42"/>
    <w:rsid w:val="005D1131"/>
    <w:rsid w:val="005D1A25"/>
    <w:rsid w:val="005D468A"/>
    <w:rsid w:val="005D58A9"/>
    <w:rsid w:val="005D5DFE"/>
    <w:rsid w:val="005D5F03"/>
    <w:rsid w:val="005E161E"/>
    <w:rsid w:val="005E1FB9"/>
    <w:rsid w:val="005E28C4"/>
    <w:rsid w:val="005E39A6"/>
    <w:rsid w:val="005E3E7C"/>
    <w:rsid w:val="005E4DDA"/>
    <w:rsid w:val="005E7F26"/>
    <w:rsid w:val="005F059F"/>
    <w:rsid w:val="005F0A4E"/>
    <w:rsid w:val="005F1E6F"/>
    <w:rsid w:val="005F2A53"/>
    <w:rsid w:val="005F3DE6"/>
    <w:rsid w:val="005F54F0"/>
    <w:rsid w:val="005F5A97"/>
    <w:rsid w:val="005F63B4"/>
    <w:rsid w:val="005F7CB7"/>
    <w:rsid w:val="0060140F"/>
    <w:rsid w:val="00602678"/>
    <w:rsid w:val="006028AF"/>
    <w:rsid w:val="00605CF0"/>
    <w:rsid w:val="00605E3C"/>
    <w:rsid w:val="00605F27"/>
    <w:rsid w:val="00606D78"/>
    <w:rsid w:val="00606DFE"/>
    <w:rsid w:val="00607332"/>
    <w:rsid w:val="00607592"/>
    <w:rsid w:val="006106B3"/>
    <w:rsid w:val="0061136F"/>
    <w:rsid w:val="00611741"/>
    <w:rsid w:val="006121F5"/>
    <w:rsid w:val="00617308"/>
    <w:rsid w:val="00617D71"/>
    <w:rsid w:val="00620DE8"/>
    <w:rsid w:val="006228E3"/>
    <w:rsid w:val="00623843"/>
    <w:rsid w:val="0062465A"/>
    <w:rsid w:val="0062548F"/>
    <w:rsid w:val="0062670A"/>
    <w:rsid w:val="00627211"/>
    <w:rsid w:val="00627655"/>
    <w:rsid w:val="0063041A"/>
    <w:rsid w:val="00631646"/>
    <w:rsid w:val="0063285B"/>
    <w:rsid w:val="00633CAC"/>
    <w:rsid w:val="00634FC1"/>
    <w:rsid w:val="0063564A"/>
    <w:rsid w:val="00636CFB"/>
    <w:rsid w:val="00637198"/>
    <w:rsid w:val="00637F41"/>
    <w:rsid w:val="0064067B"/>
    <w:rsid w:val="00641BD5"/>
    <w:rsid w:val="00643825"/>
    <w:rsid w:val="00644129"/>
    <w:rsid w:val="0064438C"/>
    <w:rsid w:val="00645288"/>
    <w:rsid w:val="0064536D"/>
    <w:rsid w:val="006453B6"/>
    <w:rsid w:val="00645563"/>
    <w:rsid w:val="006455BB"/>
    <w:rsid w:val="0064576F"/>
    <w:rsid w:val="00645F43"/>
    <w:rsid w:val="00646CA8"/>
    <w:rsid w:val="006470DF"/>
    <w:rsid w:val="00647B05"/>
    <w:rsid w:val="006507CD"/>
    <w:rsid w:val="006509C2"/>
    <w:rsid w:val="0065156C"/>
    <w:rsid w:val="0065213C"/>
    <w:rsid w:val="00653BDE"/>
    <w:rsid w:val="00655D40"/>
    <w:rsid w:val="00656590"/>
    <w:rsid w:val="00660D09"/>
    <w:rsid w:val="00661BA2"/>
    <w:rsid w:val="006644E4"/>
    <w:rsid w:val="00664C14"/>
    <w:rsid w:val="00664F43"/>
    <w:rsid w:val="0066550E"/>
    <w:rsid w:val="00665F13"/>
    <w:rsid w:val="0066664D"/>
    <w:rsid w:val="006669CA"/>
    <w:rsid w:val="00666D5E"/>
    <w:rsid w:val="00670885"/>
    <w:rsid w:val="00670E96"/>
    <w:rsid w:val="00671EBA"/>
    <w:rsid w:val="00672093"/>
    <w:rsid w:val="006726D6"/>
    <w:rsid w:val="00672FC6"/>
    <w:rsid w:val="0067424C"/>
    <w:rsid w:val="0067514A"/>
    <w:rsid w:val="006751EE"/>
    <w:rsid w:val="00676C17"/>
    <w:rsid w:val="0068062B"/>
    <w:rsid w:val="00681577"/>
    <w:rsid w:val="00681807"/>
    <w:rsid w:val="00682DC7"/>
    <w:rsid w:val="0068574C"/>
    <w:rsid w:val="00685947"/>
    <w:rsid w:val="00685B20"/>
    <w:rsid w:val="00685B6E"/>
    <w:rsid w:val="0068672C"/>
    <w:rsid w:val="00687F8C"/>
    <w:rsid w:val="006907D6"/>
    <w:rsid w:val="006916E4"/>
    <w:rsid w:val="006917F1"/>
    <w:rsid w:val="00691FF6"/>
    <w:rsid w:val="006922DB"/>
    <w:rsid w:val="006926E4"/>
    <w:rsid w:val="00692FF7"/>
    <w:rsid w:val="0069500D"/>
    <w:rsid w:val="006951A7"/>
    <w:rsid w:val="00695797"/>
    <w:rsid w:val="006965BF"/>
    <w:rsid w:val="00697DD5"/>
    <w:rsid w:val="006A0342"/>
    <w:rsid w:val="006A132D"/>
    <w:rsid w:val="006A49BA"/>
    <w:rsid w:val="006A7BA3"/>
    <w:rsid w:val="006A7EDC"/>
    <w:rsid w:val="006B11FC"/>
    <w:rsid w:val="006B24E0"/>
    <w:rsid w:val="006B3828"/>
    <w:rsid w:val="006B6027"/>
    <w:rsid w:val="006B723A"/>
    <w:rsid w:val="006B7CDA"/>
    <w:rsid w:val="006C040B"/>
    <w:rsid w:val="006C076C"/>
    <w:rsid w:val="006C09FD"/>
    <w:rsid w:val="006C0F08"/>
    <w:rsid w:val="006C14FE"/>
    <w:rsid w:val="006C2989"/>
    <w:rsid w:val="006C2F83"/>
    <w:rsid w:val="006C3610"/>
    <w:rsid w:val="006C3FBD"/>
    <w:rsid w:val="006C4067"/>
    <w:rsid w:val="006C4BC4"/>
    <w:rsid w:val="006C4FB2"/>
    <w:rsid w:val="006C53EA"/>
    <w:rsid w:val="006C5F25"/>
    <w:rsid w:val="006C65AA"/>
    <w:rsid w:val="006C67FF"/>
    <w:rsid w:val="006D058E"/>
    <w:rsid w:val="006D0E9D"/>
    <w:rsid w:val="006D11C7"/>
    <w:rsid w:val="006D1A09"/>
    <w:rsid w:val="006D2047"/>
    <w:rsid w:val="006D2122"/>
    <w:rsid w:val="006D43A7"/>
    <w:rsid w:val="006D466E"/>
    <w:rsid w:val="006D5F37"/>
    <w:rsid w:val="006D7340"/>
    <w:rsid w:val="006E0F32"/>
    <w:rsid w:val="006E1449"/>
    <w:rsid w:val="006E228A"/>
    <w:rsid w:val="006E3B8C"/>
    <w:rsid w:val="006E3CB9"/>
    <w:rsid w:val="006E4607"/>
    <w:rsid w:val="006E506E"/>
    <w:rsid w:val="006E65D6"/>
    <w:rsid w:val="006E677C"/>
    <w:rsid w:val="006E75D4"/>
    <w:rsid w:val="006E792A"/>
    <w:rsid w:val="006F074D"/>
    <w:rsid w:val="006F0EDB"/>
    <w:rsid w:val="006F200E"/>
    <w:rsid w:val="006F2704"/>
    <w:rsid w:val="006F2DFB"/>
    <w:rsid w:val="006F30F8"/>
    <w:rsid w:val="006F3D2F"/>
    <w:rsid w:val="006F5E17"/>
    <w:rsid w:val="006F64C2"/>
    <w:rsid w:val="0070059E"/>
    <w:rsid w:val="00700B45"/>
    <w:rsid w:val="00704A22"/>
    <w:rsid w:val="00705892"/>
    <w:rsid w:val="00705946"/>
    <w:rsid w:val="00705AAF"/>
    <w:rsid w:val="007060D3"/>
    <w:rsid w:val="007061C1"/>
    <w:rsid w:val="007105E0"/>
    <w:rsid w:val="007119A8"/>
    <w:rsid w:val="0071260B"/>
    <w:rsid w:val="00712AC5"/>
    <w:rsid w:val="00713EDD"/>
    <w:rsid w:val="00714263"/>
    <w:rsid w:val="00714475"/>
    <w:rsid w:val="00714D9A"/>
    <w:rsid w:val="00714E02"/>
    <w:rsid w:val="0071534B"/>
    <w:rsid w:val="007154B9"/>
    <w:rsid w:val="00716A2D"/>
    <w:rsid w:val="007174A8"/>
    <w:rsid w:val="007202B9"/>
    <w:rsid w:val="00720A95"/>
    <w:rsid w:val="00721601"/>
    <w:rsid w:val="00722963"/>
    <w:rsid w:val="00722DC2"/>
    <w:rsid w:val="0072407C"/>
    <w:rsid w:val="00724E1B"/>
    <w:rsid w:val="00724FD9"/>
    <w:rsid w:val="00725140"/>
    <w:rsid w:val="007253CC"/>
    <w:rsid w:val="007275CD"/>
    <w:rsid w:val="007305AA"/>
    <w:rsid w:val="00731163"/>
    <w:rsid w:val="007312E4"/>
    <w:rsid w:val="007315A7"/>
    <w:rsid w:val="00731F33"/>
    <w:rsid w:val="007328F5"/>
    <w:rsid w:val="0073307A"/>
    <w:rsid w:val="0073408F"/>
    <w:rsid w:val="00734340"/>
    <w:rsid w:val="00734C82"/>
    <w:rsid w:val="0073505F"/>
    <w:rsid w:val="00736637"/>
    <w:rsid w:val="007369BC"/>
    <w:rsid w:val="007401EB"/>
    <w:rsid w:val="00740CFB"/>
    <w:rsid w:val="007410B3"/>
    <w:rsid w:val="00741DAA"/>
    <w:rsid w:val="00742C9C"/>
    <w:rsid w:val="007431AA"/>
    <w:rsid w:val="0074581B"/>
    <w:rsid w:val="007503C8"/>
    <w:rsid w:val="0075107F"/>
    <w:rsid w:val="00751300"/>
    <w:rsid w:val="007514CF"/>
    <w:rsid w:val="00752DF4"/>
    <w:rsid w:val="00753207"/>
    <w:rsid w:val="0075403D"/>
    <w:rsid w:val="0075547A"/>
    <w:rsid w:val="00760C19"/>
    <w:rsid w:val="00760F04"/>
    <w:rsid w:val="00761962"/>
    <w:rsid w:val="00765D03"/>
    <w:rsid w:val="00765DE4"/>
    <w:rsid w:val="0076649F"/>
    <w:rsid w:val="007674AE"/>
    <w:rsid w:val="007675F4"/>
    <w:rsid w:val="00770991"/>
    <w:rsid w:val="00771F4E"/>
    <w:rsid w:val="007721E9"/>
    <w:rsid w:val="0077289C"/>
    <w:rsid w:val="007729D8"/>
    <w:rsid w:val="00772F1A"/>
    <w:rsid w:val="007752C2"/>
    <w:rsid w:val="00776187"/>
    <w:rsid w:val="00776266"/>
    <w:rsid w:val="00776745"/>
    <w:rsid w:val="0077743F"/>
    <w:rsid w:val="00777AB6"/>
    <w:rsid w:val="00780918"/>
    <w:rsid w:val="0078122B"/>
    <w:rsid w:val="00782163"/>
    <w:rsid w:val="00783081"/>
    <w:rsid w:val="00784C59"/>
    <w:rsid w:val="00786FE3"/>
    <w:rsid w:val="00790809"/>
    <w:rsid w:val="0079098C"/>
    <w:rsid w:val="00791317"/>
    <w:rsid w:val="007914EA"/>
    <w:rsid w:val="00791FF3"/>
    <w:rsid w:val="00792A50"/>
    <w:rsid w:val="0079317D"/>
    <w:rsid w:val="00793CE3"/>
    <w:rsid w:val="00793DCA"/>
    <w:rsid w:val="00796BC8"/>
    <w:rsid w:val="0079734B"/>
    <w:rsid w:val="007A28EA"/>
    <w:rsid w:val="007A2A79"/>
    <w:rsid w:val="007A3D15"/>
    <w:rsid w:val="007A6074"/>
    <w:rsid w:val="007A7749"/>
    <w:rsid w:val="007A7F7C"/>
    <w:rsid w:val="007B13F1"/>
    <w:rsid w:val="007B1E70"/>
    <w:rsid w:val="007B1E9D"/>
    <w:rsid w:val="007B3A2E"/>
    <w:rsid w:val="007B5B06"/>
    <w:rsid w:val="007B71E0"/>
    <w:rsid w:val="007C06A5"/>
    <w:rsid w:val="007C0970"/>
    <w:rsid w:val="007C1CF6"/>
    <w:rsid w:val="007C1DF3"/>
    <w:rsid w:val="007C2460"/>
    <w:rsid w:val="007C3F3F"/>
    <w:rsid w:val="007C4E89"/>
    <w:rsid w:val="007C52CB"/>
    <w:rsid w:val="007C5923"/>
    <w:rsid w:val="007C5A51"/>
    <w:rsid w:val="007C5B35"/>
    <w:rsid w:val="007C635E"/>
    <w:rsid w:val="007C691D"/>
    <w:rsid w:val="007C6C2D"/>
    <w:rsid w:val="007C7EC9"/>
    <w:rsid w:val="007C7EF3"/>
    <w:rsid w:val="007D09B5"/>
    <w:rsid w:val="007D12EA"/>
    <w:rsid w:val="007D176C"/>
    <w:rsid w:val="007D18E1"/>
    <w:rsid w:val="007D2D43"/>
    <w:rsid w:val="007D39AA"/>
    <w:rsid w:val="007D51F8"/>
    <w:rsid w:val="007D6510"/>
    <w:rsid w:val="007D69DF"/>
    <w:rsid w:val="007D6C57"/>
    <w:rsid w:val="007D6FC6"/>
    <w:rsid w:val="007D7415"/>
    <w:rsid w:val="007E0637"/>
    <w:rsid w:val="007E0ADB"/>
    <w:rsid w:val="007E0E64"/>
    <w:rsid w:val="007E17E3"/>
    <w:rsid w:val="007E1840"/>
    <w:rsid w:val="007E1CA3"/>
    <w:rsid w:val="007E1FBF"/>
    <w:rsid w:val="007E46BB"/>
    <w:rsid w:val="007E4BBC"/>
    <w:rsid w:val="007E5FFE"/>
    <w:rsid w:val="007E642F"/>
    <w:rsid w:val="007E6785"/>
    <w:rsid w:val="007E6876"/>
    <w:rsid w:val="007E7AD6"/>
    <w:rsid w:val="007E7C30"/>
    <w:rsid w:val="007F0ABA"/>
    <w:rsid w:val="007F1FC0"/>
    <w:rsid w:val="007F202B"/>
    <w:rsid w:val="007F2247"/>
    <w:rsid w:val="007F2A81"/>
    <w:rsid w:val="007F2BA5"/>
    <w:rsid w:val="007F3F72"/>
    <w:rsid w:val="007F45C7"/>
    <w:rsid w:val="007F4768"/>
    <w:rsid w:val="007F5124"/>
    <w:rsid w:val="007F5206"/>
    <w:rsid w:val="007F6EFD"/>
    <w:rsid w:val="008012C5"/>
    <w:rsid w:val="0080153D"/>
    <w:rsid w:val="008026C3"/>
    <w:rsid w:val="00802C38"/>
    <w:rsid w:val="008031D0"/>
    <w:rsid w:val="00803C56"/>
    <w:rsid w:val="0080543F"/>
    <w:rsid w:val="00807BDD"/>
    <w:rsid w:val="00807F4A"/>
    <w:rsid w:val="008109C9"/>
    <w:rsid w:val="008121B5"/>
    <w:rsid w:val="00812646"/>
    <w:rsid w:val="0081386B"/>
    <w:rsid w:val="00813A21"/>
    <w:rsid w:val="00813DE3"/>
    <w:rsid w:val="00813F13"/>
    <w:rsid w:val="00816B95"/>
    <w:rsid w:val="00816C73"/>
    <w:rsid w:val="0081716B"/>
    <w:rsid w:val="0082005B"/>
    <w:rsid w:val="00824D1A"/>
    <w:rsid w:val="0082532B"/>
    <w:rsid w:val="00825B0D"/>
    <w:rsid w:val="00826E07"/>
    <w:rsid w:val="00826E88"/>
    <w:rsid w:val="00827825"/>
    <w:rsid w:val="008300D7"/>
    <w:rsid w:val="0083067D"/>
    <w:rsid w:val="00831588"/>
    <w:rsid w:val="0083216F"/>
    <w:rsid w:val="008323C7"/>
    <w:rsid w:val="008327E3"/>
    <w:rsid w:val="0083287A"/>
    <w:rsid w:val="00832990"/>
    <w:rsid w:val="00833119"/>
    <w:rsid w:val="00835D78"/>
    <w:rsid w:val="00835FF4"/>
    <w:rsid w:val="00836F8B"/>
    <w:rsid w:val="0083735C"/>
    <w:rsid w:val="008412CB"/>
    <w:rsid w:val="00841A20"/>
    <w:rsid w:val="0084216A"/>
    <w:rsid w:val="00842A24"/>
    <w:rsid w:val="00844291"/>
    <w:rsid w:val="008445CD"/>
    <w:rsid w:val="00844B6A"/>
    <w:rsid w:val="00844C69"/>
    <w:rsid w:val="00844F28"/>
    <w:rsid w:val="008452F5"/>
    <w:rsid w:val="00846753"/>
    <w:rsid w:val="008474D7"/>
    <w:rsid w:val="00850F3A"/>
    <w:rsid w:val="008518BE"/>
    <w:rsid w:val="00851BEA"/>
    <w:rsid w:val="00851D81"/>
    <w:rsid w:val="00852356"/>
    <w:rsid w:val="008525AF"/>
    <w:rsid w:val="008530E8"/>
    <w:rsid w:val="008535B8"/>
    <w:rsid w:val="00854629"/>
    <w:rsid w:val="00855146"/>
    <w:rsid w:val="0085530F"/>
    <w:rsid w:val="008553C6"/>
    <w:rsid w:val="00855A3B"/>
    <w:rsid w:val="008564C7"/>
    <w:rsid w:val="00857191"/>
    <w:rsid w:val="0085740D"/>
    <w:rsid w:val="0085765B"/>
    <w:rsid w:val="008604CD"/>
    <w:rsid w:val="0086167C"/>
    <w:rsid w:val="0086190D"/>
    <w:rsid w:val="008631B0"/>
    <w:rsid w:val="00863593"/>
    <w:rsid w:val="008643B5"/>
    <w:rsid w:val="0087290B"/>
    <w:rsid w:val="00873906"/>
    <w:rsid w:val="008739BB"/>
    <w:rsid w:val="00873A12"/>
    <w:rsid w:val="00874486"/>
    <w:rsid w:val="0087653A"/>
    <w:rsid w:val="00876AC0"/>
    <w:rsid w:val="008777BE"/>
    <w:rsid w:val="00880D12"/>
    <w:rsid w:val="00880E49"/>
    <w:rsid w:val="00881401"/>
    <w:rsid w:val="008817B6"/>
    <w:rsid w:val="00881E8D"/>
    <w:rsid w:val="00882C2F"/>
    <w:rsid w:val="00882F28"/>
    <w:rsid w:val="00883666"/>
    <w:rsid w:val="008836F1"/>
    <w:rsid w:val="00883D22"/>
    <w:rsid w:val="0088504B"/>
    <w:rsid w:val="00886106"/>
    <w:rsid w:val="008874A4"/>
    <w:rsid w:val="00887A20"/>
    <w:rsid w:val="008900E7"/>
    <w:rsid w:val="00892159"/>
    <w:rsid w:val="00892D29"/>
    <w:rsid w:val="0089350F"/>
    <w:rsid w:val="00894654"/>
    <w:rsid w:val="008946C2"/>
    <w:rsid w:val="00894A04"/>
    <w:rsid w:val="00894A2E"/>
    <w:rsid w:val="00894D4B"/>
    <w:rsid w:val="00894EF0"/>
    <w:rsid w:val="00894F7E"/>
    <w:rsid w:val="0089515F"/>
    <w:rsid w:val="008951BB"/>
    <w:rsid w:val="00896FAC"/>
    <w:rsid w:val="00897373"/>
    <w:rsid w:val="008A055F"/>
    <w:rsid w:val="008A05DB"/>
    <w:rsid w:val="008A0F18"/>
    <w:rsid w:val="008A16F0"/>
    <w:rsid w:val="008A17D0"/>
    <w:rsid w:val="008A1E79"/>
    <w:rsid w:val="008A21C9"/>
    <w:rsid w:val="008A26E3"/>
    <w:rsid w:val="008A2EF2"/>
    <w:rsid w:val="008A459F"/>
    <w:rsid w:val="008A4886"/>
    <w:rsid w:val="008A61D6"/>
    <w:rsid w:val="008A6F44"/>
    <w:rsid w:val="008A73EB"/>
    <w:rsid w:val="008B05BC"/>
    <w:rsid w:val="008B0C2F"/>
    <w:rsid w:val="008B153E"/>
    <w:rsid w:val="008B2B6F"/>
    <w:rsid w:val="008B2DAE"/>
    <w:rsid w:val="008B47F9"/>
    <w:rsid w:val="008B4984"/>
    <w:rsid w:val="008B4A52"/>
    <w:rsid w:val="008B5FD5"/>
    <w:rsid w:val="008B6986"/>
    <w:rsid w:val="008C014E"/>
    <w:rsid w:val="008C0E4E"/>
    <w:rsid w:val="008C16C1"/>
    <w:rsid w:val="008C2EFB"/>
    <w:rsid w:val="008C30F4"/>
    <w:rsid w:val="008C4AAB"/>
    <w:rsid w:val="008C7148"/>
    <w:rsid w:val="008C7462"/>
    <w:rsid w:val="008D00F7"/>
    <w:rsid w:val="008D0407"/>
    <w:rsid w:val="008D0742"/>
    <w:rsid w:val="008D0FB2"/>
    <w:rsid w:val="008D13F9"/>
    <w:rsid w:val="008D2FED"/>
    <w:rsid w:val="008D35DE"/>
    <w:rsid w:val="008D41A9"/>
    <w:rsid w:val="008D49C6"/>
    <w:rsid w:val="008D4A97"/>
    <w:rsid w:val="008D5B4A"/>
    <w:rsid w:val="008D5F3F"/>
    <w:rsid w:val="008D7C34"/>
    <w:rsid w:val="008E0A8B"/>
    <w:rsid w:val="008E2E7A"/>
    <w:rsid w:val="008E355A"/>
    <w:rsid w:val="008E4374"/>
    <w:rsid w:val="008E4EBB"/>
    <w:rsid w:val="008E55B6"/>
    <w:rsid w:val="008E6A90"/>
    <w:rsid w:val="008F09EF"/>
    <w:rsid w:val="008F2551"/>
    <w:rsid w:val="008F41E6"/>
    <w:rsid w:val="008F5FE0"/>
    <w:rsid w:val="008F6031"/>
    <w:rsid w:val="008F61F6"/>
    <w:rsid w:val="008F67B6"/>
    <w:rsid w:val="008F68F1"/>
    <w:rsid w:val="008F6B5D"/>
    <w:rsid w:val="00901375"/>
    <w:rsid w:val="0090171B"/>
    <w:rsid w:val="00901955"/>
    <w:rsid w:val="00903E3E"/>
    <w:rsid w:val="00904067"/>
    <w:rsid w:val="00904989"/>
    <w:rsid w:val="00904B4E"/>
    <w:rsid w:val="00905E89"/>
    <w:rsid w:val="0090766A"/>
    <w:rsid w:val="00907CC1"/>
    <w:rsid w:val="0091142C"/>
    <w:rsid w:val="00913A83"/>
    <w:rsid w:val="00916A10"/>
    <w:rsid w:val="00916F36"/>
    <w:rsid w:val="0092120A"/>
    <w:rsid w:val="0092129C"/>
    <w:rsid w:val="00922C96"/>
    <w:rsid w:val="009238F8"/>
    <w:rsid w:val="00923F8B"/>
    <w:rsid w:val="00924A13"/>
    <w:rsid w:val="00924F05"/>
    <w:rsid w:val="00925707"/>
    <w:rsid w:val="009258FA"/>
    <w:rsid w:val="00926520"/>
    <w:rsid w:val="00931FCB"/>
    <w:rsid w:val="009333B5"/>
    <w:rsid w:val="00933B2D"/>
    <w:rsid w:val="00933C5F"/>
    <w:rsid w:val="00935382"/>
    <w:rsid w:val="00935478"/>
    <w:rsid w:val="00940DDA"/>
    <w:rsid w:val="009411FA"/>
    <w:rsid w:val="0094140D"/>
    <w:rsid w:val="00941E5C"/>
    <w:rsid w:val="0094278C"/>
    <w:rsid w:val="0094347C"/>
    <w:rsid w:val="009448B4"/>
    <w:rsid w:val="009456CA"/>
    <w:rsid w:val="00945EB7"/>
    <w:rsid w:val="00946F9B"/>
    <w:rsid w:val="00947451"/>
    <w:rsid w:val="0094762B"/>
    <w:rsid w:val="00947F00"/>
    <w:rsid w:val="0095146F"/>
    <w:rsid w:val="00952852"/>
    <w:rsid w:val="009530B2"/>
    <w:rsid w:val="0095419B"/>
    <w:rsid w:val="00954A94"/>
    <w:rsid w:val="00954ED9"/>
    <w:rsid w:val="00955106"/>
    <w:rsid w:val="00955C2A"/>
    <w:rsid w:val="00955EB0"/>
    <w:rsid w:val="009561BA"/>
    <w:rsid w:val="00961E7E"/>
    <w:rsid w:val="00962177"/>
    <w:rsid w:val="009626F8"/>
    <w:rsid w:val="0096307A"/>
    <w:rsid w:val="00963219"/>
    <w:rsid w:val="00963AA4"/>
    <w:rsid w:val="009646FA"/>
    <w:rsid w:val="00965EF7"/>
    <w:rsid w:val="00966E2C"/>
    <w:rsid w:val="00967021"/>
    <w:rsid w:val="00967402"/>
    <w:rsid w:val="00967706"/>
    <w:rsid w:val="00970591"/>
    <w:rsid w:val="0097061D"/>
    <w:rsid w:val="00970DF6"/>
    <w:rsid w:val="00971511"/>
    <w:rsid w:val="0097162E"/>
    <w:rsid w:val="00971C65"/>
    <w:rsid w:val="009729A8"/>
    <w:rsid w:val="00972A96"/>
    <w:rsid w:val="00974324"/>
    <w:rsid w:val="0097439A"/>
    <w:rsid w:val="00974CEE"/>
    <w:rsid w:val="009758AC"/>
    <w:rsid w:val="009762AB"/>
    <w:rsid w:val="0097777F"/>
    <w:rsid w:val="00977BA4"/>
    <w:rsid w:val="00977C2C"/>
    <w:rsid w:val="0098027D"/>
    <w:rsid w:val="00986F65"/>
    <w:rsid w:val="00987139"/>
    <w:rsid w:val="0098778E"/>
    <w:rsid w:val="00990752"/>
    <w:rsid w:val="00990C22"/>
    <w:rsid w:val="00991888"/>
    <w:rsid w:val="00992874"/>
    <w:rsid w:val="00992C0A"/>
    <w:rsid w:val="00992FC5"/>
    <w:rsid w:val="009933AA"/>
    <w:rsid w:val="009958A7"/>
    <w:rsid w:val="009958EB"/>
    <w:rsid w:val="00995F57"/>
    <w:rsid w:val="009962AA"/>
    <w:rsid w:val="009A143A"/>
    <w:rsid w:val="009A1A3A"/>
    <w:rsid w:val="009A26B4"/>
    <w:rsid w:val="009A5380"/>
    <w:rsid w:val="009A61D2"/>
    <w:rsid w:val="009A6E0E"/>
    <w:rsid w:val="009A77A7"/>
    <w:rsid w:val="009B04DC"/>
    <w:rsid w:val="009B10FF"/>
    <w:rsid w:val="009B1FE0"/>
    <w:rsid w:val="009B29F7"/>
    <w:rsid w:val="009B2B4B"/>
    <w:rsid w:val="009B38A0"/>
    <w:rsid w:val="009B3E1A"/>
    <w:rsid w:val="009B3E41"/>
    <w:rsid w:val="009B4BD3"/>
    <w:rsid w:val="009B5331"/>
    <w:rsid w:val="009B54F6"/>
    <w:rsid w:val="009B7529"/>
    <w:rsid w:val="009B7BB6"/>
    <w:rsid w:val="009C01E1"/>
    <w:rsid w:val="009C0B8D"/>
    <w:rsid w:val="009C0F97"/>
    <w:rsid w:val="009C182F"/>
    <w:rsid w:val="009C18CB"/>
    <w:rsid w:val="009C2454"/>
    <w:rsid w:val="009C35BA"/>
    <w:rsid w:val="009C3C39"/>
    <w:rsid w:val="009C3C46"/>
    <w:rsid w:val="009C4554"/>
    <w:rsid w:val="009C4A74"/>
    <w:rsid w:val="009C516B"/>
    <w:rsid w:val="009C6568"/>
    <w:rsid w:val="009C6C18"/>
    <w:rsid w:val="009D056D"/>
    <w:rsid w:val="009D1058"/>
    <w:rsid w:val="009D1183"/>
    <w:rsid w:val="009D1583"/>
    <w:rsid w:val="009D192A"/>
    <w:rsid w:val="009D1A60"/>
    <w:rsid w:val="009D2A7D"/>
    <w:rsid w:val="009D2C18"/>
    <w:rsid w:val="009D3A06"/>
    <w:rsid w:val="009D3E0C"/>
    <w:rsid w:val="009D3F89"/>
    <w:rsid w:val="009D4453"/>
    <w:rsid w:val="009D4500"/>
    <w:rsid w:val="009D49CB"/>
    <w:rsid w:val="009D6467"/>
    <w:rsid w:val="009D6490"/>
    <w:rsid w:val="009D6929"/>
    <w:rsid w:val="009D759A"/>
    <w:rsid w:val="009E0AC8"/>
    <w:rsid w:val="009E1E62"/>
    <w:rsid w:val="009E3839"/>
    <w:rsid w:val="009E3FA7"/>
    <w:rsid w:val="009E54FF"/>
    <w:rsid w:val="009E6552"/>
    <w:rsid w:val="009F10FB"/>
    <w:rsid w:val="009F1C18"/>
    <w:rsid w:val="009F219C"/>
    <w:rsid w:val="009F294E"/>
    <w:rsid w:val="009F36A4"/>
    <w:rsid w:val="009F3919"/>
    <w:rsid w:val="009F3BB3"/>
    <w:rsid w:val="009F42D8"/>
    <w:rsid w:val="009F589D"/>
    <w:rsid w:val="009F6995"/>
    <w:rsid w:val="009F6D93"/>
    <w:rsid w:val="009F7807"/>
    <w:rsid w:val="00A03988"/>
    <w:rsid w:val="00A04069"/>
    <w:rsid w:val="00A04D05"/>
    <w:rsid w:val="00A06B65"/>
    <w:rsid w:val="00A07FDC"/>
    <w:rsid w:val="00A11C7D"/>
    <w:rsid w:val="00A12084"/>
    <w:rsid w:val="00A121B9"/>
    <w:rsid w:val="00A133D8"/>
    <w:rsid w:val="00A14A36"/>
    <w:rsid w:val="00A1583B"/>
    <w:rsid w:val="00A16EE6"/>
    <w:rsid w:val="00A1751C"/>
    <w:rsid w:val="00A17B14"/>
    <w:rsid w:val="00A20A14"/>
    <w:rsid w:val="00A20FD0"/>
    <w:rsid w:val="00A21A81"/>
    <w:rsid w:val="00A21AFC"/>
    <w:rsid w:val="00A21B83"/>
    <w:rsid w:val="00A22394"/>
    <w:rsid w:val="00A23B0B"/>
    <w:rsid w:val="00A2403B"/>
    <w:rsid w:val="00A249C9"/>
    <w:rsid w:val="00A24FB6"/>
    <w:rsid w:val="00A265CB"/>
    <w:rsid w:val="00A2690F"/>
    <w:rsid w:val="00A26CA3"/>
    <w:rsid w:val="00A27818"/>
    <w:rsid w:val="00A27914"/>
    <w:rsid w:val="00A30483"/>
    <w:rsid w:val="00A31B00"/>
    <w:rsid w:val="00A32AF3"/>
    <w:rsid w:val="00A3420F"/>
    <w:rsid w:val="00A34346"/>
    <w:rsid w:val="00A3438D"/>
    <w:rsid w:val="00A3688D"/>
    <w:rsid w:val="00A37692"/>
    <w:rsid w:val="00A37D1F"/>
    <w:rsid w:val="00A4048E"/>
    <w:rsid w:val="00A41588"/>
    <w:rsid w:val="00A4285B"/>
    <w:rsid w:val="00A4304A"/>
    <w:rsid w:val="00A43358"/>
    <w:rsid w:val="00A435F5"/>
    <w:rsid w:val="00A43795"/>
    <w:rsid w:val="00A43B17"/>
    <w:rsid w:val="00A45C0D"/>
    <w:rsid w:val="00A500C0"/>
    <w:rsid w:val="00A50405"/>
    <w:rsid w:val="00A5045A"/>
    <w:rsid w:val="00A505F3"/>
    <w:rsid w:val="00A5075B"/>
    <w:rsid w:val="00A51CAF"/>
    <w:rsid w:val="00A52732"/>
    <w:rsid w:val="00A52B11"/>
    <w:rsid w:val="00A53AF0"/>
    <w:rsid w:val="00A54572"/>
    <w:rsid w:val="00A55F0C"/>
    <w:rsid w:val="00A57FF2"/>
    <w:rsid w:val="00A60171"/>
    <w:rsid w:val="00A6095C"/>
    <w:rsid w:val="00A60BDC"/>
    <w:rsid w:val="00A61850"/>
    <w:rsid w:val="00A61D9E"/>
    <w:rsid w:val="00A62BB2"/>
    <w:rsid w:val="00A63CD5"/>
    <w:rsid w:val="00A6499B"/>
    <w:rsid w:val="00A64E3D"/>
    <w:rsid w:val="00A6563F"/>
    <w:rsid w:val="00A6601F"/>
    <w:rsid w:val="00A678DE"/>
    <w:rsid w:val="00A67B64"/>
    <w:rsid w:val="00A702F7"/>
    <w:rsid w:val="00A703B8"/>
    <w:rsid w:val="00A7051C"/>
    <w:rsid w:val="00A708AB"/>
    <w:rsid w:val="00A709BE"/>
    <w:rsid w:val="00A70A39"/>
    <w:rsid w:val="00A71776"/>
    <w:rsid w:val="00A71A76"/>
    <w:rsid w:val="00A720AE"/>
    <w:rsid w:val="00A729DA"/>
    <w:rsid w:val="00A72AEB"/>
    <w:rsid w:val="00A72E63"/>
    <w:rsid w:val="00A734E9"/>
    <w:rsid w:val="00A73932"/>
    <w:rsid w:val="00A75123"/>
    <w:rsid w:val="00A774F4"/>
    <w:rsid w:val="00A77BEC"/>
    <w:rsid w:val="00A80618"/>
    <w:rsid w:val="00A80F86"/>
    <w:rsid w:val="00A81BCF"/>
    <w:rsid w:val="00A827F0"/>
    <w:rsid w:val="00A82FD1"/>
    <w:rsid w:val="00A84CF7"/>
    <w:rsid w:val="00A84F48"/>
    <w:rsid w:val="00A85867"/>
    <w:rsid w:val="00A85DBF"/>
    <w:rsid w:val="00A86B8F"/>
    <w:rsid w:val="00A8729D"/>
    <w:rsid w:val="00A87C9F"/>
    <w:rsid w:val="00A90859"/>
    <w:rsid w:val="00A910FF"/>
    <w:rsid w:val="00A91BA5"/>
    <w:rsid w:val="00A91F85"/>
    <w:rsid w:val="00A92049"/>
    <w:rsid w:val="00A9286B"/>
    <w:rsid w:val="00A9331E"/>
    <w:rsid w:val="00A9373B"/>
    <w:rsid w:val="00A9396D"/>
    <w:rsid w:val="00A953C7"/>
    <w:rsid w:val="00A9563D"/>
    <w:rsid w:val="00A964F1"/>
    <w:rsid w:val="00A96649"/>
    <w:rsid w:val="00A9740D"/>
    <w:rsid w:val="00A974F8"/>
    <w:rsid w:val="00AA01F6"/>
    <w:rsid w:val="00AA0270"/>
    <w:rsid w:val="00AA09A8"/>
    <w:rsid w:val="00AA237B"/>
    <w:rsid w:val="00AA39EE"/>
    <w:rsid w:val="00AA6272"/>
    <w:rsid w:val="00AA6E59"/>
    <w:rsid w:val="00AA7513"/>
    <w:rsid w:val="00AA77FA"/>
    <w:rsid w:val="00AB0A46"/>
    <w:rsid w:val="00AB0CF2"/>
    <w:rsid w:val="00AB1438"/>
    <w:rsid w:val="00AB16A4"/>
    <w:rsid w:val="00AB1C05"/>
    <w:rsid w:val="00AB329E"/>
    <w:rsid w:val="00AB4790"/>
    <w:rsid w:val="00AB491D"/>
    <w:rsid w:val="00AB5023"/>
    <w:rsid w:val="00AB5836"/>
    <w:rsid w:val="00AB6D9E"/>
    <w:rsid w:val="00AB79FA"/>
    <w:rsid w:val="00AC02B3"/>
    <w:rsid w:val="00AC148E"/>
    <w:rsid w:val="00AC16DF"/>
    <w:rsid w:val="00AC25B4"/>
    <w:rsid w:val="00AC2DBD"/>
    <w:rsid w:val="00AC2E6B"/>
    <w:rsid w:val="00AC30B3"/>
    <w:rsid w:val="00AC32C1"/>
    <w:rsid w:val="00AC49AD"/>
    <w:rsid w:val="00AC5D3F"/>
    <w:rsid w:val="00AC69D3"/>
    <w:rsid w:val="00AC7AF5"/>
    <w:rsid w:val="00AC7B17"/>
    <w:rsid w:val="00AD04C4"/>
    <w:rsid w:val="00AD1A5E"/>
    <w:rsid w:val="00AD1B1E"/>
    <w:rsid w:val="00AD2B71"/>
    <w:rsid w:val="00AD4F79"/>
    <w:rsid w:val="00AD523F"/>
    <w:rsid w:val="00AD54A9"/>
    <w:rsid w:val="00AD62C3"/>
    <w:rsid w:val="00AD6321"/>
    <w:rsid w:val="00AD6591"/>
    <w:rsid w:val="00AD6639"/>
    <w:rsid w:val="00AD751F"/>
    <w:rsid w:val="00AE02AF"/>
    <w:rsid w:val="00AE071E"/>
    <w:rsid w:val="00AE0A1C"/>
    <w:rsid w:val="00AE0C1F"/>
    <w:rsid w:val="00AE0C2C"/>
    <w:rsid w:val="00AE19AC"/>
    <w:rsid w:val="00AE1B3D"/>
    <w:rsid w:val="00AE315A"/>
    <w:rsid w:val="00AE3897"/>
    <w:rsid w:val="00AE47D0"/>
    <w:rsid w:val="00AE5F34"/>
    <w:rsid w:val="00AE6CEB"/>
    <w:rsid w:val="00AE7863"/>
    <w:rsid w:val="00AF0E4B"/>
    <w:rsid w:val="00AF2318"/>
    <w:rsid w:val="00AF3D61"/>
    <w:rsid w:val="00AF4C43"/>
    <w:rsid w:val="00AF4E58"/>
    <w:rsid w:val="00AF5D10"/>
    <w:rsid w:val="00AF60FA"/>
    <w:rsid w:val="00AF6CCC"/>
    <w:rsid w:val="00AF7966"/>
    <w:rsid w:val="00B00C55"/>
    <w:rsid w:val="00B02155"/>
    <w:rsid w:val="00B032B0"/>
    <w:rsid w:val="00B03914"/>
    <w:rsid w:val="00B03AAD"/>
    <w:rsid w:val="00B03C24"/>
    <w:rsid w:val="00B05360"/>
    <w:rsid w:val="00B05AC0"/>
    <w:rsid w:val="00B06A9B"/>
    <w:rsid w:val="00B07B46"/>
    <w:rsid w:val="00B10A0E"/>
    <w:rsid w:val="00B119A2"/>
    <w:rsid w:val="00B11B12"/>
    <w:rsid w:val="00B11C39"/>
    <w:rsid w:val="00B11FEB"/>
    <w:rsid w:val="00B125C7"/>
    <w:rsid w:val="00B13CB5"/>
    <w:rsid w:val="00B15978"/>
    <w:rsid w:val="00B1668E"/>
    <w:rsid w:val="00B16D05"/>
    <w:rsid w:val="00B20579"/>
    <w:rsid w:val="00B219E7"/>
    <w:rsid w:val="00B22374"/>
    <w:rsid w:val="00B23FDC"/>
    <w:rsid w:val="00B25CBC"/>
    <w:rsid w:val="00B26384"/>
    <w:rsid w:val="00B26B17"/>
    <w:rsid w:val="00B27BD4"/>
    <w:rsid w:val="00B302E1"/>
    <w:rsid w:val="00B30668"/>
    <w:rsid w:val="00B3101C"/>
    <w:rsid w:val="00B32F8D"/>
    <w:rsid w:val="00B33D8B"/>
    <w:rsid w:val="00B35371"/>
    <w:rsid w:val="00B367A8"/>
    <w:rsid w:val="00B370A5"/>
    <w:rsid w:val="00B3718D"/>
    <w:rsid w:val="00B374EF"/>
    <w:rsid w:val="00B41647"/>
    <w:rsid w:val="00B41BAF"/>
    <w:rsid w:val="00B43238"/>
    <w:rsid w:val="00B43B9B"/>
    <w:rsid w:val="00B45693"/>
    <w:rsid w:val="00B46A1E"/>
    <w:rsid w:val="00B46FDB"/>
    <w:rsid w:val="00B47F46"/>
    <w:rsid w:val="00B47FB1"/>
    <w:rsid w:val="00B51178"/>
    <w:rsid w:val="00B511C2"/>
    <w:rsid w:val="00B526E6"/>
    <w:rsid w:val="00B52D19"/>
    <w:rsid w:val="00B52D50"/>
    <w:rsid w:val="00B52DBD"/>
    <w:rsid w:val="00B52F96"/>
    <w:rsid w:val="00B550B3"/>
    <w:rsid w:val="00B5519D"/>
    <w:rsid w:val="00B57D10"/>
    <w:rsid w:val="00B60589"/>
    <w:rsid w:val="00B60E03"/>
    <w:rsid w:val="00B61982"/>
    <w:rsid w:val="00B62577"/>
    <w:rsid w:val="00B629C6"/>
    <w:rsid w:val="00B629F9"/>
    <w:rsid w:val="00B6324B"/>
    <w:rsid w:val="00B6399D"/>
    <w:rsid w:val="00B63E94"/>
    <w:rsid w:val="00B6523D"/>
    <w:rsid w:val="00B65F89"/>
    <w:rsid w:val="00B67CF5"/>
    <w:rsid w:val="00B718DF"/>
    <w:rsid w:val="00B71970"/>
    <w:rsid w:val="00B72083"/>
    <w:rsid w:val="00B728C0"/>
    <w:rsid w:val="00B73422"/>
    <w:rsid w:val="00B75AD4"/>
    <w:rsid w:val="00B76709"/>
    <w:rsid w:val="00B767E4"/>
    <w:rsid w:val="00B76FDC"/>
    <w:rsid w:val="00B77B7D"/>
    <w:rsid w:val="00B80867"/>
    <w:rsid w:val="00B81088"/>
    <w:rsid w:val="00B83699"/>
    <w:rsid w:val="00B837E9"/>
    <w:rsid w:val="00B83AC1"/>
    <w:rsid w:val="00B84403"/>
    <w:rsid w:val="00B9176A"/>
    <w:rsid w:val="00B92611"/>
    <w:rsid w:val="00B92BC6"/>
    <w:rsid w:val="00B9397B"/>
    <w:rsid w:val="00B9528B"/>
    <w:rsid w:val="00B95534"/>
    <w:rsid w:val="00B9678C"/>
    <w:rsid w:val="00BA179F"/>
    <w:rsid w:val="00BA2857"/>
    <w:rsid w:val="00BA39F4"/>
    <w:rsid w:val="00BA3E88"/>
    <w:rsid w:val="00BA453E"/>
    <w:rsid w:val="00BA5246"/>
    <w:rsid w:val="00BA5350"/>
    <w:rsid w:val="00BA5DFE"/>
    <w:rsid w:val="00BA65E3"/>
    <w:rsid w:val="00BA664F"/>
    <w:rsid w:val="00BA6A34"/>
    <w:rsid w:val="00BA6CF3"/>
    <w:rsid w:val="00BB159F"/>
    <w:rsid w:val="00BB2334"/>
    <w:rsid w:val="00BB4236"/>
    <w:rsid w:val="00BB4857"/>
    <w:rsid w:val="00BB4870"/>
    <w:rsid w:val="00BB553E"/>
    <w:rsid w:val="00BB73E5"/>
    <w:rsid w:val="00BB74A7"/>
    <w:rsid w:val="00BB77CD"/>
    <w:rsid w:val="00BB7DA1"/>
    <w:rsid w:val="00BC0136"/>
    <w:rsid w:val="00BC02E9"/>
    <w:rsid w:val="00BC13E6"/>
    <w:rsid w:val="00BC22C8"/>
    <w:rsid w:val="00BC28FC"/>
    <w:rsid w:val="00BC3894"/>
    <w:rsid w:val="00BC39D9"/>
    <w:rsid w:val="00BC4206"/>
    <w:rsid w:val="00BC515C"/>
    <w:rsid w:val="00BC5AD3"/>
    <w:rsid w:val="00BC6E0B"/>
    <w:rsid w:val="00BD054E"/>
    <w:rsid w:val="00BD2D01"/>
    <w:rsid w:val="00BD5DBA"/>
    <w:rsid w:val="00BD6606"/>
    <w:rsid w:val="00BD7254"/>
    <w:rsid w:val="00BE080E"/>
    <w:rsid w:val="00BE16B8"/>
    <w:rsid w:val="00BE1991"/>
    <w:rsid w:val="00BE1A98"/>
    <w:rsid w:val="00BE3478"/>
    <w:rsid w:val="00BE49F4"/>
    <w:rsid w:val="00BE4C58"/>
    <w:rsid w:val="00BE4DB6"/>
    <w:rsid w:val="00BE535D"/>
    <w:rsid w:val="00BE601B"/>
    <w:rsid w:val="00BE60E8"/>
    <w:rsid w:val="00BF01B3"/>
    <w:rsid w:val="00BF041B"/>
    <w:rsid w:val="00BF065E"/>
    <w:rsid w:val="00BF0CC2"/>
    <w:rsid w:val="00BF1106"/>
    <w:rsid w:val="00BF15BE"/>
    <w:rsid w:val="00BF3D1B"/>
    <w:rsid w:val="00BF4DB6"/>
    <w:rsid w:val="00BF5664"/>
    <w:rsid w:val="00BF601B"/>
    <w:rsid w:val="00BF7247"/>
    <w:rsid w:val="00BF7E0C"/>
    <w:rsid w:val="00C00075"/>
    <w:rsid w:val="00C00C94"/>
    <w:rsid w:val="00C00FD9"/>
    <w:rsid w:val="00C01666"/>
    <w:rsid w:val="00C0374C"/>
    <w:rsid w:val="00C03F5E"/>
    <w:rsid w:val="00C04745"/>
    <w:rsid w:val="00C04A5F"/>
    <w:rsid w:val="00C055F4"/>
    <w:rsid w:val="00C0681A"/>
    <w:rsid w:val="00C0781B"/>
    <w:rsid w:val="00C10A61"/>
    <w:rsid w:val="00C112D6"/>
    <w:rsid w:val="00C129CF"/>
    <w:rsid w:val="00C13473"/>
    <w:rsid w:val="00C143AE"/>
    <w:rsid w:val="00C1515B"/>
    <w:rsid w:val="00C1580E"/>
    <w:rsid w:val="00C15B42"/>
    <w:rsid w:val="00C15E7A"/>
    <w:rsid w:val="00C1773B"/>
    <w:rsid w:val="00C17866"/>
    <w:rsid w:val="00C1786B"/>
    <w:rsid w:val="00C17B90"/>
    <w:rsid w:val="00C17F11"/>
    <w:rsid w:val="00C21CC0"/>
    <w:rsid w:val="00C23F28"/>
    <w:rsid w:val="00C24FCA"/>
    <w:rsid w:val="00C25879"/>
    <w:rsid w:val="00C2610A"/>
    <w:rsid w:val="00C26521"/>
    <w:rsid w:val="00C27A28"/>
    <w:rsid w:val="00C31CF1"/>
    <w:rsid w:val="00C32571"/>
    <w:rsid w:val="00C33A79"/>
    <w:rsid w:val="00C35D62"/>
    <w:rsid w:val="00C37D20"/>
    <w:rsid w:val="00C402E5"/>
    <w:rsid w:val="00C42475"/>
    <w:rsid w:val="00C42781"/>
    <w:rsid w:val="00C42E2B"/>
    <w:rsid w:val="00C439F6"/>
    <w:rsid w:val="00C43DE4"/>
    <w:rsid w:val="00C46084"/>
    <w:rsid w:val="00C47984"/>
    <w:rsid w:val="00C4799E"/>
    <w:rsid w:val="00C47F6B"/>
    <w:rsid w:val="00C5013A"/>
    <w:rsid w:val="00C504C8"/>
    <w:rsid w:val="00C505FF"/>
    <w:rsid w:val="00C518DE"/>
    <w:rsid w:val="00C5235E"/>
    <w:rsid w:val="00C53047"/>
    <w:rsid w:val="00C54575"/>
    <w:rsid w:val="00C548AF"/>
    <w:rsid w:val="00C55FD9"/>
    <w:rsid w:val="00C60A8C"/>
    <w:rsid w:val="00C61B96"/>
    <w:rsid w:val="00C61DF7"/>
    <w:rsid w:val="00C63531"/>
    <w:rsid w:val="00C6443A"/>
    <w:rsid w:val="00C64971"/>
    <w:rsid w:val="00C649C9"/>
    <w:rsid w:val="00C65318"/>
    <w:rsid w:val="00C65FC0"/>
    <w:rsid w:val="00C6622F"/>
    <w:rsid w:val="00C67CDB"/>
    <w:rsid w:val="00C70C71"/>
    <w:rsid w:val="00C71595"/>
    <w:rsid w:val="00C717FA"/>
    <w:rsid w:val="00C71FBF"/>
    <w:rsid w:val="00C725CE"/>
    <w:rsid w:val="00C72C74"/>
    <w:rsid w:val="00C72CAC"/>
    <w:rsid w:val="00C731B2"/>
    <w:rsid w:val="00C73EAE"/>
    <w:rsid w:val="00C74134"/>
    <w:rsid w:val="00C7449B"/>
    <w:rsid w:val="00C74C6E"/>
    <w:rsid w:val="00C751EC"/>
    <w:rsid w:val="00C753C4"/>
    <w:rsid w:val="00C76ADD"/>
    <w:rsid w:val="00C804CD"/>
    <w:rsid w:val="00C806D5"/>
    <w:rsid w:val="00C817C4"/>
    <w:rsid w:val="00C81A06"/>
    <w:rsid w:val="00C81E50"/>
    <w:rsid w:val="00C82D56"/>
    <w:rsid w:val="00C83071"/>
    <w:rsid w:val="00C83170"/>
    <w:rsid w:val="00C86B1E"/>
    <w:rsid w:val="00C87442"/>
    <w:rsid w:val="00C87C89"/>
    <w:rsid w:val="00C9009B"/>
    <w:rsid w:val="00C908A7"/>
    <w:rsid w:val="00C90EF2"/>
    <w:rsid w:val="00C91086"/>
    <w:rsid w:val="00C91224"/>
    <w:rsid w:val="00C9190A"/>
    <w:rsid w:val="00C92422"/>
    <w:rsid w:val="00C931B8"/>
    <w:rsid w:val="00C9375B"/>
    <w:rsid w:val="00C94B72"/>
    <w:rsid w:val="00C95701"/>
    <w:rsid w:val="00C9680F"/>
    <w:rsid w:val="00C97CA3"/>
    <w:rsid w:val="00C97DC7"/>
    <w:rsid w:val="00CA0633"/>
    <w:rsid w:val="00CA0795"/>
    <w:rsid w:val="00CA07D7"/>
    <w:rsid w:val="00CA0892"/>
    <w:rsid w:val="00CA0CE0"/>
    <w:rsid w:val="00CA1CDB"/>
    <w:rsid w:val="00CA26ED"/>
    <w:rsid w:val="00CA2868"/>
    <w:rsid w:val="00CA3519"/>
    <w:rsid w:val="00CA6723"/>
    <w:rsid w:val="00CA76CC"/>
    <w:rsid w:val="00CA7C64"/>
    <w:rsid w:val="00CB0EB8"/>
    <w:rsid w:val="00CB10B6"/>
    <w:rsid w:val="00CB371B"/>
    <w:rsid w:val="00CB3753"/>
    <w:rsid w:val="00CB58FD"/>
    <w:rsid w:val="00CB7EFF"/>
    <w:rsid w:val="00CC1171"/>
    <w:rsid w:val="00CC27A5"/>
    <w:rsid w:val="00CC2A60"/>
    <w:rsid w:val="00CC3A8C"/>
    <w:rsid w:val="00CC4D05"/>
    <w:rsid w:val="00CC5B2B"/>
    <w:rsid w:val="00CC6AD0"/>
    <w:rsid w:val="00CC6F58"/>
    <w:rsid w:val="00CD0174"/>
    <w:rsid w:val="00CD1C0E"/>
    <w:rsid w:val="00CD215A"/>
    <w:rsid w:val="00CD2478"/>
    <w:rsid w:val="00CD2887"/>
    <w:rsid w:val="00CD3E6D"/>
    <w:rsid w:val="00CD4599"/>
    <w:rsid w:val="00CD4E21"/>
    <w:rsid w:val="00CD5744"/>
    <w:rsid w:val="00CD7C09"/>
    <w:rsid w:val="00CE03E1"/>
    <w:rsid w:val="00CE0FAC"/>
    <w:rsid w:val="00CE1EC8"/>
    <w:rsid w:val="00CE2163"/>
    <w:rsid w:val="00CE2915"/>
    <w:rsid w:val="00CE2D99"/>
    <w:rsid w:val="00CE2EFD"/>
    <w:rsid w:val="00CE3B9F"/>
    <w:rsid w:val="00CE7B53"/>
    <w:rsid w:val="00CF1D14"/>
    <w:rsid w:val="00CF1DEE"/>
    <w:rsid w:val="00CF247B"/>
    <w:rsid w:val="00CF26CF"/>
    <w:rsid w:val="00CF2D0A"/>
    <w:rsid w:val="00CF2FBD"/>
    <w:rsid w:val="00CF3B3A"/>
    <w:rsid w:val="00CF3D9A"/>
    <w:rsid w:val="00CF4371"/>
    <w:rsid w:val="00CF5105"/>
    <w:rsid w:val="00CF633A"/>
    <w:rsid w:val="00CF77DC"/>
    <w:rsid w:val="00D00776"/>
    <w:rsid w:val="00D0087F"/>
    <w:rsid w:val="00D01638"/>
    <w:rsid w:val="00D03DCC"/>
    <w:rsid w:val="00D0442B"/>
    <w:rsid w:val="00D0484B"/>
    <w:rsid w:val="00D05B3A"/>
    <w:rsid w:val="00D06A8C"/>
    <w:rsid w:val="00D07504"/>
    <w:rsid w:val="00D07BF2"/>
    <w:rsid w:val="00D1115E"/>
    <w:rsid w:val="00D112DF"/>
    <w:rsid w:val="00D12743"/>
    <w:rsid w:val="00D139F3"/>
    <w:rsid w:val="00D14BF0"/>
    <w:rsid w:val="00D14D1A"/>
    <w:rsid w:val="00D15106"/>
    <w:rsid w:val="00D1698C"/>
    <w:rsid w:val="00D169B5"/>
    <w:rsid w:val="00D16BCE"/>
    <w:rsid w:val="00D16DAC"/>
    <w:rsid w:val="00D20B79"/>
    <w:rsid w:val="00D21DA3"/>
    <w:rsid w:val="00D229FE"/>
    <w:rsid w:val="00D22E44"/>
    <w:rsid w:val="00D245B9"/>
    <w:rsid w:val="00D2496E"/>
    <w:rsid w:val="00D24EDE"/>
    <w:rsid w:val="00D258D0"/>
    <w:rsid w:val="00D26387"/>
    <w:rsid w:val="00D267C3"/>
    <w:rsid w:val="00D27373"/>
    <w:rsid w:val="00D277C2"/>
    <w:rsid w:val="00D30C0C"/>
    <w:rsid w:val="00D32F97"/>
    <w:rsid w:val="00D33DDA"/>
    <w:rsid w:val="00D3420A"/>
    <w:rsid w:val="00D346E7"/>
    <w:rsid w:val="00D35459"/>
    <w:rsid w:val="00D36645"/>
    <w:rsid w:val="00D376D3"/>
    <w:rsid w:val="00D37D4E"/>
    <w:rsid w:val="00D4007B"/>
    <w:rsid w:val="00D4147C"/>
    <w:rsid w:val="00D42FA1"/>
    <w:rsid w:val="00D43CCB"/>
    <w:rsid w:val="00D45401"/>
    <w:rsid w:val="00D459DF"/>
    <w:rsid w:val="00D45F12"/>
    <w:rsid w:val="00D47E52"/>
    <w:rsid w:val="00D51097"/>
    <w:rsid w:val="00D520AC"/>
    <w:rsid w:val="00D520E6"/>
    <w:rsid w:val="00D5255F"/>
    <w:rsid w:val="00D536BD"/>
    <w:rsid w:val="00D53A13"/>
    <w:rsid w:val="00D53DD9"/>
    <w:rsid w:val="00D53F58"/>
    <w:rsid w:val="00D540C3"/>
    <w:rsid w:val="00D548A8"/>
    <w:rsid w:val="00D56BBF"/>
    <w:rsid w:val="00D56C8D"/>
    <w:rsid w:val="00D57B91"/>
    <w:rsid w:val="00D608DF"/>
    <w:rsid w:val="00D61565"/>
    <w:rsid w:val="00D61C03"/>
    <w:rsid w:val="00D61F44"/>
    <w:rsid w:val="00D62702"/>
    <w:rsid w:val="00D63B46"/>
    <w:rsid w:val="00D63F5F"/>
    <w:rsid w:val="00D64C6D"/>
    <w:rsid w:val="00D64C74"/>
    <w:rsid w:val="00D650F4"/>
    <w:rsid w:val="00D65FF9"/>
    <w:rsid w:val="00D66ECB"/>
    <w:rsid w:val="00D7059D"/>
    <w:rsid w:val="00D71D11"/>
    <w:rsid w:val="00D72904"/>
    <w:rsid w:val="00D7399E"/>
    <w:rsid w:val="00D74038"/>
    <w:rsid w:val="00D74741"/>
    <w:rsid w:val="00D74B32"/>
    <w:rsid w:val="00D75623"/>
    <w:rsid w:val="00D75CF6"/>
    <w:rsid w:val="00D75F6A"/>
    <w:rsid w:val="00D76389"/>
    <w:rsid w:val="00D7664D"/>
    <w:rsid w:val="00D773BE"/>
    <w:rsid w:val="00D779E1"/>
    <w:rsid w:val="00D8141C"/>
    <w:rsid w:val="00D8169A"/>
    <w:rsid w:val="00D8471D"/>
    <w:rsid w:val="00D863B0"/>
    <w:rsid w:val="00D86B28"/>
    <w:rsid w:val="00D873FA"/>
    <w:rsid w:val="00D87803"/>
    <w:rsid w:val="00D903BC"/>
    <w:rsid w:val="00D905DC"/>
    <w:rsid w:val="00D90C00"/>
    <w:rsid w:val="00D90DE6"/>
    <w:rsid w:val="00D9208D"/>
    <w:rsid w:val="00D924C6"/>
    <w:rsid w:val="00D92928"/>
    <w:rsid w:val="00D92D02"/>
    <w:rsid w:val="00D95B31"/>
    <w:rsid w:val="00D95DBD"/>
    <w:rsid w:val="00D9671A"/>
    <w:rsid w:val="00D96C54"/>
    <w:rsid w:val="00D9726B"/>
    <w:rsid w:val="00D97905"/>
    <w:rsid w:val="00DA029A"/>
    <w:rsid w:val="00DA0A7E"/>
    <w:rsid w:val="00DA2AAD"/>
    <w:rsid w:val="00DA30F1"/>
    <w:rsid w:val="00DA3125"/>
    <w:rsid w:val="00DA4944"/>
    <w:rsid w:val="00DA6435"/>
    <w:rsid w:val="00DA76D7"/>
    <w:rsid w:val="00DA7AA9"/>
    <w:rsid w:val="00DA7B35"/>
    <w:rsid w:val="00DB07DB"/>
    <w:rsid w:val="00DB288E"/>
    <w:rsid w:val="00DB2B84"/>
    <w:rsid w:val="00DB4314"/>
    <w:rsid w:val="00DB514C"/>
    <w:rsid w:val="00DB554C"/>
    <w:rsid w:val="00DB5F14"/>
    <w:rsid w:val="00DB69BA"/>
    <w:rsid w:val="00DB6D65"/>
    <w:rsid w:val="00DB6EB4"/>
    <w:rsid w:val="00DB6F9C"/>
    <w:rsid w:val="00DC00CF"/>
    <w:rsid w:val="00DC0350"/>
    <w:rsid w:val="00DC0710"/>
    <w:rsid w:val="00DC159D"/>
    <w:rsid w:val="00DC21F8"/>
    <w:rsid w:val="00DC2974"/>
    <w:rsid w:val="00DC3215"/>
    <w:rsid w:val="00DC3B4C"/>
    <w:rsid w:val="00DC4C62"/>
    <w:rsid w:val="00DC64EE"/>
    <w:rsid w:val="00DC6C9C"/>
    <w:rsid w:val="00DC766E"/>
    <w:rsid w:val="00DC7885"/>
    <w:rsid w:val="00DC7EF0"/>
    <w:rsid w:val="00DD2EC0"/>
    <w:rsid w:val="00DD32D1"/>
    <w:rsid w:val="00DD52AC"/>
    <w:rsid w:val="00DD553A"/>
    <w:rsid w:val="00DD6088"/>
    <w:rsid w:val="00DD654F"/>
    <w:rsid w:val="00DD672F"/>
    <w:rsid w:val="00DD6ABD"/>
    <w:rsid w:val="00DD7E4E"/>
    <w:rsid w:val="00DD7E72"/>
    <w:rsid w:val="00DE09FB"/>
    <w:rsid w:val="00DE3494"/>
    <w:rsid w:val="00DE38A8"/>
    <w:rsid w:val="00DE4020"/>
    <w:rsid w:val="00DE5206"/>
    <w:rsid w:val="00DE686F"/>
    <w:rsid w:val="00DE72C3"/>
    <w:rsid w:val="00DE7377"/>
    <w:rsid w:val="00DF0072"/>
    <w:rsid w:val="00DF0661"/>
    <w:rsid w:val="00DF095E"/>
    <w:rsid w:val="00DF1726"/>
    <w:rsid w:val="00DF1779"/>
    <w:rsid w:val="00DF490A"/>
    <w:rsid w:val="00DF5AB7"/>
    <w:rsid w:val="00E0019F"/>
    <w:rsid w:val="00E00664"/>
    <w:rsid w:val="00E00874"/>
    <w:rsid w:val="00E009F8"/>
    <w:rsid w:val="00E00CA5"/>
    <w:rsid w:val="00E027D7"/>
    <w:rsid w:val="00E02A12"/>
    <w:rsid w:val="00E07019"/>
    <w:rsid w:val="00E078CB"/>
    <w:rsid w:val="00E10AEA"/>
    <w:rsid w:val="00E10B9C"/>
    <w:rsid w:val="00E115AE"/>
    <w:rsid w:val="00E1167A"/>
    <w:rsid w:val="00E11D53"/>
    <w:rsid w:val="00E12632"/>
    <w:rsid w:val="00E13330"/>
    <w:rsid w:val="00E134F2"/>
    <w:rsid w:val="00E13BC1"/>
    <w:rsid w:val="00E157D4"/>
    <w:rsid w:val="00E16AC0"/>
    <w:rsid w:val="00E17199"/>
    <w:rsid w:val="00E209B4"/>
    <w:rsid w:val="00E20CA5"/>
    <w:rsid w:val="00E218E1"/>
    <w:rsid w:val="00E21AB6"/>
    <w:rsid w:val="00E23BF0"/>
    <w:rsid w:val="00E2449D"/>
    <w:rsid w:val="00E245E9"/>
    <w:rsid w:val="00E24F0B"/>
    <w:rsid w:val="00E262D2"/>
    <w:rsid w:val="00E26BE5"/>
    <w:rsid w:val="00E27DEA"/>
    <w:rsid w:val="00E30931"/>
    <w:rsid w:val="00E326A3"/>
    <w:rsid w:val="00E32B7F"/>
    <w:rsid w:val="00E334EB"/>
    <w:rsid w:val="00E3486C"/>
    <w:rsid w:val="00E357E8"/>
    <w:rsid w:val="00E35A87"/>
    <w:rsid w:val="00E36F39"/>
    <w:rsid w:val="00E37047"/>
    <w:rsid w:val="00E41B5A"/>
    <w:rsid w:val="00E42613"/>
    <w:rsid w:val="00E440BA"/>
    <w:rsid w:val="00E441E8"/>
    <w:rsid w:val="00E442EC"/>
    <w:rsid w:val="00E444BA"/>
    <w:rsid w:val="00E44ABE"/>
    <w:rsid w:val="00E457EF"/>
    <w:rsid w:val="00E46711"/>
    <w:rsid w:val="00E479E4"/>
    <w:rsid w:val="00E47C94"/>
    <w:rsid w:val="00E5138D"/>
    <w:rsid w:val="00E51A72"/>
    <w:rsid w:val="00E520EA"/>
    <w:rsid w:val="00E5328C"/>
    <w:rsid w:val="00E5382D"/>
    <w:rsid w:val="00E545DB"/>
    <w:rsid w:val="00E54B4B"/>
    <w:rsid w:val="00E55701"/>
    <w:rsid w:val="00E55DA2"/>
    <w:rsid w:val="00E5614E"/>
    <w:rsid w:val="00E567D9"/>
    <w:rsid w:val="00E56A15"/>
    <w:rsid w:val="00E57018"/>
    <w:rsid w:val="00E62C5B"/>
    <w:rsid w:val="00E6322F"/>
    <w:rsid w:val="00E65241"/>
    <w:rsid w:val="00E65B94"/>
    <w:rsid w:val="00E66756"/>
    <w:rsid w:val="00E66BBF"/>
    <w:rsid w:val="00E66BEC"/>
    <w:rsid w:val="00E67374"/>
    <w:rsid w:val="00E70CD8"/>
    <w:rsid w:val="00E71976"/>
    <w:rsid w:val="00E71AC4"/>
    <w:rsid w:val="00E71C67"/>
    <w:rsid w:val="00E72AA5"/>
    <w:rsid w:val="00E7493F"/>
    <w:rsid w:val="00E7558C"/>
    <w:rsid w:val="00E75B57"/>
    <w:rsid w:val="00E766DE"/>
    <w:rsid w:val="00E76C12"/>
    <w:rsid w:val="00E80C63"/>
    <w:rsid w:val="00E816DE"/>
    <w:rsid w:val="00E83C28"/>
    <w:rsid w:val="00E86284"/>
    <w:rsid w:val="00E877B2"/>
    <w:rsid w:val="00E90D7A"/>
    <w:rsid w:val="00E90FFB"/>
    <w:rsid w:val="00E913F4"/>
    <w:rsid w:val="00E918AF"/>
    <w:rsid w:val="00E92494"/>
    <w:rsid w:val="00E942F7"/>
    <w:rsid w:val="00E944E7"/>
    <w:rsid w:val="00E956F7"/>
    <w:rsid w:val="00E969E3"/>
    <w:rsid w:val="00E96D6E"/>
    <w:rsid w:val="00E97043"/>
    <w:rsid w:val="00E97262"/>
    <w:rsid w:val="00E97D14"/>
    <w:rsid w:val="00EA0A80"/>
    <w:rsid w:val="00EA2295"/>
    <w:rsid w:val="00EA254C"/>
    <w:rsid w:val="00EA26E6"/>
    <w:rsid w:val="00EA3E99"/>
    <w:rsid w:val="00EA4AF8"/>
    <w:rsid w:val="00EA4C0A"/>
    <w:rsid w:val="00EA5188"/>
    <w:rsid w:val="00EA54D0"/>
    <w:rsid w:val="00EA6595"/>
    <w:rsid w:val="00EB0534"/>
    <w:rsid w:val="00EB0DA4"/>
    <w:rsid w:val="00EB2E15"/>
    <w:rsid w:val="00EB3D29"/>
    <w:rsid w:val="00EB5A1B"/>
    <w:rsid w:val="00EB6517"/>
    <w:rsid w:val="00EB70DF"/>
    <w:rsid w:val="00EB716D"/>
    <w:rsid w:val="00EB7570"/>
    <w:rsid w:val="00EC162F"/>
    <w:rsid w:val="00EC1CCB"/>
    <w:rsid w:val="00EC34E1"/>
    <w:rsid w:val="00EC4048"/>
    <w:rsid w:val="00EC442C"/>
    <w:rsid w:val="00EC4BDD"/>
    <w:rsid w:val="00EC4F3F"/>
    <w:rsid w:val="00EC5AAB"/>
    <w:rsid w:val="00EC6426"/>
    <w:rsid w:val="00EC72FB"/>
    <w:rsid w:val="00EC79CD"/>
    <w:rsid w:val="00ED0DCF"/>
    <w:rsid w:val="00ED147E"/>
    <w:rsid w:val="00ED16AA"/>
    <w:rsid w:val="00ED3A7A"/>
    <w:rsid w:val="00ED3F80"/>
    <w:rsid w:val="00ED44DA"/>
    <w:rsid w:val="00ED5C7A"/>
    <w:rsid w:val="00EE0731"/>
    <w:rsid w:val="00EE1CEE"/>
    <w:rsid w:val="00EE26D2"/>
    <w:rsid w:val="00EE379C"/>
    <w:rsid w:val="00EE3D8D"/>
    <w:rsid w:val="00EE4D5F"/>
    <w:rsid w:val="00EE55C6"/>
    <w:rsid w:val="00EF0CE0"/>
    <w:rsid w:val="00EF0E21"/>
    <w:rsid w:val="00EF12C9"/>
    <w:rsid w:val="00EF230F"/>
    <w:rsid w:val="00EF3E9F"/>
    <w:rsid w:val="00EF5517"/>
    <w:rsid w:val="00EF5C34"/>
    <w:rsid w:val="00EF6667"/>
    <w:rsid w:val="00EF7858"/>
    <w:rsid w:val="00EF7D6E"/>
    <w:rsid w:val="00F00464"/>
    <w:rsid w:val="00F012B5"/>
    <w:rsid w:val="00F01E83"/>
    <w:rsid w:val="00F03117"/>
    <w:rsid w:val="00F035FE"/>
    <w:rsid w:val="00F05990"/>
    <w:rsid w:val="00F06016"/>
    <w:rsid w:val="00F060E4"/>
    <w:rsid w:val="00F066AF"/>
    <w:rsid w:val="00F10F94"/>
    <w:rsid w:val="00F11382"/>
    <w:rsid w:val="00F117C8"/>
    <w:rsid w:val="00F11B2B"/>
    <w:rsid w:val="00F11CB2"/>
    <w:rsid w:val="00F127CC"/>
    <w:rsid w:val="00F1484F"/>
    <w:rsid w:val="00F155AA"/>
    <w:rsid w:val="00F15C1D"/>
    <w:rsid w:val="00F17A96"/>
    <w:rsid w:val="00F17C4B"/>
    <w:rsid w:val="00F17D7B"/>
    <w:rsid w:val="00F200F3"/>
    <w:rsid w:val="00F20282"/>
    <w:rsid w:val="00F20685"/>
    <w:rsid w:val="00F214D9"/>
    <w:rsid w:val="00F2192E"/>
    <w:rsid w:val="00F22100"/>
    <w:rsid w:val="00F22BCE"/>
    <w:rsid w:val="00F23CFC"/>
    <w:rsid w:val="00F23D2C"/>
    <w:rsid w:val="00F243F1"/>
    <w:rsid w:val="00F244FA"/>
    <w:rsid w:val="00F2501E"/>
    <w:rsid w:val="00F25154"/>
    <w:rsid w:val="00F25196"/>
    <w:rsid w:val="00F2557F"/>
    <w:rsid w:val="00F261AD"/>
    <w:rsid w:val="00F274CF"/>
    <w:rsid w:val="00F27802"/>
    <w:rsid w:val="00F27819"/>
    <w:rsid w:val="00F304AB"/>
    <w:rsid w:val="00F30A56"/>
    <w:rsid w:val="00F30A73"/>
    <w:rsid w:val="00F31605"/>
    <w:rsid w:val="00F3175D"/>
    <w:rsid w:val="00F31E0E"/>
    <w:rsid w:val="00F31E10"/>
    <w:rsid w:val="00F33690"/>
    <w:rsid w:val="00F35100"/>
    <w:rsid w:val="00F36E2B"/>
    <w:rsid w:val="00F37038"/>
    <w:rsid w:val="00F37077"/>
    <w:rsid w:val="00F378DD"/>
    <w:rsid w:val="00F37AB6"/>
    <w:rsid w:val="00F40EA7"/>
    <w:rsid w:val="00F40F29"/>
    <w:rsid w:val="00F4101E"/>
    <w:rsid w:val="00F410D4"/>
    <w:rsid w:val="00F4131D"/>
    <w:rsid w:val="00F430F8"/>
    <w:rsid w:val="00F4485A"/>
    <w:rsid w:val="00F458A3"/>
    <w:rsid w:val="00F458EA"/>
    <w:rsid w:val="00F466A8"/>
    <w:rsid w:val="00F46E1A"/>
    <w:rsid w:val="00F47761"/>
    <w:rsid w:val="00F47E76"/>
    <w:rsid w:val="00F5058E"/>
    <w:rsid w:val="00F50711"/>
    <w:rsid w:val="00F51C7B"/>
    <w:rsid w:val="00F51EB0"/>
    <w:rsid w:val="00F5248E"/>
    <w:rsid w:val="00F52C39"/>
    <w:rsid w:val="00F54142"/>
    <w:rsid w:val="00F56AFB"/>
    <w:rsid w:val="00F610F3"/>
    <w:rsid w:val="00F61856"/>
    <w:rsid w:val="00F63754"/>
    <w:rsid w:val="00F63BF1"/>
    <w:rsid w:val="00F6538A"/>
    <w:rsid w:val="00F65E60"/>
    <w:rsid w:val="00F66698"/>
    <w:rsid w:val="00F66B66"/>
    <w:rsid w:val="00F6738D"/>
    <w:rsid w:val="00F67A43"/>
    <w:rsid w:val="00F715F3"/>
    <w:rsid w:val="00F7190A"/>
    <w:rsid w:val="00F71BE2"/>
    <w:rsid w:val="00F7266D"/>
    <w:rsid w:val="00F72F4C"/>
    <w:rsid w:val="00F738FD"/>
    <w:rsid w:val="00F73D1D"/>
    <w:rsid w:val="00F7430D"/>
    <w:rsid w:val="00F7511F"/>
    <w:rsid w:val="00F7525F"/>
    <w:rsid w:val="00F75A51"/>
    <w:rsid w:val="00F7633C"/>
    <w:rsid w:val="00F80927"/>
    <w:rsid w:val="00F8105D"/>
    <w:rsid w:val="00F81284"/>
    <w:rsid w:val="00F82694"/>
    <w:rsid w:val="00F82752"/>
    <w:rsid w:val="00F836AB"/>
    <w:rsid w:val="00F83ED0"/>
    <w:rsid w:val="00F8413A"/>
    <w:rsid w:val="00F844C6"/>
    <w:rsid w:val="00F85083"/>
    <w:rsid w:val="00F85C6C"/>
    <w:rsid w:val="00F86059"/>
    <w:rsid w:val="00F86D2E"/>
    <w:rsid w:val="00F871DC"/>
    <w:rsid w:val="00F87265"/>
    <w:rsid w:val="00F87B4A"/>
    <w:rsid w:val="00F87C12"/>
    <w:rsid w:val="00F904AD"/>
    <w:rsid w:val="00F930F4"/>
    <w:rsid w:val="00F93B72"/>
    <w:rsid w:val="00F93E16"/>
    <w:rsid w:val="00F94EC5"/>
    <w:rsid w:val="00F95D27"/>
    <w:rsid w:val="00F97B7E"/>
    <w:rsid w:val="00F97DFC"/>
    <w:rsid w:val="00FA0456"/>
    <w:rsid w:val="00FA082D"/>
    <w:rsid w:val="00FA097B"/>
    <w:rsid w:val="00FA1849"/>
    <w:rsid w:val="00FA2906"/>
    <w:rsid w:val="00FA3013"/>
    <w:rsid w:val="00FA38BA"/>
    <w:rsid w:val="00FA4A87"/>
    <w:rsid w:val="00FA608E"/>
    <w:rsid w:val="00FB1672"/>
    <w:rsid w:val="00FB17B0"/>
    <w:rsid w:val="00FB34A1"/>
    <w:rsid w:val="00FB3EC0"/>
    <w:rsid w:val="00FB46AE"/>
    <w:rsid w:val="00FB4799"/>
    <w:rsid w:val="00FB4A1F"/>
    <w:rsid w:val="00FB4EBC"/>
    <w:rsid w:val="00FB5094"/>
    <w:rsid w:val="00FB52A0"/>
    <w:rsid w:val="00FB5304"/>
    <w:rsid w:val="00FB5F22"/>
    <w:rsid w:val="00FB636F"/>
    <w:rsid w:val="00FB719A"/>
    <w:rsid w:val="00FB75F5"/>
    <w:rsid w:val="00FC1984"/>
    <w:rsid w:val="00FC31CC"/>
    <w:rsid w:val="00FC3950"/>
    <w:rsid w:val="00FC3EFF"/>
    <w:rsid w:val="00FC4B97"/>
    <w:rsid w:val="00FC4EB0"/>
    <w:rsid w:val="00FC572F"/>
    <w:rsid w:val="00FC5BF4"/>
    <w:rsid w:val="00FC7CDC"/>
    <w:rsid w:val="00FC7E6E"/>
    <w:rsid w:val="00FD04BE"/>
    <w:rsid w:val="00FD1CA9"/>
    <w:rsid w:val="00FD20B5"/>
    <w:rsid w:val="00FD432D"/>
    <w:rsid w:val="00FD4E0E"/>
    <w:rsid w:val="00FD5F3C"/>
    <w:rsid w:val="00FD7CB2"/>
    <w:rsid w:val="00FE2193"/>
    <w:rsid w:val="00FE283A"/>
    <w:rsid w:val="00FE2DC5"/>
    <w:rsid w:val="00FE4D35"/>
    <w:rsid w:val="00FE60DF"/>
    <w:rsid w:val="00FE6D55"/>
    <w:rsid w:val="00FF3253"/>
    <w:rsid w:val="00FF3F44"/>
    <w:rsid w:val="00FF588C"/>
    <w:rsid w:val="00FF5DE6"/>
    <w:rsid w:val="00FF5F7F"/>
    <w:rsid w:val="00FF6477"/>
    <w:rsid w:val="01D30505"/>
    <w:rsid w:val="0320A16D"/>
    <w:rsid w:val="0325E268"/>
    <w:rsid w:val="04ADC3E6"/>
    <w:rsid w:val="04C51760"/>
    <w:rsid w:val="04CA52A6"/>
    <w:rsid w:val="069CA1A6"/>
    <w:rsid w:val="074A7090"/>
    <w:rsid w:val="080BB9EF"/>
    <w:rsid w:val="08E66D69"/>
    <w:rsid w:val="093378CB"/>
    <w:rsid w:val="0964031D"/>
    <w:rsid w:val="099855B2"/>
    <w:rsid w:val="0A02B05C"/>
    <w:rsid w:val="0B97D505"/>
    <w:rsid w:val="0C561578"/>
    <w:rsid w:val="0C5B50BE"/>
    <w:rsid w:val="0C9B0C67"/>
    <w:rsid w:val="0CBA8DB8"/>
    <w:rsid w:val="0D2362A3"/>
    <w:rsid w:val="0E2831A7"/>
    <w:rsid w:val="0F714530"/>
    <w:rsid w:val="102A0EF5"/>
    <w:rsid w:val="107DCACE"/>
    <w:rsid w:val="116E7D8A"/>
    <w:rsid w:val="1259BB7F"/>
    <w:rsid w:val="12993E56"/>
    <w:rsid w:val="12FC29A7"/>
    <w:rsid w:val="13EC81A7"/>
    <w:rsid w:val="152212E2"/>
    <w:rsid w:val="15C7657D"/>
    <w:rsid w:val="160F6185"/>
    <w:rsid w:val="1629E1E6"/>
    <w:rsid w:val="17E1FE35"/>
    <w:rsid w:val="17F34F74"/>
    <w:rsid w:val="1877542C"/>
    <w:rsid w:val="18EAE1CD"/>
    <w:rsid w:val="18F39422"/>
    <w:rsid w:val="19F53C6C"/>
    <w:rsid w:val="1A5CAE08"/>
    <w:rsid w:val="1AD41090"/>
    <w:rsid w:val="1BBA133F"/>
    <w:rsid w:val="1BE09185"/>
    <w:rsid w:val="1D1A6DCE"/>
    <w:rsid w:val="1F55C79A"/>
    <w:rsid w:val="20FAD515"/>
    <w:rsid w:val="214F83ED"/>
    <w:rsid w:val="2333AB5E"/>
    <w:rsid w:val="23D12040"/>
    <w:rsid w:val="24862919"/>
    <w:rsid w:val="25DFCC00"/>
    <w:rsid w:val="25E35B7F"/>
    <w:rsid w:val="26D6133E"/>
    <w:rsid w:val="278AF2EB"/>
    <w:rsid w:val="27D23678"/>
    <w:rsid w:val="27D85417"/>
    <w:rsid w:val="27E2A801"/>
    <w:rsid w:val="28172D67"/>
    <w:rsid w:val="28637969"/>
    <w:rsid w:val="2B75EC4A"/>
    <w:rsid w:val="2BD23042"/>
    <w:rsid w:val="2D034B6D"/>
    <w:rsid w:val="2D5A465D"/>
    <w:rsid w:val="2DCE549B"/>
    <w:rsid w:val="2DEBBC1F"/>
    <w:rsid w:val="2E27C360"/>
    <w:rsid w:val="2E8CC7DF"/>
    <w:rsid w:val="2EB14211"/>
    <w:rsid w:val="31DBFD67"/>
    <w:rsid w:val="31E28FFD"/>
    <w:rsid w:val="333BF254"/>
    <w:rsid w:val="339A1A47"/>
    <w:rsid w:val="33BB0F91"/>
    <w:rsid w:val="349E7D8B"/>
    <w:rsid w:val="3517AA7F"/>
    <w:rsid w:val="3564C0CA"/>
    <w:rsid w:val="35911401"/>
    <w:rsid w:val="35A64005"/>
    <w:rsid w:val="35ABD186"/>
    <w:rsid w:val="361670E4"/>
    <w:rsid w:val="373E97AE"/>
    <w:rsid w:val="374E2DAC"/>
    <w:rsid w:val="37C0BA2E"/>
    <w:rsid w:val="380CA0F0"/>
    <w:rsid w:val="383D5CFF"/>
    <w:rsid w:val="3A30AA09"/>
    <w:rsid w:val="3A9D6334"/>
    <w:rsid w:val="3AE84632"/>
    <w:rsid w:val="3B34143C"/>
    <w:rsid w:val="3CD88A2F"/>
    <w:rsid w:val="3D99F2CB"/>
    <w:rsid w:val="3DB20D3D"/>
    <w:rsid w:val="3E065E14"/>
    <w:rsid w:val="3E9702CE"/>
    <w:rsid w:val="3FFFFD7B"/>
    <w:rsid w:val="401A45D6"/>
    <w:rsid w:val="402F14CA"/>
    <w:rsid w:val="407D9F21"/>
    <w:rsid w:val="40CBBA1F"/>
    <w:rsid w:val="42BEFCF7"/>
    <w:rsid w:val="4370B916"/>
    <w:rsid w:val="43DEA192"/>
    <w:rsid w:val="43FB6417"/>
    <w:rsid w:val="4463B3E2"/>
    <w:rsid w:val="448D1426"/>
    <w:rsid w:val="45F6E058"/>
    <w:rsid w:val="4697457B"/>
    <w:rsid w:val="4777C537"/>
    <w:rsid w:val="47FE2781"/>
    <w:rsid w:val="4B69436E"/>
    <w:rsid w:val="4D857C8C"/>
    <w:rsid w:val="4DA69578"/>
    <w:rsid w:val="4E4BBFCB"/>
    <w:rsid w:val="4E8E52FF"/>
    <w:rsid w:val="4F5D613F"/>
    <w:rsid w:val="4FBA09D3"/>
    <w:rsid w:val="5099A4ED"/>
    <w:rsid w:val="513DD226"/>
    <w:rsid w:val="51A81BAC"/>
    <w:rsid w:val="51BB2EB0"/>
    <w:rsid w:val="52863348"/>
    <w:rsid w:val="53384CD2"/>
    <w:rsid w:val="533AED78"/>
    <w:rsid w:val="53543C8A"/>
    <w:rsid w:val="5609BB65"/>
    <w:rsid w:val="5639FB83"/>
    <w:rsid w:val="570D2598"/>
    <w:rsid w:val="578125CB"/>
    <w:rsid w:val="58B6D6D1"/>
    <w:rsid w:val="5A90ADB5"/>
    <w:rsid w:val="5AD3C3DE"/>
    <w:rsid w:val="5CAC535F"/>
    <w:rsid w:val="5E376487"/>
    <w:rsid w:val="5F196FC0"/>
    <w:rsid w:val="5FD334E8"/>
    <w:rsid w:val="60EC08D2"/>
    <w:rsid w:val="60FC478A"/>
    <w:rsid w:val="61730158"/>
    <w:rsid w:val="622EAD16"/>
    <w:rsid w:val="626F5B82"/>
    <w:rsid w:val="63438031"/>
    <w:rsid w:val="6442BAA4"/>
    <w:rsid w:val="64430E53"/>
    <w:rsid w:val="64C0D356"/>
    <w:rsid w:val="64EF0191"/>
    <w:rsid w:val="652E0433"/>
    <w:rsid w:val="66463FAA"/>
    <w:rsid w:val="665D1206"/>
    <w:rsid w:val="6698B903"/>
    <w:rsid w:val="66D06059"/>
    <w:rsid w:val="66DF86ED"/>
    <w:rsid w:val="67EC4E8F"/>
    <w:rsid w:val="68081F3C"/>
    <w:rsid w:val="6889E2E7"/>
    <w:rsid w:val="68EC0603"/>
    <w:rsid w:val="69C0A8EC"/>
    <w:rsid w:val="69EB3CA4"/>
    <w:rsid w:val="6B21DD27"/>
    <w:rsid w:val="6B3D0C9E"/>
    <w:rsid w:val="6C5A8A0B"/>
    <w:rsid w:val="6CADF463"/>
    <w:rsid w:val="6CFA10C8"/>
    <w:rsid w:val="6D202D14"/>
    <w:rsid w:val="6D2D93A1"/>
    <w:rsid w:val="6E367F77"/>
    <w:rsid w:val="6E9E9AAB"/>
    <w:rsid w:val="6EC094BB"/>
    <w:rsid w:val="6EF47F5C"/>
    <w:rsid w:val="6F07A577"/>
    <w:rsid w:val="6F91C626"/>
    <w:rsid w:val="6FE98166"/>
    <w:rsid w:val="7165A894"/>
    <w:rsid w:val="73936FC8"/>
    <w:rsid w:val="73C1E7C2"/>
    <w:rsid w:val="748FE82D"/>
    <w:rsid w:val="7554A79C"/>
    <w:rsid w:val="758F4EEE"/>
    <w:rsid w:val="769E1042"/>
    <w:rsid w:val="76F5C6BC"/>
    <w:rsid w:val="771F0F14"/>
    <w:rsid w:val="77773254"/>
    <w:rsid w:val="77BFEA88"/>
    <w:rsid w:val="78F1EB15"/>
    <w:rsid w:val="79218E7E"/>
    <w:rsid w:val="795BD16C"/>
    <w:rsid w:val="79790FB5"/>
    <w:rsid w:val="7A021872"/>
    <w:rsid w:val="7A0F6634"/>
    <w:rsid w:val="7A2D8978"/>
    <w:rsid w:val="7AFDDD7A"/>
    <w:rsid w:val="7CB1F6EE"/>
    <w:rsid w:val="7DE2C3BC"/>
    <w:rsid w:val="7E0CB1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16743"/>
  <w15:docId w15:val="{46E7BFD0-931A-4BD9-9F9B-6E4B5328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imes New Roman"/>
        <w:lang w:val="en-GB" w:eastAsia="en-GB" w:bidi="ar-SA"/>
      </w:rPr>
    </w:rPrDefault>
    <w:pPrDefault/>
  </w:docDefaults>
  <w:latentStyles w:defLockedState="0" w:defUIPriority="99" w:defSemiHidden="0" w:defUnhideWhenUsed="0" w:defQFormat="0" w:count="376">
    <w:lsdException w:name="Normal" w:uiPriority="5" w:qFormat="1"/>
    <w:lsdException w:name="heading 1" w:uiPriority="2" w:qFormat="1"/>
    <w:lsdException w:name="heading 2" w:semiHidden="1" w:uiPriority="2" w:unhideWhenUsed="1" w:qFormat="1"/>
    <w:lsdException w:name="heading 3" w:semiHidden="1" w:uiPriority="2" w:unhideWhenUsed="1"/>
    <w:lsdException w:name="heading 4" w:semiHidden="1" w:unhideWhenUsed="1" w:qFormat="1"/>
    <w:lsdException w:name="heading 5" w:semiHidden="1"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37" w:unhideWhenUsed="1"/>
    <w:lsdException w:name="TOC Heading" w:semiHidden="1" w:uiPriority="2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AD4F79"/>
    <w:pPr>
      <w:spacing w:line="260" w:lineRule="atLeast"/>
    </w:pPr>
    <w:rPr>
      <w:sz w:val="22"/>
      <w:szCs w:val="22"/>
    </w:rPr>
  </w:style>
  <w:style w:type="paragraph" w:styleId="Heading1">
    <w:name w:val="heading 1"/>
    <w:basedOn w:val="Normal"/>
    <w:next w:val="BodyText"/>
    <w:link w:val="Heading1Char"/>
    <w:uiPriority w:val="2"/>
    <w:qFormat/>
    <w:rsid w:val="00AD4F79"/>
    <w:pPr>
      <w:spacing w:before="240" w:after="120"/>
      <w:outlineLvl w:val="0"/>
    </w:pPr>
    <w:rPr>
      <w:b/>
    </w:rPr>
  </w:style>
  <w:style w:type="paragraph" w:styleId="Heading2">
    <w:name w:val="heading 2"/>
    <w:basedOn w:val="Heading1"/>
    <w:next w:val="BodyText"/>
    <w:link w:val="Heading2Char"/>
    <w:uiPriority w:val="2"/>
    <w:qFormat/>
    <w:rsid w:val="00AD4F79"/>
    <w:pPr>
      <w:numPr>
        <w:ilvl w:val="1"/>
      </w:numPr>
      <w:spacing w:after="0"/>
      <w:outlineLvl w:val="1"/>
    </w:pPr>
  </w:style>
  <w:style w:type="paragraph" w:styleId="Heading3">
    <w:name w:val="heading 3"/>
    <w:basedOn w:val="Normal"/>
    <w:next w:val="BodyText"/>
    <w:link w:val="Heading3Char"/>
    <w:uiPriority w:val="2"/>
    <w:rsid w:val="00AD4F79"/>
    <w:pPr>
      <w:keepNext/>
      <w:keepLines/>
      <w:spacing w:before="240"/>
      <w:outlineLvl w:val="2"/>
    </w:pPr>
    <w:rPr>
      <w:rFonts w:eastAsiaTheme="majorEastAsia" w:cstheme="majorBidi"/>
      <w:color w:val="78A22F" w:themeColor="accent1"/>
      <w:szCs w:val="24"/>
    </w:rPr>
  </w:style>
  <w:style w:type="paragraph" w:styleId="Heading4">
    <w:name w:val="heading 4"/>
    <w:basedOn w:val="Normal"/>
    <w:next w:val="BodyText"/>
    <w:link w:val="Heading4Char"/>
    <w:uiPriority w:val="99"/>
    <w:rsid w:val="00AD4F79"/>
    <w:pPr>
      <w:keepNext/>
      <w:keepLines/>
      <w:outlineLvl w:val="3"/>
    </w:pPr>
    <w:rPr>
      <w:rFonts w:eastAsiaTheme="majorEastAsia" w:cstheme="majorBidi"/>
      <w:b/>
      <w:iCs/>
      <w:color w:val="808285" w:themeColor="accent5"/>
    </w:rPr>
  </w:style>
  <w:style w:type="paragraph" w:styleId="Heading5">
    <w:name w:val="heading 5"/>
    <w:basedOn w:val="Normal"/>
    <w:next w:val="BodyText"/>
    <w:link w:val="Heading5Char"/>
    <w:uiPriority w:val="99"/>
    <w:rsid w:val="00AD4F79"/>
    <w:pPr>
      <w:keepNext/>
      <w:keepLines/>
      <w:outlineLvl w:val="4"/>
    </w:pPr>
    <w:rPr>
      <w:rFonts w:eastAsiaTheme="majorEastAsia" w:cstheme="majorBid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4F79"/>
    <w:pPr>
      <w:tabs>
        <w:tab w:val="center" w:pos="4513"/>
        <w:tab w:val="right" w:pos="9026"/>
      </w:tabs>
      <w:spacing w:line="240" w:lineRule="auto"/>
      <w:jc w:val="right"/>
    </w:pPr>
    <w:rPr>
      <w:rFonts w:asciiTheme="majorHAnsi" w:hAnsiTheme="majorHAnsi"/>
      <w:sz w:val="18"/>
    </w:rPr>
  </w:style>
  <w:style w:type="character" w:customStyle="1" w:styleId="HeaderChar">
    <w:name w:val="Header Char"/>
    <w:basedOn w:val="DefaultParagraphFont"/>
    <w:link w:val="Header"/>
    <w:uiPriority w:val="99"/>
    <w:rsid w:val="00AD4F79"/>
    <w:rPr>
      <w:rFonts w:asciiTheme="majorHAnsi" w:hAnsiTheme="majorHAnsi"/>
      <w:sz w:val="18"/>
      <w:szCs w:val="22"/>
    </w:rPr>
  </w:style>
  <w:style w:type="paragraph" w:styleId="Footer">
    <w:name w:val="footer"/>
    <w:basedOn w:val="Normal"/>
    <w:link w:val="FooterChar"/>
    <w:uiPriority w:val="99"/>
    <w:rsid w:val="00AD4F79"/>
    <w:pPr>
      <w:tabs>
        <w:tab w:val="center" w:pos="4513"/>
        <w:tab w:val="right" w:pos="9026"/>
      </w:tabs>
      <w:spacing w:line="240" w:lineRule="auto"/>
      <w:ind w:right="397"/>
    </w:pPr>
    <w:rPr>
      <w:rFonts w:asciiTheme="majorHAnsi" w:hAnsiTheme="majorHAnsi"/>
      <w:color w:val="78A22F" w:themeColor="accent1"/>
      <w:sz w:val="18"/>
    </w:rPr>
  </w:style>
  <w:style w:type="character" w:customStyle="1" w:styleId="FooterChar">
    <w:name w:val="Footer Char"/>
    <w:basedOn w:val="DefaultParagraphFont"/>
    <w:link w:val="Footer"/>
    <w:uiPriority w:val="99"/>
    <w:rsid w:val="00AD4F79"/>
    <w:rPr>
      <w:rFonts w:asciiTheme="majorHAnsi" w:hAnsiTheme="majorHAnsi"/>
      <w:color w:val="78A22F" w:themeColor="accent1"/>
      <w:sz w:val="18"/>
      <w:szCs w:val="22"/>
    </w:rPr>
  </w:style>
  <w:style w:type="paragraph" w:customStyle="1" w:styleId="FooterHeading">
    <w:name w:val="Footer Heading"/>
    <w:basedOn w:val="Normal"/>
    <w:uiPriority w:val="29"/>
    <w:rsid w:val="00AD4F79"/>
    <w:pPr>
      <w:spacing w:line="220" w:lineRule="atLeast"/>
    </w:pPr>
    <w:rPr>
      <w:rFonts w:asciiTheme="majorHAnsi" w:eastAsiaTheme="minorEastAsia" w:hAnsiTheme="majorHAnsi" w:cstheme="minorBidi"/>
      <w:b/>
      <w:color w:val="78A22F" w:themeColor="accent1"/>
      <w:sz w:val="18"/>
    </w:rPr>
  </w:style>
  <w:style w:type="paragraph" w:customStyle="1" w:styleId="FooterOffices">
    <w:name w:val="Footer Offices"/>
    <w:basedOn w:val="Normal"/>
    <w:uiPriority w:val="29"/>
    <w:rsid w:val="00AD4F79"/>
    <w:pPr>
      <w:spacing w:line="220" w:lineRule="atLeast"/>
    </w:pPr>
    <w:rPr>
      <w:rFonts w:eastAsiaTheme="minorEastAsia" w:cstheme="minorBidi"/>
      <w:color w:val="000000" w:themeColor="text1"/>
      <w:sz w:val="18"/>
    </w:rPr>
  </w:style>
  <w:style w:type="paragraph" w:customStyle="1" w:styleId="FooterRegistration">
    <w:name w:val="Footer Registration"/>
    <w:basedOn w:val="FooterOffices"/>
    <w:uiPriority w:val="29"/>
    <w:rsid w:val="00AD4F79"/>
    <w:rPr>
      <w:sz w:val="14"/>
    </w:rPr>
  </w:style>
  <w:style w:type="paragraph" w:styleId="Title">
    <w:name w:val="Title"/>
    <w:next w:val="Subtitle"/>
    <w:link w:val="TitleChar"/>
    <w:uiPriority w:val="8"/>
    <w:qFormat/>
    <w:rsid w:val="00AD4F79"/>
    <w:pPr>
      <w:pBdr>
        <w:top w:val="single" w:sz="8" w:space="5" w:color="78A22F" w:themeColor="accent1"/>
      </w:pBdr>
      <w:spacing w:line="320" w:lineRule="atLeast"/>
    </w:pPr>
    <w:rPr>
      <w:rFonts w:asciiTheme="majorHAnsi" w:eastAsiaTheme="majorEastAsia" w:hAnsiTheme="majorHAnsi" w:cstheme="majorBidi"/>
      <w:b/>
      <w:color w:val="78A22F" w:themeColor="accent1"/>
      <w:sz w:val="32"/>
      <w:szCs w:val="32"/>
    </w:rPr>
  </w:style>
  <w:style w:type="character" w:customStyle="1" w:styleId="TitleChar">
    <w:name w:val="Title Char"/>
    <w:basedOn w:val="DefaultParagraphFont"/>
    <w:link w:val="Title"/>
    <w:uiPriority w:val="8"/>
    <w:rsid w:val="00AD4F79"/>
    <w:rPr>
      <w:rFonts w:asciiTheme="majorHAnsi" w:eastAsiaTheme="majorEastAsia" w:hAnsiTheme="majorHAnsi" w:cstheme="majorBidi"/>
      <w:b/>
      <w:color w:val="78A22F" w:themeColor="accent1"/>
      <w:sz w:val="32"/>
      <w:szCs w:val="32"/>
    </w:rPr>
  </w:style>
  <w:style w:type="character" w:styleId="Hyperlink">
    <w:name w:val="Hyperlink"/>
    <w:uiPriority w:val="99"/>
    <w:unhideWhenUsed/>
    <w:rsid w:val="00AD4F79"/>
    <w:rPr>
      <w:color w:val="78A22F" w:themeColor="accent1"/>
      <w:u w:val="single"/>
    </w:rPr>
  </w:style>
  <w:style w:type="character" w:styleId="FollowedHyperlink">
    <w:name w:val="FollowedHyperlink"/>
    <w:basedOn w:val="DefaultParagraphFont"/>
    <w:uiPriority w:val="99"/>
    <w:semiHidden/>
    <w:unhideWhenUsed/>
    <w:rsid w:val="00AD4F79"/>
    <w:rPr>
      <w:color w:val="800080" w:themeColor="followedHyperlink"/>
      <w:u w:val="single"/>
    </w:rPr>
  </w:style>
  <w:style w:type="character" w:customStyle="1" w:styleId="Heading1Char">
    <w:name w:val="Heading 1 Char"/>
    <w:basedOn w:val="DefaultParagraphFont"/>
    <w:link w:val="Heading1"/>
    <w:uiPriority w:val="2"/>
    <w:rsid w:val="00AD4F79"/>
    <w:rPr>
      <w:b/>
      <w:sz w:val="22"/>
      <w:szCs w:val="22"/>
    </w:rPr>
  </w:style>
  <w:style w:type="character" w:customStyle="1" w:styleId="Heading2Char">
    <w:name w:val="Heading 2 Char"/>
    <w:basedOn w:val="DefaultParagraphFont"/>
    <w:link w:val="Heading2"/>
    <w:uiPriority w:val="2"/>
    <w:rsid w:val="00AD4F79"/>
    <w:rPr>
      <w:b/>
      <w:sz w:val="22"/>
      <w:szCs w:val="22"/>
    </w:rPr>
  </w:style>
  <w:style w:type="character" w:customStyle="1" w:styleId="Heading3Char">
    <w:name w:val="Heading 3 Char"/>
    <w:basedOn w:val="DefaultParagraphFont"/>
    <w:link w:val="Heading3"/>
    <w:uiPriority w:val="2"/>
    <w:rsid w:val="00AD4F79"/>
    <w:rPr>
      <w:rFonts w:eastAsiaTheme="majorEastAsia" w:cstheme="majorBidi"/>
      <w:color w:val="78A22F" w:themeColor="accent1"/>
      <w:sz w:val="22"/>
      <w:szCs w:val="24"/>
    </w:rPr>
  </w:style>
  <w:style w:type="character" w:customStyle="1" w:styleId="Heading4Char">
    <w:name w:val="Heading 4 Char"/>
    <w:basedOn w:val="DefaultParagraphFont"/>
    <w:link w:val="Heading4"/>
    <w:uiPriority w:val="99"/>
    <w:rsid w:val="00AD4F79"/>
    <w:rPr>
      <w:rFonts w:eastAsiaTheme="majorEastAsia" w:cstheme="majorBidi"/>
      <w:b/>
      <w:iCs/>
      <w:color w:val="808285" w:themeColor="accent5"/>
      <w:sz w:val="22"/>
      <w:szCs w:val="22"/>
    </w:rPr>
  </w:style>
  <w:style w:type="paragraph" w:styleId="Subtitle">
    <w:name w:val="Subtitle"/>
    <w:next w:val="Date"/>
    <w:link w:val="SubtitleChar"/>
    <w:uiPriority w:val="9"/>
    <w:qFormat/>
    <w:rsid w:val="00AD4F79"/>
    <w:pPr>
      <w:spacing w:line="320" w:lineRule="atLeast"/>
    </w:pPr>
    <w:rPr>
      <w:rFonts w:eastAsiaTheme="majorEastAsia" w:cstheme="majorBidi"/>
      <w:b/>
      <w:sz w:val="28"/>
      <w:szCs w:val="26"/>
    </w:rPr>
  </w:style>
  <w:style w:type="character" w:customStyle="1" w:styleId="SubtitleChar">
    <w:name w:val="Subtitle Char"/>
    <w:basedOn w:val="DefaultParagraphFont"/>
    <w:link w:val="Subtitle"/>
    <w:uiPriority w:val="9"/>
    <w:rsid w:val="00AD4F79"/>
    <w:rPr>
      <w:rFonts w:eastAsiaTheme="majorEastAsia" w:cstheme="majorBidi"/>
      <w:b/>
      <w:sz w:val="28"/>
      <w:szCs w:val="26"/>
    </w:rPr>
  </w:style>
  <w:style w:type="character" w:customStyle="1" w:styleId="Heading5Char">
    <w:name w:val="Heading 5 Char"/>
    <w:basedOn w:val="DefaultParagraphFont"/>
    <w:link w:val="Heading5"/>
    <w:uiPriority w:val="99"/>
    <w:rsid w:val="00AD4F79"/>
    <w:rPr>
      <w:rFonts w:eastAsiaTheme="majorEastAsia" w:cstheme="majorBidi"/>
      <w:sz w:val="18"/>
      <w:szCs w:val="22"/>
    </w:rPr>
  </w:style>
  <w:style w:type="paragraph" w:styleId="BalloonText">
    <w:name w:val="Balloon Text"/>
    <w:basedOn w:val="Normal"/>
    <w:link w:val="BalloonTextChar"/>
    <w:uiPriority w:val="99"/>
    <w:semiHidden/>
    <w:unhideWhenUsed/>
    <w:rsid w:val="00AD4F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F79"/>
    <w:rPr>
      <w:rFonts w:ascii="Segoe UI" w:hAnsi="Segoe UI" w:cs="Segoe UI"/>
      <w:sz w:val="18"/>
      <w:szCs w:val="18"/>
    </w:rPr>
  </w:style>
  <w:style w:type="paragraph" w:customStyle="1" w:styleId="Subject">
    <w:name w:val="Subject"/>
    <w:basedOn w:val="BodyText"/>
    <w:next w:val="BodyTextIndented2"/>
    <w:uiPriority w:val="13"/>
    <w:qFormat/>
    <w:rsid w:val="00AD4F79"/>
    <w:pPr>
      <w:spacing w:before="60" w:after="60"/>
      <w:jc w:val="left"/>
    </w:pPr>
    <w:rPr>
      <w:rFonts w:asciiTheme="majorHAnsi" w:hAnsiTheme="majorHAnsi"/>
      <w:b/>
      <w:color w:val="78A22F" w:themeColor="accent1"/>
    </w:rPr>
  </w:style>
  <w:style w:type="paragraph" w:styleId="NoSpacing">
    <w:name w:val="No Spacing"/>
    <w:uiPriority w:val="99"/>
    <w:semiHidden/>
    <w:qFormat/>
    <w:rsid w:val="00AD4F79"/>
    <w:pPr>
      <w:jc w:val="both"/>
    </w:pPr>
    <w:rPr>
      <w:sz w:val="22"/>
      <w:szCs w:val="22"/>
    </w:rPr>
  </w:style>
  <w:style w:type="paragraph" w:customStyle="1" w:styleId="Subject2">
    <w:name w:val="Subject2"/>
    <w:basedOn w:val="BodyText"/>
    <w:next w:val="BodyTextIndented2"/>
    <w:uiPriority w:val="13"/>
    <w:qFormat/>
    <w:rsid w:val="00AD4F79"/>
    <w:pPr>
      <w:spacing w:before="60" w:after="60"/>
      <w:jc w:val="left"/>
    </w:pPr>
    <w:rPr>
      <w:rFonts w:asciiTheme="majorHAnsi" w:hAnsiTheme="majorHAnsi"/>
      <w:b/>
      <w:color w:val="58595B" w:themeColor="accent6"/>
    </w:rPr>
  </w:style>
  <w:style w:type="numbering" w:customStyle="1" w:styleId="AFMENumbering">
    <w:name w:val="AFME Numbering"/>
    <w:uiPriority w:val="99"/>
    <w:rsid w:val="00AD4F79"/>
    <w:pPr>
      <w:numPr>
        <w:numId w:val="1"/>
      </w:numPr>
    </w:pPr>
  </w:style>
  <w:style w:type="numbering" w:customStyle="1" w:styleId="AFMEBullets">
    <w:name w:val="AFME Bullets"/>
    <w:uiPriority w:val="99"/>
    <w:rsid w:val="00AD4F79"/>
    <w:pPr>
      <w:numPr>
        <w:numId w:val="2"/>
      </w:numPr>
    </w:pPr>
  </w:style>
  <w:style w:type="paragraph" w:styleId="ListParagraph">
    <w:name w:val="List Paragraph"/>
    <w:aliases w:val="RUS List,Dot pt,F5 List Paragraph,List Paragraph1,No Spacing1,List Paragraph Char Char Char,Indicator Text,Numbered Para 1,Bullet 1,Bullet Points,MAIN CONTENT,List Paragraph11,OBC Bullet,List Paragraph12,Colorful List - Accent 11,L"/>
    <w:basedOn w:val="Normal"/>
    <w:link w:val="ListParagraphChar"/>
    <w:uiPriority w:val="34"/>
    <w:qFormat/>
    <w:rsid w:val="00AD4F79"/>
    <w:pPr>
      <w:ind w:left="720"/>
      <w:contextualSpacing/>
    </w:pPr>
  </w:style>
  <w:style w:type="paragraph" w:customStyle="1" w:styleId="Bullets1">
    <w:name w:val="Bullets 1"/>
    <w:basedOn w:val="Normal"/>
    <w:uiPriority w:val="4"/>
    <w:qFormat/>
    <w:rsid w:val="00AD4F79"/>
    <w:pPr>
      <w:numPr>
        <w:numId w:val="5"/>
      </w:numPr>
      <w:spacing w:after="120"/>
      <w:contextualSpacing/>
    </w:pPr>
  </w:style>
  <w:style w:type="paragraph" w:customStyle="1" w:styleId="Bullets2">
    <w:name w:val="Bullets 2"/>
    <w:basedOn w:val="Bullets1"/>
    <w:uiPriority w:val="4"/>
    <w:qFormat/>
    <w:rsid w:val="00AD4F79"/>
    <w:pPr>
      <w:numPr>
        <w:ilvl w:val="1"/>
      </w:numPr>
    </w:pPr>
  </w:style>
  <w:style w:type="paragraph" w:customStyle="1" w:styleId="Bullets3">
    <w:name w:val="Bullets 3"/>
    <w:basedOn w:val="Bullets2"/>
    <w:uiPriority w:val="4"/>
    <w:unhideWhenUsed/>
    <w:rsid w:val="00AD4F79"/>
    <w:pPr>
      <w:numPr>
        <w:ilvl w:val="2"/>
      </w:numPr>
    </w:pPr>
  </w:style>
  <w:style w:type="paragraph" w:styleId="BodyText">
    <w:name w:val="Body Text"/>
    <w:basedOn w:val="Normal"/>
    <w:link w:val="BodyTextChar"/>
    <w:qFormat/>
    <w:rsid w:val="00AD4F79"/>
    <w:pPr>
      <w:spacing w:after="120"/>
      <w:jc w:val="both"/>
    </w:pPr>
  </w:style>
  <w:style w:type="character" w:customStyle="1" w:styleId="BodyTextChar">
    <w:name w:val="Body Text Char"/>
    <w:basedOn w:val="DefaultParagraphFont"/>
    <w:link w:val="BodyText"/>
    <w:rsid w:val="00AD4F79"/>
    <w:rPr>
      <w:sz w:val="22"/>
      <w:szCs w:val="22"/>
    </w:rPr>
  </w:style>
  <w:style w:type="paragraph" w:styleId="FootnoteText">
    <w:name w:val="footnote text"/>
    <w:basedOn w:val="Normal"/>
    <w:link w:val="FootnoteTextChar"/>
    <w:uiPriority w:val="99"/>
    <w:rsid w:val="00AD4F79"/>
    <w:pPr>
      <w:spacing w:line="240" w:lineRule="auto"/>
    </w:pPr>
    <w:rPr>
      <w:rFonts w:asciiTheme="majorHAnsi" w:hAnsiTheme="majorHAnsi"/>
      <w:sz w:val="14"/>
    </w:rPr>
  </w:style>
  <w:style w:type="character" w:customStyle="1" w:styleId="FootnoteTextChar">
    <w:name w:val="Footnote Text Char"/>
    <w:basedOn w:val="DefaultParagraphFont"/>
    <w:link w:val="FootnoteText"/>
    <w:uiPriority w:val="99"/>
    <w:rsid w:val="00AD4F79"/>
    <w:rPr>
      <w:rFonts w:asciiTheme="majorHAnsi" w:hAnsiTheme="majorHAnsi"/>
      <w:sz w:val="14"/>
      <w:szCs w:val="22"/>
    </w:rPr>
  </w:style>
  <w:style w:type="character" w:styleId="FootnoteReference">
    <w:name w:val="footnote reference"/>
    <w:basedOn w:val="DefaultParagraphFont"/>
    <w:uiPriority w:val="99"/>
    <w:semiHidden/>
    <w:unhideWhenUsed/>
    <w:rsid w:val="00AD4F79"/>
    <w:rPr>
      <w:vertAlign w:val="superscript"/>
    </w:rPr>
  </w:style>
  <w:style w:type="paragraph" w:customStyle="1" w:styleId="GreenLine">
    <w:name w:val="Green Line"/>
    <w:basedOn w:val="Normal"/>
    <w:next w:val="BodyText"/>
    <w:uiPriority w:val="23"/>
    <w:qFormat/>
    <w:rsid w:val="00AD4F79"/>
    <w:pPr>
      <w:pBdr>
        <w:bottom w:val="single" w:sz="8" w:space="1" w:color="78A22F" w:themeColor="accent1"/>
      </w:pBdr>
      <w:spacing w:after="240"/>
    </w:pPr>
    <w:rPr>
      <w:rFonts w:asciiTheme="majorHAnsi" w:hAnsiTheme="majorHAnsi"/>
      <w:color w:val="78A22F" w:themeColor="accent1"/>
    </w:rPr>
  </w:style>
  <w:style w:type="paragraph" w:customStyle="1" w:styleId="BodyTextIndented2">
    <w:name w:val="Body Text Indented 2"/>
    <w:basedOn w:val="BodyText"/>
    <w:uiPriority w:val="1"/>
    <w:rsid w:val="00AD4F79"/>
    <w:pPr>
      <w:ind w:left="284"/>
    </w:pPr>
  </w:style>
  <w:style w:type="table" w:styleId="TableGrid">
    <w:name w:val="Table Grid"/>
    <w:basedOn w:val="TableNormal"/>
    <w:uiPriority w:val="39"/>
    <w:rsid w:val="00AD4F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CoverOffices">
    <w:name w:val="Back Cover Offices"/>
    <w:basedOn w:val="Normal"/>
    <w:uiPriority w:val="29"/>
    <w:rsid w:val="00AD4F79"/>
    <w:rPr>
      <w:rFonts w:asciiTheme="majorHAnsi" w:hAnsiTheme="majorHAnsi" w:cstheme="majorHAnsi"/>
      <w:b/>
      <w:color w:val="78A22F" w:themeColor="accent1"/>
    </w:rPr>
  </w:style>
  <w:style w:type="paragraph" w:customStyle="1" w:styleId="BackCoverNames">
    <w:name w:val="Back Cover Names"/>
    <w:basedOn w:val="Normal"/>
    <w:link w:val="BackCoverNamesChar"/>
    <w:uiPriority w:val="29"/>
    <w:rsid w:val="00AD4F79"/>
    <w:rPr>
      <w:b/>
      <w:color w:val="58595B" w:themeColor="text2"/>
    </w:rPr>
  </w:style>
  <w:style w:type="paragraph" w:customStyle="1" w:styleId="BackCoverURL">
    <w:name w:val="Back Cover URL"/>
    <w:basedOn w:val="BackCoverOffices"/>
    <w:uiPriority w:val="29"/>
    <w:rsid w:val="00AD4F79"/>
    <w:rPr>
      <w:b w:val="0"/>
    </w:rPr>
  </w:style>
  <w:style w:type="character" w:customStyle="1" w:styleId="BackCoverNamesChar">
    <w:name w:val="Back Cover Names Char"/>
    <w:basedOn w:val="DefaultParagraphFont"/>
    <w:link w:val="BackCoverNames"/>
    <w:uiPriority w:val="29"/>
    <w:rsid w:val="00AD4F79"/>
    <w:rPr>
      <w:b/>
      <w:color w:val="58595B" w:themeColor="text2"/>
      <w:sz w:val="22"/>
      <w:szCs w:val="22"/>
    </w:rPr>
  </w:style>
  <w:style w:type="paragraph" w:styleId="TOC1">
    <w:name w:val="toc 1"/>
    <w:basedOn w:val="Normal"/>
    <w:next w:val="Normal"/>
    <w:autoRedefine/>
    <w:uiPriority w:val="39"/>
    <w:rsid w:val="00AD4F79"/>
    <w:pPr>
      <w:spacing w:before="60" w:after="60" w:line="240" w:lineRule="auto"/>
    </w:pPr>
    <w:rPr>
      <w:rFonts w:asciiTheme="majorHAnsi" w:hAnsiTheme="majorHAnsi"/>
      <w:b/>
      <w:color w:val="78A22F" w:themeColor="accent1"/>
      <w:sz w:val="18"/>
    </w:rPr>
  </w:style>
  <w:style w:type="paragraph" w:styleId="TOC2">
    <w:name w:val="toc 2"/>
    <w:basedOn w:val="Normal"/>
    <w:next w:val="Normal"/>
    <w:autoRedefine/>
    <w:uiPriority w:val="39"/>
    <w:rsid w:val="00AD4F79"/>
    <w:pPr>
      <w:spacing w:line="240" w:lineRule="auto"/>
      <w:ind w:left="397" w:hanging="284"/>
    </w:pPr>
    <w:rPr>
      <w:rFonts w:asciiTheme="majorHAnsi" w:hAnsiTheme="majorHAnsi"/>
      <w:b/>
      <w:sz w:val="16"/>
    </w:rPr>
  </w:style>
  <w:style w:type="paragraph" w:styleId="TOC3">
    <w:name w:val="toc 3"/>
    <w:basedOn w:val="Normal"/>
    <w:next w:val="Normal"/>
    <w:autoRedefine/>
    <w:uiPriority w:val="39"/>
    <w:rsid w:val="00AD4F79"/>
    <w:pPr>
      <w:spacing w:line="240" w:lineRule="auto"/>
      <w:ind w:left="624" w:hanging="397"/>
    </w:pPr>
    <w:rPr>
      <w:sz w:val="16"/>
    </w:rPr>
  </w:style>
  <w:style w:type="paragraph" w:styleId="Quote">
    <w:name w:val="Quote"/>
    <w:basedOn w:val="Normal"/>
    <w:next w:val="Normal"/>
    <w:link w:val="QuoteChar"/>
    <w:uiPriority w:val="99"/>
    <w:semiHidden/>
    <w:qFormat/>
    <w:rsid w:val="00AD4F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AD4F79"/>
    <w:rPr>
      <w:i/>
      <w:iCs/>
      <w:color w:val="404040" w:themeColor="text1" w:themeTint="BF"/>
      <w:sz w:val="22"/>
      <w:szCs w:val="22"/>
    </w:rPr>
  </w:style>
  <w:style w:type="paragraph" w:styleId="TOCHeading">
    <w:name w:val="TOC Heading"/>
    <w:basedOn w:val="Normal"/>
    <w:next w:val="Normal"/>
    <w:uiPriority w:val="24"/>
    <w:rsid w:val="00AD4F79"/>
    <w:pPr>
      <w:numPr>
        <w:numId w:val="4"/>
      </w:numPr>
      <w:pBdr>
        <w:bottom w:val="single" w:sz="8" w:space="1" w:color="78A22F" w:themeColor="accent1"/>
      </w:pBdr>
      <w:spacing w:after="240" w:line="360" w:lineRule="atLeast"/>
    </w:pPr>
    <w:rPr>
      <w:rFonts w:asciiTheme="majorHAnsi" w:hAnsiTheme="majorHAnsi"/>
      <w:color w:val="78A22F" w:themeColor="accent1"/>
      <w:sz w:val="32"/>
    </w:rPr>
  </w:style>
  <w:style w:type="paragraph" w:customStyle="1" w:styleId="Source">
    <w:name w:val="Source"/>
    <w:basedOn w:val="BodyText"/>
    <w:next w:val="BodyText"/>
    <w:uiPriority w:val="15"/>
    <w:qFormat/>
    <w:rsid w:val="00AD4F79"/>
    <w:pPr>
      <w:numPr>
        <w:numId w:val="3"/>
      </w:numPr>
      <w:jc w:val="right"/>
    </w:pPr>
    <w:rPr>
      <w:rFonts w:asciiTheme="majorHAnsi" w:hAnsiTheme="majorHAnsi"/>
      <w:i/>
      <w:color w:val="58595B" w:themeColor="text2"/>
      <w:sz w:val="16"/>
    </w:rPr>
  </w:style>
  <w:style w:type="numbering" w:customStyle="1" w:styleId="Sources">
    <w:name w:val="Sources"/>
    <w:uiPriority w:val="99"/>
    <w:rsid w:val="00AD4F79"/>
    <w:pPr>
      <w:numPr>
        <w:numId w:val="3"/>
      </w:numPr>
    </w:pPr>
  </w:style>
  <w:style w:type="paragraph" w:customStyle="1" w:styleId="Charts">
    <w:name w:val="Charts"/>
    <w:basedOn w:val="Normal"/>
    <w:next w:val="Source"/>
    <w:uiPriority w:val="14"/>
    <w:qFormat/>
    <w:rsid w:val="00AD4F79"/>
    <w:pPr>
      <w:spacing w:line="240" w:lineRule="auto"/>
    </w:pPr>
    <w:rPr>
      <w:noProof/>
    </w:rPr>
  </w:style>
  <w:style w:type="paragraph" w:customStyle="1" w:styleId="Pictures">
    <w:name w:val="Pictures"/>
    <w:basedOn w:val="BodyText"/>
    <w:next w:val="Source"/>
    <w:uiPriority w:val="14"/>
    <w:rsid w:val="00AD4F79"/>
  </w:style>
  <w:style w:type="paragraph" w:customStyle="1" w:styleId="Notes">
    <w:name w:val="Notes"/>
    <w:basedOn w:val="Normal"/>
    <w:next w:val="BodyText"/>
    <w:uiPriority w:val="17"/>
    <w:qFormat/>
    <w:rsid w:val="00AD4F79"/>
    <w:pPr>
      <w:spacing w:after="120"/>
    </w:pPr>
    <w:rPr>
      <w:b/>
      <w:sz w:val="16"/>
    </w:rPr>
  </w:style>
  <w:style w:type="paragraph" w:customStyle="1" w:styleId="SectionHeading">
    <w:name w:val="Section Heading"/>
    <w:basedOn w:val="BodyText"/>
    <w:next w:val="Level1"/>
    <w:uiPriority w:val="11"/>
    <w:qFormat/>
    <w:rsid w:val="00AD4F79"/>
    <w:pPr>
      <w:pBdr>
        <w:bottom w:val="single" w:sz="8" w:space="1" w:color="78A22F" w:themeColor="accent1"/>
      </w:pBdr>
      <w:spacing w:line="360" w:lineRule="atLeast"/>
      <w:jc w:val="left"/>
    </w:pPr>
    <w:rPr>
      <w:rFonts w:asciiTheme="majorHAnsi" w:hAnsiTheme="majorHAnsi"/>
      <w:color w:val="78A22F" w:themeColor="accent1"/>
      <w:sz w:val="32"/>
    </w:rPr>
  </w:style>
  <w:style w:type="paragraph" w:customStyle="1" w:styleId="BodyTextIndented1">
    <w:name w:val="Body Text Indented 1"/>
    <w:basedOn w:val="BodyText"/>
    <w:uiPriority w:val="1"/>
    <w:qFormat/>
    <w:rsid w:val="00AD4F79"/>
    <w:pPr>
      <w:ind w:left="567"/>
    </w:pPr>
  </w:style>
  <w:style w:type="paragraph" w:customStyle="1" w:styleId="CoverTitle">
    <w:name w:val="Cover Title"/>
    <w:basedOn w:val="BodyText"/>
    <w:next w:val="CoverSubtitle"/>
    <w:uiPriority w:val="25"/>
    <w:qFormat/>
    <w:rsid w:val="00AD4F79"/>
    <w:pPr>
      <w:spacing w:after="360" w:line="240" w:lineRule="auto"/>
      <w:jc w:val="left"/>
    </w:pPr>
    <w:rPr>
      <w:rFonts w:asciiTheme="majorHAnsi" w:hAnsiTheme="majorHAnsi"/>
      <w:b/>
      <w:color w:val="78A22F" w:themeColor="accent1"/>
      <w:sz w:val="72"/>
    </w:rPr>
  </w:style>
  <w:style w:type="paragraph" w:customStyle="1" w:styleId="BodyTextHighlight">
    <w:name w:val="Body Text Highlight"/>
    <w:basedOn w:val="BodyText"/>
    <w:next w:val="BodyText"/>
    <w:link w:val="BodyTextHighlightChar"/>
    <w:uiPriority w:val="7"/>
    <w:rsid w:val="00AD4F79"/>
    <w:rPr>
      <w:rFonts w:asciiTheme="majorHAnsi" w:hAnsiTheme="majorHAnsi" w:cstheme="majorHAnsi"/>
      <w:b/>
      <w:color w:val="58595B" w:themeColor="text2"/>
    </w:rPr>
  </w:style>
  <w:style w:type="paragraph" w:customStyle="1" w:styleId="NormalHighlight">
    <w:name w:val="Normal Highlight"/>
    <w:basedOn w:val="Normal"/>
    <w:next w:val="Normal"/>
    <w:link w:val="NormalHighlightChar"/>
    <w:uiPriority w:val="7"/>
    <w:qFormat/>
    <w:rsid w:val="00AD4F79"/>
    <w:rPr>
      <w:noProof/>
      <w:color w:val="78A22F" w:themeColor="accent1"/>
    </w:rPr>
  </w:style>
  <w:style w:type="paragraph" w:customStyle="1" w:styleId="Level1">
    <w:name w:val="Level 1"/>
    <w:basedOn w:val="BodyText"/>
    <w:next w:val="BodyTextIndented1"/>
    <w:uiPriority w:val="12"/>
    <w:qFormat/>
    <w:rsid w:val="00AD4F79"/>
    <w:pPr>
      <w:numPr>
        <w:ilvl w:val="1"/>
        <w:numId w:val="4"/>
      </w:numPr>
      <w:spacing w:before="60" w:after="60"/>
    </w:pPr>
    <w:rPr>
      <w:rFonts w:asciiTheme="majorHAnsi" w:hAnsiTheme="majorHAnsi"/>
      <w:b/>
      <w:color w:val="78A22F" w:themeColor="accent1"/>
    </w:rPr>
  </w:style>
  <w:style w:type="paragraph" w:customStyle="1" w:styleId="Level2">
    <w:name w:val="Level 2"/>
    <w:basedOn w:val="BodyText"/>
    <w:next w:val="BodyTextIndented1"/>
    <w:uiPriority w:val="12"/>
    <w:qFormat/>
    <w:rsid w:val="00AD4F79"/>
    <w:pPr>
      <w:numPr>
        <w:ilvl w:val="2"/>
        <w:numId w:val="4"/>
      </w:numPr>
      <w:spacing w:before="60" w:after="60"/>
    </w:pPr>
    <w:rPr>
      <w:rFonts w:asciiTheme="majorHAnsi" w:hAnsiTheme="majorHAnsi"/>
      <w:b/>
      <w:color w:val="58595B" w:themeColor="text2"/>
    </w:rPr>
  </w:style>
  <w:style w:type="paragraph" w:customStyle="1" w:styleId="Level3">
    <w:name w:val="Level 3"/>
    <w:basedOn w:val="BodyText"/>
    <w:next w:val="BodyTextIndented1"/>
    <w:uiPriority w:val="12"/>
    <w:rsid w:val="00AD4F79"/>
    <w:pPr>
      <w:numPr>
        <w:ilvl w:val="3"/>
        <w:numId w:val="4"/>
      </w:numPr>
      <w:spacing w:before="60" w:after="60"/>
    </w:pPr>
    <w:rPr>
      <w:rFonts w:asciiTheme="majorHAnsi" w:hAnsiTheme="majorHAnsi"/>
      <w:color w:val="58595B" w:themeColor="text2"/>
    </w:rPr>
  </w:style>
  <w:style w:type="paragraph" w:customStyle="1" w:styleId="Level4">
    <w:name w:val="Level 4"/>
    <w:basedOn w:val="BodyText"/>
    <w:next w:val="BodyTextIndented1"/>
    <w:uiPriority w:val="12"/>
    <w:rsid w:val="00AD4F79"/>
    <w:pPr>
      <w:numPr>
        <w:ilvl w:val="4"/>
        <w:numId w:val="4"/>
      </w:numPr>
      <w:spacing w:before="60" w:after="60"/>
    </w:pPr>
    <w:rPr>
      <w:rFonts w:asciiTheme="majorHAnsi" w:hAnsiTheme="majorHAnsi"/>
      <w:color w:val="58595B" w:themeColor="text2"/>
      <w:sz w:val="18"/>
    </w:rPr>
  </w:style>
  <w:style w:type="paragraph" w:customStyle="1" w:styleId="Level5">
    <w:name w:val="Level 5"/>
    <w:basedOn w:val="BodyText"/>
    <w:next w:val="BodyTextIndented1"/>
    <w:uiPriority w:val="12"/>
    <w:rsid w:val="00AD4F79"/>
    <w:pPr>
      <w:numPr>
        <w:ilvl w:val="5"/>
        <w:numId w:val="4"/>
      </w:numPr>
      <w:spacing w:before="60" w:after="60"/>
    </w:pPr>
    <w:rPr>
      <w:rFonts w:asciiTheme="majorHAnsi" w:hAnsiTheme="majorHAnsi"/>
      <w:sz w:val="18"/>
    </w:rPr>
  </w:style>
  <w:style w:type="paragraph" w:customStyle="1" w:styleId="CoverSubtitle">
    <w:name w:val="Cover Subtitle"/>
    <w:basedOn w:val="BodyText"/>
    <w:next w:val="CoverDate"/>
    <w:uiPriority w:val="26"/>
    <w:qFormat/>
    <w:rsid w:val="00AD4F79"/>
    <w:pPr>
      <w:spacing w:after="360"/>
      <w:jc w:val="left"/>
    </w:pPr>
    <w:rPr>
      <w:rFonts w:asciiTheme="majorHAnsi" w:hAnsiTheme="majorHAnsi"/>
      <w:sz w:val="52"/>
    </w:rPr>
  </w:style>
  <w:style w:type="paragraph" w:customStyle="1" w:styleId="CoverFooterHeading">
    <w:name w:val="Cover Footer Heading"/>
    <w:basedOn w:val="BodyText"/>
    <w:uiPriority w:val="29"/>
    <w:rsid w:val="00AD4F79"/>
    <w:pPr>
      <w:spacing w:after="0" w:line="220" w:lineRule="atLeast"/>
      <w:ind w:left="397"/>
      <w:jc w:val="left"/>
    </w:pPr>
    <w:rPr>
      <w:rFonts w:asciiTheme="majorHAnsi" w:hAnsiTheme="majorHAnsi"/>
      <w:color w:val="78A22F" w:themeColor="accent1"/>
    </w:rPr>
  </w:style>
  <w:style w:type="paragraph" w:customStyle="1" w:styleId="BodyTextBold">
    <w:name w:val="Body Text Bold"/>
    <w:basedOn w:val="BodyText"/>
    <w:next w:val="BodyText"/>
    <w:link w:val="BodyTextBoldChar"/>
    <w:uiPriority w:val="1"/>
    <w:qFormat/>
    <w:rsid w:val="00AD4F79"/>
    <w:rPr>
      <w:b/>
      <w:noProof/>
    </w:rPr>
  </w:style>
  <w:style w:type="paragraph" w:styleId="Date">
    <w:name w:val="Date"/>
    <w:basedOn w:val="CoverDate"/>
    <w:next w:val="Heading1"/>
    <w:link w:val="DateChar"/>
    <w:uiPriority w:val="10"/>
    <w:qFormat/>
    <w:rsid w:val="00AD4F79"/>
    <w:pPr>
      <w:pBdr>
        <w:bottom w:val="single" w:sz="8" w:space="5" w:color="78A22F" w:themeColor="accent1"/>
      </w:pBdr>
      <w:spacing w:before="0" w:after="240"/>
    </w:pPr>
    <w:rPr>
      <w:rFonts w:asciiTheme="minorHAnsi" w:hAnsiTheme="minorHAnsi"/>
      <w:sz w:val="22"/>
    </w:rPr>
  </w:style>
  <w:style w:type="character" w:customStyle="1" w:styleId="DateChar">
    <w:name w:val="Date Char"/>
    <w:basedOn w:val="DefaultParagraphFont"/>
    <w:link w:val="Date"/>
    <w:uiPriority w:val="10"/>
    <w:rsid w:val="00AD4F79"/>
    <w:rPr>
      <w:sz w:val="22"/>
      <w:szCs w:val="22"/>
    </w:rPr>
  </w:style>
  <w:style w:type="paragraph" w:customStyle="1" w:styleId="Subject3">
    <w:name w:val="Subject3"/>
    <w:basedOn w:val="BodyText"/>
    <w:next w:val="BodyTextIndented2"/>
    <w:uiPriority w:val="13"/>
    <w:rsid w:val="00AD4F79"/>
    <w:pPr>
      <w:spacing w:before="60" w:after="60"/>
    </w:pPr>
    <w:rPr>
      <w:rFonts w:asciiTheme="majorHAnsi" w:hAnsiTheme="majorHAnsi"/>
      <w:color w:val="58595B" w:themeColor="text2"/>
    </w:rPr>
  </w:style>
  <w:style w:type="paragraph" w:customStyle="1" w:styleId="Reportheader">
    <w:name w:val="Report header"/>
    <w:basedOn w:val="Header"/>
    <w:uiPriority w:val="29"/>
    <w:rsid w:val="00AD4F79"/>
    <w:rPr>
      <w:b/>
      <w:color w:val="78A22F" w:themeColor="accent1"/>
      <w:sz w:val="22"/>
    </w:rPr>
  </w:style>
  <w:style w:type="paragraph" w:customStyle="1" w:styleId="CoverDate">
    <w:name w:val="Cover Date"/>
    <w:basedOn w:val="Normal"/>
    <w:next w:val="BodyText"/>
    <w:uiPriority w:val="27"/>
    <w:qFormat/>
    <w:rsid w:val="00AD4F79"/>
    <w:pPr>
      <w:spacing w:before="120" w:after="120"/>
    </w:pPr>
    <w:rPr>
      <w:rFonts w:asciiTheme="majorHAnsi" w:hAnsiTheme="majorHAnsi"/>
      <w:sz w:val="36"/>
    </w:rPr>
  </w:style>
  <w:style w:type="paragraph" w:customStyle="1" w:styleId="NormalBold">
    <w:name w:val="Normal Bold"/>
    <w:basedOn w:val="Normal"/>
    <w:next w:val="Normal"/>
    <w:uiPriority w:val="5"/>
    <w:qFormat/>
    <w:rsid w:val="00AD4F79"/>
    <w:rPr>
      <w:b/>
    </w:rPr>
  </w:style>
  <w:style w:type="character" w:customStyle="1" w:styleId="NormalHighlightChar">
    <w:name w:val="Normal Highlight Char"/>
    <w:basedOn w:val="DefaultParagraphFont"/>
    <w:link w:val="NormalHighlight"/>
    <w:uiPriority w:val="7"/>
    <w:rsid w:val="00AD4F79"/>
    <w:rPr>
      <w:noProof/>
      <w:color w:val="78A22F" w:themeColor="accent1"/>
      <w:sz w:val="22"/>
      <w:szCs w:val="22"/>
    </w:rPr>
  </w:style>
  <w:style w:type="character" w:customStyle="1" w:styleId="BodyTextBoldChar">
    <w:name w:val="Body Text Bold Char"/>
    <w:basedOn w:val="BodyTextChar"/>
    <w:link w:val="BodyTextBold"/>
    <w:uiPriority w:val="1"/>
    <w:rsid w:val="00AD4F79"/>
    <w:rPr>
      <w:b/>
      <w:noProof/>
      <w:sz w:val="22"/>
      <w:szCs w:val="22"/>
    </w:rPr>
  </w:style>
  <w:style w:type="character" w:customStyle="1" w:styleId="BodyTextHighlightChar">
    <w:name w:val="Body Text Highlight Char"/>
    <w:basedOn w:val="BodyTextChar"/>
    <w:link w:val="BodyTextHighlight"/>
    <w:uiPriority w:val="7"/>
    <w:rsid w:val="00AD4F79"/>
    <w:rPr>
      <w:rFonts w:asciiTheme="majorHAnsi" w:hAnsiTheme="majorHAnsi" w:cstheme="majorHAnsi"/>
      <w:b/>
      <w:color w:val="58595B" w:themeColor="text2"/>
      <w:sz w:val="22"/>
      <w:szCs w:val="22"/>
    </w:rPr>
  </w:style>
  <w:style w:type="paragraph" w:customStyle="1" w:styleId="AFMEPagenumber">
    <w:name w:val="AFME Page number"/>
    <w:basedOn w:val="Footer"/>
    <w:uiPriority w:val="29"/>
    <w:qFormat/>
    <w:rsid w:val="00AD4F79"/>
    <w:pPr>
      <w:ind w:right="0"/>
      <w:jc w:val="right"/>
    </w:pPr>
    <w:rPr>
      <w:b/>
    </w:rPr>
  </w:style>
  <w:style w:type="paragraph" w:customStyle="1" w:styleId="AFMEFullName">
    <w:name w:val="AFME Full Name"/>
    <w:basedOn w:val="BodyTextBold"/>
    <w:uiPriority w:val="29"/>
    <w:qFormat/>
    <w:rsid w:val="00AD4F79"/>
    <w:pPr>
      <w:spacing w:before="400" w:after="0"/>
      <w:jc w:val="right"/>
    </w:pPr>
    <w:rPr>
      <w:sz w:val="18"/>
      <w:szCs w:val="18"/>
    </w:rPr>
  </w:style>
  <w:style w:type="paragraph" w:customStyle="1" w:styleId="AFMEContactEmail">
    <w:name w:val="AFME Contact Email"/>
    <w:basedOn w:val="NormalHighlight"/>
    <w:next w:val="Normal"/>
    <w:uiPriority w:val="28"/>
    <w:qFormat/>
    <w:rsid w:val="00AD4F79"/>
    <w:pPr>
      <w:spacing w:before="120" w:after="120"/>
    </w:pPr>
  </w:style>
  <w:style w:type="paragraph" w:customStyle="1" w:styleId="FooterLegal-letter">
    <w:name w:val="Footer Legal -  letter"/>
    <w:basedOn w:val="FooterOffices"/>
    <w:uiPriority w:val="29"/>
    <w:rsid w:val="00AD4F79"/>
    <w:pPr>
      <w:spacing w:line="180" w:lineRule="atLeast"/>
      <w:ind w:left="-794"/>
    </w:pPr>
    <w:rPr>
      <w:sz w:val="14"/>
    </w:rPr>
  </w:style>
  <w:style w:type="paragraph" w:customStyle="1" w:styleId="FooterHeading-letter">
    <w:name w:val="Footer Heading - letter"/>
    <w:basedOn w:val="FooterHeading"/>
    <w:uiPriority w:val="29"/>
    <w:qFormat/>
    <w:rsid w:val="00AD4F79"/>
    <w:pPr>
      <w:ind w:left="-794"/>
    </w:pPr>
  </w:style>
  <w:style w:type="paragraph" w:customStyle="1" w:styleId="FooterOffices-letter">
    <w:name w:val="Footer Offices - letter"/>
    <w:basedOn w:val="FooterOffices"/>
    <w:uiPriority w:val="29"/>
    <w:qFormat/>
    <w:rsid w:val="00AD4F79"/>
    <w:pPr>
      <w:ind w:left="-794"/>
    </w:pPr>
  </w:style>
  <w:style w:type="character" w:customStyle="1" w:styleId="UnresolvedMention1">
    <w:name w:val="Unresolved Mention1"/>
    <w:basedOn w:val="DefaultParagraphFont"/>
    <w:uiPriority w:val="99"/>
    <w:semiHidden/>
    <w:unhideWhenUsed/>
    <w:rsid w:val="002D0439"/>
    <w:rPr>
      <w:color w:val="808080"/>
      <w:shd w:val="clear" w:color="auto" w:fill="E6E6E6"/>
    </w:rPr>
  </w:style>
  <w:style w:type="character" w:styleId="CommentReference">
    <w:name w:val="annotation reference"/>
    <w:basedOn w:val="DefaultParagraphFont"/>
    <w:uiPriority w:val="99"/>
    <w:semiHidden/>
    <w:unhideWhenUsed/>
    <w:rsid w:val="00390753"/>
    <w:rPr>
      <w:sz w:val="16"/>
      <w:szCs w:val="16"/>
    </w:rPr>
  </w:style>
  <w:style w:type="paragraph" w:styleId="CommentText">
    <w:name w:val="annotation text"/>
    <w:basedOn w:val="Normal"/>
    <w:link w:val="CommentTextChar"/>
    <w:uiPriority w:val="99"/>
    <w:unhideWhenUsed/>
    <w:rsid w:val="00390753"/>
    <w:pPr>
      <w:spacing w:line="240" w:lineRule="auto"/>
    </w:pPr>
    <w:rPr>
      <w:sz w:val="20"/>
      <w:szCs w:val="20"/>
    </w:rPr>
  </w:style>
  <w:style w:type="character" w:customStyle="1" w:styleId="CommentTextChar">
    <w:name w:val="Comment Text Char"/>
    <w:basedOn w:val="DefaultParagraphFont"/>
    <w:link w:val="CommentText"/>
    <w:uiPriority w:val="99"/>
    <w:rsid w:val="00390753"/>
  </w:style>
  <w:style w:type="paragraph" w:styleId="CommentSubject">
    <w:name w:val="annotation subject"/>
    <w:basedOn w:val="CommentText"/>
    <w:next w:val="CommentText"/>
    <w:link w:val="CommentSubjectChar"/>
    <w:uiPriority w:val="99"/>
    <w:semiHidden/>
    <w:unhideWhenUsed/>
    <w:rsid w:val="00390753"/>
    <w:rPr>
      <w:b/>
      <w:bCs/>
    </w:rPr>
  </w:style>
  <w:style w:type="character" w:customStyle="1" w:styleId="CommentSubjectChar">
    <w:name w:val="Comment Subject Char"/>
    <w:basedOn w:val="CommentTextChar"/>
    <w:link w:val="CommentSubject"/>
    <w:uiPriority w:val="99"/>
    <w:semiHidden/>
    <w:rsid w:val="00390753"/>
    <w:rPr>
      <w:b/>
      <w:bCs/>
    </w:rPr>
  </w:style>
  <w:style w:type="paragraph" w:styleId="EndnoteText">
    <w:name w:val="endnote text"/>
    <w:basedOn w:val="Normal"/>
    <w:link w:val="EndnoteTextChar"/>
    <w:uiPriority w:val="99"/>
    <w:semiHidden/>
    <w:unhideWhenUsed/>
    <w:rsid w:val="00277E82"/>
    <w:pPr>
      <w:spacing w:line="240" w:lineRule="auto"/>
    </w:pPr>
    <w:rPr>
      <w:sz w:val="20"/>
      <w:szCs w:val="20"/>
    </w:rPr>
  </w:style>
  <w:style w:type="character" w:customStyle="1" w:styleId="EndnoteTextChar">
    <w:name w:val="Endnote Text Char"/>
    <w:basedOn w:val="DefaultParagraphFont"/>
    <w:link w:val="EndnoteText"/>
    <w:uiPriority w:val="99"/>
    <w:semiHidden/>
    <w:rsid w:val="00277E82"/>
  </w:style>
  <w:style w:type="character" w:styleId="EndnoteReference">
    <w:name w:val="endnote reference"/>
    <w:basedOn w:val="DefaultParagraphFont"/>
    <w:uiPriority w:val="99"/>
    <w:semiHidden/>
    <w:unhideWhenUsed/>
    <w:rsid w:val="00277E82"/>
    <w:rPr>
      <w:vertAlign w:val="superscript"/>
    </w:rPr>
  </w:style>
  <w:style w:type="character" w:customStyle="1" w:styleId="ListParagraphChar">
    <w:name w:val="List Paragraph Char"/>
    <w:aliases w:val="RUS List Char,Dot pt Char,F5 List Paragraph Char,List Paragraph1 Char,No Spacing1 Char,List Paragraph Char Char Char Char,Indicator Text Char,Numbered Para 1 Char,Bullet 1 Char,Bullet Points Char,MAIN CONTENT Char,OBC Bullet Char"/>
    <w:basedOn w:val="DefaultParagraphFont"/>
    <w:link w:val="ListParagraph"/>
    <w:uiPriority w:val="34"/>
    <w:locked/>
    <w:rsid w:val="005C407E"/>
    <w:rPr>
      <w:sz w:val="22"/>
      <w:szCs w:val="22"/>
    </w:rPr>
  </w:style>
  <w:style w:type="paragraph" w:customStyle="1" w:styleId="Default">
    <w:name w:val="Default"/>
    <w:rsid w:val="00B25CBC"/>
    <w:pPr>
      <w:autoSpaceDE w:val="0"/>
      <w:autoSpaceDN w:val="0"/>
      <w:adjustRightInd w:val="0"/>
      <w:spacing w:before="120"/>
      <w:jc w:val="both"/>
    </w:pPr>
    <w:rPr>
      <w:rFonts w:ascii="Cambria" w:eastAsiaTheme="minorHAnsi" w:hAnsi="Cambria" w:cs="Cambria"/>
      <w:color w:val="000000"/>
      <w:sz w:val="24"/>
      <w:szCs w:val="24"/>
      <w:lang w:val="en-US" w:eastAsia="en-US"/>
    </w:rPr>
  </w:style>
  <w:style w:type="paragraph" w:customStyle="1" w:styleId="Normal1">
    <w:name w:val="Normal1"/>
    <w:basedOn w:val="Normal"/>
    <w:rsid w:val="0034653D"/>
    <w:pPr>
      <w:spacing w:before="100" w:beforeAutospacing="1" w:after="100" w:afterAutospacing="1" w:line="240" w:lineRule="auto"/>
    </w:pPr>
    <w:rPr>
      <w:rFonts w:ascii="Times New Roman" w:eastAsia="Times New Roman" w:hAnsi="Times New Roman"/>
      <w:sz w:val="24"/>
      <w:szCs w:val="24"/>
    </w:rPr>
  </w:style>
  <w:style w:type="paragraph" w:customStyle="1" w:styleId="sti-art">
    <w:name w:val="sti-art"/>
    <w:basedOn w:val="Normal"/>
    <w:rsid w:val="0034653D"/>
    <w:pPr>
      <w:spacing w:before="60" w:after="120" w:line="240" w:lineRule="auto"/>
      <w:jc w:val="center"/>
    </w:pPr>
    <w:rPr>
      <w:rFonts w:ascii="Times New Roman" w:eastAsia="Times New Roman" w:hAnsi="Times New Roman"/>
      <w:b/>
      <w:bCs/>
      <w:sz w:val="24"/>
      <w:szCs w:val="24"/>
    </w:rPr>
  </w:style>
  <w:style w:type="paragraph" w:customStyle="1" w:styleId="ti-art">
    <w:name w:val="ti-art"/>
    <w:basedOn w:val="Normal"/>
    <w:rsid w:val="0034653D"/>
    <w:pPr>
      <w:spacing w:before="360" w:after="120" w:line="240" w:lineRule="auto"/>
      <w:jc w:val="center"/>
    </w:pPr>
    <w:rPr>
      <w:rFonts w:ascii="Times New Roman" w:eastAsia="Times New Roman" w:hAnsi="Times New Roman"/>
      <w:i/>
      <w:iCs/>
      <w:sz w:val="24"/>
      <w:szCs w:val="24"/>
    </w:rPr>
  </w:style>
  <w:style w:type="character" w:styleId="UnresolvedMention">
    <w:name w:val="Unresolved Mention"/>
    <w:basedOn w:val="DefaultParagraphFont"/>
    <w:uiPriority w:val="99"/>
    <w:semiHidden/>
    <w:unhideWhenUsed/>
    <w:rsid w:val="0094762B"/>
    <w:rPr>
      <w:color w:val="605E5C"/>
      <w:shd w:val="clear" w:color="auto" w:fill="E1DFDD"/>
    </w:rPr>
  </w:style>
  <w:style w:type="paragraph" w:styleId="HTMLPreformatted">
    <w:name w:val="HTML Preformatted"/>
    <w:basedOn w:val="Normal"/>
    <w:link w:val="HTMLPreformattedChar"/>
    <w:uiPriority w:val="99"/>
    <w:semiHidden/>
    <w:unhideWhenUsed/>
    <w:rsid w:val="009E3FA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3FA7"/>
    <w:rPr>
      <w:rFonts w:ascii="Consolas" w:hAnsi="Consolas"/>
    </w:rPr>
  </w:style>
  <w:style w:type="paragraph" w:styleId="Revision">
    <w:name w:val="Revision"/>
    <w:hidden/>
    <w:uiPriority w:val="99"/>
    <w:semiHidden/>
    <w:rsid w:val="003A4466"/>
    <w:rPr>
      <w:sz w:val="22"/>
      <w:szCs w:val="22"/>
    </w:rPr>
  </w:style>
  <w:style w:type="character" w:customStyle="1" w:styleId="ParagraphedelisteCar">
    <w:name w:val="Paragraphe de liste Car"/>
    <w:aliases w:val="RUS List Car,Dot pt Car,F5 List Paragraph Car,List Paragraph1 Car,No Spacing1 Car,List Paragraph Char Char Char Car,Indicator Text Car,Numbered Para 1 Car,Bullet 1 Car,Bullet Points Car,MAIN CONTENT Car,List Paragraph11 Car,L Car"/>
    <w:basedOn w:val="DefaultParagraphFont"/>
    <w:uiPriority w:val="34"/>
    <w:locked/>
    <w:rsid w:val="0089515F"/>
    <w:rPr>
      <w:rFonts w:ascii="Calibri" w:hAnsi="Calibri" w:cs="Calibri"/>
      <w:lang w:eastAsia="en-US"/>
    </w:rPr>
  </w:style>
  <w:style w:type="paragraph" w:styleId="NormalWeb">
    <w:name w:val="Normal (Web)"/>
    <w:basedOn w:val="Normal"/>
    <w:uiPriority w:val="99"/>
    <w:unhideWhenUsed/>
    <w:rsid w:val="00BB73E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8778E"/>
    <w:rPr>
      <w:b/>
      <w:bCs/>
    </w:rPr>
  </w:style>
  <w:style w:type="character" w:customStyle="1" w:styleId="ecb-footnote-toggle">
    <w:name w:val="ecb-footnote-toggle"/>
    <w:basedOn w:val="DefaultParagraphFont"/>
    <w:rsid w:val="007D39AA"/>
  </w:style>
  <w:style w:type="character" w:styleId="Emphasis">
    <w:name w:val="Emphasis"/>
    <w:basedOn w:val="DefaultParagraphFont"/>
    <w:uiPriority w:val="20"/>
    <w:qFormat/>
    <w:rsid w:val="009D64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0470">
      <w:bodyDiv w:val="1"/>
      <w:marLeft w:val="0"/>
      <w:marRight w:val="0"/>
      <w:marTop w:val="0"/>
      <w:marBottom w:val="0"/>
      <w:divBdr>
        <w:top w:val="none" w:sz="0" w:space="0" w:color="auto"/>
        <w:left w:val="none" w:sz="0" w:space="0" w:color="auto"/>
        <w:bottom w:val="none" w:sz="0" w:space="0" w:color="auto"/>
        <w:right w:val="none" w:sz="0" w:space="0" w:color="auto"/>
      </w:divBdr>
      <w:divsChild>
        <w:div w:id="1966890130">
          <w:marLeft w:val="1354"/>
          <w:marRight w:val="0"/>
          <w:marTop w:val="0"/>
          <w:marBottom w:val="0"/>
          <w:divBdr>
            <w:top w:val="none" w:sz="0" w:space="0" w:color="auto"/>
            <w:left w:val="none" w:sz="0" w:space="0" w:color="auto"/>
            <w:bottom w:val="none" w:sz="0" w:space="0" w:color="auto"/>
            <w:right w:val="none" w:sz="0" w:space="0" w:color="auto"/>
          </w:divBdr>
        </w:div>
        <w:div w:id="1513033095">
          <w:marLeft w:val="1354"/>
          <w:marRight w:val="0"/>
          <w:marTop w:val="0"/>
          <w:marBottom w:val="120"/>
          <w:divBdr>
            <w:top w:val="none" w:sz="0" w:space="0" w:color="auto"/>
            <w:left w:val="none" w:sz="0" w:space="0" w:color="auto"/>
            <w:bottom w:val="none" w:sz="0" w:space="0" w:color="auto"/>
            <w:right w:val="none" w:sz="0" w:space="0" w:color="auto"/>
          </w:divBdr>
        </w:div>
      </w:divsChild>
    </w:div>
    <w:div w:id="68508466">
      <w:bodyDiv w:val="1"/>
      <w:marLeft w:val="0"/>
      <w:marRight w:val="0"/>
      <w:marTop w:val="0"/>
      <w:marBottom w:val="0"/>
      <w:divBdr>
        <w:top w:val="none" w:sz="0" w:space="0" w:color="auto"/>
        <w:left w:val="none" w:sz="0" w:space="0" w:color="auto"/>
        <w:bottom w:val="none" w:sz="0" w:space="0" w:color="auto"/>
        <w:right w:val="none" w:sz="0" w:space="0" w:color="auto"/>
      </w:divBdr>
    </w:div>
    <w:div w:id="84303865">
      <w:bodyDiv w:val="1"/>
      <w:marLeft w:val="0"/>
      <w:marRight w:val="0"/>
      <w:marTop w:val="0"/>
      <w:marBottom w:val="0"/>
      <w:divBdr>
        <w:top w:val="none" w:sz="0" w:space="0" w:color="auto"/>
        <w:left w:val="none" w:sz="0" w:space="0" w:color="auto"/>
        <w:bottom w:val="none" w:sz="0" w:space="0" w:color="auto"/>
        <w:right w:val="none" w:sz="0" w:space="0" w:color="auto"/>
      </w:divBdr>
    </w:div>
    <w:div w:id="157811496">
      <w:bodyDiv w:val="1"/>
      <w:marLeft w:val="0"/>
      <w:marRight w:val="0"/>
      <w:marTop w:val="0"/>
      <w:marBottom w:val="0"/>
      <w:divBdr>
        <w:top w:val="none" w:sz="0" w:space="0" w:color="auto"/>
        <w:left w:val="none" w:sz="0" w:space="0" w:color="auto"/>
        <w:bottom w:val="none" w:sz="0" w:space="0" w:color="auto"/>
        <w:right w:val="none" w:sz="0" w:space="0" w:color="auto"/>
      </w:divBdr>
    </w:div>
    <w:div w:id="169149405">
      <w:bodyDiv w:val="1"/>
      <w:marLeft w:val="0"/>
      <w:marRight w:val="0"/>
      <w:marTop w:val="0"/>
      <w:marBottom w:val="0"/>
      <w:divBdr>
        <w:top w:val="none" w:sz="0" w:space="0" w:color="auto"/>
        <w:left w:val="none" w:sz="0" w:space="0" w:color="auto"/>
        <w:bottom w:val="none" w:sz="0" w:space="0" w:color="auto"/>
        <w:right w:val="none" w:sz="0" w:space="0" w:color="auto"/>
      </w:divBdr>
    </w:div>
    <w:div w:id="221990225">
      <w:bodyDiv w:val="1"/>
      <w:marLeft w:val="0"/>
      <w:marRight w:val="0"/>
      <w:marTop w:val="0"/>
      <w:marBottom w:val="0"/>
      <w:divBdr>
        <w:top w:val="none" w:sz="0" w:space="0" w:color="auto"/>
        <w:left w:val="none" w:sz="0" w:space="0" w:color="auto"/>
        <w:bottom w:val="none" w:sz="0" w:space="0" w:color="auto"/>
        <w:right w:val="none" w:sz="0" w:space="0" w:color="auto"/>
      </w:divBdr>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35172442">
      <w:bodyDiv w:val="1"/>
      <w:marLeft w:val="0"/>
      <w:marRight w:val="0"/>
      <w:marTop w:val="0"/>
      <w:marBottom w:val="0"/>
      <w:divBdr>
        <w:top w:val="none" w:sz="0" w:space="0" w:color="auto"/>
        <w:left w:val="none" w:sz="0" w:space="0" w:color="auto"/>
        <w:bottom w:val="none" w:sz="0" w:space="0" w:color="auto"/>
        <w:right w:val="none" w:sz="0" w:space="0" w:color="auto"/>
      </w:divBdr>
    </w:div>
    <w:div w:id="243220329">
      <w:bodyDiv w:val="1"/>
      <w:marLeft w:val="0"/>
      <w:marRight w:val="0"/>
      <w:marTop w:val="0"/>
      <w:marBottom w:val="0"/>
      <w:divBdr>
        <w:top w:val="none" w:sz="0" w:space="0" w:color="auto"/>
        <w:left w:val="none" w:sz="0" w:space="0" w:color="auto"/>
        <w:bottom w:val="none" w:sz="0" w:space="0" w:color="auto"/>
        <w:right w:val="none" w:sz="0" w:space="0" w:color="auto"/>
      </w:divBdr>
    </w:div>
    <w:div w:id="270943655">
      <w:bodyDiv w:val="1"/>
      <w:marLeft w:val="0"/>
      <w:marRight w:val="0"/>
      <w:marTop w:val="0"/>
      <w:marBottom w:val="0"/>
      <w:divBdr>
        <w:top w:val="none" w:sz="0" w:space="0" w:color="auto"/>
        <w:left w:val="none" w:sz="0" w:space="0" w:color="auto"/>
        <w:bottom w:val="none" w:sz="0" w:space="0" w:color="auto"/>
        <w:right w:val="none" w:sz="0" w:space="0" w:color="auto"/>
      </w:divBdr>
    </w:div>
    <w:div w:id="271208354">
      <w:bodyDiv w:val="1"/>
      <w:marLeft w:val="0"/>
      <w:marRight w:val="0"/>
      <w:marTop w:val="0"/>
      <w:marBottom w:val="0"/>
      <w:divBdr>
        <w:top w:val="none" w:sz="0" w:space="0" w:color="auto"/>
        <w:left w:val="none" w:sz="0" w:space="0" w:color="auto"/>
        <w:bottom w:val="none" w:sz="0" w:space="0" w:color="auto"/>
        <w:right w:val="none" w:sz="0" w:space="0" w:color="auto"/>
      </w:divBdr>
    </w:div>
    <w:div w:id="293214274">
      <w:bodyDiv w:val="1"/>
      <w:marLeft w:val="0"/>
      <w:marRight w:val="0"/>
      <w:marTop w:val="0"/>
      <w:marBottom w:val="0"/>
      <w:divBdr>
        <w:top w:val="none" w:sz="0" w:space="0" w:color="auto"/>
        <w:left w:val="none" w:sz="0" w:space="0" w:color="auto"/>
        <w:bottom w:val="none" w:sz="0" w:space="0" w:color="auto"/>
        <w:right w:val="none" w:sz="0" w:space="0" w:color="auto"/>
      </w:divBdr>
    </w:div>
    <w:div w:id="298459259">
      <w:bodyDiv w:val="1"/>
      <w:marLeft w:val="0"/>
      <w:marRight w:val="0"/>
      <w:marTop w:val="0"/>
      <w:marBottom w:val="0"/>
      <w:divBdr>
        <w:top w:val="none" w:sz="0" w:space="0" w:color="auto"/>
        <w:left w:val="none" w:sz="0" w:space="0" w:color="auto"/>
        <w:bottom w:val="none" w:sz="0" w:space="0" w:color="auto"/>
        <w:right w:val="none" w:sz="0" w:space="0" w:color="auto"/>
      </w:divBdr>
    </w:div>
    <w:div w:id="301422593">
      <w:bodyDiv w:val="1"/>
      <w:marLeft w:val="0"/>
      <w:marRight w:val="0"/>
      <w:marTop w:val="0"/>
      <w:marBottom w:val="0"/>
      <w:divBdr>
        <w:top w:val="none" w:sz="0" w:space="0" w:color="auto"/>
        <w:left w:val="none" w:sz="0" w:space="0" w:color="auto"/>
        <w:bottom w:val="none" w:sz="0" w:space="0" w:color="auto"/>
        <w:right w:val="none" w:sz="0" w:space="0" w:color="auto"/>
      </w:divBdr>
    </w:div>
    <w:div w:id="307788180">
      <w:bodyDiv w:val="1"/>
      <w:marLeft w:val="0"/>
      <w:marRight w:val="0"/>
      <w:marTop w:val="0"/>
      <w:marBottom w:val="0"/>
      <w:divBdr>
        <w:top w:val="none" w:sz="0" w:space="0" w:color="auto"/>
        <w:left w:val="none" w:sz="0" w:space="0" w:color="auto"/>
        <w:bottom w:val="none" w:sz="0" w:space="0" w:color="auto"/>
        <w:right w:val="none" w:sz="0" w:space="0" w:color="auto"/>
      </w:divBdr>
    </w:div>
    <w:div w:id="337854468">
      <w:bodyDiv w:val="1"/>
      <w:marLeft w:val="0"/>
      <w:marRight w:val="0"/>
      <w:marTop w:val="0"/>
      <w:marBottom w:val="0"/>
      <w:divBdr>
        <w:top w:val="none" w:sz="0" w:space="0" w:color="auto"/>
        <w:left w:val="none" w:sz="0" w:space="0" w:color="auto"/>
        <w:bottom w:val="none" w:sz="0" w:space="0" w:color="auto"/>
        <w:right w:val="none" w:sz="0" w:space="0" w:color="auto"/>
      </w:divBdr>
    </w:div>
    <w:div w:id="383254906">
      <w:bodyDiv w:val="1"/>
      <w:marLeft w:val="0"/>
      <w:marRight w:val="0"/>
      <w:marTop w:val="0"/>
      <w:marBottom w:val="0"/>
      <w:divBdr>
        <w:top w:val="none" w:sz="0" w:space="0" w:color="auto"/>
        <w:left w:val="none" w:sz="0" w:space="0" w:color="auto"/>
        <w:bottom w:val="none" w:sz="0" w:space="0" w:color="auto"/>
        <w:right w:val="none" w:sz="0" w:space="0" w:color="auto"/>
      </w:divBdr>
    </w:div>
    <w:div w:id="414278368">
      <w:bodyDiv w:val="1"/>
      <w:marLeft w:val="0"/>
      <w:marRight w:val="0"/>
      <w:marTop w:val="0"/>
      <w:marBottom w:val="0"/>
      <w:divBdr>
        <w:top w:val="none" w:sz="0" w:space="0" w:color="auto"/>
        <w:left w:val="none" w:sz="0" w:space="0" w:color="auto"/>
        <w:bottom w:val="none" w:sz="0" w:space="0" w:color="auto"/>
        <w:right w:val="none" w:sz="0" w:space="0" w:color="auto"/>
      </w:divBdr>
    </w:div>
    <w:div w:id="482160957">
      <w:bodyDiv w:val="1"/>
      <w:marLeft w:val="0"/>
      <w:marRight w:val="0"/>
      <w:marTop w:val="0"/>
      <w:marBottom w:val="0"/>
      <w:divBdr>
        <w:top w:val="none" w:sz="0" w:space="0" w:color="auto"/>
        <w:left w:val="none" w:sz="0" w:space="0" w:color="auto"/>
        <w:bottom w:val="none" w:sz="0" w:space="0" w:color="auto"/>
        <w:right w:val="none" w:sz="0" w:space="0" w:color="auto"/>
      </w:divBdr>
    </w:div>
    <w:div w:id="563175498">
      <w:bodyDiv w:val="1"/>
      <w:marLeft w:val="0"/>
      <w:marRight w:val="0"/>
      <w:marTop w:val="0"/>
      <w:marBottom w:val="0"/>
      <w:divBdr>
        <w:top w:val="none" w:sz="0" w:space="0" w:color="auto"/>
        <w:left w:val="none" w:sz="0" w:space="0" w:color="auto"/>
        <w:bottom w:val="none" w:sz="0" w:space="0" w:color="auto"/>
        <w:right w:val="none" w:sz="0" w:space="0" w:color="auto"/>
      </w:divBdr>
      <w:divsChild>
        <w:div w:id="1506551158">
          <w:marLeft w:val="1166"/>
          <w:marRight w:val="0"/>
          <w:marTop w:val="67"/>
          <w:marBottom w:val="0"/>
          <w:divBdr>
            <w:top w:val="none" w:sz="0" w:space="0" w:color="auto"/>
            <w:left w:val="none" w:sz="0" w:space="0" w:color="auto"/>
            <w:bottom w:val="none" w:sz="0" w:space="0" w:color="auto"/>
            <w:right w:val="none" w:sz="0" w:space="0" w:color="auto"/>
          </w:divBdr>
        </w:div>
      </w:divsChild>
    </w:div>
    <w:div w:id="632641655">
      <w:bodyDiv w:val="1"/>
      <w:marLeft w:val="0"/>
      <w:marRight w:val="0"/>
      <w:marTop w:val="0"/>
      <w:marBottom w:val="0"/>
      <w:divBdr>
        <w:top w:val="none" w:sz="0" w:space="0" w:color="auto"/>
        <w:left w:val="none" w:sz="0" w:space="0" w:color="auto"/>
        <w:bottom w:val="none" w:sz="0" w:space="0" w:color="auto"/>
        <w:right w:val="none" w:sz="0" w:space="0" w:color="auto"/>
      </w:divBdr>
      <w:divsChild>
        <w:div w:id="1109351118">
          <w:marLeft w:val="907"/>
          <w:marRight w:val="0"/>
          <w:marTop w:val="0"/>
          <w:marBottom w:val="0"/>
          <w:divBdr>
            <w:top w:val="none" w:sz="0" w:space="0" w:color="auto"/>
            <w:left w:val="none" w:sz="0" w:space="0" w:color="auto"/>
            <w:bottom w:val="none" w:sz="0" w:space="0" w:color="auto"/>
            <w:right w:val="none" w:sz="0" w:space="0" w:color="auto"/>
          </w:divBdr>
        </w:div>
        <w:div w:id="1045368997">
          <w:marLeft w:val="907"/>
          <w:marRight w:val="0"/>
          <w:marTop w:val="0"/>
          <w:marBottom w:val="0"/>
          <w:divBdr>
            <w:top w:val="none" w:sz="0" w:space="0" w:color="auto"/>
            <w:left w:val="none" w:sz="0" w:space="0" w:color="auto"/>
            <w:bottom w:val="none" w:sz="0" w:space="0" w:color="auto"/>
            <w:right w:val="none" w:sz="0" w:space="0" w:color="auto"/>
          </w:divBdr>
        </w:div>
        <w:div w:id="866715340">
          <w:marLeft w:val="907"/>
          <w:marRight w:val="0"/>
          <w:marTop w:val="0"/>
          <w:marBottom w:val="0"/>
          <w:divBdr>
            <w:top w:val="none" w:sz="0" w:space="0" w:color="auto"/>
            <w:left w:val="none" w:sz="0" w:space="0" w:color="auto"/>
            <w:bottom w:val="none" w:sz="0" w:space="0" w:color="auto"/>
            <w:right w:val="none" w:sz="0" w:space="0" w:color="auto"/>
          </w:divBdr>
        </w:div>
        <w:div w:id="467741634">
          <w:marLeft w:val="187"/>
          <w:marRight w:val="0"/>
          <w:marTop w:val="120"/>
          <w:marBottom w:val="120"/>
          <w:divBdr>
            <w:top w:val="none" w:sz="0" w:space="0" w:color="auto"/>
            <w:left w:val="none" w:sz="0" w:space="0" w:color="auto"/>
            <w:bottom w:val="none" w:sz="0" w:space="0" w:color="auto"/>
            <w:right w:val="none" w:sz="0" w:space="0" w:color="auto"/>
          </w:divBdr>
        </w:div>
        <w:div w:id="1187913758">
          <w:marLeft w:val="446"/>
          <w:marRight w:val="0"/>
          <w:marTop w:val="0"/>
          <w:marBottom w:val="0"/>
          <w:divBdr>
            <w:top w:val="none" w:sz="0" w:space="0" w:color="auto"/>
            <w:left w:val="none" w:sz="0" w:space="0" w:color="auto"/>
            <w:bottom w:val="none" w:sz="0" w:space="0" w:color="auto"/>
            <w:right w:val="none" w:sz="0" w:space="0" w:color="auto"/>
          </w:divBdr>
        </w:div>
        <w:div w:id="1829856846">
          <w:marLeft w:val="907"/>
          <w:marRight w:val="0"/>
          <w:marTop w:val="0"/>
          <w:marBottom w:val="0"/>
          <w:divBdr>
            <w:top w:val="none" w:sz="0" w:space="0" w:color="auto"/>
            <w:left w:val="none" w:sz="0" w:space="0" w:color="auto"/>
            <w:bottom w:val="none" w:sz="0" w:space="0" w:color="auto"/>
            <w:right w:val="none" w:sz="0" w:space="0" w:color="auto"/>
          </w:divBdr>
        </w:div>
        <w:div w:id="2023892088">
          <w:marLeft w:val="907"/>
          <w:marRight w:val="0"/>
          <w:marTop w:val="0"/>
          <w:marBottom w:val="0"/>
          <w:divBdr>
            <w:top w:val="none" w:sz="0" w:space="0" w:color="auto"/>
            <w:left w:val="none" w:sz="0" w:space="0" w:color="auto"/>
            <w:bottom w:val="none" w:sz="0" w:space="0" w:color="auto"/>
            <w:right w:val="none" w:sz="0" w:space="0" w:color="auto"/>
          </w:divBdr>
        </w:div>
      </w:divsChild>
    </w:div>
    <w:div w:id="701629784">
      <w:bodyDiv w:val="1"/>
      <w:marLeft w:val="0"/>
      <w:marRight w:val="0"/>
      <w:marTop w:val="0"/>
      <w:marBottom w:val="0"/>
      <w:divBdr>
        <w:top w:val="none" w:sz="0" w:space="0" w:color="auto"/>
        <w:left w:val="none" w:sz="0" w:space="0" w:color="auto"/>
        <w:bottom w:val="none" w:sz="0" w:space="0" w:color="auto"/>
        <w:right w:val="none" w:sz="0" w:space="0" w:color="auto"/>
      </w:divBdr>
    </w:div>
    <w:div w:id="801583961">
      <w:bodyDiv w:val="1"/>
      <w:marLeft w:val="0"/>
      <w:marRight w:val="0"/>
      <w:marTop w:val="0"/>
      <w:marBottom w:val="0"/>
      <w:divBdr>
        <w:top w:val="none" w:sz="0" w:space="0" w:color="auto"/>
        <w:left w:val="none" w:sz="0" w:space="0" w:color="auto"/>
        <w:bottom w:val="none" w:sz="0" w:space="0" w:color="auto"/>
        <w:right w:val="none" w:sz="0" w:space="0" w:color="auto"/>
      </w:divBdr>
    </w:div>
    <w:div w:id="808590784">
      <w:bodyDiv w:val="1"/>
      <w:marLeft w:val="0"/>
      <w:marRight w:val="0"/>
      <w:marTop w:val="0"/>
      <w:marBottom w:val="0"/>
      <w:divBdr>
        <w:top w:val="none" w:sz="0" w:space="0" w:color="auto"/>
        <w:left w:val="none" w:sz="0" w:space="0" w:color="auto"/>
        <w:bottom w:val="none" w:sz="0" w:space="0" w:color="auto"/>
        <w:right w:val="none" w:sz="0" w:space="0" w:color="auto"/>
      </w:divBdr>
      <w:divsChild>
        <w:div w:id="803277002">
          <w:marLeft w:val="1166"/>
          <w:marRight w:val="0"/>
          <w:marTop w:val="67"/>
          <w:marBottom w:val="0"/>
          <w:divBdr>
            <w:top w:val="none" w:sz="0" w:space="0" w:color="auto"/>
            <w:left w:val="none" w:sz="0" w:space="0" w:color="auto"/>
            <w:bottom w:val="none" w:sz="0" w:space="0" w:color="auto"/>
            <w:right w:val="none" w:sz="0" w:space="0" w:color="auto"/>
          </w:divBdr>
        </w:div>
      </w:divsChild>
    </w:div>
    <w:div w:id="879172814">
      <w:bodyDiv w:val="1"/>
      <w:marLeft w:val="0"/>
      <w:marRight w:val="0"/>
      <w:marTop w:val="0"/>
      <w:marBottom w:val="0"/>
      <w:divBdr>
        <w:top w:val="none" w:sz="0" w:space="0" w:color="auto"/>
        <w:left w:val="none" w:sz="0" w:space="0" w:color="auto"/>
        <w:bottom w:val="none" w:sz="0" w:space="0" w:color="auto"/>
        <w:right w:val="none" w:sz="0" w:space="0" w:color="auto"/>
      </w:divBdr>
    </w:div>
    <w:div w:id="909268262">
      <w:bodyDiv w:val="1"/>
      <w:marLeft w:val="0"/>
      <w:marRight w:val="0"/>
      <w:marTop w:val="0"/>
      <w:marBottom w:val="0"/>
      <w:divBdr>
        <w:top w:val="none" w:sz="0" w:space="0" w:color="auto"/>
        <w:left w:val="none" w:sz="0" w:space="0" w:color="auto"/>
        <w:bottom w:val="none" w:sz="0" w:space="0" w:color="auto"/>
        <w:right w:val="none" w:sz="0" w:space="0" w:color="auto"/>
      </w:divBdr>
    </w:div>
    <w:div w:id="928780813">
      <w:bodyDiv w:val="1"/>
      <w:marLeft w:val="0"/>
      <w:marRight w:val="0"/>
      <w:marTop w:val="0"/>
      <w:marBottom w:val="0"/>
      <w:divBdr>
        <w:top w:val="none" w:sz="0" w:space="0" w:color="auto"/>
        <w:left w:val="none" w:sz="0" w:space="0" w:color="auto"/>
        <w:bottom w:val="none" w:sz="0" w:space="0" w:color="auto"/>
        <w:right w:val="none" w:sz="0" w:space="0" w:color="auto"/>
      </w:divBdr>
    </w:div>
    <w:div w:id="940187738">
      <w:bodyDiv w:val="1"/>
      <w:marLeft w:val="0"/>
      <w:marRight w:val="0"/>
      <w:marTop w:val="0"/>
      <w:marBottom w:val="0"/>
      <w:divBdr>
        <w:top w:val="none" w:sz="0" w:space="0" w:color="auto"/>
        <w:left w:val="none" w:sz="0" w:space="0" w:color="auto"/>
        <w:bottom w:val="none" w:sz="0" w:space="0" w:color="auto"/>
        <w:right w:val="none" w:sz="0" w:space="0" w:color="auto"/>
      </w:divBdr>
    </w:div>
    <w:div w:id="946429399">
      <w:bodyDiv w:val="1"/>
      <w:marLeft w:val="0"/>
      <w:marRight w:val="0"/>
      <w:marTop w:val="0"/>
      <w:marBottom w:val="0"/>
      <w:divBdr>
        <w:top w:val="none" w:sz="0" w:space="0" w:color="auto"/>
        <w:left w:val="none" w:sz="0" w:space="0" w:color="auto"/>
        <w:bottom w:val="none" w:sz="0" w:space="0" w:color="auto"/>
        <w:right w:val="none" w:sz="0" w:space="0" w:color="auto"/>
      </w:divBdr>
    </w:div>
    <w:div w:id="947351021">
      <w:bodyDiv w:val="1"/>
      <w:marLeft w:val="0"/>
      <w:marRight w:val="0"/>
      <w:marTop w:val="0"/>
      <w:marBottom w:val="0"/>
      <w:divBdr>
        <w:top w:val="none" w:sz="0" w:space="0" w:color="auto"/>
        <w:left w:val="none" w:sz="0" w:space="0" w:color="auto"/>
        <w:bottom w:val="none" w:sz="0" w:space="0" w:color="auto"/>
        <w:right w:val="none" w:sz="0" w:space="0" w:color="auto"/>
      </w:divBdr>
    </w:div>
    <w:div w:id="955527856">
      <w:bodyDiv w:val="1"/>
      <w:marLeft w:val="0"/>
      <w:marRight w:val="0"/>
      <w:marTop w:val="0"/>
      <w:marBottom w:val="0"/>
      <w:divBdr>
        <w:top w:val="none" w:sz="0" w:space="0" w:color="auto"/>
        <w:left w:val="none" w:sz="0" w:space="0" w:color="auto"/>
        <w:bottom w:val="none" w:sz="0" w:space="0" w:color="auto"/>
        <w:right w:val="none" w:sz="0" w:space="0" w:color="auto"/>
      </w:divBdr>
    </w:div>
    <w:div w:id="1043752060">
      <w:bodyDiv w:val="1"/>
      <w:marLeft w:val="0"/>
      <w:marRight w:val="0"/>
      <w:marTop w:val="0"/>
      <w:marBottom w:val="0"/>
      <w:divBdr>
        <w:top w:val="none" w:sz="0" w:space="0" w:color="auto"/>
        <w:left w:val="none" w:sz="0" w:space="0" w:color="auto"/>
        <w:bottom w:val="none" w:sz="0" w:space="0" w:color="auto"/>
        <w:right w:val="none" w:sz="0" w:space="0" w:color="auto"/>
      </w:divBdr>
    </w:div>
    <w:div w:id="1046487137">
      <w:bodyDiv w:val="1"/>
      <w:marLeft w:val="0"/>
      <w:marRight w:val="0"/>
      <w:marTop w:val="0"/>
      <w:marBottom w:val="0"/>
      <w:divBdr>
        <w:top w:val="none" w:sz="0" w:space="0" w:color="auto"/>
        <w:left w:val="none" w:sz="0" w:space="0" w:color="auto"/>
        <w:bottom w:val="none" w:sz="0" w:space="0" w:color="auto"/>
        <w:right w:val="none" w:sz="0" w:space="0" w:color="auto"/>
      </w:divBdr>
    </w:div>
    <w:div w:id="1090588163">
      <w:bodyDiv w:val="1"/>
      <w:marLeft w:val="0"/>
      <w:marRight w:val="0"/>
      <w:marTop w:val="0"/>
      <w:marBottom w:val="0"/>
      <w:divBdr>
        <w:top w:val="none" w:sz="0" w:space="0" w:color="auto"/>
        <w:left w:val="none" w:sz="0" w:space="0" w:color="auto"/>
        <w:bottom w:val="none" w:sz="0" w:space="0" w:color="auto"/>
        <w:right w:val="none" w:sz="0" w:space="0" w:color="auto"/>
      </w:divBdr>
    </w:div>
    <w:div w:id="1137145831">
      <w:bodyDiv w:val="1"/>
      <w:marLeft w:val="0"/>
      <w:marRight w:val="0"/>
      <w:marTop w:val="0"/>
      <w:marBottom w:val="0"/>
      <w:divBdr>
        <w:top w:val="none" w:sz="0" w:space="0" w:color="auto"/>
        <w:left w:val="none" w:sz="0" w:space="0" w:color="auto"/>
        <w:bottom w:val="none" w:sz="0" w:space="0" w:color="auto"/>
        <w:right w:val="none" w:sz="0" w:space="0" w:color="auto"/>
      </w:divBdr>
    </w:div>
    <w:div w:id="1199583026">
      <w:bodyDiv w:val="1"/>
      <w:marLeft w:val="0"/>
      <w:marRight w:val="0"/>
      <w:marTop w:val="0"/>
      <w:marBottom w:val="0"/>
      <w:divBdr>
        <w:top w:val="none" w:sz="0" w:space="0" w:color="auto"/>
        <w:left w:val="none" w:sz="0" w:space="0" w:color="auto"/>
        <w:bottom w:val="none" w:sz="0" w:space="0" w:color="auto"/>
        <w:right w:val="none" w:sz="0" w:space="0" w:color="auto"/>
      </w:divBdr>
    </w:div>
    <w:div w:id="1205947085">
      <w:bodyDiv w:val="1"/>
      <w:marLeft w:val="0"/>
      <w:marRight w:val="0"/>
      <w:marTop w:val="0"/>
      <w:marBottom w:val="0"/>
      <w:divBdr>
        <w:top w:val="none" w:sz="0" w:space="0" w:color="auto"/>
        <w:left w:val="none" w:sz="0" w:space="0" w:color="auto"/>
        <w:bottom w:val="none" w:sz="0" w:space="0" w:color="auto"/>
        <w:right w:val="none" w:sz="0" w:space="0" w:color="auto"/>
      </w:divBdr>
    </w:div>
    <w:div w:id="1220364418">
      <w:bodyDiv w:val="1"/>
      <w:marLeft w:val="0"/>
      <w:marRight w:val="0"/>
      <w:marTop w:val="0"/>
      <w:marBottom w:val="0"/>
      <w:divBdr>
        <w:top w:val="none" w:sz="0" w:space="0" w:color="auto"/>
        <w:left w:val="none" w:sz="0" w:space="0" w:color="auto"/>
        <w:bottom w:val="none" w:sz="0" w:space="0" w:color="auto"/>
        <w:right w:val="none" w:sz="0" w:space="0" w:color="auto"/>
      </w:divBdr>
    </w:div>
    <w:div w:id="1247032278">
      <w:bodyDiv w:val="1"/>
      <w:marLeft w:val="0"/>
      <w:marRight w:val="0"/>
      <w:marTop w:val="0"/>
      <w:marBottom w:val="0"/>
      <w:divBdr>
        <w:top w:val="none" w:sz="0" w:space="0" w:color="auto"/>
        <w:left w:val="none" w:sz="0" w:space="0" w:color="auto"/>
        <w:bottom w:val="none" w:sz="0" w:space="0" w:color="auto"/>
        <w:right w:val="none" w:sz="0" w:space="0" w:color="auto"/>
      </w:divBdr>
    </w:div>
    <w:div w:id="1253275432">
      <w:bodyDiv w:val="1"/>
      <w:marLeft w:val="0"/>
      <w:marRight w:val="0"/>
      <w:marTop w:val="0"/>
      <w:marBottom w:val="0"/>
      <w:divBdr>
        <w:top w:val="none" w:sz="0" w:space="0" w:color="auto"/>
        <w:left w:val="none" w:sz="0" w:space="0" w:color="auto"/>
        <w:bottom w:val="none" w:sz="0" w:space="0" w:color="auto"/>
        <w:right w:val="none" w:sz="0" w:space="0" w:color="auto"/>
      </w:divBdr>
    </w:div>
    <w:div w:id="1265725350">
      <w:bodyDiv w:val="1"/>
      <w:marLeft w:val="0"/>
      <w:marRight w:val="0"/>
      <w:marTop w:val="0"/>
      <w:marBottom w:val="0"/>
      <w:divBdr>
        <w:top w:val="none" w:sz="0" w:space="0" w:color="auto"/>
        <w:left w:val="none" w:sz="0" w:space="0" w:color="auto"/>
        <w:bottom w:val="none" w:sz="0" w:space="0" w:color="auto"/>
        <w:right w:val="none" w:sz="0" w:space="0" w:color="auto"/>
      </w:divBdr>
    </w:div>
    <w:div w:id="1304575708">
      <w:bodyDiv w:val="1"/>
      <w:marLeft w:val="0"/>
      <w:marRight w:val="0"/>
      <w:marTop w:val="0"/>
      <w:marBottom w:val="0"/>
      <w:divBdr>
        <w:top w:val="none" w:sz="0" w:space="0" w:color="auto"/>
        <w:left w:val="none" w:sz="0" w:space="0" w:color="auto"/>
        <w:bottom w:val="none" w:sz="0" w:space="0" w:color="auto"/>
        <w:right w:val="none" w:sz="0" w:space="0" w:color="auto"/>
      </w:divBdr>
    </w:div>
    <w:div w:id="1336037759">
      <w:bodyDiv w:val="1"/>
      <w:marLeft w:val="0"/>
      <w:marRight w:val="0"/>
      <w:marTop w:val="0"/>
      <w:marBottom w:val="0"/>
      <w:divBdr>
        <w:top w:val="none" w:sz="0" w:space="0" w:color="auto"/>
        <w:left w:val="none" w:sz="0" w:space="0" w:color="auto"/>
        <w:bottom w:val="none" w:sz="0" w:space="0" w:color="auto"/>
        <w:right w:val="none" w:sz="0" w:space="0" w:color="auto"/>
      </w:divBdr>
    </w:div>
    <w:div w:id="1357536142">
      <w:bodyDiv w:val="1"/>
      <w:marLeft w:val="0"/>
      <w:marRight w:val="0"/>
      <w:marTop w:val="0"/>
      <w:marBottom w:val="0"/>
      <w:divBdr>
        <w:top w:val="none" w:sz="0" w:space="0" w:color="auto"/>
        <w:left w:val="none" w:sz="0" w:space="0" w:color="auto"/>
        <w:bottom w:val="none" w:sz="0" w:space="0" w:color="auto"/>
        <w:right w:val="none" w:sz="0" w:space="0" w:color="auto"/>
      </w:divBdr>
    </w:div>
    <w:div w:id="1368678635">
      <w:bodyDiv w:val="1"/>
      <w:marLeft w:val="0"/>
      <w:marRight w:val="0"/>
      <w:marTop w:val="0"/>
      <w:marBottom w:val="0"/>
      <w:divBdr>
        <w:top w:val="none" w:sz="0" w:space="0" w:color="auto"/>
        <w:left w:val="none" w:sz="0" w:space="0" w:color="auto"/>
        <w:bottom w:val="none" w:sz="0" w:space="0" w:color="auto"/>
        <w:right w:val="none" w:sz="0" w:space="0" w:color="auto"/>
      </w:divBdr>
    </w:div>
    <w:div w:id="1370569251">
      <w:bodyDiv w:val="1"/>
      <w:marLeft w:val="0"/>
      <w:marRight w:val="0"/>
      <w:marTop w:val="0"/>
      <w:marBottom w:val="0"/>
      <w:divBdr>
        <w:top w:val="none" w:sz="0" w:space="0" w:color="auto"/>
        <w:left w:val="none" w:sz="0" w:space="0" w:color="auto"/>
        <w:bottom w:val="none" w:sz="0" w:space="0" w:color="auto"/>
        <w:right w:val="none" w:sz="0" w:space="0" w:color="auto"/>
      </w:divBdr>
    </w:div>
    <w:div w:id="1394425320">
      <w:bodyDiv w:val="1"/>
      <w:marLeft w:val="0"/>
      <w:marRight w:val="0"/>
      <w:marTop w:val="0"/>
      <w:marBottom w:val="0"/>
      <w:divBdr>
        <w:top w:val="none" w:sz="0" w:space="0" w:color="auto"/>
        <w:left w:val="none" w:sz="0" w:space="0" w:color="auto"/>
        <w:bottom w:val="none" w:sz="0" w:space="0" w:color="auto"/>
        <w:right w:val="none" w:sz="0" w:space="0" w:color="auto"/>
      </w:divBdr>
    </w:div>
    <w:div w:id="1398362076">
      <w:bodyDiv w:val="1"/>
      <w:marLeft w:val="0"/>
      <w:marRight w:val="0"/>
      <w:marTop w:val="0"/>
      <w:marBottom w:val="0"/>
      <w:divBdr>
        <w:top w:val="none" w:sz="0" w:space="0" w:color="auto"/>
        <w:left w:val="none" w:sz="0" w:space="0" w:color="auto"/>
        <w:bottom w:val="none" w:sz="0" w:space="0" w:color="auto"/>
        <w:right w:val="none" w:sz="0" w:space="0" w:color="auto"/>
      </w:divBdr>
    </w:div>
    <w:div w:id="1457529789">
      <w:bodyDiv w:val="1"/>
      <w:marLeft w:val="0"/>
      <w:marRight w:val="0"/>
      <w:marTop w:val="0"/>
      <w:marBottom w:val="0"/>
      <w:divBdr>
        <w:top w:val="none" w:sz="0" w:space="0" w:color="auto"/>
        <w:left w:val="none" w:sz="0" w:space="0" w:color="auto"/>
        <w:bottom w:val="none" w:sz="0" w:space="0" w:color="auto"/>
        <w:right w:val="none" w:sz="0" w:space="0" w:color="auto"/>
      </w:divBdr>
    </w:div>
    <w:div w:id="1474983425">
      <w:bodyDiv w:val="1"/>
      <w:marLeft w:val="0"/>
      <w:marRight w:val="0"/>
      <w:marTop w:val="0"/>
      <w:marBottom w:val="0"/>
      <w:divBdr>
        <w:top w:val="none" w:sz="0" w:space="0" w:color="auto"/>
        <w:left w:val="none" w:sz="0" w:space="0" w:color="auto"/>
        <w:bottom w:val="none" w:sz="0" w:space="0" w:color="auto"/>
        <w:right w:val="none" w:sz="0" w:space="0" w:color="auto"/>
      </w:divBdr>
    </w:div>
    <w:div w:id="1516650867">
      <w:bodyDiv w:val="1"/>
      <w:marLeft w:val="0"/>
      <w:marRight w:val="0"/>
      <w:marTop w:val="0"/>
      <w:marBottom w:val="0"/>
      <w:divBdr>
        <w:top w:val="none" w:sz="0" w:space="0" w:color="auto"/>
        <w:left w:val="none" w:sz="0" w:space="0" w:color="auto"/>
        <w:bottom w:val="none" w:sz="0" w:space="0" w:color="auto"/>
        <w:right w:val="none" w:sz="0" w:space="0" w:color="auto"/>
      </w:divBdr>
    </w:div>
    <w:div w:id="1521159948">
      <w:bodyDiv w:val="1"/>
      <w:marLeft w:val="0"/>
      <w:marRight w:val="0"/>
      <w:marTop w:val="0"/>
      <w:marBottom w:val="0"/>
      <w:divBdr>
        <w:top w:val="none" w:sz="0" w:space="0" w:color="auto"/>
        <w:left w:val="none" w:sz="0" w:space="0" w:color="auto"/>
        <w:bottom w:val="none" w:sz="0" w:space="0" w:color="auto"/>
        <w:right w:val="none" w:sz="0" w:space="0" w:color="auto"/>
      </w:divBdr>
    </w:div>
    <w:div w:id="1532962502">
      <w:bodyDiv w:val="1"/>
      <w:marLeft w:val="0"/>
      <w:marRight w:val="0"/>
      <w:marTop w:val="0"/>
      <w:marBottom w:val="0"/>
      <w:divBdr>
        <w:top w:val="none" w:sz="0" w:space="0" w:color="auto"/>
        <w:left w:val="none" w:sz="0" w:space="0" w:color="auto"/>
        <w:bottom w:val="none" w:sz="0" w:space="0" w:color="auto"/>
        <w:right w:val="none" w:sz="0" w:space="0" w:color="auto"/>
      </w:divBdr>
    </w:div>
    <w:div w:id="1556237396">
      <w:bodyDiv w:val="1"/>
      <w:marLeft w:val="0"/>
      <w:marRight w:val="0"/>
      <w:marTop w:val="0"/>
      <w:marBottom w:val="0"/>
      <w:divBdr>
        <w:top w:val="none" w:sz="0" w:space="0" w:color="auto"/>
        <w:left w:val="none" w:sz="0" w:space="0" w:color="auto"/>
        <w:bottom w:val="none" w:sz="0" w:space="0" w:color="auto"/>
        <w:right w:val="none" w:sz="0" w:space="0" w:color="auto"/>
      </w:divBdr>
    </w:div>
    <w:div w:id="1595046797">
      <w:bodyDiv w:val="1"/>
      <w:marLeft w:val="0"/>
      <w:marRight w:val="0"/>
      <w:marTop w:val="0"/>
      <w:marBottom w:val="0"/>
      <w:divBdr>
        <w:top w:val="none" w:sz="0" w:space="0" w:color="auto"/>
        <w:left w:val="none" w:sz="0" w:space="0" w:color="auto"/>
        <w:bottom w:val="none" w:sz="0" w:space="0" w:color="auto"/>
        <w:right w:val="none" w:sz="0" w:space="0" w:color="auto"/>
      </w:divBdr>
    </w:div>
    <w:div w:id="1614902781">
      <w:bodyDiv w:val="1"/>
      <w:marLeft w:val="390"/>
      <w:marRight w:val="390"/>
      <w:marTop w:val="0"/>
      <w:marBottom w:val="0"/>
      <w:divBdr>
        <w:top w:val="none" w:sz="0" w:space="0" w:color="auto"/>
        <w:left w:val="none" w:sz="0" w:space="0" w:color="auto"/>
        <w:bottom w:val="none" w:sz="0" w:space="0" w:color="auto"/>
        <w:right w:val="none" w:sz="0" w:space="0" w:color="auto"/>
      </w:divBdr>
      <w:divsChild>
        <w:div w:id="1993219527">
          <w:marLeft w:val="0"/>
          <w:marRight w:val="0"/>
          <w:marTop w:val="0"/>
          <w:marBottom w:val="0"/>
          <w:divBdr>
            <w:top w:val="none" w:sz="0" w:space="0" w:color="auto"/>
            <w:left w:val="none" w:sz="0" w:space="0" w:color="auto"/>
            <w:bottom w:val="none" w:sz="0" w:space="0" w:color="auto"/>
            <w:right w:val="none" w:sz="0" w:space="0" w:color="auto"/>
          </w:divBdr>
          <w:divsChild>
            <w:div w:id="1724328295">
              <w:marLeft w:val="0"/>
              <w:marRight w:val="0"/>
              <w:marTop w:val="0"/>
              <w:marBottom w:val="0"/>
              <w:divBdr>
                <w:top w:val="none" w:sz="0" w:space="0" w:color="auto"/>
                <w:left w:val="none" w:sz="0" w:space="0" w:color="auto"/>
                <w:bottom w:val="none" w:sz="0" w:space="0" w:color="auto"/>
                <w:right w:val="none" w:sz="0" w:space="0" w:color="auto"/>
              </w:divBdr>
              <w:divsChild>
                <w:div w:id="1149327636">
                  <w:marLeft w:val="-150"/>
                  <w:marRight w:val="-150"/>
                  <w:marTop w:val="0"/>
                  <w:marBottom w:val="0"/>
                  <w:divBdr>
                    <w:top w:val="none" w:sz="0" w:space="0" w:color="auto"/>
                    <w:left w:val="none" w:sz="0" w:space="0" w:color="auto"/>
                    <w:bottom w:val="none" w:sz="0" w:space="0" w:color="auto"/>
                    <w:right w:val="none" w:sz="0" w:space="0" w:color="auto"/>
                  </w:divBdr>
                  <w:divsChild>
                    <w:div w:id="210653858">
                      <w:marLeft w:val="0"/>
                      <w:marRight w:val="0"/>
                      <w:marTop w:val="0"/>
                      <w:marBottom w:val="0"/>
                      <w:divBdr>
                        <w:top w:val="none" w:sz="0" w:space="0" w:color="auto"/>
                        <w:left w:val="none" w:sz="0" w:space="0" w:color="auto"/>
                        <w:bottom w:val="none" w:sz="0" w:space="0" w:color="auto"/>
                        <w:right w:val="none" w:sz="0" w:space="0" w:color="auto"/>
                      </w:divBdr>
                      <w:divsChild>
                        <w:div w:id="1726634978">
                          <w:marLeft w:val="0"/>
                          <w:marRight w:val="0"/>
                          <w:marTop w:val="0"/>
                          <w:marBottom w:val="0"/>
                          <w:divBdr>
                            <w:top w:val="none" w:sz="0" w:space="0" w:color="auto"/>
                            <w:left w:val="none" w:sz="0" w:space="0" w:color="auto"/>
                            <w:bottom w:val="none" w:sz="0" w:space="0" w:color="auto"/>
                            <w:right w:val="none" w:sz="0" w:space="0" w:color="auto"/>
                          </w:divBdr>
                          <w:divsChild>
                            <w:div w:id="1003583199">
                              <w:marLeft w:val="0"/>
                              <w:marRight w:val="0"/>
                              <w:marTop w:val="0"/>
                              <w:marBottom w:val="0"/>
                              <w:divBdr>
                                <w:top w:val="none" w:sz="0" w:space="0" w:color="auto"/>
                                <w:left w:val="none" w:sz="0" w:space="0" w:color="auto"/>
                                <w:bottom w:val="none" w:sz="0" w:space="0" w:color="auto"/>
                                <w:right w:val="none" w:sz="0" w:space="0" w:color="auto"/>
                              </w:divBdr>
                              <w:divsChild>
                                <w:div w:id="500391792">
                                  <w:marLeft w:val="0"/>
                                  <w:marRight w:val="0"/>
                                  <w:marTop w:val="0"/>
                                  <w:marBottom w:val="0"/>
                                  <w:divBdr>
                                    <w:top w:val="none" w:sz="0" w:space="0" w:color="auto"/>
                                    <w:left w:val="none" w:sz="0" w:space="0" w:color="auto"/>
                                    <w:bottom w:val="none" w:sz="0" w:space="0" w:color="auto"/>
                                    <w:right w:val="none" w:sz="0" w:space="0" w:color="auto"/>
                                  </w:divBdr>
                                  <w:divsChild>
                                    <w:div w:id="813374025">
                                      <w:marLeft w:val="0"/>
                                      <w:marRight w:val="0"/>
                                      <w:marTop w:val="0"/>
                                      <w:marBottom w:val="0"/>
                                      <w:divBdr>
                                        <w:top w:val="none" w:sz="0" w:space="0" w:color="auto"/>
                                        <w:left w:val="none" w:sz="0" w:space="0" w:color="auto"/>
                                        <w:bottom w:val="none" w:sz="0" w:space="0" w:color="auto"/>
                                        <w:right w:val="none" w:sz="0" w:space="0" w:color="auto"/>
                                      </w:divBdr>
                                    </w:div>
                                    <w:div w:id="1002584479">
                                      <w:marLeft w:val="0"/>
                                      <w:marRight w:val="0"/>
                                      <w:marTop w:val="0"/>
                                      <w:marBottom w:val="0"/>
                                      <w:divBdr>
                                        <w:top w:val="none" w:sz="0" w:space="0" w:color="auto"/>
                                        <w:left w:val="none" w:sz="0" w:space="0" w:color="auto"/>
                                        <w:bottom w:val="none" w:sz="0" w:space="0" w:color="auto"/>
                                        <w:right w:val="none" w:sz="0" w:space="0" w:color="auto"/>
                                      </w:divBdr>
                                    </w:div>
                                    <w:div w:id="1261253808">
                                      <w:marLeft w:val="0"/>
                                      <w:marRight w:val="0"/>
                                      <w:marTop w:val="0"/>
                                      <w:marBottom w:val="0"/>
                                      <w:divBdr>
                                        <w:top w:val="none" w:sz="0" w:space="0" w:color="auto"/>
                                        <w:left w:val="none" w:sz="0" w:space="0" w:color="auto"/>
                                        <w:bottom w:val="none" w:sz="0" w:space="0" w:color="auto"/>
                                        <w:right w:val="none" w:sz="0" w:space="0" w:color="auto"/>
                                      </w:divBdr>
                                    </w:div>
                                    <w:div w:id="1497527336">
                                      <w:marLeft w:val="0"/>
                                      <w:marRight w:val="0"/>
                                      <w:marTop w:val="0"/>
                                      <w:marBottom w:val="0"/>
                                      <w:divBdr>
                                        <w:top w:val="none" w:sz="0" w:space="0" w:color="auto"/>
                                        <w:left w:val="none" w:sz="0" w:space="0" w:color="auto"/>
                                        <w:bottom w:val="none" w:sz="0" w:space="0" w:color="auto"/>
                                        <w:right w:val="none" w:sz="0" w:space="0" w:color="auto"/>
                                      </w:divBdr>
                                    </w:div>
                                    <w:div w:id="17372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196411">
      <w:bodyDiv w:val="1"/>
      <w:marLeft w:val="0"/>
      <w:marRight w:val="0"/>
      <w:marTop w:val="0"/>
      <w:marBottom w:val="0"/>
      <w:divBdr>
        <w:top w:val="none" w:sz="0" w:space="0" w:color="auto"/>
        <w:left w:val="none" w:sz="0" w:space="0" w:color="auto"/>
        <w:bottom w:val="none" w:sz="0" w:space="0" w:color="auto"/>
        <w:right w:val="none" w:sz="0" w:space="0" w:color="auto"/>
      </w:divBdr>
    </w:div>
    <w:div w:id="1658144833">
      <w:bodyDiv w:val="1"/>
      <w:marLeft w:val="0"/>
      <w:marRight w:val="0"/>
      <w:marTop w:val="0"/>
      <w:marBottom w:val="0"/>
      <w:divBdr>
        <w:top w:val="none" w:sz="0" w:space="0" w:color="auto"/>
        <w:left w:val="none" w:sz="0" w:space="0" w:color="auto"/>
        <w:bottom w:val="none" w:sz="0" w:space="0" w:color="auto"/>
        <w:right w:val="none" w:sz="0" w:space="0" w:color="auto"/>
      </w:divBdr>
    </w:div>
    <w:div w:id="1749108995">
      <w:bodyDiv w:val="1"/>
      <w:marLeft w:val="0"/>
      <w:marRight w:val="0"/>
      <w:marTop w:val="0"/>
      <w:marBottom w:val="0"/>
      <w:divBdr>
        <w:top w:val="none" w:sz="0" w:space="0" w:color="auto"/>
        <w:left w:val="none" w:sz="0" w:space="0" w:color="auto"/>
        <w:bottom w:val="none" w:sz="0" w:space="0" w:color="auto"/>
        <w:right w:val="none" w:sz="0" w:space="0" w:color="auto"/>
      </w:divBdr>
    </w:div>
    <w:div w:id="1780831181">
      <w:bodyDiv w:val="1"/>
      <w:marLeft w:val="0"/>
      <w:marRight w:val="0"/>
      <w:marTop w:val="0"/>
      <w:marBottom w:val="0"/>
      <w:divBdr>
        <w:top w:val="none" w:sz="0" w:space="0" w:color="auto"/>
        <w:left w:val="none" w:sz="0" w:space="0" w:color="auto"/>
        <w:bottom w:val="none" w:sz="0" w:space="0" w:color="auto"/>
        <w:right w:val="none" w:sz="0" w:space="0" w:color="auto"/>
      </w:divBdr>
    </w:div>
    <w:div w:id="1787655173">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6387348">
      <w:bodyDiv w:val="1"/>
      <w:marLeft w:val="0"/>
      <w:marRight w:val="0"/>
      <w:marTop w:val="0"/>
      <w:marBottom w:val="0"/>
      <w:divBdr>
        <w:top w:val="none" w:sz="0" w:space="0" w:color="auto"/>
        <w:left w:val="none" w:sz="0" w:space="0" w:color="auto"/>
        <w:bottom w:val="none" w:sz="0" w:space="0" w:color="auto"/>
        <w:right w:val="none" w:sz="0" w:space="0" w:color="auto"/>
      </w:divBdr>
    </w:div>
    <w:div w:id="1846554680">
      <w:bodyDiv w:val="1"/>
      <w:marLeft w:val="0"/>
      <w:marRight w:val="0"/>
      <w:marTop w:val="0"/>
      <w:marBottom w:val="0"/>
      <w:divBdr>
        <w:top w:val="none" w:sz="0" w:space="0" w:color="auto"/>
        <w:left w:val="none" w:sz="0" w:space="0" w:color="auto"/>
        <w:bottom w:val="none" w:sz="0" w:space="0" w:color="auto"/>
        <w:right w:val="none" w:sz="0" w:space="0" w:color="auto"/>
      </w:divBdr>
    </w:div>
    <w:div w:id="1929264639">
      <w:bodyDiv w:val="1"/>
      <w:marLeft w:val="0"/>
      <w:marRight w:val="0"/>
      <w:marTop w:val="0"/>
      <w:marBottom w:val="0"/>
      <w:divBdr>
        <w:top w:val="none" w:sz="0" w:space="0" w:color="auto"/>
        <w:left w:val="none" w:sz="0" w:space="0" w:color="auto"/>
        <w:bottom w:val="none" w:sz="0" w:space="0" w:color="auto"/>
        <w:right w:val="none" w:sz="0" w:space="0" w:color="auto"/>
      </w:divBdr>
      <w:divsChild>
        <w:div w:id="847596065">
          <w:marLeft w:val="1166"/>
          <w:marRight w:val="0"/>
          <w:marTop w:val="67"/>
          <w:marBottom w:val="0"/>
          <w:divBdr>
            <w:top w:val="none" w:sz="0" w:space="0" w:color="auto"/>
            <w:left w:val="none" w:sz="0" w:space="0" w:color="auto"/>
            <w:bottom w:val="none" w:sz="0" w:space="0" w:color="auto"/>
            <w:right w:val="none" w:sz="0" w:space="0" w:color="auto"/>
          </w:divBdr>
        </w:div>
      </w:divsChild>
    </w:div>
    <w:div w:id="1945532720">
      <w:bodyDiv w:val="1"/>
      <w:marLeft w:val="0"/>
      <w:marRight w:val="0"/>
      <w:marTop w:val="0"/>
      <w:marBottom w:val="0"/>
      <w:divBdr>
        <w:top w:val="none" w:sz="0" w:space="0" w:color="auto"/>
        <w:left w:val="none" w:sz="0" w:space="0" w:color="auto"/>
        <w:bottom w:val="none" w:sz="0" w:space="0" w:color="auto"/>
        <w:right w:val="none" w:sz="0" w:space="0" w:color="auto"/>
      </w:divBdr>
    </w:div>
    <w:div w:id="1974486191">
      <w:bodyDiv w:val="1"/>
      <w:marLeft w:val="0"/>
      <w:marRight w:val="0"/>
      <w:marTop w:val="0"/>
      <w:marBottom w:val="0"/>
      <w:divBdr>
        <w:top w:val="none" w:sz="0" w:space="0" w:color="auto"/>
        <w:left w:val="none" w:sz="0" w:space="0" w:color="auto"/>
        <w:bottom w:val="none" w:sz="0" w:space="0" w:color="auto"/>
        <w:right w:val="none" w:sz="0" w:space="0" w:color="auto"/>
      </w:divBdr>
    </w:div>
    <w:div w:id="2005431193">
      <w:bodyDiv w:val="1"/>
      <w:marLeft w:val="0"/>
      <w:marRight w:val="0"/>
      <w:marTop w:val="0"/>
      <w:marBottom w:val="0"/>
      <w:divBdr>
        <w:top w:val="none" w:sz="0" w:space="0" w:color="auto"/>
        <w:left w:val="none" w:sz="0" w:space="0" w:color="auto"/>
        <w:bottom w:val="none" w:sz="0" w:space="0" w:color="auto"/>
        <w:right w:val="none" w:sz="0" w:space="0" w:color="auto"/>
      </w:divBdr>
    </w:div>
    <w:div w:id="2013146386">
      <w:bodyDiv w:val="1"/>
      <w:marLeft w:val="0"/>
      <w:marRight w:val="0"/>
      <w:marTop w:val="0"/>
      <w:marBottom w:val="0"/>
      <w:divBdr>
        <w:top w:val="none" w:sz="0" w:space="0" w:color="auto"/>
        <w:left w:val="none" w:sz="0" w:space="0" w:color="auto"/>
        <w:bottom w:val="none" w:sz="0" w:space="0" w:color="auto"/>
        <w:right w:val="none" w:sz="0" w:space="0" w:color="auto"/>
      </w:divBdr>
    </w:div>
    <w:div w:id="2024084813">
      <w:bodyDiv w:val="1"/>
      <w:marLeft w:val="0"/>
      <w:marRight w:val="0"/>
      <w:marTop w:val="0"/>
      <w:marBottom w:val="0"/>
      <w:divBdr>
        <w:top w:val="none" w:sz="0" w:space="0" w:color="auto"/>
        <w:left w:val="none" w:sz="0" w:space="0" w:color="auto"/>
        <w:bottom w:val="none" w:sz="0" w:space="0" w:color="auto"/>
        <w:right w:val="none" w:sz="0" w:space="0" w:color="auto"/>
      </w:divBdr>
    </w:div>
    <w:div w:id="2026445248">
      <w:bodyDiv w:val="1"/>
      <w:marLeft w:val="0"/>
      <w:marRight w:val="0"/>
      <w:marTop w:val="0"/>
      <w:marBottom w:val="0"/>
      <w:divBdr>
        <w:top w:val="none" w:sz="0" w:space="0" w:color="auto"/>
        <w:left w:val="none" w:sz="0" w:space="0" w:color="auto"/>
        <w:bottom w:val="none" w:sz="0" w:space="0" w:color="auto"/>
        <w:right w:val="none" w:sz="0" w:space="0" w:color="auto"/>
      </w:divBdr>
    </w:div>
    <w:div w:id="2055885584">
      <w:bodyDiv w:val="1"/>
      <w:marLeft w:val="0"/>
      <w:marRight w:val="0"/>
      <w:marTop w:val="0"/>
      <w:marBottom w:val="0"/>
      <w:divBdr>
        <w:top w:val="none" w:sz="0" w:space="0" w:color="auto"/>
        <w:left w:val="none" w:sz="0" w:space="0" w:color="auto"/>
        <w:bottom w:val="none" w:sz="0" w:space="0" w:color="auto"/>
        <w:right w:val="none" w:sz="0" w:space="0" w:color="auto"/>
      </w:divBdr>
    </w:div>
    <w:div w:id="2060519429">
      <w:bodyDiv w:val="1"/>
      <w:marLeft w:val="0"/>
      <w:marRight w:val="0"/>
      <w:marTop w:val="0"/>
      <w:marBottom w:val="0"/>
      <w:divBdr>
        <w:top w:val="none" w:sz="0" w:space="0" w:color="auto"/>
        <w:left w:val="none" w:sz="0" w:space="0" w:color="auto"/>
        <w:bottom w:val="none" w:sz="0" w:space="0" w:color="auto"/>
        <w:right w:val="none" w:sz="0" w:space="0" w:color="auto"/>
      </w:divBdr>
    </w:div>
    <w:div w:id="2063477250">
      <w:bodyDiv w:val="1"/>
      <w:marLeft w:val="0"/>
      <w:marRight w:val="0"/>
      <w:marTop w:val="0"/>
      <w:marBottom w:val="0"/>
      <w:divBdr>
        <w:top w:val="none" w:sz="0" w:space="0" w:color="auto"/>
        <w:left w:val="none" w:sz="0" w:space="0" w:color="auto"/>
        <w:bottom w:val="none" w:sz="0" w:space="0" w:color="auto"/>
        <w:right w:val="none" w:sz="0" w:space="0" w:color="auto"/>
      </w:divBdr>
      <w:divsChild>
        <w:div w:id="397822574">
          <w:marLeft w:val="1166"/>
          <w:marRight w:val="0"/>
          <w:marTop w:val="67"/>
          <w:marBottom w:val="0"/>
          <w:divBdr>
            <w:top w:val="none" w:sz="0" w:space="0" w:color="auto"/>
            <w:left w:val="none" w:sz="0" w:space="0" w:color="auto"/>
            <w:bottom w:val="none" w:sz="0" w:space="0" w:color="auto"/>
            <w:right w:val="none" w:sz="0" w:space="0" w:color="auto"/>
          </w:divBdr>
        </w:div>
      </w:divsChild>
    </w:div>
    <w:div w:id="2074815370">
      <w:bodyDiv w:val="1"/>
      <w:marLeft w:val="0"/>
      <w:marRight w:val="0"/>
      <w:marTop w:val="0"/>
      <w:marBottom w:val="0"/>
      <w:divBdr>
        <w:top w:val="none" w:sz="0" w:space="0" w:color="auto"/>
        <w:left w:val="none" w:sz="0" w:space="0" w:color="auto"/>
        <w:bottom w:val="none" w:sz="0" w:space="0" w:color="auto"/>
        <w:right w:val="none" w:sz="0" w:space="0" w:color="auto"/>
      </w:divBdr>
    </w:div>
    <w:div w:id="2120490566">
      <w:bodyDiv w:val="1"/>
      <w:marLeft w:val="0"/>
      <w:marRight w:val="0"/>
      <w:marTop w:val="0"/>
      <w:marBottom w:val="0"/>
      <w:divBdr>
        <w:top w:val="none" w:sz="0" w:space="0" w:color="auto"/>
        <w:left w:val="none" w:sz="0" w:space="0" w:color="auto"/>
        <w:bottom w:val="none" w:sz="0" w:space="0" w:color="auto"/>
        <w:right w:val="none" w:sz="0" w:space="0" w:color="auto"/>
      </w:divBdr>
    </w:div>
    <w:div w:id="21216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hir.akbar@afme.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FME">
  <a:themeElements>
    <a:clrScheme name="AFME">
      <a:dk1>
        <a:sysClr val="windowText" lastClr="000000"/>
      </a:dk1>
      <a:lt1>
        <a:sysClr val="window" lastClr="FFFFFF"/>
      </a:lt1>
      <a:dk2>
        <a:srgbClr val="58595B"/>
      </a:dk2>
      <a:lt2>
        <a:srgbClr val="CFD0D2"/>
      </a:lt2>
      <a:accent1>
        <a:srgbClr val="78A22F"/>
      </a:accent1>
      <a:accent2>
        <a:srgbClr val="C9DAAC"/>
      </a:accent2>
      <a:accent3>
        <a:srgbClr val="CFD0D2"/>
      </a:accent3>
      <a:accent4>
        <a:srgbClr val="A7A9AC"/>
      </a:accent4>
      <a:accent5>
        <a:srgbClr val="808285"/>
      </a:accent5>
      <a:accent6>
        <a:srgbClr val="58595B"/>
      </a:accent6>
      <a:hlink>
        <a:srgbClr val="0000FF"/>
      </a:hlink>
      <a:folHlink>
        <a:srgbClr val="800080"/>
      </a:folHlink>
    </a:clrScheme>
    <a:fontScheme name="AFME">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FME" id="{46E60531-B48E-4EE8-9BA3-C3F6A6429AB7}" vid="{DFAD1022-53B1-402F-87A4-C9D8E056B1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73ECF6C751A4098465AC8F534C294" ma:contentTypeVersion="18" ma:contentTypeDescription="Create a new document." ma:contentTypeScope="" ma:versionID="8132f88d358bdc4a8f302b8ff5e47fb5">
  <xsd:schema xmlns:xsd="http://www.w3.org/2001/XMLSchema" xmlns:xs="http://www.w3.org/2001/XMLSchema" xmlns:p="http://schemas.microsoft.com/office/2006/metadata/properties" xmlns:ns2="b67ce1f5-2c56-47ad-b749-5bb5591f77e2" xmlns:ns3="d1b8dd77-ed2a-4c1e-b97c-212b9deaab20" targetNamespace="http://schemas.microsoft.com/office/2006/metadata/properties" ma:root="true" ma:fieldsID="4657c6582432f651235036870ae4e9a2" ns2:_="" ns3:_="">
    <xsd:import namespace="b67ce1f5-2c56-47ad-b749-5bb5591f77e2"/>
    <xsd:import namespace="d1b8dd77-ed2a-4c1e-b97c-212b9dea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ce1f5-2c56-47ad-b749-5bb5591f7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bac71f-1506-44ff-98a5-aaeca32ace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8dd77-ed2a-4c1e-b97c-212b9deaa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7ba114-990e-42ed-b636-daed5a22fb37}" ma:internalName="TaxCatchAll" ma:showField="CatchAllData" ma:web="d1b8dd77-ed2a-4c1e-b97c-212b9deaa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1b8dd77-ed2a-4c1e-b97c-212b9deaab20">
      <UserInfo>
        <DisplayName>Bearman, Mark</DisplayName>
        <AccountId>42</AccountId>
        <AccountType/>
      </UserInfo>
      <UserInfo>
        <DisplayName>Akbar, Sahir</DisplayName>
        <AccountId>51</AccountId>
        <AccountType/>
      </UserInfo>
      <UserInfo>
        <DisplayName>Lever, Michael</DisplayName>
        <AccountId>38</AccountId>
        <AccountType/>
      </UserInfo>
      <UserInfo>
        <DisplayName>Usherwood, Constance</DisplayName>
        <AccountId>45</AccountId>
        <AccountType/>
      </UserInfo>
      <UserInfo>
        <DisplayName>Aaltonen, Jouni</DisplayName>
        <AccountId>43</AccountId>
        <AccountType/>
      </UserInfo>
      <UserInfo>
        <DisplayName>Moullin, Oliver</DisplayName>
        <AccountId>47</AccountId>
        <AccountType/>
      </UserInfo>
    </SharedWithUsers>
    <lcf76f155ced4ddcb4097134ff3c332f xmlns="b67ce1f5-2c56-47ad-b749-5bb5591f77e2">
      <Terms xmlns="http://schemas.microsoft.com/office/infopath/2007/PartnerControls"/>
    </lcf76f155ced4ddcb4097134ff3c332f>
    <TaxCatchAll xmlns="d1b8dd77-ed2a-4c1e-b97c-212b9deaab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9B4CB-F341-441B-95D0-48F49A151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ce1f5-2c56-47ad-b749-5bb5591f77e2"/>
    <ds:schemaRef ds:uri="d1b8dd77-ed2a-4c1e-b97c-212b9dea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3C32B-F506-4C04-BEF8-5A0E1D259DD4}">
  <ds:schemaRefs>
    <ds:schemaRef ds:uri="http://schemas.openxmlformats.org/officeDocument/2006/bibliography"/>
  </ds:schemaRefs>
</ds:datastoreItem>
</file>

<file path=customXml/itemProps3.xml><?xml version="1.0" encoding="utf-8"?>
<ds:datastoreItem xmlns:ds="http://schemas.openxmlformats.org/officeDocument/2006/customXml" ds:itemID="{7D8E8DFD-B8B5-4A1C-A2B1-25603605DC21}">
  <ds:schemaRefs>
    <ds:schemaRef ds:uri="http://schemas.microsoft.com/office/2006/metadata/properties"/>
    <ds:schemaRef ds:uri="http://schemas.microsoft.com/office/infopath/2007/PartnerControls"/>
    <ds:schemaRef ds:uri="d1b8dd77-ed2a-4c1e-b97c-212b9deaab20"/>
    <ds:schemaRef ds:uri="b67ce1f5-2c56-47ad-b749-5bb5591f77e2"/>
  </ds:schemaRefs>
</ds:datastoreItem>
</file>

<file path=customXml/itemProps4.xml><?xml version="1.0" encoding="utf-8"?>
<ds:datastoreItem xmlns:ds="http://schemas.openxmlformats.org/officeDocument/2006/customXml" ds:itemID="{BE9E69FB-2324-43D3-B695-79516B2CC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6429</Words>
  <Characters>36651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Capgemini UK plc</Company>
  <LinksUpToDate>false</LinksUpToDate>
  <CharactersWithSpaces>42995</CharactersWithSpaces>
  <SharedDoc>false</SharedDoc>
  <HLinks>
    <vt:vector size="36" baseType="variant">
      <vt:variant>
        <vt:i4>196677</vt:i4>
      </vt:variant>
      <vt:variant>
        <vt:i4>6</vt:i4>
      </vt:variant>
      <vt:variant>
        <vt:i4>0</vt:i4>
      </vt:variant>
      <vt:variant>
        <vt:i4>5</vt:i4>
      </vt:variant>
      <vt:variant>
        <vt:lpwstr>https://www.afme.eu/Portals/0/DispatchFeaturedImages/AFME_PrudentialRegulation2021_08-1.pdf</vt:lpwstr>
      </vt:variant>
      <vt:variant>
        <vt:lpwstr/>
      </vt:variant>
      <vt:variant>
        <vt:i4>196677</vt:i4>
      </vt:variant>
      <vt:variant>
        <vt:i4>3</vt:i4>
      </vt:variant>
      <vt:variant>
        <vt:i4>0</vt:i4>
      </vt:variant>
      <vt:variant>
        <vt:i4>5</vt:i4>
      </vt:variant>
      <vt:variant>
        <vt:lpwstr>https://www.afme.eu/Portals/0/DispatchFeaturedImages/AFME_PrudentialRegulation2021_08-1.pdf</vt:lpwstr>
      </vt:variant>
      <vt:variant>
        <vt:lpwstr/>
      </vt:variant>
      <vt:variant>
        <vt:i4>3866718</vt:i4>
      </vt:variant>
      <vt:variant>
        <vt:i4>0</vt:i4>
      </vt:variant>
      <vt:variant>
        <vt:i4>0</vt:i4>
      </vt:variant>
      <vt:variant>
        <vt:i4>5</vt:i4>
      </vt:variant>
      <vt:variant>
        <vt:lpwstr>https://www.eba.europa.eu/sites/default/documents/files/document_library/Publications/Reports/2020/EBA Report - Results from the 2019 Credit Risk Benchmarking Exercise.pdf</vt:lpwstr>
      </vt:variant>
      <vt:variant>
        <vt:lpwstr/>
      </vt:variant>
      <vt:variant>
        <vt:i4>4784180</vt:i4>
      </vt:variant>
      <vt:variant>
        <vt:i4>6</vt:i4>
      </vt:variant>
      <vt:variant>
        <vt:i4>0</vt:i4>
      </vt:variant>
      <vt:variant>
        <vt:i4>5</vt:i4>
      </vt:variant>
      <vt:variant>
        <vt:lpwstr>https://www.eba.europa.eu/sites/default/documents/files/document_library/Publications/Reports/2020/961423/Basel III reforms - 2019Q4 update and Covid impact.pdf</vt:lpwstr>
      </vt:variant>
      <vt:variant>
        <vt:lpwstr/>
      </vt:variant>
      <vt:variant>
        <vt:i4>1310826</vt:i4>
      </vt:variant>
      <vt:variant>
        <vt:i4>3</vt:i4>
      </vt:variant>
      <vt:variant>
        <vt:i4>0</vt:i4>
      </vt:variant>
      <vt:variant>
        <vt:i4>5</vt:i4>
      </vt:variant>
      <vt:variant>
        <vt:lpwstr>https://www.eba.europa.eu/sites/default/documents/files/document_library/Publications/Reports/2020/Annex - Chart Pack from the 2019 Credit Risk Benchmarking Exercise.pdf</vt:lpwstr>
      </vt:variant>
      <vt:variant>
        <vt:lpwstr/>
      </vt:variant>
      <vt:variant>
        <vt:i4>2687089</vt:i4>
      </vt:variant>
      <vt:variant>
        <vt:i4>0</vt:i4>
      </vt:variant>
      <vt:variant>
        <vt:i4>0</vt:i4>
      </vt:variant>
      <vt:variant>
        <vt:i4>5</vt:i4>
      </vt:variant>
      <vt:variant>
        <vt:lpwstr>https://www.eba.europa.eu/sites/default/documents/files/documents/10180/15947/a4f047ca-3b46-4bdf-9cc8-f01f9d9f0734/20131217 Summary report on comparability and pro-cyclicality of the IRB Approach.pdf?retry=1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Charlie.Bannister@afme.eu</dc:creator>
  <cp:keywords/>
  <cp:lastModifiedBy>Constance Usherwood</cp:lastModifiedBy>
  <cp:revision>24</cp:revision>
  <cp:lastPrinted>2021-04-19T21:17:00Z</cp:lastPrinted>
  <dcterms:created xsi:type="dcterms:W3CDTF">2025-02-28T11:35:00Z</dcterms:created>
  <dcterms:modified xsi:type="dcterms:W3CDTF">2025-03-10T13:35:00Z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0x010100ABD73ECF6C751A4098465AC8F534C294</vt:lpwstr>
  </property>
  <property fmtid="{D5CDD505-2E9C-101B-9397-08002B2CF9AE}" pid="3" name="MSIP_Label_5f5fe31f-9de1-4167-a753-111c0df8115f_Enabled">
    <vt:lpwstr>true</vt:lpwstr>
  </property>
  <property fmtid="{D5CDD505-2E9C-101B-9397-08002B2CF9AE}" pid="4" name="MSIP_Label_5f5fe31f-9de1-4167-a753-111c0df8115f_SetDate">
    <vt:lpwstr>2021-04-14T15:17:38Z</vt:lpwstr>
  </property>
  <property fmtid="{D5CDD505-2E9C-101B-9397-08002B2CF9AE}" pid="5" name="MSIP_Label_5f5fe31f-9de1-4167-a753-111c0df8115f_Method">
    <vt:lpwstr>Standard</vt:lpwstr>
  </property>
  <property fmtid="{D5CDD505-2E9C-101B-9397-08002B2CF9AE}" pid="6" name="MSIP_Label_5f5fe31f-9de1-4167-a753-111c0df8115f_Name">
    <vt:lpwstr>5f5fe31f-9de1-4167-a753-111c0df8115f</vt:lpwstr>
  </property>
  <property fmtid="{D5CDD505-2E9C-101B-9397-08002B2CF9AE}" pid="7" name="MSIP_Label_5f5fe31f-9de1-4167-a753-111c0df8115f_SiteId">
    <vt:lpwstr>cc4baf00-15c9-48dd-9f59-88c98bde2be7</vt:lpwstr>
  </property>
  <property fmtid="{D5CDD505-2E9C-101B-9397-08002B2CF9AE}" pid="8" name="MSIP_Label_5f5fe31f-9de1-4167-a753-111c0df8115f_ActionId">
    <vt:lpwstr>4ffcc9f5-b7d6-4646-8ff1-fafc25646dd7</vt:lpwstr>
  </property>
  <property fmtid="{D5CDD505-2E9C-101B-9397-08002B2CF9AE}" pid="9" name="MSIP_Label_5f5fe31f-9de1-4167-a753-111c0df8115f_ContentBits">
    <vt:lpwstr>0</vt:lpwstr>
  </property>
  <property fmtid="{D5CDD505-2E9C-101B-9397-08002B2CF9AE}" pid="10" name="MediaServiceImageTags">
    <vt:lpwstr/>
  </property>
</Properties>
</file>