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AB23B" w14:textId="6B4E4865" w:rsidR="00D36913" w:rsidRPr="00DE396D" w:rsidRDefault="00DE396D" w:rsidP="00DE396D">
      <w:pPr>
        <w:jc w:val="both"/>
        <w:rPr>
          <w:rFonts w:ascii="Arial" w:eastAsia="Arial" w:hAnsi="Arial" w:cs="Arial"/>
          <w:sz w:val="20"/>
          <w:szCs w:val="20"/>
        </w:rPr>
      </w:pPr>
      <w:r>
        <w:rPr>
          <w:rFonts w:ascii="Arial" w:eastAsia="Arial" w:hAnsi="Arial" w:cs="Arial"/>
          <w:sz w:val="20"/>
          <w:szCs w:val="20"/>
        </w:rPr>
        <w:t>Dir Sirs</w:t>
      </w:r>
      <w:r w:rsidR="00D36913" w:rsidRPr="00DE396D">
        <w:rPr>
          <w:rFonts w:ascii="Arial" w:eastAsia="Arial" w:hAnsi="Arial" w:cs="Arial"/>
          <w:sz w:val="20"/>
          <w:szCs w:val="20"/>
        </w:rPr>
        <w:t>,</w:t>
      </w:r>
    </w:p>
    <w:p w14:paraId="77980F7C" w14:textId="1505717F" w:rsidR="00D36913" w:rsidRPr="00DE396D" w:rsidRDefault="00D52C1F" w:rsidP="00DE396D">
      <w:pPr>
        <w:jc w:val="both"/>
        <w:rPr>
          <w:rFonts w:ascii="Arial" w:eastAsia="Arial" w:hAnsi="Arial" w:cs="Arial"/>
          <w:sz w:val="20"/>
          <w:szCs w:val="20"/>
        </w:rPr>
      </w:pPr>
      <w:r w:rsidRPr="00DE396D">
        <w:rPr>
          <w:rFonts w:ascii="Arial" w:eastAsia="Arial" w:hAnsi="Arial" w:cs="Arial"/>
          <w:sz w:val="20"/>
          <w:szCs w:val="20"/>
        </w:rPr>
        <w:t>This is a response to Consultation Paper from EBA</w:t>
      </w:r>
      <w:r w:rsidR="2B7F5CC2" w:rsidRPr="00DE396D">
        <w:rPr>
          <w:rFonts w:ascii="Arial" w:eastAsia="Arial" w:hAnsi="Arial" w:cs="Arial"/>
          <w:sz w:val="20"/>
          <w:szCs w:val="20"/>
        </w:rPr>
        <w:t xml:space="preserve"> titled</w:t>
      </w:r>
      <w:r w:rsidRPr="00DE396D">
        <w:rPr>
          <w:rFonts w:ascii="Arial" w:eastAsia="Arial" w:hAnsi="Arial" w:cs="Arial"/>
          <w:sz w:val="20"/>
          <w:szCs w:val="20"/>
        </w:rPr>
        <w:t xml:space="preserve"> “Guidelines on </w:t>
      </w:r>
      <w:r w:rsidR="35AFFDB2" w:rsidRPr="00DE396D">
        <w:rPr>
          <w:rFonts w:ascii="Arial" w:eastAsia="Arial" w:hAnsi="Arial" w:cs="Arial"/>
          <w:sz w:val="20"/>
          <w:szCs w:val="20"/>
        </w:rPr>
        <w:t>P</w:t>
      </w:r>
      <w:r w:rsidRPr="00DE396D">
        <w:rPr>
          <w:rFonts w:ascii="Arial" w:eastAsia="Arial" w:hAnsi="Arial" w:cs="Arial"/>
          <w:sz w:val="20"/>
          <w:szCs w:val="20"/>
        </w:rPr>
        <w:t xml:space="preserve">roportionate </w:t>
      </w:r>
      <w:r w:rsidR="672FD87B" w:rsidRPr="00DE396D">
        <w:rPr>
          <w:rFonts w:ascii="Arial" w:eastAsia="Arial" w:hAnsi="Arial" w:cs="Arial"/>
          <w:sz w:val="20"/>
          <w:szCs w:val="20"/>
        </w:rPr>
        <w:t>R</w:t>
      </w:r>
      <w:r w:rsidRPr="00DE396D">
        <w:rPr>
          <w:rFonts w:ascii="Arial" w:eastAsia="Arial" w:hAnsi="Arial" w:cs="Arial"/>
          <w:sz w:val="20"/>
          <w:szCs w:val="20"/>
        </w:rPr>
        <w:t xml:space="preserve">etail </w:t>
      </w:r>
      <w:r w:rsidR="110163E1" w:rsidRPr="00DE396D">
        <w:rPr>
          <w:rFonts w:ascii="Arial" w:eastAsia="Arial" w:hAnsi="Arial" w:cs="Arial"/>
          <w:sz w:val="20"/>
          <w:szCs w:val="20"/>
        </w:rPr>
        <w:t>D</w:t>
      </w:r>
      <w:r w:rsidRPr="00DE396D">
        <w:rPr>
          <w:rFonts w:ascii="Arial" w:eastAsia="Arial" w:hAnsi="Arial" w:cs="Arial"/>
          <w:sz w:val="20"/>
          <w:szCs w:val="20"/>
        </w:rPr>
        <w:t xml:space="preserve">iversification </w:t>
      </w:r>
      <w:r w:rsidR="413F6813" w:rsidRPr="00DE396D">
        <w:rPr>
          <w:rFonts w:ascii="Arial" w:eastAsia="Arial" w:hAnsi="Arial" w:cs="Arial"/>
          <w:sz w:val="20"/>
          <w:szCs w:val="20"/>
        </w:rPr>
        <w:t>M</w:t>
      </w:r>
      <w:r w:rsidRPr="00DE396D">
        <w:rPr>
          <w:rFonts w:ascii="Arial" w:eastAsia="Arial" w:hAnsi="Arial" w:cs="Arial"/>
          <w:sz w:val="20"/>
          <w:szCs w:val="20"/>
        </w:rPr>
        <w:t>ethods under Article 123(1) of Regulation (EU) No 575/2013</w:t>
      </w:r>
      <w:r w:rsidR="3556F705" w:rsidRPr="00DE396D">
        <w:rPr>
          <w:rFonts w:ascii="Arial" w:eastAsia="Arial" w:hAnsi="Arial" w:cs="Arial"/>
          <w:sz w:val="20"/>
          <w:szCs w:val="20"/>
        </w:rPr>
        <w:t>,</w:t>
      </w:r>
      <w:r w:rsidRPr="00DE396D">
        <w:rPr>
          <w:rFonts w:ascii="Arial" w:eastAsia="Arial" w:hAnsi="Arial" w:cs="Arial"/>
          <w:sz w:val="20"/>
          <w:szCs w:val="20"/>
        </w:rPr>
        <w:t>” published on November</w:t>
      </w:r>
      <w:r w:rsidR="6D630985" w:rsidRPr="00DE396D">
        <w:rPr>
          <w:rFonts w:ascii="Arial" w:eastAsia="Arial" w:hAnsi="Arial" w:cs="Arial"/>
          <w:sz w:val="20"/>
          <w:szCs w:val="20"/>
        </w:rPr>
        <w:t xml:space="preserve"> 12,</w:t>
      </w:r>
      <w:r w:rsidRPr="00DE396D">
        <w:rPr>
          <w:rFonts w:ascii="Arial" w:eastAsia="Arial" w:hAnsi="Arial" w:cs="Arial"/>
          <w:sz w:val="20"/>
          <w:szCs w:val="20"/>
        </w:rPr>
        <w:t xml:space="preserve"> 2024.</w:t>
      </w:r>
    </w:p>
    <w:p w14:paraId="4BE79ECE" w14:textId="3ECCF058" w:rsidR="00D52C1F" w:rsidRPr="00DE396D" w:rsidRDefault="00D52C1F" w:rsidP="00DE396D">
      <w:pPr>
        <w:jc w:val="both"/>
        <w:rPr>
          <w:rFonts w:ascii="Arial" w:eastAsia="Arial" w:hAnsi="Arial" w:cs="Arial"/>
          <w:sz w:val="20"/>
          <w:szCs w:val="20"/>
        </w:rPr>
      </w:pPr>
      <w:r w:rsidRPr="00DE396D">
        <w:rPr>
          <w:rFonts w:ascii="Arial" w:eastAsia="Arial" w:hAnsi="Arial" w:cs="Arial"/>
          <w:sz w:val="20"/>
          <w:szCs w:val="20"/>
        </w:rPr>
        <w:t>In this paper</w:t>
      </w:r>
      <w:r w:rsidR="4D20B47E" w:rsidRPr="00DE396D">
        <w:rPr>
          <w:rFonts w:ascii="Arial" w:eastAsia="Arial" w:hAnsi="Arial" w:cs="Arial"/>
          <w:sz w:val="20"/>
          <w:szCs w:val="20"/>
        </w:rPr>
        <w:t>, the</w:t>
      </w:r>
      <w:r w:rsidRPr="00DE396D">
        <w:rPr>
          <w:rFonts w:ascii="Arial" w:eastAsia="Arial" w:hAnsi="Arial" w:cs="Arial"/>
          <w:sz w:val="20"/>
          <w:szCs w:val="20"/>
        </w:rPr>
        <w:t xml:space="preserve"> EBA</w:t>
      </w:r>
      <w:r w:rsidR="001443C9" w:rsidRPr="00DE396D">
        <w:rPr>
          <w:rFonts w:ascii="Arial" w:eastAsia="Arial" w:hAnsi="Arial" w:cs="Arial"/>
          <w:sz w:val="20"/>
          <w:szCs w:val="20"/>
        </w:rPr>
        <w:t xml:space="preserve"> is consulting on an approach where institutions </w:t>
      </w:r>
      <w:r w:rsidR="75E9785C" w:rsidRPr="00DE396D">
        <w:rPr>
          <w:rFonts w:ascii="Arial" w:eastAsia="Arial" w:hAnsi="Arial" w:cs="Arial"/>
          <w:sz w:val="20"/>
          <w:szCs w:val="20"/>
        </w:rPr>
        <w:t xml:space="preserve">that do </w:t>
      </w:r>
      <w:r w:rsidR="001443C9" w:rsidRPr="00DE396D">
        <w:rPr>
          <w:rFonts w:ascii="Arial" w:eastAsia="Arial" w:hAnsi="Arial" w:cs="Arial"/>
          <w:sz w:val="20"/>
          <w:szCs w:val="20"/>
        </w:rPr>
        <w:t>not hold</w:t>
      </w:r>
      <w:r w:rsidR="1D98523B" w:rsidRPr="00DE396D">
        <w:rPr>
          <w:rFonts w:ascii="Arial" w:eastAsia="Arial" w:hAnsi="Arial" w:cs="Arial"/>
          <w:sz w:val="20"/>
          <w:szCs w:val="20"/>
        </w:rPr>
        <w:t xml:space="preserve"> a sufficiently</w:t>
      </w:r>
      <w:r w:rsidR="001443C9" w:rsidRPr="00DE396D">
        <w:rPr>
          <w:rFonts w:ascii="Arial" w:eastAsia="Arial" w:hAnsi="Arial" w:cs="Arial"/>
          <w:sz w:val="20"/>
          <w:szCs w:val="20"/>
        </w:rPr>
        <w:t xml:space="preserve"> granular portfolio</w:t>
      </w:r>
      <w:r w:rsidR="2DE92F90" w:rsidRPr="00DE396D">
        <w:rPr>
          <w:rFonts w:ascii="Arial" w:eastAsia="Arial" w:hAnsi="Arial" w:cs="Arial"/>
          <w:sz w:val="20"/>
          <w:szCs w:val="20"/>
        </w:rPr>
        <w:t xml:space="preserve">, as per </w:t>
      </w:r>
      <w:r w:rsidR="001443C9" w:rsidRPr="00DE396D">
        <w:rPr>
          <w:rFonts w:ascii="Arial" w:eastAsia="Arial" w:hAnsi="Arial" w:cs="Arial"/>
          <w:sz w:val="20"/>
          <w:szCs w:val="20"/>
        </w:rPr>
        <w:t>the Basel 0.2% criterion for retail exposures</w:t>
      </w:r>
      <w:r w:rsidR="02233671" w:rsidRPr="00DE396D">
        <w:rPr>
          <w:rFonts w:ascii="Arial" w:eastAsia="Arial" w:hAnsi="Arial" w:cs="Arial"/>
          <w:sz w:val="20"/>
          <w:szCs w:val="20"/>
        </w:rPr>
        <w:t>,</w:t>
      </w:r>
      <w:r w:rsidR="001443C9" w:rsidRPr="00DE396D">
        <w:rPr>
          <w:rFonts w:ascii="Arial" w:eastAsia="Arial" w:hAnsi="Arial" w:cs="Arial"/>
          <w:sz w:val="20"/>
          <w:szCs w:val="20"/>
        </w:rPr>
        <w:t xml:space="preserve"> would still be eligible to use preferential risk weight</w:t>
      </w:r>
      <w:r w:rsidR="6F52FEF5" w:rsidRPr="00DE396D">
        <w:rPr>
          <w:rFonts w:ascii="Arial" w:eastAsia="Arial" w:hAnsi="Arial" w:cs="Arial"/>
          <w:sz w:val="20"/>
          <w:szCs w:val="20"/>
        </w:rPr>
        <w:t>s</w:t>
      </w:r>
      <w:r w:rsidR="00B64BC9" w:rsidRPr="00DE396D">
        <w:rPr>
          <w:rFonts w:ascii="Arial" w:eastAsia="Arial" w:hAnsi="Arial" w:cs="Arial"/>
          <w:sz w:val="20"/>
          <w:szCs w:val="20"/>
        </w:rPr>
        <w:t>. One of</w:t>
      </w:r>
      <w:r w:rsidR="7FE143C2" w:rsidRPr="00DE396D">
        <w:rPr>
          <w:rFonts w:ascii="Arial" w:eastAsia="Arial" w:hAnsi="Arial" w:cs="Arial"/>
          <w:sz w:val="20"/>
          <w:szCs w:val="20"/>
        </w:rPr>
        <w:t xml:space="preserve"> the</w:t>
      </w:r>
      <w:r w:rsidR="00B64BC9" w:rsidRPr="00DE396D">
        <w:rPr>
          <w:rFonts w:ascii="Arial" w:eastAsia="Arial" w:hAnsi="Arial" w:cs="Arial"/>
          <w:sz w:val="20"/>
          <w:szCs w:val="20"/>
        </w:rPr>
        <w:t xml:space="preserve"> EBA</w:t>
      </w:r>
      <w:r w:rsidR="764345D3" w:rsidRPr="00DE396D">
        <w:rPr>
          <w:rFonts w:ascii="Arial" w:eastAsia="Arial" w:hAnsi="Arial" w:cs="Arial"/>
          <w:sz w:val="20"/>
          <w:szCs w:val="20"/>
        </w:rPr>
        <w:t>’s</w:t>
      </w:r>
      <w:r w:rsidR="00B64BC9" w:rsidRPr="00DE396D">
        <w:rPr>
          <w:rFonts w:ascii="Arial" w:eastAsia="Arial" w:hAnsi="Arial" w:cs="Arial"/>
          <w:sz w:val="20"/>
          <w:szCs w:val="20"/>
        </w:rPr>
        <w:t xml:space="preserve"> suggestions is that institutions with less diversified retail portfolio</w:t>
      </w:r>
      <w:r w:rsidR="76D252B1" w:rsidRPr="00DE396D">
        <w:rPr>
          <w:rFonts w:ascii="Arial" w:eastAsia="Arial" w:hAnsi="Arial" w:cs="Arial"/>
          <w:sz w:val="20"/>
          <w:szCs w:val="20"/>
        </w:rPr>
        <w:t>s</w:t>
      </w:r>
      <w:r w:rsidR="00B64BC9" w:rsidRPr="00DE396D">
        <w:rPr>
          <w:rFonts w:ascii="Arial" w:eastAsia="Arial" w:hAnsi="Arial" w:cs="Arial"/>
          <w:sz w:val="20"/>
          <w:szCs w:val="20"/>
        </w:rPr>
        <w:t xml:space="preserve"> (</w:t>
      </w:r>
      <w:r w:rsidR="2421CEA3" w:rsidRPr="00DE396D">
        <w:rPr>
          <w:rFonts w:ascii="Arial" w:eastAsia="Arial" w:hAnsi="Arial" w:cs="Arial"/>
          <w:sz w:val="20"/>
          <w:szCs w:val="20"/>
        </w:rPr>
        <w:t>e</w:t>
      </w:r>
      <w:r w:rsidR="00B64BC9" w:rsidRPr="00DE396D">
        <w:rPr>
          <w:rFonts w:ascii="Arial" w:eastAsia="Arial" w:hAnsi="Arial" w:cs="Arial"/>
          <w:sz w:val="20"/>
          <w:szCs w:val="20"/>
        </w:rPr>
        <w:t xml:space="preserve">xposures above the 0.2% criterion) would still be considered sufficiently diversified, </w:t>
      </w:r>
      <w:r w:rsidR="3415EDA6" w:rsidRPr="00DE396D">
        <w:rPr>
          <w:rFonts w:ascii="Arial" w:eastAsia="Arial" w:hAnsi="Arial" w:cs="Arial"/>
          <w:sz w:val="20"/>
          <w:szCs w:val="20"/>
        </w:rPr>
        <w:t xml:space="preserve">provided that </w:t>
      </w:r>
      <w:r w:rsidR="00B64BC9" w:rsidRPr="00DE396D">
        <w:rPr>
          <w:rFonts w:ascii="Arial" w:eastAsia="Arial" w:hAnsi="Arial" w:cs="Arial"/>
          <w:sz w:val="20"/>
          <w:szCs w:val="20"/>
        </w:rPr>
        <w:t>no more tha</w:t>
      </w:r>
      <w:r w:rsidR="00D042BA" w:rsidRPr="00DE396D">
        <w:rPr>
          <w:rFonts w:ascii="Arial" w:eastAsia="Arial" w:hAnsi="Arial" w:cs="Arial"/>
          <w:sz w:val="20"/>
          <w:szCs w:val="20"/>
        </w:rPr>
        <w:t>n</w:t>
      </w:r>
      <w:r w:rsidR="00B64BC9" w:rsidRPr="00DE396D">
        <w:rPr>
          <w:rFonts w:ascii="Arial" w:eastAsia="Arial" w:hAnsi="Arial" w:cs="Arial"/>
          <w:sz w:val="20"/>
          <w:szCs w:val="20"/>
        </w:rPr>
        <w:t xml:space="preserve"> 10% </w:t>
      </w:r>
      <w:r w:rsidR="00D042BA" w:rsidRPr="00DE396D">
        <w:rPr>
          <w:rFonts w:ascii="Arial" w:eastAsia="Arial" w:hAnsi="Arial" w:cs="Arial"/>
          <w:sz w:val="20"/>
          <w:szCs w:val="20"/>
        </w:rPr>
        <w:t xml:space="preserve">(iterative approach) </w:t>
      </w:r>
      <w:r w:rsidR="00B64BC9" w:rsidRPr="00DE396D">
        <w:rPr>
          <w:rFonts w:ascii="Arial" w:eastAsia="Arial" w:hAnsi="Arial" w:cs="Arial"/>
          <w:sz w:val="20"/>
          <w:szCs w:val="20"/>
        </w:rPr>
        <w:t>of their retail portfolio exceeds the 0.2% threshold.</w:t>
      </w:r>
      <w:r w:rsidR="00D042BA" w:rsidRPr="00DE396D">
        <w:rPr>
          <w:rFonts w:ascii="Arial" w:eastAsia="Arial" w:hAnsi="Arial" w:cs="Arial"/>
          <w:sz w:val="20"/>
          <w:szCs w:val="20"/>
        </w:rPr>
        <w:t xml:space="preserve"> Another proposed approach in his paper is that no more than 5% (</w:t>
      </w:r>
      <w:r w:rsidR="25EAAB9D" w:rsidRPr="00DE396D">
        <w:rPr>
          <w:rFonts w:ascii="Arial" w:eastAsia="Arial" w:hAnsi="Arial" w:cs="Arial"/>
          <w:sz w:val="20"/>
          <w:szCs w:val="20"/>
        </w:rPr>
        <w:t>o</w:t>
      </w:r>
      <w:r w:rsidR="00D042BA" w:rsidRPr="00DE396D">
        <w:rPr>
          <w:rFonts w:ascii="Arial" w:eastAsia="Arial" w:hAnsi="Arial" w:cs="Arial"/>
          <w:sz w:val="20"/>
          <w:szCs w:val="20"/>
        </w:rPr>
        <w:t>ne-step approach) of their retail portfolio exceeds the 0.2% threshold</w:t>
      </w:r>
      <w:r w:rsidR="002B7DFF" w:rsidRPr="00DE396D">
        <w:rPr>
          <w:rFonts w:ascii="Arial" w:eastAsia="Arial" w:hAnsi="Arial" w:cs="Arial"/>
          <w:sz w:val="20"/>
          <w:szCs w:val="20"/>
        </w:rPr>
        <w:t>.</w:t>
      </w:r>
    </w:p>
    <w:p w14:paraId="67461290" w14:textId="7D8B264E" w:rsidR="00B64BC9" w:rsidRPr="00DE396D" w:rsidRDefault="00B64BC9" w:rsidP="00DE396D">
      <w:pPr>
        <w:jc w:val="both"/>
        <w:rPr>
          <w:rFonts w:ascii="Arial" w:eastAsia="Arial" w:hAnsi="Arial" w:cs="Arial"/>
          <w:sz w:val="20"/>
          <w:szCs w:val="20"/>
        </w:rPr>
      </w:pPr>
      <w:r w:rsidRPr="00DE396D">
        <w:rPr>
          <w:rFonts w:ascii="Arial" w:eastAsia="Arial" w:hAnsi="Arial" w:cs="Arial"/>
          <w:sz w:val="20"/>
          <w:szCs w:val="20"/>
        </w:rPr>
        <w:t xml:space="preserve">In paragraph 3.1 point 6 it is emphasized that smaller institutions tend to have more concentrated retail portfolios than larger institutions and that </w:t>
      </w:r>
      <w:r w:rsidR="559D12AE" w:rsidRPr="00DE396D">
        <w:rPr>
          <w:rFonts w:ascii="Arial" w:eastAsia="Arial" w:hAnsi="Arial" w:cs="Arial"/>
          <w:sz w:val="20"/>
          <w:szCs w:val="20"/>
        </w:rPr>
        <w:t xml:space="preserve">the </w:t>
      </w:r>
      <w:r w:rsidR="00284459" w:rsidRPr="00DE396D">
        <w:rPr>
          <w:rFonts w:ascii="Arial" w:eastAsia="Arial" w:hAnsi="Arial" w:cs="Arial"/>
          <w:sz w:val="20"/>
          <w:szCs w:val="20"/>
        </w:rPr>
        <w:t xml:space="preserve">diversification methods proposed in this consultation paper allow for institutions whose retail portfolio </w:t>
      </w:r>
      <w:r w:rsidR="795D5AF2" w:rsidRPr="00DE396D">
        <w:rPr>
          <w:rFonts w:ascii="Arial" w:eastAsia="Arial" w:hAnsi="Arial" w:cs="Arial"/>
          <w:sz w:val="20"/>
          <w:szCs w:val="20"/>
        </w:rPr>
        <w:t>are</w:t>
      </w:r>
      <w:r w:rsidR="00284459" w:rsidRPr="00DE396D">
        <w:rPr>
          <w:rFonts w:ascii="Arial" w:eastAsia="Arial" w:hAnsi="Arial" w:cs="Arial"/>
          <w:sz w:val="20"/>
          <w:szCs w:val="20"/>
        </w:rPr>
        <w:t xml:space="preserve"> not granular enough to still be eligible for preferential risk weight.</w:t>
      </w:r>
    </w:p>
    <w:p w14:paraId="53113803" w14:textId="685D3D16" w:rsidR="00B64BC9" w:rsidRPr="00DE396D" w:rsidRDefault="00284459" w:rsidP="00DE396D">
      <w:pPr>
        <w:jc w:val="both"/>
        <w:rPr>
          <w:rFonts w:ascii="Arial" w:eastAsia="Arial" w:hAnsi="Arial" w:cs="Arial"/>
          <w:sz w:val="20"/>
          <w:szCs w:val="20"/>
        </w:rPr>
      </w:pPr>
      <w:r w:rsidRPr="00DE396D">
        <w:rPr>
          <w:rFonts w:ascii="Arial" w:eastAsia="Arial" w:hAnsi="Arial" w:cs="Arial"/>
          <w:sz w:val="20"/>
          <w:szCs w:val="20"/>
        </w:rPr>
        <w:t xml:space="preserve">We agree with the notion that smaller institutions tend to have more concentrated portfolios, but we believe that diversification criteria of no more that 10% of the retail portfolio exceeding </w:t>
      </w:r>
      <w:r w:rsidR="00825CFE" w:rsidRPr="00DE396D">
        <w:rPr>
          <w:rFonts w:ascii="Arial" w:eastAsia="Arial" w:hAnsi="Arial" w:cs="Arial"/>
          <w:sz w:val="20"/>
          <w:szCs w:val="20"/>
        </w:rPr>
        <w:t>0.2</w:t>
      </w:r>
      <w:r w:rsidRPr="00DE396D">
        <w:rPr>
          <w:rFonts w:ascii="Arial" w:eastAsia="Arial" w:hAnsi="Arial" w:cs="Arial"/>
          <w:sz w:val="20"/>
          <w:szCs w:val="20"/>
        </w:rPr>
        <w:t>% is still hardly achievable for smaller institutions and start-ups.</w:t>
      </w:r>
    </w:p>
    <w:p w14:paraId="18F6F737" w14:textId="5E498CB3" w:rsidR="004F1C49" w:rsidRPr="00DE396D" w:rsidRDefault="004F1C49" w:rsidP="00DE396D">
      <w:pPr>
        <w:jc w:val="both"/>
        <w:rPr>
          <w:rFonts w:ascii="Arial" w:eastAsia="Arial" w:hAnsi="Arial" w:cs="Arial"/>
          <w:sz w:val="20"/>
          <w:szCs w:val="20"/>
        </w:rPr>
      </w:pPr>
      <w:r w:rsidRPr="00DE396D">
        <w:rPr>
          <w:rFonts w:ascii="Arial" w:eastAsia="Arial" w:hAnsi="Arial" w:cs="Arial"/>
          <w:sz w:val="20"/>
          <w:szCs w:val="20"/>
        </w:rPr>
        <w:t xml:space="preserve">One of the conditions to identify </w:t>
      </w:r>
      <w:r w:rsidR="75008BD2" w:rsidRPr="00DE396D">
        <w:rPr>
          <w:rFonts w:ascii="Arial" w:eastAsia="Arial" w:hAnsi="Arial" w:cs="Arial"/>
          <w:sz w:val="20"/>
          <w:szCs w:val="20"/>
        </w:rPr>
        <w:t>r</w:t>
      </w:r>
      <w:r w:rsidRPr="00DE396D">
        <w:rPr>
          <w:rFonts w:ascii="Arial" w:eastAsia="Arial" w:hAnsi="Arial" w:cs="Arial"/>
          <w:sz w:val="20"/>
          <w:szCs w:val="20"/>
        </w:rPr>
        <w:t>etail exposures according to CRR3 Article 123 (1) (b) is: “the total amount owed to the institution, its parent undertakings and its subsidiaries, by the obligor or group of connected clients, including any exposure in default but excluding exposures secured by residential property, up to the property value shall not, to the knowledge of the institution, which shall take reasonable steps to confirm the situation, exceed EUR 1 million;”</w:t>
      </w:r>
    </w:p>
    <w:p w14:paraId="04F03020" w14:textId="24E6F690" w:rsidR="004F1C49" w:rsidRPr="00DE396D" w:rsidRDefault="00825CFE" w:rsidP="00DE396D">
      <w:pPr>
        <w:jc w:val="both"/>
        <w:rPr>
          <w:rFonts w:ascii="Arial" w:eastAsia="Arial" w:hAnsi="Arial" w:cs="Arial"/>
          <w:sz w:val="20"/>
          <w:szCs w:val="20"/>
        </w:rPr>
      </w:pPr>
      <w:r w:rsidRPr="00DE396D">
        <w:rPr>
          <w:rFonts w:ascii="Arial" w:eastAsia="Arial" w:hAnsi="Arial" w:cs="Arial"/>
          <w:sz w:val="20"/>
          <w:szCs w:val="20"/>
        </w:rPr>
        <w:t>So,</w:t>
      </w:r>
      <w:r w:rsidR="004F1C49" w:rsidRPr="00DE396D">
        <w:rPr>
          <w:rFonts w:ascii="Arial" w:eastAsia="Arial" w:hAnsi="Arial" w:cs="Arial"/>
          <w:sz w:val="20"/>
          <w:szCs w:val="20"/>
        </w:rPr>
        <w:t xml:space="preserve"> let’s assume that </w:t>
      </w:r>
      <w:r w:rsidR="00A95BA2" w:rsidRPr="00DE396D">
        <w:rPr>
          <w:rFonts w:ascii="Arial" w:eastAsia="Arial" w:hAnsi="Arial" w:cs="Arial"/>
          <w:sz w:val="20"/>
          <w:szCs w:val="20"/>
        </w:rPr>
        <w:t xml:space="preserve">all the other points in Article 123 (1) are </w:t>
      </w:r>
      <w:r w:rsidR="00EB4796" w:rsidRPr="00DE396D">
        <w:rPr>
          <w:rFonts w:ascii="Arial" w:eastAsia="Arial" w:hAnsi="Arial" w:cs="Arial"/>
          <w:sz w:val="20"/>
          <w:szCs w:val="20"/>
        </w:rPr>
        <w:t>met,</w:t>
      </w:r>
      <w:r w:rsidR="00A95BA2" w:rsidRPr="00DE396D">
        <w:rPr>
          <w:rFonts w:ascii="Arial" w:eastAsia="Arial" w:hAnsi="Arial" w:cs="Arial"/>
          <w:sz w:val="20"/>
          <w:szCs w:val="20"/>
        </w:rPr>
        <w:t xml:space="preserve"> and we have a</w:t>
      </w:r>
      <w:r w:rsidR="004F1C49" w:rsidRPr="00DE396D">
        <w:rPr>
          <w:rFonts w:ascii="Arial" w:eastAsia="Arial" w:hAnsi="Arial" w:cs="Arial"/>
          <w:sz w:val="20"/>
          <w:szCs w:val="20"/>
        </w:rPr>
        <w:t xml:space="preserve"> portfolio </w:t>
      </w:r>
      <w:r w:rsidR="00A95BA2" w:rsidRPr="00DE396D">
        <w:rPr>
          <w:rFonts w:ascii="Arial" w:eastAsia="Arial" w:hAnsi="Arial" w:cs="Arial"/>
          <w:sz w:val="20"/>
          <w:szCs w:val="20"/>
        </w:rPr>
        <w:t>of</w:t>
      </w:r>
      <w:r w:rsidR="004F1C49" w:rsidRPr="00DE396D">
        <w:rPr>
          <w:rFonts w:ascii="Arial" w:eastAsia="Arial" w:hAnsi="Arial" w:cs="Arial"/>
          <w:sz w:val="20"/>
          <w:szCs w:val="20"/>
        </w:rPr>
        <w:t xml:space="preserve"> retail exposures with </w:t>
      </w:r>
      <w:r w:rsidRPr="00DE396D">
        <w:rPr>
          <w:rFonts w:ascii="Arial" w:eastAsia="Arial" w:hAnsi="Arial" w:cs="Arial"/>
          <w:sz w:val="20"/>
          <w:szCs w:val="20"/>
        </w:rPr>
        <w:t>values</w:t>
      </w:r>
      <w:r w:rsidR="004F1C49" w:rsidRPr="00DE396D">
        <w:rPr>
          <w:rFonts w:ascii="Arial" w:eastAsia="Arial" w:hAnsi="Arial" w:cs="Arial"/>
          <w:sz w:val="20"/>
          <w:szCs w:val="20"/>
        </w:rPr>
        <w:t xml:space="preserve"> </w:t>
      </w:r>
      <w:r w:rsidR="00A95BA2" w:rsidRPr="00DE396D">
        <w:rPr>
          <w:rFonts w:ascii="Arial" w:eastAsia="Arial" w:hAnsi="Arial" w:cs="Arial"/>
          <w:sz w:val="20"/>
          <w:szCs w:val="20"/>
        </w:rPr>
        <w:t xml:space="preserve">equal </w:t>
      </w:r>
      <w:r w:rsidR="00EB4796" w:rsidRPr="00DE396D">
        <w:rPr>
          <w:rFonts w:ascii="Arial" w:eastAsia="Arial" w:hAnsi="Arial" w:cs="Arial"/>
          <w:sz w:val="20"/>
          <w:szCs w:val="20"/>
        </w:rPr>
        <w:t>to</w:t>
      </w:r>
      <w:r w:rsidR="004F1C49" w:rsidRPr="00DE396D">
        <w:rPr>
          <w:rFonts w:ascii="Arial" w:eastAsia="Arial" w:hAnsi="Arial" w:cs="Arial"/>
          <w:sz w:val="20"/>
          <w:szCs w:val="20"/>
        </w:rPr>
        <w:t xml:space="preserve"> </w:t>
      </w:r>
      <w:r w:rsidR="00A95BA2" w:rsidRPr="00DE396D">
        <w:rPr>
          <w:rFonts w:ascii="Arial" w:eastAsia="Arial" w:hAnsi="Arial" w:cs="Arial"/>
          <w:sz w:val="20"/>
          <w:szCs w:val="20"/>
        </w:rPr>
        <w:t xml:space="preserve">EUR </w:t>
      </w:r>
      <w:r w:rsidR="004F1C49" w:rsidRPr="00DE396D">
        <w:rPr>
          <w:rFonts w:ascii="Arial" w:eastAsia="Arial" w:hAnsi="Arial" w:cs="Arial"/>
          <w:sz w:val="20"/>
          <w:szCs w:val="20"/>
        </w:rPr>
        <w:t>500</w:t>
      </w:r>
      <w:r w:rsidR="00A95BA2" w:rsidRPr="00DE396D">
        <w:rPr>
          <w:rFonts w:ascii="Arial" w:eastAsia="Arial" w:hAnsi="Arial" w:cs="Arial"/>
          <w:sz w:val="20"/>
          <w:szCs w:val="20"/>
        </w:rPr>
        <w:t> </w:t>
      </w:r>
      <w:r w:rsidR="14CE0933" w:rsidRPr="00DE396D">
        <w:rPr>
          <w:rFonts w:ascii="Arial" w:eastAsia="Arial" w:hAnsi="Arial" w:cs="Arial"/>
          <w:sz w:val="20"/>
          <w:szCs w:val="20"/>
        </w:rPr>
        <w:t>,</w:t>
      </w:r>
      <w:r w:rsidR="004F1C49" w:rsidRPr="00DE396D">
        <w:rPr>
          <w:rFonts w:ascii="Arial" w:eastAsia="Arial" w:hAnsi="Arial" w:cs="Arial"/>
          <w:sz w:val="20"/>
          <w:szCs w:val="20"/>
        </w:rPr>
        <w:t>000</w:t>
      </w:r>
      <w:r w:rsidR="246198AF" w:rsidRPr="00DE396D">
        <w:rPr>
          <w:rFonts w:ascii="Arial" w:eastAsia="Arial" w:hAnsi="Arial" w:cs="Arial"/>
          <w:sz w:val="20"/>
          <w:szCs w:val="20"/>
        </w:rPr>
        <w:t>,</w:t>
      </w:r>
      <w:r w:rsidR="00A95BA2" w:rsidRPr="00DE396D">
        <w:rPr>
          <w:rFonts w:ascii="Arial" w:eastAsia="Arial" w:hAnsi="Arial" w:cs="Arial"/>
          <w:sz w:val="20"/>
          <w:szCs w:val="20"/>
        </w:rPr>
        <w:t xml:space="preserve"> which </w:t>
      </w:r>
      <w:r w:rsidR="35D6C18A" w:rsidRPr="00DE396D">
        <w:rPr>
          <w:rFonts w:ascii="Arial" w:eastAsia="Arial" w:hAnsi="Arial" w:cs="Arial"/>
          <w:sz w:val="20"/>
          <w:szCs w:val="20"/>
        </w:rPr>
        <w:t xml:space="preserve">is half of the </w:t>
      </w:r>
      <w:r w:rsidR="00A95BA2" w:rsidRPr="00DE396D">
        <w:rPr>
          <w:rFonts w:ascii="Arial" w:eastAsia="Arial" w:hAnsi="Arial" w:cs="Arial"/>
          <w:sz w:val="20"/>
          <w:szCs w:val="20"/>
        </w:rPr>
        <w:t>1 million</w:t>
      </w:r>
      <w:r w:rsidR="00EB4796" w:rsidRPr="00DE396D">
        <w:rPr>
          <w:rFonts w:ascii="Arial" w:eastAsia="Arial" w:hAnsi="Arial" w:cs="Arial"/>
          <w:sz w:val="20"/>
          <w:szCs w:val="20"/>
        </w:rPr>
        <w:t xml:space="preserve"> defined</w:t>
      </w:r>
      <w:r w:rsidR="00A95BA2" w:rsidRPr="00DE396D">
        <w:rPr>
          <w:rFonts w:ascii="Arial" w:eastAsia="Arial" w:hAnsi="Arial" w:cs="Arial"/>
          <w:sz w:val="20"/>
          <w:szCs w:val="20"/>
        </w:rPr>
        <w:t xml:space="preserve"> in Article 123 (1) (b).</w:t>
      </w:r>
    </w:p>
    <w:p w14:paraId="27FB129F" w14:textId="20D1C388" w:rsidR="00A81758" w:rsidRPr="00DE396D" w:rsidRDefault="004873B9" w:rsidP="00DE396D">
      <w:pPr>
        <w:jc w:val="both"/>
        <w:rPr>
          <w:rFonts w:ascii="Arial" w:eastAsia="Arial" w:hAnsi="Arial" w:cs="Arial"/>
          <w:b/>
          <w:bCs/>
          <w:sz w:val="20"/>
          <w:szCs w:val="20"/>
        </w:rPr>
      </w:pPr>
      <w:r w:rsidRPr="00DE396D">
        <w:rPr>
          <w:rFonts w:ascii="Arial" w:eastAsia="Arial" w:hAnsi="Arial" w:cs="Arial"/>
          <w:b/>
          <w:bCs/>
          <w:sz w:val="20"/>
          <w:szCs w:val="20"/>
        </w:rPr>
        <w:t>Exposure size = EUR 500</w:t>
      </w:r>
      <w:r w:rsidR="00A81758" w:rsidRPr="00DE396D">
        <w:rPr>
          <w:rFonts w:ascii="Arial" w:eastAsia="Arial" w:hAnsi="Arial" w:cs="Arial"/>
          <w:b/>
          <w:bCs/>
          <w:sz w:val="20"/>
          <w:szCs w:val="20"/>
        </w:rPr>
        <w:t> </w:t>
      </w:r>
      <w:r w:rsidR="0FAFECAC" w:rsidRPr="00DE396D">
        <w:rPr>
          <w:rFonts w:ascii="Arial" w:eastAsia="Arial" w:hAnsi="Arial" w:cs="Arial"/>
          <w:b/>
          <w:bCs/>
          <w:sz w:val="20"/>
          <w:szCs w:val="20"/>
        </w:rPr>
        <w:t>,</w:t>
      </w:r>
      <w:r w:rsidRPr="00DE396D">
        <w:rPr>
          <w:rFonts w:ascii="Arial" w:eastAsia="Arial" w:hAnsi="Arial" w:cs="Arial"/>
          <w:b/>
          <w:bCs/>
          <w:sz w:val="20"/>
          <w:szCs w:val="20"/>
        </w:rPr>
        <w:t>000</w:t>
      </w:r>
    </w:p>
    <w:p w14:paraId="39FFBD98" w14:textId="388AF335" w:rsidR="004873B9" w:rsidRPr="00DE396D" w:rsidRDefault="00A81758" w:rsidP="00DE396D">
      <w:pPr>
        <w:jc w:val="both"/>
        <w:rPr>
          <w:rFonts w:ascii="Arial" w:eastAsia="Arial" w:hAnsi="Arial" w:cs="Arial"/>
          <w:sz w:val="20"/>
          <w:szCs w:val="20"/>
        </w:rPr>
      </w:pPr>
      <w:r w:rsidRPr="00DE396D">
        <w:rPr>
          <w:rFonts w:ascii="Arial" w:eastAsia="Arial" w:hAnsi="Arial" w:cs="Arial"/>
          <w:sz w:val="20"/>
          <w:szCs w:val="20"/>
        </w:rPr>
        <w:t>Each exposure must represent at most 0,2% of portfolio size:</w:t>
      </w:r>
    </w:p>
    <w:p w14:paraId="28C2925E" w14:textId="6AD78F92" w:rsidR="00A81758" w:rsidRPr="00DE396D" w:rsidRDefault="00A81758" w:rsidP="00DE396D">
      <w:pPr>
        <w:jc w:val="both"/>
        <w:rPr>
          <w:rFonts w:ascii="Arial" w:eastAsia="Arial" w:hAnsi="Arial" w:cs="Arial"/>
          <w:b/>
          <w:bCs/>
          <w:sz w:val="20"/>
          <w:szCs w:val="20"/>
        </w:rPr>
      </w:pPr>
      <w:r w:rsidRPr="00DE396D">
        <w:rPr>
          <w:rFonts w:ascii="Arial" w:eastAsia="Arial" w:hAnsi="Arial" w:cs="Arial"/>
          <w:b/>
          <w:bCs/>
          <w:sz w:val="20"/>
          <w:szCs w:val="20"/>
        </w:rPr>
        <w:t>0,2% * Portfolio size &gt;= 500 </w:t>
      </w:r>
      <w:r w:rsidR="0869C7C3" w:rsidRPr="00DE396D">
        <w:rPr>
          <w:rFonts w:ascii="Arial" w:eastAsia="Arial" w:hAnsi="Arial" w:cs="Arial"/>
          <w:b/>
          <w:bCs/>
          <w:sz w:val="20"/>
          <w:szCs w:val="20"/>
        </w:rPr>
        <w:t>,</w:t>
      </w:r>
      <w:r w:rsidRPr="00DE396D">
        <w:rPr>
          <w:rFonts w:ascii="Arial" w:eastAsia="Arial" w:hAnsi="Arial" w:cs="Arial"/>
          <w:b/>
          <w:bCs/>
          <w:sz w:val="20"/>
          <w:szCs w:val="20"/>
        </w:rPr>
        <w:t>000</w:t>
      </w:r>
    </w:p>
    <w:p w14:paraId="272C7BBA" w14:textId="61595AFE" w:rsidR="00A81758" w:rsidRPr="00DE396D" w:rsidRDefault="00A81758" w:rsidP="00DE396D">
      <w:pPr>
        <w:jc w:val="both"/>
        <w:rPr>
          <w:rFonts w:ascii="Arial" w:eastAsia="Arial" w:hAnsi="Arial" w:cs="Arial"/>
          <w:sz w:val="20"/>
          <w:szCs w:val="20"/>
        </w:rPr>
      </w:pPr>
      <w:r w:rsidRPr="00DE396D">
        <w:rPr>
          <w:rFonts w:ascii="Arial" w:eastAsia="Arial" w:hAnsi="Arial" w:cs="Arial"/>
          <w:sz w:val="20"/>
          <w:szCs w:val="20"/>
        </w:rPr>
        <w:t>Let’s calculate the size of the portfolio</w:t>
      </w:r>
      <w:r w:rsidR="5D79AB6C" w:rsidRPr="00DE396D">
        <w:rPr>
          <w:rFonts w:ascii="Arial" w:eastAsia="Arial" w:hAnsi="Arial" w:cs="Arial"/>
          <w:sz w:val="20"/>
          <w:szCs w:val="20"/>
        </w:rPr>
        <w:t>:</w:t>
      </w:r>
    </w:p>
    <w:p w14:paraId="4178D0FC" w14:textId="2D7C70AC" w:rsidR="00A81758" w:rsidRPr="00DE396D" w:rsidRDefault="00A81758" w:rsidP="00DE396D">
      <w:pPr>
        <w:jc w:val="both"/>
        <w:rPr>
          <w:rFonts w:ascii="Arial" w:eastAsia="Arial" w:hAnsi="Arial" w:cs="Arial"/>
          <w:b/>
          <w:bCs/>
          <w:sz w:val="20"/>
          <w:szCs w:val="20"/>
        </w:rPr>
      </w:pPr>
      <w:r w:rsidRPr="00DE396D">
        <w:rPr>
          <w:rFonts w:ascii="Arial" w:eastAsia="Arial" w:hAnsi="Arial" w:cs="Arial"/>
          <w:b/>
          <w:bCs/>
          <w:sz w:val="20"/>
          <w:szCs w:val="20"/>
        </w:rPr>
        <w:t>500</w:t>
      </w:r>
      <w:r w:rsidR="71602DD6" w:rsidRPr="00DE396D">
        <w:rPr>
          <w:rFonts w:ascii="Arial" w:eastAsia="Arial" w:hAnsi="Arial" w:cs="Arial"/>
          <w:b/>
          <w:bCs/>
          <w:sz w:val="20"/>
          <w:szCs w:val="20"/>
        </w:rPr>
        <w:t>,</w:t>
      </w:r>
      <w:r w:rsidRPr="00DE396D">
        <w:rPr>
          <w:rFonts w:ascii="Arial" w:eastAsia="Arial" w:hAnsi="Arial" w:cs="Arial"/>
          <w:b/>
          <w:bCs/>
          <w:sz w:val="20"/>
          <w:szCs w:val="20"/>
        </w:rPr>
        <w:t> 000 / 0.002 = 250</w:t>
      </w:r>
      <w:r w:rsidR="76651A67" w:rsidRPr="00DE396D">
        <w:rPr>
          <w:rFonts w:ascii="Arial" w:eastAsia="Arial" w:hAnsi="Arial" w:cs="Arial"/>
          <w:b/>
          <w:bCs/>
          <w:sz w:val="20"/>
          <w:szCs w:val="20"/>
        </w:rPr>
        <w:t>,</w:t>
      </w:r>
      <w:r w:rsidRPr="00DE396D">
        <w:rPr>
          <w:rFonts w:ascii="Arial" w:eastAsia="Arial" w:hAnsi="Arial" w:cs="Arial"/>
          <w:b/>
          <w:bCs/>
          <w:sz w:val="20"/>
          <w:szCs w:val="20"/>
        </w:rPr>
        <w:t> 000 </w:t>
      </w:r>
      <w:r w:rsidR="74C1AED2" w:rsidRPr="00DE396D">
        <w:rPr>
          <w:rFonts w:ascii="Arial" w:eastAsia="Arial" w:hAnsi="Arial" w:cs="Arial"/>
          <w:b/>
          <w:bCs/>
          <w:sz w:val="20"/>
          <w:szCs w:val="20"/>
        </w:rPr>
        <w:t>,</w:t>
      </w:r>
      <w:r w:rsidRPr="00DE396D">
        <w:rPr>
          <w:rFonts w:ascii="Arial" w:eastAsia="Arial" w:hAnsi="Arial" w:cs="Arial"/>
          <w:b/>
          <w:bCs/>
          <w:sz w:val="20"/>
          <w:szCs w:val="20"/>
        </w:rPr>
        <w:t>000</w:t>
      </w:r>
    </w:p>
    <w:p w14:paraId="6CD7D853" w14:textId="3ED9F6AC" w:rsidR="00A81758" w:rsidRPr="00DE396D" w:rsidRDefault="00A81758" w:rsidP="00DE396D">
      <w:pPr>
        <w:jc w:val="both"/>
        <w:rPr>
          <w:rFonts w:ascii="Arial" w:eastAsia="Arial" w:hAnsi="Arial" w:cs="Arial"/>
          <w:sz w:val="20"/>
          <w:szCs w:val="20"/>
        </w:rPr>
      </w:pPr>
      <w:r w:rsidRPr="00DE396D">
        <w:rPr>
          <w:rFonts w:ascii="Arial" w:eastAsia="Arial" w:hAnsi="Arial" w:cs="Arial"/>
          <w:sz w:val="20"/>
          <w:szCs w:val="20"/>
        </w:rPr>
        <w:t xml:space="preserve">Now let’s calculate the minimum </w:t>
      </w:r>
      <w:r w:rsidR="00BD7CDC" w:rsidRPr="00DE396D">
        <w:rPr>
          <w:rFonts w:ascii="Arial" w:eastAsia="Arial" w:hAnsi="Arial" w:cs="Arial"/>
          <w:sz w:val="20"/>
          <w:szCs w:val="20"/>
        </w:rPr>
        <w:t>number</w:t>
      </w:r>
      <w:r w:rsidRPr="00DE396D">
        <w:rPr>
          <w:rFonts w:ascii="Arial" w:eastAsia="Arial" w:hAnsi="Arial" w:cs="Arial"/>
          <w:sz w:val="20"/>
          <w:szCs w:val="20"/>
        </w:rPr>
        <w:t xml:space="preserve"> of exposures needed to reach the total portfolio size:</w:t>
      </w:r>
    </w:p>
    <w:p w14:paraId="4C35D3E9" w14:textId="037022EE" w:rsidR="00A81758" w:rsidRPr="00DE396D" w:rsidRDefault="00A81758" w:rsidP="00DE396D">
      <w:pPr>
        <w:jc w:val="both"/>
        <w:rPr>
          <w:rFonts w:ascii="Arial" w:eastAsia="Arial" w:hAnsi="Arial" w:cs="Arial"/>
          <w:b/>
          <w:bCs/>
          <w:sz w:val="20"/>
          <w:szCs w:val="20"/>
        </w:rPr>
      </w:pPr>
      <w:r w:rsidRPr="00DE396D">
        <w:rPr>
          <w:rFonts w:ascii="Arial" w:eastAsia="Arial" w:hAnsi="Arial" w:cs="Arial"/>
          <w:b/>
          <w:bCs/>
          <w:sz w:val="20"/>
          <w:szCs w:val="20"/>
        </w:rPr>
        <w:t>250 </w:t>
      </w:r>
      <w:r w:rsidR="1B4ACE60" w:rsidRPr="00DE396D">
        <w:rPr>
          <w:rFonts w:ascii="Arial" w:eastAsia="Arial" w:hAnsi="Arial" w:cs="Arial"/>
          <w:b/>
          <w:bCs/>
          <w:sz w:val="20"/>
          <w:szCs w:val="20"/>
        </w:rPr>
        <w:t>,</w:t>
      </w:r>
      <w:r w:rsidRPr="00DE396D">
        <w:rPr>
          <w:rFonts w:ascii="Arial" w:eastAsia="Arial" w:hAnsi="Arial" w:cs="Arial"/>
          <w:b/>
          <w:bCs/>
          <w:sz w:val="20"/>
          <w:szCs w:val="20"/>
        </w:rPr>
        <w:t>000</w:t>
      </w:r>
      <w:r w:rsidR="2426243A" w:rsidRPr="00DE396D">
        <w:rPr>
          <w:rFonts w:ascii="Arial" w:eastAsia="Arial" w:hAnsi="Arial" w:cs="Arial"/>
          <w:b/>
          <w:bCs/>
          <w:sz w:val="20"/>
          <w:szCs w:val="20"/>
        </w:rPr>
        <w:t>,</w:t>
      </w:r>
      <w:r w:rsidRPr="00DE396D">
        <w:rPr>
          <w:rFonts w:ascii="Arial" w:eastAsia="Arial" w:hAnsi="Arial" w:cs="Arial"/>
          <w:b/>
          <w:bCs/>
          <w:sz w:val="20"/>
          <w:szCs w:val="20"/>
        </w:rPr>
        <w:t> 000 / 500</w:t>
      </w:r>
      <w:r w:rsidR="7B018C8A" w:rsidRPr="00DE396D">
        <w:rPr>
          <w:rFonts w:ascii="Arial" w:eastAsia="Arial" w:hAnsi="Arial" w:cs="Arial"/>
          <w:b/>
          <w:bCs/>
          <w:sz w:val="20"/>
          <w:szCs w:val="20"/>
        </w:rPr>
        <w:t>,</w:t>
      </w:r>
      <w:r w:rsidRPr="00DE396D">
        <w:rPr>
          <w:rFonts w:ascii="Arial" w:eastAsia="Arial" w:hAnsi="Arial" w:cs="Arial"/>
          <w:b/>
          <w:bCs/>
          <w:sz w:val="20"/>
          <w:szCs w:val="20"/>
        </w:rPr>
        <w:t> 000 = 500</w:t>
      </w:r>
    </w:p>
    <w:p w14:paraId="6DEFF902" w14:textId="37C89661" w:rsidR="00A95BA2" w:rsidRPr="00DE396D" w:rsidRDefault="00A81758" w:rsidP="00DE396D">
      <w:pPr>
        <w:jc w:val="both"/>
        <w:rPr>
          <w:rFonts w:ascii="Arial" w:eastAsia="Arial" w:hAnsi="Arial" w:cs="Arial"/>
          <w:sz w:val="20"/>
          <w:szCs w:val="20"/>
        </w:rPr>
      </w:pPr>
      <w:r w:rsidRPr="00DE396D">
        <w:rPr>
          <w:rFonts w:ascii="Arial" w:eastAsia="Arial" w:hAnsi="Arial" w:cs="Arial"/>
          <w:sz w:val="20"/>
          <w:szCs w:val="20"/>
        </w:rPr>
        <w:t>I</w:t>
      </w:r>
      <w:r w:rsidR="00A95BA2" w:rsidRPr="00DE396D">
        <w:rPr>
          <w:rFonts w:ascii="Arial" w:eastAsia="Arial" w:hAnsi="Arial" w:cs="Arial"/>
          <w:sz w:val="20"/>
          <w:szCs w:val="20"/>
        </w:rPr>
        <w:t>n this hypothetical scenario</w:t>
      </w:r>
      <w:r w:rsidR="365A46F7" w:rsidRPr="00DE396D">
        <w:rPr>
          <w:rFonts w:ascii="Arial" w:eastAsia="Arial" w:hAnsi="Arial" w:cs="Arial"/>
          <w:sz w:val="20"/>
          <w:szCs w:val="20"/>
        </w:rPr>
        <w:t>,</w:t>
      </w:r>
      <w:r w:rsidR="00A95BA2" w:rsidRPr="00DE396D">
        <w:rPr>
          <w:rFonts w:ascii="Arial" w:eastAsia="Arial" w:hAnsi="Arial" w:cs="Arial"/>
          <w:sz w:val="20"/>
          <w:szCs w:val="20"/>
        </w:rPr>
        <w:t xml:space="preserve"> at least 500 different</w:t>
      </w:r>
      <w:r w:rsidR="00825CFE" w:rsidRPr="00DE396D">
        <w:rPr>
          <w:rFonts w:ascii="Arial" w:eastAsia="Arial" w:hAnsi="Arial" w:cs="Arial"/>
          <w:sz w:val="20"/>
          <w:szCs w:val="20"/>
        </w:rPr>
        <w:t xml:space="preserve"> retail</w:t>
      </w:r>
      <w:r w:rsidR="00A95BA2" w:rsidRPr="00DE396D">
        <w:rPr>
          <w:rFonts w:ascii="Arial" w:eastAsia="Arial" w:hAnsi="Arial" w:cs="Arial"/>
          <w:sz w:val="20"/>
          <w:szCs w:val="20"/>
        </w:rPr>
        <w:t xml:space="preserve"> exposures of EUR 500 </w:t>
      </w:r>
      <w:r w:rsidR="5DF3A133" w:rsidRPr="00DE396D">
        <w:rPr>
          <w:rFonts w:ascii="Arial" w:eastAsia="Arial" w:hAnsi="Arial" w:cs="Arial"/>
          <w:sz w:val="20"/>
          <w:szCs w:val="20"/>
        </w:rPr>
        <w:t>,</w:t>
      </w:r>
      <w:r w:rsidR="00A95BA2" w:rsidRPr="00DE396D">
        <w:rPr>
          <w:rFonts w:ascii="Arial" w:eastAsia="Arial" w:hAnsi="Arial" w:cs="Arial"/>
          <w:sz w:val="20"/>
          <w:szCs w:val="20"/>
        </w:rPr>
        <w:t xml:space="preserve">000 would be </w:t>
      </w:r>
      <w:r w:rsidR="00825CFE" w:rsidRPr="00DE396D">
        <w:rPr>
          <w:rFonts w:ascii="Arial" w:eastAsia="Arial" w:hAnsi="Arial" w:cs="Arial"/>
          <w:sz w:val="20"/>
          <w:szCs w:val="20"/>
        </w:rPr>
        <w:t>needed for the</w:t>
      </w:r>
      <w:r w:rsidR="00A95BA2" w:rsidRPr="00DE396D">
        <w:rPr>
          <w:rFonts w:ascii="Arial" w:eastAsia="Arial" w:hAnsi="Arial" w:cs="Arial"/>
          <w:sz w:val="20"/>
          <w:szCs w:val="20"/>
        </w:rPr>
        <w:t xml:space="preserve"> portfolio to be eligible for 0.2% </w:t>
      </w:r>
      <w:r w:rsidR="00825CFE" w:rsidRPr="00DE396D">
        <w:rPr>
          <w:rFonts w:ascii="Arial" w:eastAsia="Arial" w:hAnsi="Arial" w:cs="Arial"/>
          <w:sz w:val="20"/>
          <w:szCs w:val="20"/>
        </w:rPr>
        <w:t>criteria</w:t>
      </w:r>
      <w:r w:rsidR="00A95BA2" w:rsidRPr="00DE396D">
        <w:rPr>
          <w:rFonts w:ascii="Arial" w:eastAsia="Arial" w:hAnsi="Arial" w:cs="Arial"/>
          <w:sz w:val="20"/>
          <w:szCs w:val="20"/>
        </w:rPr>
        <w:t xml:space="preserve">. </w:t>
      </w:r>
    </w:p>
    <w:p w14:paraId="6C8D0D7D" w14:textId="173D241B" w:rsidR="00EB4796" w:rsidRPr="00DE396D" w:rsidRDefault="00EB4796" w:rsidP="00DE396D">
      <w:pPr>
        <w:jc w:val="both"/>
        <w:rPr>
          <w:rFonts w:ascii="Arial" w:eastAsia="Arial" w:hAnsi="Arial" w:cs="Arial"/>
          <w:sz w:val="20"/>
          <w:szCs w:val="20"/>
        </w:rPr>
      </w:pPr>
      <w:r w:rsidRPr="00DE396D">
        <w:rPr>
          <w:rFonts w:ascii="Arial" w:eastAsia="Arial" w:hAnsi="Arial" w:cs="Arial"/>
          <w:sz w:val="20"/>
          <w:szCs w:val="20"/>
        </w:rPr>
        <w:t xml:space="preserve">If we apply the proposed approach from </w:t>
      </w:r>
      <w:r w:rsidR="5C87B37A" w:rsidRPr="00DE396D">
        <w:rPr>
          <w:rFonts w:ascii="Arial" w:eastAsia="Arial" w:hAnsi="Arial" w:cs="Arial"/>
          <w:sz w:val="20"/>
          <w:szCs w:val="20"/>
        </w:rPr>
        <w:t xml:space="preserve">the </w:t>
      </w:r>
      <w:r w:rsidRPr="00DE396D">
        <w:rPr>
          <w:rFonts w:ascii="Arial" w:eastAsia="Arial" w:hAnsi="Arial" w:cs="Arial"/>
          <w:sz w:val="20"/>
          <w:szCs w:val="20"/>
        </w:rPr>
        <w:t>EBA</w:t>
      </w:r>
      <w:r w:rsidR="2AE093EC" w:rsidRPr="00DE396D">
        <w:rPr>
          <w:rFonts w:ascii="Arial" w:eastAsia="Arial" w:hAnsi="Arial" w:cs="Arial"/>
          <w:sz w:val="20"/>
          <w:szCs w:val="20"/>
        </w:rPr>
        <w:t xml:space="preserve">, where </w:t>
      </w:r>
      <w:r w:rsidRPr="00DE396D">
        <w:rPr>
          <w:rFonts w:ascii="Arial" w:eastAsia="Arial" w:hAnsi="Arial" w:cs="Arial"/>
          <w:sz w:val="20"/>
          <w:szCs w:val="20"/>
        </w:rPr>
        <w:t xml:space="preserve">no more than </w:t>
      </w:r>
      <w:r w:rsidR="00D042BA" w:rsidRPr="00DE396D">
        <w:rPr>
          <w:rFonts w:ascii="Arial" w:eastAsia="Arial" w:hAnsi="Arial" w:cs="Arial"/>
          <w:sz w:val="20"/>
          <w:szCs w:val="20"/>
        </w:rPr>
        <w:t>5</w:t>
      </w:r>
      <w:r w:rsidRPr="00DE396D">
        <w:rPr>
          <w:rFonts w:ascii="Arial" w:eastAsia="Arial" w:hAnsi="Arial" w:cs="Arial"/>
          <w:sz w:val="20"/>
          <w:szCs w:val="20"/>
        </w:rPr>
        <w:t>%</w:t>
      </w:r>
      <w:r w:rsidR="00D042BA" w:rsidRPr="00DE396D">
        <w:rPr>
          <w:rFonts w:ascii="Arial" w:eastAsia="Arial" w:hAnsi="Arial" w:cs="Arial"/>
          <w:sz w:val="20"/>
          <w:szCs w:val="20"/>
        </w:rPr>
        <w:t xml:space="preserve"> (one-step approach)</w:t>
      </w:r>
      <w:r w:rsidRPr="00DE396D">
        <w:rPr>
          <w:rFonts w:ascii="Arial" w:eastAsia="Arial" w:hAnsi="Arial" w:cs="Arial"/>
          <w:sz w:val="20"/>
          <w:szCs w:val="20"/>
        </w:rPr>
        <w:t xml:space="preserve"> of </w:t>
      </w:r>
      <w:r w:rsidR="00D042BA" w:rsidRPr="00DE396D">
        <w:rPr>
          <w:rFonts w:ascii="Arial" w:eastAsia="Arial" w:hAnsi="Arial" w:cs="Arial"/>
          <w:sz w:val="20"/>
          <w:szCs w:val="20"/>
        </w:rPr>
        <w:t>the retail</w:t>
      </w:r>
      <w:r w:rsidRPr="00DE396D">
        <w:rPr>
          <w:rFonts w:ascii="Arial" w:eastAsia="Arial" w:hAnsi="Arial" w:cs="Arial"/>
          <w:sz w:val="20"/>
          <w:szCs w:val="20"/>
        </w:rPr>
        <w:t xml:space="preserve"> portfolio exceed</w:t>
      </w:r>
      <w:r w:rsidR="032D9692" w:rsidRPr="00DE396D">
        <w:rPr>
          <w:rFonts w:ascii="Arial" w:eastAsia="Arial" w:hAnsi="Arial" w:cs="Arial"/>
          <w:sz w:val="20"/>
          <w:szCs w:val="20"/>
        </w:rPr>
        <w:t>s</w:t>
      </w:r>
      <w:r w:rsidRPr="00DE396D">
        <w:rPr>
          <w:rFonts w:ascii="Arial" w:eastAsia="Arial" w:hAnsi="Arial" w:cs="Arial"/>
          <w:sz w:val="20"/>
          <w:szCs w:val="20"/>
        </w:rPr>
        <w:t xml:space="preserve"> the 0.2% threshold to be considered as diversified</w:t>
      </w:r>
      <w:r w:rsidR="5E7E1537" w:rsidRPr="00DE396D">
        <w:rPr>
          <w:rFonts w:ascii="Arial" w:eastAsia="Arial" w:hAnsi="Arial" w:cs="Arial"/>
          <w:sz w:val="20"/>
          <w:szCs w:val="20"/>
        </w:rPr>
        <w:t>,</w:t>
      </w:r>
      <w:r w:rsidRPr="00DE396D">
        <w:rPr>
          <w:rFonts w:ascii="Arial" w:eastAsia="Arial" w:hAnsi="Arial" w:cs="Arial"/>
          <w:sz w:val="20"/>
          <w:szCs w:val="20"/>
        </w:rPr>
        <w:t xml:space="preserve"> for our hypothetical scenario:</w:t>
      </w:r>
    </w:p>
    <w:p w14:paraId="62A98EC8" w14:textId="0A836CC2" w:rsidR="003A09A7" w:rsidRPr="00DE396D" w:rsidRDefault="00EB4796" w:rsidP="00DE396D">
      <w:pPr>
        <w:jc w:val="both"/>
        <w:rPr>
          <w:rFonts w:ascii="Arial" w:eastAsia="Arial" w:hAnsi="Arial" w:cs="Arial"/>
          <w:b/>
          <w:bCs/>
          <w:sz w:val="20"/>
          <w:szCs w:val="20"/>
        </w:rPr>
      </w:pPr>
      <w:r w:rsidRPr="00DE396D">
        <w:rPr>
          <w:rFonts w:ascii="Arial" w:eastAsia="Arial" w:hAnsi="Arial" w:cs="Arial"/>
          <w:sz w:val="20"/>
          <w:szCs w:val="20"/>
        </w:rPr>
        <w:t xml:space="preserve">Let’s assume </w:t>
      </w:r>
      <w:r w:rsidR="003A09A7" w:rsidRPr="00DE396D">
        <w:rPr>
          <w:rFonts w:ascii="Arial" w:eastAsia="Arial" w:hAnsi="Arial" w:cs="Arial"/>
          <w:sz w:val="20"/>
          <w:szCs w:val="20"/>
        </w:rPr>
        <w:t>in this case that the total value of our retail portfolio is the same</w:t>
      </w:r>
      <w:r w:rsidR="0482D801" w:rsidRPr="00DE396D">
        <w:rPr>
          <w:rFonts w:ascii="Arial" w:eastAsia="Arial" w:hAnsi="Arial" w:cs="Arial"/>
          <w:sz w:val="20"/>
          <w:szCs w:val="20"/>
        </w:rPr>
        <w:t>,</w:t>
      </w:r>
      <w:r w:rsidR="003A09A7" w:rsidRPr="00DE396D">
        <w:rPr>
          <w:rFonts w:ascii="Arial" w:eastAsia="Arial" w:hAnsi="Arial" w:cs="Arial"/>
          <w:sz w:val="20"/>
          <w:szCs w:val="20"/>
        </w:rPr>
        <w:t xml:space="preserve"> EUR 250</w:t>
      </w:r>
      <w:r w:rsidR="1B834DA5" w:rsidRPr="00DE396D">
        <w:rPr>
          <w:rFonts w:ascii="Arial" w:eastAsia="Arial" w:hAnsi="Arial" w:cs="Arial"/>
          <w:sz w:val="20"/>
          <w:szCs w:val="20"/>
        </w:rPr>
        <w:t>,</w:t>
      </w:r>
      <w:r w:rsidR="003A09A7" w:rsidRPr="00DE396D">
        <w:rPr>
          <w:rFonts w:ascii="Arial" w:eastAsia="Arial" w:hAnsi="Arial" w:cs="Arial"/>
          <w:sz w:val="20"/>
          <w:szCs w:val="20"/>
        </w:rPr>
        <w:t> 000</w:t>
      </w:r>
      <w:r w:rsidR="002B7DFF" w:rsidRPr="00DE396D">
        <w:rPr>
          <w:rFonts w:ascii="Arial" w:eastAsia="Arial" w:hAnsi="Arial" w:cs="Arial"/>
          <w:sz w:val="20"/>
          <w:szCs w:val="20"/>
        </w:rPr>
        <w:t> </w:t>
      </w:r>
      <w:r w:rsidR="40CF64ED" w:rsidRPr="00DE396D">
        <w:rPr>
          <w:rFonts w:ascii="Arial" w:eastAsia="Arial" w:hAnsi="Arial" w:cs="Arial"/>
          <w:sz w:val="20"/>
          <w:szCs w:val="20"/>
        </w:rPr>
        <w:t>,</w:t>
      </w:r>
      <w:r w:rsidR="003A09A7" w:rsidRPr="00DE396D">
        <w:rPr>
          <w:rFonts w:ascii="Arial" w:eastAsia="Arial" w:hAnsi="Arial" w:cs="Arial"/>
          <w:sz w:val="20"/>
          <w:szCs w:val="20"/>
        </w:rPr>
        <w:t>000</w:t>
      </w:r>
      <w:r w:rsidR="605AC7D0" w:rsidRPr="00DE396D">
        <w:rPr>
          <w:rFonts w:ascii="Arial" w:eastAsia="Arial" w:hAnsi="Arial" w:cs="Arial"/>
          <w:sz w:val="20"/>
          <w:szCs w:val="20"/>
        </w:rPr>
        <w:t>,</w:t>
      </w:r>
      <w:r w:rsidR="002B7DFF" w:rsidRPr="00DE396D">
        <w:rPr>
          <w:rFonts w:ascii="Arial" w:eastAsia="Arial" w:hAnsi="Arial" w:cs="Arial"/>
          <w:sz w:val="20"/>
          <w:szCs w:val="20"/>
        </w:rPr>
        <w:t xml:space="preserve"> </w:t>
      </w:r>
      <w:r w:rsidR="003A09A7" w:rsidRPr="00DE396D">
        <w:rPr>
          <w:rFonts w:ascii="Arial" w:eastAsia="Arial" w:hAnsi="Arial" w:cs="Arial"/>
          <w:sz w:val="20"/>
          <w:szCs w:val="20"/>
        </w:rPr>
        <w:t>and all the exposures in our portfolio are not equal to EUR 500</w:t>
      </w:r>
      <w:r w:rsidR="05222A3C" w:rsidRPr="00DE396D">
        <w:rPr>
          <w:rFonts w:ascii="Arial" w:eastAsia="Arial" w:hAnsi="Arial" w:cs="Arial"/>
          <w:sz w:val="20"/>
          <w:szCs w:val="20"/>
        </w:rPr>
        <w:t>,</w:t>
      </w:r>
      <w:r w:rsidR="003A09A7" w:rsidRPr="00DE396D">
        <w:rPr>
          <w:rFonts w:ascii="Arial" w:eastAsia="Arial" w:hAnsi="Arial" w:cs="Arial"/>
          <w:sz w:val="20"/>
          <w:szCs w:val="20"/>
        </w:rPr>
        <w:t xml:space="preserve"> 000, but their average is still EUR </w:t>
      </w:r>
      <w:proofErr w:type="gramStart"/>
      <w:r w:rsidR="003A09A7" w:rsidRPr="00DE396D">
        <w:rPr>
          <w:rFonts w:ascii="Arial" w:eastAsia="Arial" w:hAnsi="Arial" w:cs="Arial"/>
          <w:sz w:val="20"/>
          <w:szCs w:val="20"/>
        </w:rPr>
        <w:t>500 </w:t>
      </w:r>
      <w:r w:rsidR="77C41F2F" w:rsidRPr="00DE396D">
        <w:rPr>
          <w:rFonts w:ascii="Arial" w:eastAsia="Arial" w:hAnsi="Arial" w:cs="Arial"/>
          <w:sz w:val="20"/>
          <w:szCs w:val="20"/>
        </w:rPr>
        <w:t>,</w:t>
      </w:r>
      <w:proofErr w:type="gramEnd"/>
      <w:r w:rsidR="003A09A7" w:rsidRPr="00DE396D">
        <w:rPr>
          <w:rFonts w:ascii="Arial" w:eastAsia="Arial" w:hAnsi="Arial" w:cs="Arial"/>
          <w:sz w:val="20"/>
          <w:szCs w:val="20"/>
        </w:rPr>
        <w:t>000.</w:t>
      </w:r>
      <w:r w:rsidR="003A09A7" w:rsidRPr="00DE396D">
        <w:rPr>
          <w:rFonts w:ascii="Arial" w:eastAsia="Arial" w:hAnsi="Arial" w:cs="Arial"/>
          <w:b/>
          <w:bCs/>
          <w:sz w:val="20"/>
          <w:szCs w:val="20"/>
        </w:rPr>
        <w:t>Which part of the portfolio is allowed to exceed EUR 500</w:t>
      </w:r>
      <w:r w:rsidR="43057945" w:rsidRPr="00DE396D">
        <w:rPr>
          <w:rFonts w:ascii="Arial" w:eastAsia="Arial" w:hAnsi="Arial" w:cs="Arial"/>
          <w:b/>
          <w:bCs/>
          <w:sz w:val="20"/>
          <w:szCs w:val="20"/>
        </w:rPr>
        <w:t>,</w:t>
      </w:r>
      <w:r w:rsidR="003A09A7" w:rsidRPr="00DE396D">
        <w:rPr>
          <w:rFonts w:ascii="Arial" w:eastAsia="Arial" w:hAnsi="Arial" w:cs="Arial"/>
          <w:b/>
          <w:bCs/>
          <w:sz w:val="20"/>
          <w:szCs w:val="20"/>
        </w:rPr>
        <w:t> 000:</w:t>
      </w:r>
    </w:p>
    <w:p w14:paraId="307C3276" w14:textId="75F9EE65" w:rsidR="003A09A7" w:rsidRPr="00DE396D" w:rsidRDefault="00D042BA" w:rsidP="00DE396D">
      <w:pPr>
        <w:jc w:val="both"/>
        <w:rPr>
          <w:rFonts w:ascii="Arial" w:eastAsia="Arial" w:hAnsi="Arial" w:cs="Arial"/>
          <w:b/>
          <w:bCs/>
          <w:sz w:val="20"/>
          <w:szCs w:val="20"/>
        </w:rPr>
      </w:pPr>
      <w:r w:rsidRPr="00DE396D">
        <w:rPr>
          <w:rFonts w:ascii="Arial" w:eastAsia="Arial" w:hAnsi="Arial" w:cs="Arial"/>
          <w:b/>
          <w:bCs/>
          <w:sz w:val="20"/>
          <w:szCs w:val="20"/>
        </w:rPr>
        <w:t>5</w:t>
      </w:r>
      <w:r w:rsidR="003A09A7" w:rsidRPr="00DE396D">
        <w:rPr>
          <w:rFonts w:ascii="Arial" w:eastAsia="Arial" w:hAnsi="Arial" w:cs="Arial"/>
          <w:b/>
          <w:bCs/>
          <w:sz w:val="20"/>
          <w:szCs w:val="20"/>
        </w:rPr>
        <w:t>%</w:t>
      </w:r>
      <w:r w:rsidR="00A81758" w:rsidRPr="00DE396D">
        <w:rPr>
          <w:rFonts w:ascii="Arial" w:eastAsia="Arial" w:hAnsi="Arial" w:cs="Arial"/>
          <w:b/>
          <w:bCs/>
          <w:sz w:val="20"/>
          <w:szCs w:val="20"/>
        </w:rPr>
        <w:t xml:space="preserve"> </w:t>
      </w:r>
      <w:r w:rsidR="003A09A7" w:rsidRPr="00DE396D">
        <w:rPr>
          <w:rFonts w:ascii="Arial" w:eastAsia="Arial" w:hAnsi="Arial" w:cs="Arial"/>
          <w:b/>
          <w:bCs/>
          <w:sz w:val="20"/>
          <w:szCs w:val="20"/>
        </w:rPr>
        <w:t>*</w:t>
      </w:r>
      <w:r w:rsidR="00A81758" w:rsidRPr="00DE396D">
        <w:rPr>
          <w:rFonts w:ascii="Arial" w:eastAsia="Arial" w:hAnsi="Arial" w:cs="Arial"/>
          <w:b/>
          <w:bCs/>
          <w:sz w:val="20"/>
          <w:szCs w:val="20"/>
        </w:rPr>
        <w:t xml:space="preserve"> </w:t>
      </w:r>
      <w:r w:rsidR="003A09A7" w:rsidRPr="00DE396D">
        <w:rPr>
          <w:rFonts w:ascii="Arial" w:eastAsia="Arial" w:hAnsi="Arial" w:cs="Arial"/>
          <w:b/>
          <w:bCs/>
          <w:sz w:val="20"/>
          <w:szCs w:val="20"/>
        </w:rPr>
        <w:t>250 </w:t>
      </w:r>
      <w:r w:rsidR="1A1B9706" w:rsidRPr="00DE396D">
        <w:rPr>
          <w:rFonts w:ascii="Arial" w:eastAsia="Arial" w:hAnsi="Arial" w:cs="Arial"/>
          <w:b/>
          <w:bCs/>
          <w:sz w:val="20"/>
          <w:szCs w:val="20"/>
        </w:rPr>
        <w:t>,</w:t>
      </w:r>
      <w:r w:rsidR="003A09A7" w:rsidRPr="00DE396D">
        <w:rPr>
          <w:rFonts w:ascii="Arial" w:eastAsia="Arial" w:hAnsi="Arial" w:cs="Arial"/>
          <w:b/>
          <w:bCs/>
          <w:sz w:val="20"/>
          <w:szCs w:val="20"/>
        </w:rPr>
        <w:t>000</w:t>
      </w:r>
      <w:r w:rsidR="2AA1AADE" w:rsidRPr="00DE396D">
        <w:rPr>
          <w:rFonts w:ascii="Arial" w:eastAsia="Arial" w:hAnsi="Arial" w:cs="Arial"/>
          <w:b/>
          <w:bCs/>
          <w:sz w:val="20"/>
          <w:szCs w:val="20"/>
        </w:rPr>
        <w:t>,</w:t>
      </w:r>
      <w:r w:rsidR="003A09A7" w:rsidRPr="00DE396D">
        <w:rPr>
          <w:rFonts w:ascii="Arial" w:eastAsia="Arial" w:hAnsi="Arial" w:cs="Arial"/>
          <w:b/>
          <w:bCs/>
          <w:sz w:val="20"/>
          <w:szCs w:val="20"/>
        </w:rPr>
        <w:t xml:space="preserve"> 000 = </w:t>
      </w:r>
      <w:r w:rsidRPr="00DE396D">
        <w:rPr>
          <w:rFonts w:ascii="Arial" w:eastAsia="Arial" w:hAnsi="Arial" w:cs="Arial"/>
          <w:b/>
          <w:bCs/>
          <w:sz w:val="20"/>
          <w:szCs w:val="20"/>
        </w:rPr>
        <w:t>12</w:t>
      </w:r>
      <w:r w:rsidR="3DB37448" w:rsidRPr="00DE396D">
        <w:rPr>
          <w:rFonts w:ascii="Arial" w:eastAsia="Arial" w:hAnsi="Arial" w:cs="Arial"/>
          <w:b/>
          <w:bCs/>
          <w:sz w:val="20"/>
          <w:szCs w:val="20"/>
        </w:rPr>
        <w:t>,</w:t>
      </w:r>
      <w:r w:rsidR="003A09A7" w:rsidRPr="00DE396D">
        <w:rPr>
          <w:rFonts w:ascii="Arial" w:eastAsia="Arial" w:hAnsi="Arial" w:cs="Arial"/>
          <w:b/>
          <w:bCs/>
          <w:sz w:val="20"/>
          <w:szCs w:val="20"/>
        </w:rPr>
        <w:t> </w:t>
      </w:r>
      <w:r w:rsidRPr="00DE396D">
        <w:rPr>
          <w:rFonts w:ascii="Arial" w:eastAsia="Arial" w:hAnsi="Arial" w:cs="Arial"/>
          <w:b/>
          <w:bCs/>
          <w:sz w:val="20"/>
          <w:szCs w:val="20"/>
        </w:rPr>
        <w:t>5</w:t>
      </w:r>
      <w:r w:rsidR="003A09A7" w:rsidRPr="00DE396D">
        <w:rPr>
          <w:rFonts w:ascii="Arial" w:eastAsia="Arial" w:hAnsi="Arial" w:cs="Arial"/>
          <w:b/>
          <w:bCs/>
          <w:sz w:val="20"/>
          <w:szCs w:val="20"/>
        </w:rPr>
        <w:t>00 </w:t>
      </w:r>
      <w:r w:rsidR="590D13B1" w:rsidRPr="00DE396D">
        <w:rPr>
          <w:rFonts w:ascii="Arial" w:eastAsia="Arial" w:hAnsi="Arial" w:cs="Arial"/>
          <w:b/>
          <w:bCs/>
          <w:sz w:val="20"/>
          <w:szCs w:val="20"/>
        </w:rPr>
        <w:t>,</w:t>
      </w:r>
      <w:r w:rsidR="003A09A7" w:rsidRPr="00DE396D">
        <w:rPr>
          <w:rFonts w:ascii="Arial" w:eastAsia="Arial" w:hAnsi="Arial" w:cs="Arial"/>
          <w:b/>
          <w:bCs/>
          <w:sz w:val="20"/>
          <w:szCs w:val="20"/>
        </w:rPr>
        <w:t>000</w:t>
      </w:r>
    </w:p>
    <w:p w14:paraId="218528B7" w14:textId="480D04C9" w:rsidR="003A09A7" w:rsidRPr="00DE396D" w:rsidRDefault="003A09A7" w:rsidP="00DE396D">
      <w:pPr>
        <w:jc w:val="both"/>
        <w:rPr>
          <w:rFonts w:ascii="Arial" w:eastAsia="Arial" w:hAnsi="Arial" w:cs="Arial"/>
          <w:b/>
          <w:bCs/>
          <w:sz w:val="20"/>
          <w:szCs w:val="20"/>
        </w:rPr>
      </w:pPr>
      <w:r w:rsidRPr="00DE396D">
        <w:rPr>
          <w:rFonts w:ascii="Arial" w:eastAsia="Arial" w:hAnsi="Arial" w:cs="Arial"/>
          <w:b/>
          <w:bCs/>
          <w:sz w:val="20"/>
          <w:szCs w:val="20"/>
        </w:rPr>
        <w:t xml:space="preserve">How many exposures can fit into </w:t>
      </w:r>
      <w:r w:rsidR="14D14A46" w:rsidRPr="00DE396D">
        <w:rPr>
          <w:rFonts w:ascii="Arial" w:eastAsia="Arial" w:hAnsi="Arial" w:cs="Arial"/>
          <w:b/>
          <w:bCs/>
          <w:sz w:val="20"/>
          <w:szCs w:val="20"/>
        </w:rPr>
        <w:t xml:space="preserve">the </w:t>
      </w:r>
      <w:r w:rsidRPr="00DE396D">
        <w:rPr>
          <w:rFonts w:ascii="Arial" w:eastAsia="Arial" w:hAnsi="Arial" w:cs="Arial"/>
          <w:b/>
          <w:bCs/>
          <w:sz w:val="20"/>
          <w:szCs w:val="20"/>
        </w:rPr>
        <w:t xml:space="preserve">EUR </w:t>
      </w:r>
      <w:r w:rsidR="00D042BA" w:rsidRPr="00DE396D">
        <w:rPr>
          <w:rFonts w:ascii="Arial" w:eastAsia="Arial" w:hAnsi="Arial" w:cs="Arial"/>
          <w:b/>
          <w:bCs/>
          <w:sz w:val="20"/>
          <w:szCs w:val="20"/>
        </w:rPr>
        <w:t>12</w:t>
      </w:r>
      <w:r w:rsidRPr="00DE396D">
        <w:rPr>
          <w:rFonts w:ascii="Arial" w:eastAsia="Arial" w:hAnsi="Arial" w:cs="Arial"/>
          <w:b/>
          <w:bCs/>
          <w:sz w:val="20"/>
          <w:szCs w:val="20"/>
        </w:rPr>
        <w:t> </w:t>
      </w:r>
      <w:r w:rsidR="42E97AFD" w:rsidRPr="00DE396D">
        <w:rPr>
          <w:rFonts w:ascii="Arial" w:eastAsia="Arial" w:hAnsi="Arial" w:cs="Arial"/>
          <w:b/>
          <w:bCs/>
          <w:sz w:val="20"/>
          <w:szCs w:val="20"/>
        </w:rPr>
        <w:t>,</w:t>
      </w:r>
      <w:r w:rsidR="00D042BA" w:rsidRPr="00DE396D">
        <w:rPr>
          <w:rFonts w:ascii="Arial" w:eastAsia="Arial" w:hAnsi="Arial" w:cs="Arial"/>
          <w:b/>
          <w:bCs/>
          <w:sz w:val="20"/>
          <w:szCs w:val="20"/>
        </w:rPr>
        <w:t>5</w:t>
      </w:r>
      <w:r w:rsidRPr="00DE396D">
        <w:rPr>
          <w:rFonts w:ascii="Arial" w:eastAsia="Arial" w:hAnsi="Arial" w:cs="Arial"/>
          <w:b/>
          <w:bCs/>
          <w:sz w:val="20"/>
          <w:szCs w:val="20"/>
        </w:rPr>
        <w:t>00</w:t>
      </w:r>
      <w:r w:rsidR="21E97465" w:rsidRPr="00DE396D">
        <w:rPr>
          <w:rFonts w:ascii="Arial" w:eastAsia="Arial" w:hAnsi="Arial" w:cs="Arial"/>
          <w:b/>
          <w:bCs/>
          <w:sz w:val="20"/>
          <w:szCs w:val="20"/>
        </w:rPr>
        <w:t>,</w:t>
      </w:r>
      <w:r w:rsidRPr="00DE396D">
        <w:rPr>
          <w:rFonts w:ascii="Arial" w:eastAsia="Arial" w:hAnsi="Arial" w:cs="Arial"/>
          <w:b/>
          <w:bCs/>
          <w:sz w:val="20"/>
          <w:szCs w:val="20"/>
        </w:rPr>
        <w:t> 000 cap:</w:t>
      </w:r>
    </w:p>
    <w:p w14:paraId="6E4AB1F8" w14:textId="11473886" w:rsidR="003A09A7" w:rsidRPr="00DE396D" w:rsidRDefault="00D042BA" w:rsidP="00DE396D">
      <w:pPr>
        <w:jc w:val="both"/>
        <w:rPr>
          <w:rFonts w:ascii="Arial" w:eastAsia="Arial" w:hAnsi="Arial" w:cs="Arial"/>
          <w:b/>
          <w:bCs/>
          <w:sz w:val="20"/>
          <w:szCs w:val="20"/>
        </w:rPr>
      </w:pPr>
      <w:r w:rsidRPr="00DE396D">
        <w:rPr>
          <w:rFonts w:ascii="Arial" w:eastAsia="Arial" w:hAnsi="Arial" w:cs="Arial"/>
          <w:b/>
          <w:bCs/>
          <w:sz w:val="20"/>
          <w:szCs w:val="20"/>
        </w:rPr>
        <w:lastRenderedPageBreak/>
        <w:t>12</w:t>
      </w:r>
      <w:r w:rsidR="15825F9B" w:rsidRPr="00DE396D">
        <w:rPr>
          <w:rFonts w:ascii="Arial" w:eastAsia="Arial" w:hAnsi="Arial" w:cs="Arial"/>
          <w:b/>
          <w:bCs/>
          <w:sz w:val="20"/>
          <w:szCs w:val="20"/>
        </w:rPr>
        <w:t>,</w:t>
      </w:r>
      <w:r w:rsidR="003A09A7" w:rsidRPr="00DE396D">
        <w:rPr>
          <w:rFonts w:ascii="Arial" w:eastAsia="Arial" w:hAnsi="Arial" w:cs="Arial"/>
          <w:b/>
          <w:bCs/>
          <w:sz w:val="20"/>
          <w:szCs w:val="20"/>
        </w:rPr>
        <w:t> </w:t>
      </w:r>
      <w:r w:rsidRPr="00DE396D">
        <w:rPr>
          <w:rFonts w:ascii="Arial" w:eastAsia="Arial" w:hAnsi="Arial" w:cs="Arial"/>
          <w:b/>
          <w:bCs/>
          <w:sz w:val="20"/>
          <w:szCs w:val="20"/>
        </w:rPr>
        <w:t>5</w:t>
      </w:r>
      <w:r w:rsidR="003A09A7" w:rsidRPr="00DE396D">
        <w:rPr>
          <w:rFonts w:ascii="Arial" w:eastAsia="Arial" w:hAnsi="Arial" w:cs="Arial"/>
          <w:b/>
          <w:bCs/>
          <w:sz w:val="20"/>
          <w:szCs w:val="20"/>
        </w:rPr>
        <w:t>00</w:t>
      </w:r>
      <w:r w:rsidR="549BA6DF" w:rsidRPr="00DE396D">
        <w:rPr>
          <w:rFonts w:ascii="Arial" w:eastAsia="Arial" w:hAnsi="Arial" w:cs="Arial"/>
          <w:b/>
          <w:bCs/>
          <w:sz w:val="20"/>
          <w:szCs w:val="20"/>
        </w:rPr>
        <w:t>,</w:t>
      </w:r>
      <w:r w:rsidR="00A81758" w:rsidRPr="00DE396D">
        <w:rPr>
          <w:rFonts w:ascii="Arial" w:eastAsia="Arial" w:hAnsi="Arial" w:cs="Arial"/>
          <w:b/>
          <w:bCs/>
          <w:sz w:val="20"/>
          <w:szCs w:val="20"/>
        </w:rPr>
        <w:t> </w:t>
      </w:r>
      <w:r w:rsidR="003A09A7" w:rsidRPr="00DE396D">
        <w:rPr>
          <w:rFonts w:ascii="Arial" w:eastAsia="Arial" w:hAnsi="Arial" w:cs="Arial"/>
          <w:b/>
          <w:bCs/>
          <w:sz w:val="20"/>
          <w:szCs w:val="20"/>
        </w:rPr>
        <w:t>000</w:t>
      </w:r>
      <w:r w:rsidR="00A81758" w:rsidRPr="00DE396D">
        <w:rPr>
          <w:rFonts w:ascii="Arial" w:eastAsia="Arial" w:hAnsi="Arial" w:cs="Arial"/>
          <w:b/>
          <w:bCs/>
          <w:sz w:val="20"/>
          <w:szCs w:val="20"/>
        </w:rPr>
        <w:t xml:space="preserve"> </w:t>
      </w:r>
      <w:r w:rsidR="003A09A7" w:rsidRPr="00DE396D">
        <w:rPr>
          <w:rFonts w:ascii="Arial" w:eastAsia="Arial" w:hAnsi="Arial" w:cs="Arial"/>
          <w:b/>
          <w:bCs/>
          <w:sz w:val="20"/>
          <w:szCs w:val="20"/>
        </w:rPr>
        <w:t>/</w:t>
      </w:r>
      <w:r w:rsidR="00A81758" w:rsidRPr="00DE396D">
        <w:rPr>
          <w:rFonts w:ascii="Arial" w:eastAsia="Arial" w:hAnsi="Arial" w:cs="Arial"/>
          <w:b/>
          <w:bCs/>
          <w:sz w:val="20"/>
          <w:szCs w:val="20"/>
        </w:rPr>
        <w:t xml:space="preserve"> </w:t>
      </w:r>
      <w:r w:rsidR="003A09A7" w:rsidRPr="00DE396D">
        <w:rPr>
          <w:rFonts w:ascii="Arial" w:eastAsia="Arial" w:hAnsi="Arial" w:cs="Arial"/>
          <w:b/>
          <w:bCs/>
          <w:sz w:val="20"/>
          <w:szCs w:val="20"/>
        </w:rPr>
        <w:t>500</w:t>
      </w:r>
      <w:r w:rsidR="22BE0258" w:rsidRPr="00DE396D">
        <w:rPr>
          <w:rFonts w:ascii="Arial" w:eastAsia="Arial" w:hAnsi="Arial" w:cs="Arial"/>
          <w:b/>
          <w:bCs/>
          <w:sz w:val="20"/>
          <w:szCs w:val="20"/>
        </w:rPr>
        <w:t>,</w:t>
      </w:r>
      <w:r w:rsidR="003A09A7" w:rsidRPr="00DE396D">
        <w:rPr>
          <w:rFonts w:ascii="Arial" w:eastAsia="Arial" w:hAnsi="Arial" w:cs="Arial"/>
          <w:b/>
          <w:bCs/>
          <w:sz w:val="20"/>
          <w:szCs w:val="20"/>
        </w:rPr>
        <w:t xml:space="preserve"> 000 = </w:t>
      </w:r>
      <w:r w:rsidRPr="00DE396D">
        <w:rPr>
          <w:rFonts w:ascii="Arial" w:eastAsia="Arial" w:hAnsi="Arial" w:cs="Arial"/>
          <w:b/>
          <w:bCs/>
          <w:sz w:val="20"/>
          <w:szCs w:val="20"/>
        </w:rPr>
        <w:t>25</w:t>
      </w:r>
    </w:p>
    <w:p w14:paraId="42CAAEC4" w14:textId="6EEFF909" w:rsidR="003A09A7" w:rsidRPr="00DE396D" w:rsidRDefault="00C82F19" w:rsidP="00DE396D">
      <w:pPr>
        <w:jc w:val="both"/>
        <w:rPr>
          <w:rFonts w:ascii="Arial" w:eastAsia="Arial" w:hAnsi="Arial" w:cs="Arial"/>
          <w:sz w:val="20"/>
          <w:szCs w:val="20"/>
        </w:rPr>
      </w:pPr>
      <w:r w:rsidRPr="00DE396D">
        <w:rPr>
          <w:rFonts w:ascii="Arial" w:eastAsia="Arial" w:hAnsi="Arial" w:cs="Arial"/>
          <w:sz w:val="20"/>
          <w:szCs w:val="20"/>
        </w:rPr>
        <w:t>So,</w:t>
      </w:r>
      <w:r w:rsidR="003A09A7" w:rsidRPr="00DE396D">
        <w:rPr>
          <w:rFonts w:ascii="Arial" w:eastAsia="Arial" w:hAnsi="Arial" w:cs="Arial"/>
          <w:sz w:val="20"/>
          <w:szCs w:val="20"/>
        </w:rPr>
        <w:t xml:space="preserve"> after applying </w:t>
      </w:r>
      <w:r w:rsidR="2E9E6989" w:rsidRPr="00DE396D">
        <w:rPr>
          <w:rFonts w:ascii="Arial" w:eastAsia="Arial" w:hAnsi="Arial" w:cs="Arial"/>
          <w:sz w:val="20"/>
          <w:szCs w:val="20"/>
        </w:rPr>
        <w:t xml:space="preserve">the </w:t>
      </w:r>
      <w:r w:rsidR="003A09A7" w:rsidRPr="00DE396D">
        <w:rPr>
          <w:rFonts w:ascii="Arial" w:eastAsia="Arial" w:hAnsi="Arial" w:cs="Arial"/>
          <w:sz w:val="20"/>
          <w:szCs w:val="20"/>
        </w:rPr>
        <w:t>EBA</w:t>
      </w:r>
      <w:r w:rsidR="42867462" w:rsidRPr="00DE396D">
        <w:rPr>
          <w:rFonts w:ascii="Arial" w:eastAsia="Arial" w:hAnsi="Arial" w:cs="Arial"/>
          <w:sz w:val="20"/>
          <w:szCs w:val="20"/>
        </w:rPr>
        <w:t>’s</w:t>
      </w:r>
      <w:r w:rsidR="003A09A7" w:rsidRPr="00DE396D">
        <w:rPr>
          <w:rFonts w:ascii="Arial" w:eastAsia="Arial" w:hAnsi="Arial" w:cs="Arial"/>
          <w:sz w:val="20"/>
          <w:szCs w:val="20"/>
        </w:rPr>
        <w:t xml:space="preserve"> proposed approach of </w:t>
      </w:r>
      <w:r w:rsidR="00D042BA" w:rsidRPr="00DE396D">
        <w:rPr>
          <w:rFonts w:ascii="Arial" w:eastAsia="Arial" w:hAnsi="Arial" w:cs="Arial"/>
          <w:sz w:val="20"/>
          <w:szCs w:val="20"/>
        </w:rPr>
        <w:t>5</w:t>
      </w:r>
      <w:r w:rsidR="003A09A7" w:rsidRPr="00DE396D">
        <w:rPr>
          <w:rFonts w:ascii="Arial" w:eastAsia="Arial" w:hAnsi="Arial" w:cs="Arial"/>
          <w:sz w:val="20"/>
          <w:szCs w:val="20"/>
        </w:rPr>
        <w:t>% to our hypothetical scenario</w:t>
      </w:r>
      <w:r w:rsidR="47C13818" w:rsidRPr="00DE396D">
        <w:rPr>
          <w:rFonts w:ascii="Arial" w:eastAsia="Arial" w:hAnsi="Arial" w:cs="Arial"/>
          <w:sz w:val="20"/>
          <w:szCs w:val="20"/>
        </w:rPr>
        <w:t>,</w:t>
      </w:r>
      <w:r w:rsidR="003A09A7" w:rsidRPr="00DE396D">
        <w:rPr>
          <w:rFonts w:ascii="Arial" w:eastAsia="Arial" w:hAnsi="Arial" w:cs="Arial"/>
          <w:sz w:val="20"/>
          <w:szCs w:val="20"/>
        </w:rPr>
        <w:t xml:space="preserve"> we </w:t>
      </w:r>
      <w:r w:rsidR="5C949E14" w:rsidRPr="00DE396D">
        <w:rPr>
          <w:rFonts w:ascii="Arial" w:eastAsia="Arial" w:hAnsi="Arial" w:cs="Arial"/>
          <w:sz w:val="20"/>
          <w:szCs w:val="20"/>
        </w:rPr>
        <w:t>find</w:t>
      </w:r>
      <w:r w:rsidR="329147E2" w:rsidRPr="00DE396D">
        <w:rPr>
          <w:rFonts w:ascii="Arial" w:eastAsia="Arial" w:hAnsi="Arial" w:cs="Arial"/>
          <w:sz w:val="20"/>
          <w:szCs w:val="20"/>
        </w:rPr>
        <w:t xml:space="preserve"> </w:t>
      </w:r>
      <w:r w:rsidR="003A09A7" w:rsidRPr="00DE396D">
        <w:rPr>
          <w:rFonts w:ascii="Arial" w:eastAsia="Arial" w:hAnsi="Arial" w:cs="Arial"/>
          <w:sz w:val="20"/>
          <w:szCs w:val="20"/>
        </w:rPr>
        <w:t xml:space="preserve">that in </w:t>
      </w:r>
      <w:r w:rsidR="00CE736F" w:rsidRPr="00DE396D">
        <w:rPr>
          <w:rFonts w:ascii="Arial" w:eastAsia="Arial" w:hAnsi="Arial" w:cs="Arial"/>
          <w:sz w:val="20"/>
          <w:szCs w:val="20"/>
        </w:rPr>
        <w:t>a portfolio</w:t>
      </w:r>
      <w:r w:rsidR="003A09A7" w:rsidRPr="00DE396D">
        <w:rPr>
          <w:rFonts w:ascii="Arial" w:eastAsia="Arial" w:hAnsi="Arial" w:cs="Arial"/>
          <w:sz w:val="20"/>
          <w:szCs w:val="20"/>
        </w:rPr>
        <w:t xml:space="preserve"> where an average amount of exposures </w:t>
      </w:r>
      <w:r w:rsidRPr="00DE396D">
        <w:rPr>
          <w:rFonts w:ascii="Arial" w:eastAsia="Arial" w:hAnsi="Arial" w:cs="Arial"/>
          <w:sz w:val="20"/>
          <w:szCs w:val="20"/>
        </w:rPr>
        <w:t>is</w:t>
      </w:r>
      <w:r w:rsidR="003A09A7" w:rsidRPr="00DE396D">
        <w:rPr>
          <w:rFonts w:ascii="Arial" w:eastAsia="Arial" w:hAnsi="Arial" w:cs="Arial"/>
          <w:sz w:val="20"/>
          <w:szCs w:val="20"/>
        </w:rPr>
        <w:t xml:space="preserve"> EUR 500 </w:t>
      </w:r>
      <w:r w:rsidR="35FEA3B2" w:rsidRPr="00DE396D">
        <w:rPr>
          <w:rFonts w:ascii="Arial" w:eastAsia="Arial" w:hAnsi="Arial" w:cs="Arial"/>
          <w:sz w:val="20"/>
          <w:szCs w:val="20"/>
        </w:rPr>
        <w:t>,</w:t>
      </w:r>
      <w:r w:rsidR="003A09A7" w:rsidRPr="00DE396D">
        <w:rPr>
          <w:rFonts w:ascii="Arial" w:eastAsia="Arial" w:hAnsi="Arial" w:cs="Arial"/>
          <w:sz w:val="20"/>
          <w:szCs w:val="20"/>
        </w:rPr>
        <w:t>000</w:t>
      </w:r>
      <w:r w:rsidR="63E37D84" w:rsidRPr="00DE396D">
        <w:rPr>
          <w:rFonts w:ascii="Arial" w:eastAsia="Arial" w:hAnsi="Arial" w:cs="Arial"/>
          <w:sz w:val="20"/>
          <w:szCs w:val="20"/>
        </w:rPr>
        <w:t>,</w:t>
      </w:r>
      <w:r w:rsidR="003A09A7" w:rsidRPr="00DE396D">
        <w:rPr>
          <w:rFonts w:ascii="Arial" w:eastAsia="Arial" w:hAnsi="Arial" w:cs="Arial"/>
          <w:sz w:val="20"/>
          <w:szCs w:val="20"/>
        </w:rPr>
        <w:t xml:space="preserve"> the minimal </w:t>
      </w:r>
      <w:r w:rsidRPr="00DE396D">
        <w:rPr>
          <w:rFonts w:ascii="Arial" w:eastAsia="Arial" w:hAnsi="Arial" w:cs="Arial"/>
          <w:sz w:val="20"/>
          <w:szCs w:val="20"/>
        </w:rPr>
        <w:t>number</w:t>
      </w:r>
      <w:r w:rsidR="003A09A7" w:rsidRPr="00DE396D">
        <w:rPr>
          <w:rFonts w:ascii="Arial" w:eastAsia="Arial" w:hAnsi="Arial" w:cs="Arial"/>
          <w:sz w:val="20"/>
          <w:szCs w:val="20"/>
        </w:rPr>
        <w:t xml:space="preserve"> of exposures that exceed 0.2%</w:t>
      </w:r>
      <w:r w:rsidR="006167E0" w:rsidRPr="00DE396D">
        <w:rPr>
          <w:rFonts w:ascii="Arial" w:eastAsia="Arial" w:hAnsi="Arial" w:cs="Arial"/>
          <w:sz w:val="20"/>
          <w:szCs w:val="20"/>
        </w:rPr>
        <w:t xml:space="preserve"> threshold</w:t>
      </w:r>
      <w:r w:rsidR="003A09A7" w:rsidRPr="00DE396D">
        <w:rPr>
          <w:rFonts w:ascii="Arial" w:eastAsia="Arial" w:hAnsi="Arial" w:cs="Arial"/>
          <w:sz w:val="20"/>
          <w:szCs w:val="20"/>
        </w:rPr>
        <w:t xml:space="preserve"> would be </w:t>
      </w:r>
      <w:r w:rsidR="00D042BA" w:rsidRPr="00DE396D">
        <w:rPr>
          <w:rFonts w:ascii="Arial" w:eastAsia="Arial" w:hAnsi="Arial" w:cs="Arial"/>
          <w:sz w:val="20"/>
          <w:szCs w:val="20"/>
        </w:rPr>
        <w:t>25</w:t>
      </w:r>
      <w:r w:rsidR="46C9E077" w:rsidRPr="00DE396D">
        <w:rPr>
          <w:rFonts w:ascii="Arial" w:eastAsia="Arial" w:hAnsi="Arial" w:cs="Arial"/>
          <w:sz w:val="20"/>
          <w:szCs w:val="20"/>
        </w:rPr>
        <w:t>,</w:t>
      </w:r>
      <w:r w:rsidR="003A09A7" w:rsidRPr="00DE396D">
        <w:rPr>
          <w:rFonts w:ascii="Arial" w:eastAsia="Arial" w:hAnsi="Arial" w:cs="Arial"/>
          <w:sz w:val="20"/>
          <w:szCs w:val="20"/>
        </w:rPr>
        <w:t xml:space="preserve"> and the remaining </w:t>
      </w:r>
      <w:r w:rsidR="00CE736F" w:rsidRPr="00DE396D">
        <w:rPr>
          <w:rFonts w:ascii="Arial" w:eastAsia="Arial" w:hAnsi="Arial" w:cs="Arial"/>
          <w:sz w:val="20"/>
          <w:szCs w:val="20"/>
        </w:rPr>
        <w:t>number</w:t>
      </w:r>
      <w:r w:rsidR="003A09A7" w:rsidRPr="00DE396D">
        <w:rPr>
          <w:rFonts w:ascii="Arial" w:eastAsia="Arial" w:hAnsi="Arial" w:cs="Arial"/>
          <w:sz w:val="20"/>
          <w:szCs w:val="20"/>
        </w:rPr>
        <w:t xml:space="preserve"> of exposures not exceeding </w:t>
      </w:r>
      <w:r w:rsidR="006167E0" w:rsidRPr="00DE396D">
        <w:rPr>
          <w:rFonts w:ascii="Arial" w:eastAsia="Arial" w:hAnsi="Arial" w:cs="Arial"/>
          <w:sz w:val="20"/>
          <w:szCs w:val="20"/>
        </w:rPr>
        <w:t xml:space="preserve">0.2% threshold would be </w:t>
      </w:r>
      <w:r w:rsidR="00D042BA" w:rsidRPr="00DE396D">
        <w:rPr>
          <w:rFonts w:ascii="Arial" w:eastAsia="Arial" w:hAnsi="Arial" w:cs="Arial"/>
          <w:sz w:val="20"/>
          <w:szCs w:val="20"/>
        </w:rPr>
        <w:t>475</w:t>
      </w:r>
      <w:r w:rsidR="006167E0" w:rsidRPr="00DE396D">
        <w:rPr>
          <w:rFonts w:ascii="Arial" w:eastAsia="Arial" w:hAnsi="Arial" w:cs="Arial"/>
          <w:sz w:val="20"/>
          <w:szCs w:val="20"/>
        </w:rPr>
        <w:t>.</w:t>
      </w:r>
    </w:p>
    <w:p w14:paraId="59B4A84B" w14:textId="1808008A" w:rsidR="00D042BA" w:rsidRPr="00DE396D" w:rsidRDefault="00096B4A" w:rsidP="00DE396D">
      <w:pPr>
        <w:jc w:val="both"/>
        <w:rPr>
          <w:rFonts w:ascii="Arial" w:eastAsia="Arial" w:hAnsi="Arial" w:cs="Arial"/>
          <w:sz w:val="20"/>
          <w:szCs w:val="20"/>
        </w:rPr>
      </w:pPr>
      <w:r w:rsidRPr="00DE396D">
        <w:rPr>
          <w:rFonts w:ascii="Arial" w:eastAsia="Arial" w:hAnsi="Arial" w:cs="Arial"/>
          <w:sz w:val="20"/>
          <w:szCs w:val="20"/>
        </w:rPr>
        <w:t>A</w:t>
      </w:r>
      <w:r w:rsidR="00D042BA" w:rsidRPr="00DE396D">
        <w:rPr>
          <w:rFonts w:ascii="Arial" w:eastAsia="Arial" w:hAnsi="Arial" w:cs="Arial"/>
          <w:sz w:val="20"/>
          <w:szCs w:val="20"/>
        </w:rPr>
        <w:t xml:space="preserve"> </w:t>
      </w:r>
      <w:r w:rsidRPr="00DE396D">
        <w:rPr>
          <w:rFonts w:ascii="Arial" w:eastAsia="Arial" w:hAnsi="Arial" w:cs="Arial"/>
          <w:sz w:val="20"/>
          <w:szCs w:val="20"/>
        </w:rPr>
        <w:t>similar</w:t>
      </w:r>
      <w:r w:rsidR="00D042BA" w:rsidRPr="00DE396D">
        <w:rPr>
          <w:rFonts w:ascii="Arial" w:eastAsia="Arial" w:hAnsi="Arial" w:cs="Arial"/>
          <w:sz w:val="20"/>
          <w:szCs w:val="20"/>
        </w:rPr>
        <w:t xml:space="preserve"> scenario </w:t>
      </w:r>
      <w:r w:rsidRPr="00DE396D">
        <w:rPr>
          <w:rFonts w:ascii="Arial" w:eastAsia="Arial" w:hAnsi="Arial" w:cs="Arial"/>
          <w:sz w:val="20"/>
          <w:szCs w:val="20"/>
        </w:rPr>
        <w:t>is observed when using 10% (iterative approach)</w:t>
      </w:r>
      <w:r w:rsidR="4B345B05" w:rsidRPr="00DE396D">
        <w:rPr>
          <w:rFonts w:ascii="Arial" w:eastAsia="Arial" w:hAnsi="Arial" w:cs="Arial"/>
          <w:sz w:val="20"/>
          <w:szCs w:val="20"/>
        </w:rPr>
        <w:t>. T</w:t>
      </w:r>
      <w:r w:rsidRPr="00DE396D">
        <w:rPr>
          <w:rFonts w:ascii="Arial" w:eastAsia="Arial" w:hAnsi="Arial" w:cs="Arial"/>
          <w:sz w:val="20"/>
          <w:szCs w:val="20"/>
        </w:rPr>
        <w:t xml:space="preserve">he number of exposures </w:t>
      </w:r>
      <w:r w:rsidR="03CAA48B" w:rsidRPr="00DE396D">
        <w:rPr>
          <w:rFonts w:ascii="Arial" w:eastAsia="Arial" w:hAnsi="Arial" w:cs="Arial"/>
          <w:sz w:val="20"/>
          <w:szCs w:val="20"/>
        </w:rPr>
        <w:t xml:space="preserve">that </w:t>
      </w:r>
      <w:r w:rsidRPr="00DE396D">
        <w:rPr>
          <w:rFonts w:ascii="Arial" w:eastAsia="Arial" w:hAnsi="Arial" w:cs="Arial"/>
          <w:sz w:val="20"/>
          <w:szCs w:val="20"/>
        </w:rPr>
        <w:t>would exceed the 0.2% threshold is different, but the minimum overall number of exposures would still be 500.</w:t>
      </w:r>
    </w:p>
    <w:p w14:paraId="2C96CFB9" w14:textId="76982A3B" w:rsidR="00EB4796" w:rsidRPr="00DE396D" w:rsidRDefault="006167E0" w:rsidP="00DE396D">
      <w:pPr>
        <w:jc w:val="both"/>
        <w:rPr>
          <w:rFonts w:ascii="Arial" w:eastAsia="Arial" w:hAnsi="Arial" w:cs="Arial"/>
          <w:sz w:val="20"/>
          <w:szCs w:val="20"/>
        </w:rPr>
      </w:pPr>
      <w:r w:rsidRPr="00DE396D">
        <w:rPr>
          <w:rFonts w:ascii="Arial" w:eastAsia="Arial" w:hAnsi="Arial" w:cs="Arial"/>
          <w:sz w:val="20"/>
          <w:szCs w:val="20"/>
        </w:rPr>
        <w:t xml:space="preserve">In </w:t>
      </w:r>
      <w:r w:rsidR="00096B4A" w:rsidRPr="00DE396D">
        <w:rPr>
          <w:rFonts w:ascii="Arial" w:eastAsia="Arial" w:hAnsi="Arial" w:cs="Arial"/>
          <w:sz w:val="20"/>
          <w:szCs w:val="20"/>
        </w:rPr>
        <w:t>these</w:t>
      </w:r>
      <w:r w:rsidRPr="00DE396D">
        <w:rPr>
          <w:rFonts w:ascii="Arial" w:eastAsia="Arial" w:hAnsi="Arial" w:cs="Arial"/>
          <w:sz w:val="20"/>
          <w:szCs w:val="20"/>
        </w:rPr>
        <w:t xml:space="preserve"> scenarios we can </w:t>
      </w:r>
      <w:r w:rsidR="00C82F19" w:rsidRPr="00DE396D">
        <w:rPr>
          <w:rFonts w:ascii="Arial" w:eastAsia="Arial" w:hAnsi="Arial" w:cs="Arial"/>
          <w:sz w:val="20"/>
          <w:szCs w:val="20"/>
        </w:rPr>
        <w:t>observe</w:t>
      </w:r>
      <w:r w:rsidRPr="00DE396D">
        <w:rPr>
          <w:rFonts w:ascii="Arial" w:eastAsia="Arial" w:hAnsi="Arial" w:cs="Arial"/>
          <w:sz w:val="20"/>
          <w:szCs w:val="20"/>
        </w:rPr>
        <w:t xml:space="preserve"> that </w:t>
      </w:r>
      <w:r w:rsidR="00C82F19" w:rsidRPr="00DE396D">
        <w:rPr>
          <w:rFonts w:ascii="Arial" w:eastAsia="Arial" w:hAnsi="Arial" w:cs="Arial"/>
          <w:sz w:val="20"/>
          <w:szCs w:val="20"/>
        </w:rPr>
        <w:t>the minimum</w:t>
      </w:r>
      <w:r w:rsidRPr="00DE396D">
        <w:rPr>
          <w:rFonts w:ascii="Arial" w:eastAsia="Arial" w:hAnsi="Arial" w:cs="Arial"/>
          <w:sz w:val="20"/>
          <w:szCs w:val="20"/>
        </w:rPr>
        <w:t xml:space="preserve"> </w:t>
      </w:r>
      <w:r w:rsidR="00C82F19" w:rsidRPr="00DE396D">
        <w:rPr>
          <w:rFonts w:ascii="Arial" w:eastAsia="Arial" w:hAnsi="Arial" w:cs="Arial"/>
          <w:sz w:val="20"/>
          <w:szCs w:val="20"/>
        </w:rPr>
        <w:t>number</w:t>
      </w:r>
      <w:r w:rsidRPr="00DE396D">
        <w:rPr>
          <w:rFonts w:ascii="Arial" w:eastAsia="Arial" w:hAnsi="Arial" w:cs="Arial"/>
          <w:sz w:val="20"/>
          <w:szCs w:val="20"/>
        </w:rPr>
        <w:t xml:space="preserve"> of exposures</w:t>
      </w:r>
      <w:r w:rsidR="006E5B7E" w:rsidRPr="00DE396D">
        <w:rPr>
          <w:rFonts w:ascii="Arial" w:eastAsia="Arial" w:hAnsi="Arial" w:cs="Arial"/>
          <w:sz w:val="20"/>
          <w:szCs w:val="20"/>
        </w:rPr>
        <w:t xml:space="preserve"> in </w:t>
      </w:r>
      <w:r w:rsidR="2683687C" w:rsidRPr="00DE396D">
        <w:rPr>
          <w:rFonts w:ascii="Arial" w:eastAsia="Arial" w:hAnsi="Arial" w:cs="Arial"/>
          <w:sz w:val="20"/>
          <w:szCs w:val="20"/>
        </w:rPr>
        <w:t xml:space="preserve">a </w:t>
      </w:r>
      <w:r w:rsidR="006E5B7E" w:rsidRPr="00DE396D">
        <w:rPr>
          <w:rFonts w:ascii="Arial" w:eastAsia="Arial" w:hAnsi="Arial" w:cs="Arial"/>
          <w:sz w:val="20"/>
          <w:szCs w:val="20"/>
        </w:rPr>
        <w:t xml:space="preserve">portfolio to be considered </w:t>
      </w:r>
      <w:r w:rsidR="003B5F4C" w:rsidRPr="00DE396D">
        <w:rPr>
          <w:rFonts w:ascii="Arial" w:eastAsia="Arial" w:hAnsi="Arial" w:cs="Arial"/>
          <w:sz w:val="20"/>
          <w:szCs w:val="20"/>
        </w:rPr>
        <w:t xml:space="preserve">sufficiently </w:t>
      </w:r>
      <w:r w:rsidR="006E5B7E" w:rsidRPr="00DE396D">
        <w:rPr>
          <w:rFonts w:ascii="Arial" w:eastAsia="Arial" w:hAnsi="Arial" w:cs="Arial"/>
          <w:sz w:val="20"/>
          <w:szCs w:val="20"/>
        </w:rPr>
        <w:t xml:space="preserve">diversified under </w:t>
      </w:r>
      <w:r w:rsidR="21051754" w:rsidRPr="00DE396D">
        <w:rPr>
          <w:rFonts w:ascii="Arial" w:eastAsia="Arial" w:hAnsi="Arial" w:cs="Arial"/>
          <w:sz w:val="20"/>
          <w:szCs w:val="20"/>
        </w:rPr>
        <w:t xml:space="preserve">the </w:t>
      </w:r>
      <w:r w:rsidR="006E5B7E" w:rsidRPr="00DE396D">
        <w:rPr>
          <w:rFonts w:ascii="Arial" w:eastAsia="Arial" w:hAnsi="Arial" w:cs="Arial"/>
          <w:sz w:val="20"/>
          <w:szCs w:val="20"/>
        </w:rPr>
        <w:t xml:space="preserve">EBA proposed approaches </w:t>
      </w:r>
      <w:r w:rsidR="3CDA46A9" w:rsidRPr="00DE396D">
        <w:rPr>
          <w:rFonts w:ascii="Arial" w:eastAsia="Arial" w:hAnsi="Arial" w:cs="Arial"/>
          <w:sz w:val="20"/>
          <w:szCs w:val="20"/>
        </w:rPr>
        <w:t>is</w:t>
      </w:r>
      <w:r w:rsidR="776ADFEC" w:rsidRPr="00DE396D">
        <w:rPr>
          <w:rFonts w:ascii="Arial" w:eastAsia="Arial" w:hAnsi="Arial" w:cs="Arial"/>
          <w:sz w:val="20"/>
          <w:szCs w:val="20"/>
        </w:rPr>
        <w:t xml:space="preserve"> </w:t>
      </w:r>
      <w:r w:rsidR="006E5B7E" w:rsidRPr="00DE396D">
        <w:rPr>
          <w:rFonts w:ascii="Arial" w:eastAsia="Arial" w:hAnsi="Arial" w:cs="Arial"/>
          <w:sz w:val="20"/>
          <w:szCs w:val="20"/>
        </w:rPr>
        <w:t>500</w:t>
      </w:r>
      <w:r w:rsidR="00CE736F" w:rsidRPr="00DE396D">
        <w:rPr>
          <w:rFonts w:ascii="Arial" w:eastAsia="Arial" w:hAnsi="Arial" w:cs="Arial"/>
          <w:sz w:val="20"/>
          <w:szCs w:val="20"/>
        </w:rPr>
        <w:t>.</w:t>
      </w:r>
    </w:p>
    <w:p w14:paraId="21D84406" w14:textId="0C74A3A4" w:rsidR="00825CFE" w:rsidRPr="00DE396D" w:rsidRDefault="00825CFE" w:rsidP="00DE396D">
      <w:pPr>
        <w:jc w:val="both"/>
        <w:rPr>
          <w:rFonts w:ascii="Arial" w:eastAsia="Arial" w:hAnsi="Arial" w:cs="Arial"/>
          <w:sz w:val="20"/>
          <w:szCs w:val="20"/>
          <w:lang w:val="lt-LT"/>
        </w:rPr>
      </w:pPr>
      <w:r w:rsidRPr="00DE396D">
        <w:rPr>
          <w:rFonts w:ascii="Arial" w:eastAsia="Arial" w:hAnsi="Arial" w:cs="Arial"/>
          <w:sz w:val="20"/>
          <w:szCs w:val="20"/>
        </w:rPr>
        <w:t xml:space="preserve">For </w:t>
      </w:r>
      <w:r w:rsidR="27C14FE6" w:rsidRPr="00DE396D">
        <w:rPr>
          <w:rFonts w:ascii="Arial" w:eastAsia="Arial" w:hAnsi="Arial" w:cs="Arial"/>
          <w:sz w:val="20"/>
          <w:szCs w:val="20"/>
        </w:rPr>
        <w:t xml:space="preserve">larger </w:t>
      </w:r>
      <w:r w:rsidRPr="00DE396D">
        <w:rPr>
          <w:rFonts w:ascii="Arial" w:eastAsia="Arial" w:hAnsi="Arial" w:cs="Arial"/>
          <w:sz w:val="20"/>
          <w:szCs w:val="20"/>
        </w:rPr>
        <w:t xml:space="preserve">institutions </w:t>
      </w:r>
      <w:r w:rsidR="34DD01B9" w:rsidRPr="00DE396D">
        <w:rPr>
          <w:rFonts w:ascii="Arial" w:eastAsia="Arial" w:hAnsi="Arial" w:cs="Arial"/>
          <w:sz w:val="20"/>
          <w:szCs w:val="20"/>
        </w:rPr>
        <w:t xml:space="preserve">that </w:t>
      </w:r>
      <w:r w:rsidRPr="00DE396D">
        <w:rPr>
          <w:rFonts w:ascii="Arial" w:eastAsia="Arial" w:hAnsi="Arial" w:cs="Arial"/>
          <w:sz w:val="20"/>
          <w:szCs w:val="20"/>
        </w:rPr>
        <w:t>have been operating for a longer period</w:t>
      </w:r>
      <w:r w:rsidR="1E8D2D3E" w:rsidRPr="00DE396D">
        <w:rPr>
          <w:rFonts w:ascii="Arial" w:eastAsia="Arial" w:hAnsi="Arial" w:cs="Arial"/>
          <w:sz w:val="20"/>
          <w:szCs w:val="20"/>
        </w:rPr>
        <w:t>,</w:t>
      </w:r>
      <w:r w:rsidRPr="00DE396D">
        <w:rPr>
          <w:rFonts w:ascii="Arial" w:eastAsia="Arial" w:hAnsi="Arial" w:cs="Arial"/>
          <w:sz w:val="20"/>
          <w:szCs w:val="20"/>
        </w:rPr>
        <w:t xml:space="preserve"> 500 different retail exposures might not seem like a </w:t>
      </w:r>
      <w:r w:rsidR="357C67AF" w:rsidRPr="00DE396D">
        <w:rPr>
          <w:rFonts w:ascii="Arial" w:eastAsia="Arial" w:hAnsi="Arial" w:cs="Arial"/>
          <w:sz w:val="20"/>
          <w:szCs w:val="20"/>
        </w:rPr>
        <w:t xml:space="preserve">significant </w:t>
      </w:r>
      <w:r w:rsidRPr="00DE396D">
        <w:rPr>
          <w:rFonts w:ascii="Arial" w:eastAsia="Arial" w:hAnsi="Arial" w:cs="Arial"/>
          <w:sz w:val="20"/>
          <w:szCs w:val="20"/>
        </w:rPr>
        <w:t>number</w:t>
      </w:r>
      <w:r w:rsidR="781ACAE7" w:rsidRPr="00DE396D">
        <w:rPr>
          <w:rFonts w:ascii="Arial" w:eastAsia="Arial" w:hAnsi="Arial" w:cs="Arial"/>
          <w:sz w:val="20"/>
          <w:szCs w:val="20"/>
        </w:rPr>
        <w:t>. However</w:t>
      </w:r>
      <w:r w:rsidRPr="00DE396D">
        <w:rPr>
          <w:rFonts w:ascii="Arial" w:eastAsia="Arial" w:hAnsi="Arial" w:cs="Arial"/>
          <w:sz w:val="20"/>
          <w:szCs w:val="20"/>
        </w:rPr>
        <w:t>, for smaller institutions and start-ups</w:t>
      </w:r>
      <w:r w:rsidR="4000F7B4" w:rsidRPr="00DE396D">
        <w:rPr>
          <w:rFonts w:ascii="Arial" w:eastAsia="Arial" w:hAnsi="Arial" w:cs="Arial"/>
          <w:sz w:val="20"/>
          <w:szCs w:val="20"/>
        </w:rPr>
        <w:t>,</w:t>
      </w:r>
      <w:r w:rsidRPr="00DE396D">
        <w:rPr>
          <w:rFonts w:ascii="Arial" w:eastAsia="Arial" w:hAnsi="Arial" w:cs="Arial"/>
          <w:sz w:val="20"/>
          <w:szCs w:val="20"/>
        </w:rPr>
        <w:t xml:space="preserve"> this number is harder to achieve</w:t>
      </w:r>
      <w:r w:rsidR="5650BCAF" w:rsidRPr="00DE396D">
        <w:rPr>
          <w:rFonts w:ascii="Arial" w:eastAsia="Arial" w:hAnsi="Arial" w:cs="Arial"/>
          <w:sz w:val="20"/>
          <w:szCs w:val="20"/>
        </w:rPr>
        <w:t xml:space="preserve"> due </w:t>
      </w:r>
      <w:r w:rsidR="04045287" w:rsidRPr="00DE396D">
        <w:rPr>
          <w:rFonts w:ascii="Arial" w:eastAsia="Arial" w:hAnsi="Arial" w:cs="Arial"/>
          <w:sz w:val="20"/>
          <w:szCs w:val="20"/>
        </w:rPr>
        <w:t>to</w:t>
      </w:r>
      <w:r w:rsidRPr="00DE396D">
        <w:rPr>
          <w:rFonts w:ascii="Arial" w:eastAsia="Arial" w:hAnsi="Arial" w:cs="Arial"/>
          <w:sz w:val="20"/>
          <w:szCs w:val="20"/>
        </w:rPr>
        <w:t xml:space="preserve"> limited resources, administrative costs</w:t>
      </w:r>
      <w:r w:rsidR="75A74B60" w:rsidRPr="00DE396D">
        <w:rPr>
          <w:rFonts w:ascii="Arial" w:eastAsia="Arial" w:hAnsi="Arial" w:cs="Arial"/>
          <w:sz w:val="20"/>
          <w:szCs w:val="20"/>
        </w:rPr>
        <w:t xml:space="preserve">, </w:t>
      </w:r>
      <w:r w:rsidRPr="00DE396D">
        <w:rPr>
          <w:rFonts w:ascii="Arial" w:eastAsia="Arial" w:hAnsi="Arial" w:cs="Arial"/>
          <w:sz w:val="20"/>
          <w:szCs w:val="20"/>
        </w:rPr>
        <w:t xml:space="preserve">and </w:t>
      </w:r>
      <w:r w:rsidR="63D5C2B8" w:rsidRPr="00DE396D">
        <w:rPr>
          <w:rFonts w:ascii="Arial" w:eastAsia="Arial" w:hAnsi="Arial" w:cs="Arial"/>
          <w:sz w:val="20"/>
          <w:szCs w:val="20"/>
        </w:rPr>
        <w:t xml:space="preserve">a </w:t>
      </w:r>
      <w:r w:rsidRPr="00DE396D">
        <w:rPr>
          <w:rFonts w:ascii="Arial" w:eastAsia="Arial" w:hAnsi="Arial" w:cs="Arial"/>
          <w:sz w:val="20"/>
          <w:szCs w:val="20"/>
        </w:rPr>
        <w:t>lack of automat</w:t>
      </w:r>
      <w:r w:rsidR="7EA62731" w:rsidRPr="00DE396D">
        <w:rPr>
          <w:rFonts w:ascii="Arial" w:eastAsia="Arial" w:hAnsi="Arial" w:cs="Arial"/>
          <w:sz w:val="20"/>
          <w:szCs w:val="20"/>
        </w:rPr>
        <w:t>ed</w:t>
      </w:r>
      <w:r w:rsidRPr="00DE396D">
        <w:rPr>
          <w:rFonts w:ascii="Arial" w:eastAsia="Arial" w:hAnsi="Arial" w:cs="Arial"/>
          <w:sz w:val="20"/>
          <w:szCs w:val="20"/>
        </w:rPr>
        <w:t xml:space="preserve"> processes.</w:t>
      </w:r>
    </w:p>
    <w:p w14:paraId="7993A9E0" w14:textId="3BBC1610" w:rsidR="003B5F4C" w:rsidRPr="00DE396D" w:rsidRDefault="003B5F4C" w:rsidP="00DE396D">
      <w:pPr>
        <w:jc w:val="both"/>
        <w:rPr>
          <w:rFonts w:ascii="Arial" w:eastAsia="Arial" w:hAnsi="Arial" w:cs="Arial"/>
          <w:sz w:val="20"/>
          <w:szCs w:val="20"/>
        </w:rPr>
      </w:pPr>
      <w:r w:rsidRPr="00DE396D">
        <w:rPr>
          <w:rFonts w:ascii="Arial" w:eastAsia="Arial" w:hAnsi="Arial" w:cs="Arial"/>
          <w:sz w:val="20"/>
          <w:szCs w:val="20"/>
        </w:rPr>
        <w:t>At the start of operations</w:t>
      </w:r>
      <w:r w:rsidR="4FEE6ADE" w:rsidRPr="00DE396D">
        <w:rPr>
          <w:rFonts w:ascii="Arial" w:eastAsia="Arial" w:hAnsi="Arial" w:cs="Arial"/>
          <w:sz w:val="20"/>
          <w:szCs w:val="20"/>
        </w:rPr>
        <w:t>,</w:t>
      </w:r>
      <w:r w:rsidRPr="00DE396D">
        <w:rPr>
          <w:rFonts w:ascii="Arial" w:eastAsia="Arial" w:hAnsi="Arial" w:cs="Arial"/>
          <w:sz w:val="20"/>
          <w:szCs w:val="20"/>
        </w:rPr>
        <w:t xml:space="preserve"> most new credit institutions do not have fully incorporated automated systems and must determine if the client corresponds to their risk profile on an individual basis. Th</w:t>
      </w:r>
      <w:r w:rsidR="5E52A75A" w:rsidRPr="00DE396D">
        <w:rPr>
          <w:rFonts w:ascii="Arial" w:eastAsia="Arial" w:hAnsi="Arial" w:cs="Arial"/>
          <w:sz w:val="20"/>
          <w:szCs w:val="20"/>
        </w:rPr>
        <w:t xml:space="preserve">is process </w:t>
      </w:r>
      <w:r w:rsidRPr="00DE396D">
        <w:rPr>
          <w:rFonts w:ascii="Arial" w:eastAsia="Arial" w:hAnsi="Arial" w:cs="Arial"/>
          <w:sz w:val="20"/>
          <w:szCs w:val="20"/>
        </w:rPr>
        <w:t xml:space="preserve">takes a lot of </w:t>
      </w:r>
      <w:r w:rsidR="00BD41E8" w:rsidRPr="00DE396D">
        <w:rPr>
          <w:rFonts w:ascii="Arial" w:eastAsia="Arial" w:hAnsi="Arial" w:cs="Arial"/>
          <w:sz w:val="20"/>
          <w:szCs w:val="20"/>
        </w:rPr>
        <w:t xml:space="preserve">time, </w:t>
      </w:r>
      <w:r w:rsidRPr="00DE396D">
        <w:rPr>
          <w:rFonts w:ascii="Arial" w:eastAsia="Arial" w:hAnsi="Arial" w:cs="Arial"/>
          <w:sz w:val="20"/>
          <w:szCs w:val="20"/>
        </w:rPr>
        <w:t>resources</w:t>
      </w:r>
      <w:r w:rsidR="3455B62C" w:rsidRPr="00DE396D">
        <w:rPr>
          <w:rFonts w:ascii="Arial" w:eastAsia="Arial" w:hAnsi="Arial" w:cs="Arial"/>
          <w:sz w:val="20"/>
          <w:szCs w:val="20"/>
        </w:rPr>
        <w:t>,</w:t>
      </w:r>
      <w:r w:rsidR="00BD41E8" w:rsidRPr="00DE396D">
        <w:rPr>
          <w:rFonts w:ascii="Arial" w:eastAsia="Arial" w:hAnsi="Arial" w:cs="Arial"/>
          <w:sz w:val="20"/>
          <w:szCs w:val="20"/>
        </w:rPr>
        <w:t xml:space="preserve"> and incurs higher administrative costs. A</w:t>
      </w:r>
      <w:r w:rsidR="7622D1CB" w:rsidRPr="00DE396D">
        <w:rPr>
          <w:rFonts w:ascii="Arial" w:eastAsia="Arial" w:hAnsi="Arial" w:cs="Arial"/>
          <w:sz w:val="20"/>
          <w:szCs w:val="20"/>
        </w:rPr>
        <w:t>dditionally</w:t>
      </w:r>
      <w:r w:rsidR="00BD41E8" w:rsidRPr="00DE396D">
        <w:rPr>
          <w:rFonts w:ascii="Arial" w:eastAsia="Arial" w:hAnsi="Arial" w:cs="Arial"/>
          <w:sz w:val="20"/>
          <w:szCs w:val="20"/>
        </w:rPr>
        <w:t xml:space="preserve">, institutions consider clients with exposure classes other than retail. Credit institutions </w:t>
      </w:r>
      <w:r w:rsidR="7B587E3A" w:rsidRPr="00DE396D">
        <w:rPr>
          <w:rFonts w:ascii="Arial" w:eastAsia="Arial" w:hAnsi="Arial" w:cs="Arial"/>
          <w:sz w:val="20"/>
          <w:szCs w:val="20"/>
        </w:rPr>
        <w:t xml:space="preserve">that </w:t>
      </w:r>
      <w:r w:rsidR="00BD41E8" w:rsidRPr="00DE396D">
        <w:rPr>
          <w:rFonts w:ascii="Arial" w:eastAsia="Arial" w:hAnsi="Arial" w:cs="Arial"/>
          <w:sz w:val="20"/>
          <w:szCs w:val="20"/>
        </w:rPr>
        <w:t>started their operations under CRR2 (</w:t>
      </w:r>
      <w:r w:rsidR="1FD7D08C" w:rsidRPr="00DE396D">
        <w:rPr>
          <w:rFonts w:ascii="Arial" w:eastAsia="Arial" w:hAnsi="Arial" w:cs="Arial"/>
          <w:sz w:val="20"/>
          <w:szCs w:val="20"/>
        </w:rPr>
        <w:t>R</w:t>
      </w:r>
      <w:r w:rsidR="00BD41E8" w:rsidRPr="00DE396D">
        <w:rPr>
          <w:rFonts w:ascii="Arial" w:eastAsia="Arial" w:hAnsi="Arial" w:cs="Arial"/>
          <w:sz w:val="20"/>
          <w:szCs w:val="20"/>
        </w:rPr>
        <w:t>egulation (EU) 2019/876) used 75% risk weight for retail exposures</w:t>
      </w:r>
      <w:r w:rsidR="042349B6" w:rsidRPr="00DE396D">
        <w:rPr>
          <w:rFonts w:ascii="Arial" w:eastAsia="Arial" w:hAnsi="Arial" w:cs="Arial"/>
          <w:sz w:val="20"/>
          <w:szCs w:val="20"/>
        </w:rPr>
        <w:t xml:space="preserve">. An </w:t>
      </w:r>
      <w:r w:rsidR="00BD41E8" w:rsidRPr="00DE396D">
        <w:rPr>
          <w:rFonts w:ascii="Arial" w:eastAsia="Arial" w:hAnsi="Arial" w:cs="Arial"/>
          <w:sz w:val="20"/>
          <w:szCs w:val="20"/>
        </w:rPr>
        <w:t xml:space="preserve">increase to </w:t>
      </w:r>
      <w:r w:rsidR="371E04BC" w:rsidRPr="00DE396D">
        <w:rPr>
          <w:rFonts w:ascii="Arial" w:eastAsia="Arial" w:hAnsi="Arial" w:cs="Arial"/>
          <w:sz w:val="20"/>
          <w:szCs w:val="20"/>
        </w:rPr>
        <w:t xml:space="preserve">a </w:t>
      </w:r>
      <w:r w:rsidR="00BD41E8" w:rsidRPr="00DE396D">
        <w:rPr>
          <w:rFonts w:ascii="Arial" w:eastAsia="Arial" w:hAnsi="Arial" w:cs="Arial"/>
          <w:sz w:val="20"/>
          <w:szCs w:val="20"/>
        </w:rPr>
        <w:t>100% risk weight would be substantial and negative</w:t>
      </w:r>
      <w:r w:rsidR="043FB596" w:rsidRPr="00DE396D">
        <w:rPr>
          <w:rFonts w:ascii="Arial" w:eastAsia="Arial" w:hAnsi="Arial" w:cs="Arial"/>
          <w:sz w:val="20"/>
          <w:szCs w:val="20"/>
        </w:rPr>
        <w:t>ly</w:t>
      </w:r>
      <w:r w:rsidR="00BD41E8" w:rsidRPr="00DE396D">
        <w:rPr>
          <w:rFonts w:ascii="Arial" w:eastAsia="Arial" w:hAnsi="Arial" w:cs="Arial"/>
          <w:sz w:val="20"/>
          <w:szCs w:val="20"/>
        </w:rPr>
        <w:t xml:space="preserve"> </w:t>
      </w:r>
      <w:proofErr w:type="spellStart"/>
      <w:r w:rsidR="00BD41E8" w:rsidRPr="00DE396D">
        <w:rPr>
          <w:rFonts w:ascii="Arial" w:eastAsia="Arial" w:hAnsi="Arial" w:cs="Arial"/>
          <w:sz w:val="20"/>
          <w:szCs w:val="20"/>
        </w:rPr>
        <w:t>effect</w:t>
      </w:r>
      <w:proofErr w:type="spellEnd"/>
      <w:r w:rsidR="00BD41E8" w:rsidRPr="00DE396D">
        <w:rPr>
          <w:rFonts w:ascii="Arial" w:eastAsia="Arial" w:hAnsi="Arial" w:cs="Arial"/>
          <w:sz w:val="20"/>
          <w:szCs w:val="20"/>
        </w:rPr>
        <w:t xml:space="preserve"> an </w:t>
      </w:r>
      <w:r w:rsidR="00EF266E" w:rsidRPr="00DE396D">
        <w:rPr>
          <w:rFonts w:ascii="Arial" w:eastAsia="Arial" w:hAnsi="Arial" w:cs="Arial"/>
          <w:sz w:val="20"/>
          <w:szCs w:val="20"/>
        </w:rPr>
        <w:t>institution’s</w:t>
      </w:r>
      <w:r w:rsidR="00BD41E8" w:rsidRPr="00DE396D">
        <w:rPr>
          <w:rFonts w:ascii="Arial" w:eastAsia="Arial" w:hAnsi="Arial" w:cs="Arial"/>
          <w:sz w:val="20"/>
          <w:szCs w:val="20"/>
        </w:rPr>
        <w:t xml:space="preserve"> ability to adequately forecast </w:t>
      </w:r>
      <w:r w:rsidR="00EF266E" w:rsidRPr="00DE396D">
        <w:rPr>
          <w:rFonts w:ascii="Arial" w:eastAsia="Arial" w:hAnsi="Arial" w:cs="Arial"/>
          <w:sz w:val="20"/>
          <w:szCs w:val="20"/>
        </w:rPr>
        <w:t>its</w:t>
      </w:r>
      <w:r w:rsidR="00BD41E8" w:rsidRPr="00DE396D">
        <w:rPr>
          <w:rFonts w:ascii="Arial" w:eastAsia="Arial" w:hAnsi="Arial" w:cs="Arial"/>
          <w:sz w:val="20"/>
          <w:szCs w:val="20"/>
        </w:rPr>
        <w:t xml:space="preserve"> capital needs. </w:t>
      </w:r>
    </w:p>
    <w:p w14:paraId="468DF755" w14:textId="1069CF79" w:rsidR="00BF6F05" w:rsidRPr="00DE396D" w:rsidRDefault="00EF266E" w:rsidP="00DE396D">
      <w:pPr>
        <w:jc w:val="both"/>
        <w:rPr>
          <w:rFonts w:ascii="Arial" w:eastAsia="Arial" w:hAnsi="Arial" w:cs="Arial"/>
          <w:sz w:val="20"/>
          <w:szCs w:val="20"/>
        </w:rPr>
      </w:pPr>
      <w:r w:rsidRPr="00DE396D">
        <w:rPr>
          <w:rFonts w:ascii="Arial" w:eastAsia="Arial" w:hAnsi="Arial" w:cs="Arial"/>
          <w:sz w:val="20"/>
          <w:szCs w:val="20"/>
        </w:rPr>
        <w:t xml:space="preserve">As a result of the increase </w:t>
      </w:r>
      <w:r w:rsidR="3032B7DB" w:rsidRPr="00DE396D">
        <w:rPr>
          <w:rFonts w:ascii="Arial" w:eastAsia="Arial" w:hAnsi="Arial" w:cs="Arial"/>
          <w:sz w:val="20"/>
          <w:szCs w:val="20"/>
        </w:rPr>
        <w:t>in the</w:t>
      </w:r>
      <w:r w:rsidR="0F23FCB0" w:rsidRPr="00DE396D">
        <w:rPr>
          <w:rFonts w:ascii="Arial" w:eastAsia="Arial" w:hAnsi="Arial" w:cs="Arial"/>
          <w:sz w:val="20"/>
          <w:szCs w:val="20"/>
        </w:rPr>
        <w:t xml:space="preserve"> </w:t>
      </w:r>
      <w:r w:rsidRPr="00DE396D">
        <w:rPr>
          <w:rFonts w:ascii="Arial" w:eastAsia="Arial" w:hAnsi="Arial" w:cs="Arial"/>
          <w:sz w:val="20"/>
          <w:szCs w:val="20"/>
        </w:rPr>
        <w:t>risk weight for retail exposures to 100% from 75%, the risk weighted amount of an institution would increase</w:t>
      </w:r>
      <w:r w:rsidR="3B583D1D" w:rsidRPr="00DE396D">
        <w:rPr>
          <w:rFonts w:ascii="Arial" w:eastAsia="Arial" w:hAnsi="Arial" w:cs="Arial"/>
          <w:sz w:val="20"/>
          <w:szCs w:val="20"/>
        </w:rPr>
        <w:t>,</w:t>
      </w:r>
      <w:r w:rsidRPr="00DE396D">
        <w:rPr>
          <w:rFonts w:ascii="Arial" w:eastAsia="Arial" w:hAnsi="Arial" w:cs="Arial"/>
          <w:sz w:val="20"/>
          <w:szCs w:val="20"/>
        </w:rPr>
        <w:t xml:space="preserve"> negative</w:t>
      </w:r>
      <w:r w:rsidR="212441C2" w:rsidRPr="00DE396D">
        <w:rPr>
          <w:rFonts w:ascii="Arial" w:eastAsia="Arial" w:hAnsi="Arial" w:cs="Arial"/>
          <w:sz w:val="20"/>
          <w:szCs w:val="20"/>
        </w:rPr>
        <w:t>ly affecting</w:t>
      </w:r>
      <w:r w:rsidR="064AC92B" w:rsidRPr="00DE396D">
        <w:rPr>
          <w:rFonts w:ascii="Arial" w:eastAsia="Arial" w:hAnsi="Arial" w:cs="Arial"/>
          <w:sz w:val="20"/>
          <w:szCs w:val="20"/>
        </w:rPr>
        <w:t xml:space="preserve"> </w:t>
      </w:r>
      <w:r w:rsidRPr="00DE396D">
        <w:rPr>
          <w:rFonts w:ascii="Arial" w:eastAsia="Arial" w:hAnsi="Arial" w:cs="Arial"/>
          <w:sz w:val="20"/>
          <w:szCs w:val="20"/>
        </w:rPr>
        <w:t>its available capital. Due to these reasons</w:t>
      </w:r>
      <w:r w:rsidR="35630914" w:rsidRPr="00DE396D">
        <w:rPr>
          <w:rFonts w:ascii="Arial" w:eastAsia="Arial" w:hAnsi="Arial" w:cs="Arial"/>
          <w:sz w:val="20"/>
          <w:szCs w:val="20"/>
        </w:rPr>
        <w:t>,</w:t>
      </w:r>
      <w:r w:rsidRPr="00DE396D">
        <w:rPr>
          <w:rFonts w:ascii="Arial" w:eastAsia="Arial" w:hAnsi="Arial" w:cs="Arial"/>
          <w:sz w:val="20"/>
          <w:szCs w:val="20"/>
        </w:rPr>
        <w:t xml:space="preserve"> this diversification approach proposed by </w:t>
      </w:r>
      <w:r w:rsidR="52B3BCE4" w:rsidRPr="00DE396D">
        <w:rPr>
          <w:rFonts w:ascii="Arial" w:eastAsia="Arial" w:hAnsi="Arial" w:cs="Arial"/>
          <w:sz w:val="20"/>
          <w:szCs w:val="20"/>
        </w:rPr>
        <w:t xml:space="preserve">the </w:t>
      </w:r>
      <w:r w:rsidRPr="00DE396D">
        <w:rPr>
          <w:rFonts w:ascii="Arial" w:eastAsia="Arial" w:hAnsi="Arial" w:cs="Arial"/>
          <w:sz w:val="20"/>
          <w:szCs w:val="20"/>
        </w:rPr>
        <w:t xml:space="preserve">EBA is more favorable for older and </w:t>
      </w:r>
      <w:r w:rsidR="38296F3A" w:rsidRPr="00DE396D">
        <w:rPr>
          <w:rFonts w:ascii="Arial" w:eastAsia="Arial" w:hAnsi="Arial" w:cs="Arial"/>
          <w:sz w:val="20"/>
          <w:szCs w:val="20"/>
        </w:rPr>
        <w:t xml:space="preserve">larger </w:t>
      </w:r>
      <w:r w:rsidRPr="00DE396D">
        <w:rPr>
          <w:rFonts w:ascii="Arial" w:eastAsia="Arial" w:hAnsi="Arial" w:cs="Arial"/>
          <w:sz w:val="20"/>
          <w:szCs w:val="20"/>
        </w:rPr>
        <w:t>institutions and hurts the chances for smaller institutions to</w:t>
      </w:r>
      <w:r w:rsidR="60B53016" w:rsidRPr="00DE396D">
        <w:rPr>
          <w:rFonts w:ascii="Arial" w:eastAsia="Arial" w:hAnsi="Arial" w:cs="Arial"/>
          <w:sz w:val="20"/>
          <w:szCs w:val="20"/>
        </w:rPr>
        <w:t xml:space="preserve"> achieve </w:t>
      </w:r>
      <w:r w:rsidRPr="00DE396D">
        <w:rPr>
          <w:rFonts w:ascii="Arial" w:eastAsia="Arial" w:hAnsi="Arial" w:cs="Arial"/>
          <w:sz w:val="20"/>
          <w:szCs w:val="20"/>
        </w:rPr>
        <w:t>sustainable growth and compete in the market.</w:t>
      </w:r>
    </w:p>
    <w:p w14:paraId="4007F4CE" w14:textId="7ECCD4C2" w:rsidR="00BF6F05" w:rsidRPr="00DE396D" w:rsidRDefault="00BF6F05" w:rsidP="00DE396D">
      <w:pPr>
        <w:jc w:val="both"/>
        <w:rPr>
          <w:rFonts w:ascii="Arial" w:eastAsia="Arial" w:hAnsi="Arial" w:cs="Arial"/>
          <w:sz w:val="20"/>
          <w:szCs w:val="20"/>
        </w:rPr>
      </w:pPr>
      <w:r w:rsidRPr="00DE396D">
        <w:rPr>
          <w:rFonts w:ascii="Arial" w:eastAsia="Arial" w:hAnsi="Arial" w:cs="Arial"/>
          <w:sz w:val="20"/>
          <w:szCs w:val="20"/>
        </w:rPr>
        <w:t>Based on these arguments</w:t>
      </w:r>
      <w:r w:rsidR="5EB9EB93" w:rsidRPr="00DE396D">
        <w:rPr>
          <w:rFonts w:ascii="Arial" w:eastAsia="Arial" w:hAnsi="Arial" w:cs="Arial"/>
          <w:sz w:val="20"/>
          <w:szCs w:val="20"/>
        </w:rPr>
        <w:t>,</w:t>
      </w:r>
      <w:r w:rsidRPr="00DE396D">
        <w:rPr>
          <w:rFonts w:ascii="Arial" w:eastAsia="Arial" w:hAnsi="Arial" w:cs="Arial"/>
          <w:sz w:val="20"/>
          <w:szCs w:val="20"/>
        </w:rPr>
        <w:t xml:space="preserve"> our proposal would </w:t>
      </w:r>
      <w:r w:rsidR="70D1CE10" w:rsidRPr="00DE396D">
        <w:rPr>
          <w:rFonts w:ascii="Arial" w:eastAsia="Arial" w:hAnsi="Arial" w:cs="Arial"/>
          <w:sz w:val="20"/>
          <w:szCs w:val="20"/>
        </w:rPr>
        <w:t xml:space="preserve">be to allow </w:t>
      </w:r>
      <w:r w:rsidRPr="00DE396D">
        <w:rPr>
          <w:rFonts w:ascii="Arial" w:eastAsia="Arial" w:hAnsi="Arial" w:cs="Arial"/>
          <w:sz w:val="20"/>
          <w:szCs w:val="20"/>
        </w:rPr>
        <w:t>smaller credit institutions and start-ups to us</w:t>
      </w:r>
      <w:r w:rsidR="06CF6BC4" w:rsidRPr="00DE396D">
        <w:rPr>
          <w:rFonts w:ascii="Arial" w:eastAsia="Arial" w:hAnsi="Arial" w:cs="Arial"/>
          <w:sz w:val="20"/>
          <w:szCs w:val="20"/>
        </w:rPr>
        <w:t>e</w:t>
      </w:r>
      <w:r w:rsidR="0E3F147D" w:rsidRPr="00DE396D">
        <w:rPr>
          <w:rFonts w:ascii="Arial" w:eastAsia="Arial" w:hAnsi="Arial" w:cs="Arial"/>
          <w:sz w:val="20"/>
          <w:szCs w:val="20"/>
        </w:rPr>
        <w:t xml:space="preserve"> </w:t>
      </w:r>
      <w:r w:rsidRPr="00DE396D">
        <w:rPr>
          <w:rFonts w:ascii="Arial" w:eastAsia="Arial" w:hAnsi="Arial" w:cs="Arial"/>
          <w:sz w:val="20"/>
          <w:szCs w:val="20"/>
        </w:rPr>
        <w:t>the 75% risk weight for retail exposures</w:t>
      </w:r>
      <w:r w:rsidR="6BA2D47C" w:rsidRPr="00DE396D">
        <w:rPr>
          <w:rFonts w:ascii="Arial" w:eastAsia="Arial" w:hAnsi="Arial" w:cs="Arial"/>
          <w:sz w:val="20"/>
          <w:szCs w:val="20"/>
        </w:rPr>
        <w:t>,</w:t>
      </w:r>
      <w:r w:rsidRPr="00DE396D">
        <w:rPr>
          <w:rFonts w:ascii="Arial" w:eastAsia="Arial" w:hAnsi="Arial" w:cs="Arial"/>
          <w:sz w:val="20"/>
          <w:szCs w:val="20"/>
        </w:rPr>
        <w:t xml:space="preserve"> as was </w:t>
      </w:r>
      <w:r w:rsidR="53846AFD" w:rsidRPr="00DE396D">
        <w:rPr>
          <w:rFonts w:ascii="Arial" w:eastAsia="Arial" w:hAnsi="Arial" w:cs="Arial"/>
          <w:sz w:val="20"/>
          <w:szCs w:val="20"/>
        </w:rPr>
        <w:t xml:space="preserve">the case </w:t>
      </w:r>
      <w:r w:rsidRPr="00DE396D">
        <w:rPr>
          <w:rFonts w:ascii="Arial" w:eastAsia="Arial" w:hAnsi="Arial" w:cs="Arial"/>
          <w:sz w:val="20"/>
          <w:szCs w:val="20"/>
        </w:rPr>
        <w:t>under CRR2 (</w:t>
      </w:r>
      <w:r w:rsidR="76546B88" w:rsidRPr="00DE396D">
        <w:rPr>
          <w:rFonts w:ascii="Arial" w:eastAsia="Arial" w:hAnsi="Arial" w:cs="Arial"/>
          <w:sz w:val="20"/>
          <w:szCs w:val="20"/>
        </w:rPr>
        <w:t>R</w:t>
      </w:r>
      <w:r w:rsidRPr="00DE396D">
        <w:rPr>
          <w:rFonts w:ascii="Arial" w:eastAsia="Arial" w:hAnsi="Arial" w:cs="Arial"/>
          <w:sz w:val="20"/>
          <w:szCs w:val="20"/>
        </w:rPr>
        <w:t>egulation (EU) 2019/876)</w:t>
      </w:r>
      <w:r w:rsidR="4F1EFEC8" w:rsidRPr="00DE396D">
        <w:rPr>
          <w:rFonts w:ascii="Arial" w:eastAsia="Arial" w:hAnsi="Arial" w:cs="Arial"/>
          <w:sz w:val="20"/>
          <w:szCs w:val="20"/>
        </w:rPr>
        <w:t>,</w:t>
      </w:r>
      <w:r w:rsidRPr="00DE396D">
        <w:rPr>
          <w:rFonts w:ascii="Arial" w:eastAsia="Arial" w:hAnsi="Arial" w:cs="Arial"/>
          <w:sz w:val="20"/>
          <w:szCs w:val="20"/>
        </w:rPr>
        <w:t xml:space="preserve"> or at least provide an adequate transitional period during which institutions would have </w:t>
      </w:r>
      <w:r w:rsidR="4E1D6277" w:rsidRPr="00DE396D">
        <w:rPr>
          <w:rFonts w:ascii="Arial" w:eastAsia="Arial" w:hAnsi="Arial" w:cs="Arial"/>
          <w:sz w:val="20"/>
          <w:szCs w:val="20"/>
        </w:rPr>
        <w:t xml:space="preserve">the opportunity </w:t>
      </w:r>
      <w:r w:rsidRPr="00DE396D">
        <w:rPr>
          <w:rFonts w:ascii="Arial" w:eastAsia="Arial" w:hAnsi="Arial" w:cs="Arial"/>
          <w:sz w:val="20"/>
          <w:szCs w:val="20"/>
        </w:rPr>
        <w:t>to diversify their retail portfolio</w:t>
      </w:r>
      <w:r w:rsidR="19163BDF" w:rsidRPr="00DE396D">
        <w:rPr>
          <w:rFonts w:ascii="Arial" w:eastAsia="Arial" w:hAnsi="Arial" w:cs="Arial"/>
          <w:sz w:val="20"/>
          <w:szCs w:val="20"/>
        </w:rPr>
        <w:t>s</w:t>
      </w:r>
      <w:r w:rsidRPr="00DE396D">
        <w:rPr>
          <w:rFonts w:ascii="Arial" w:eastAsia="Arial" w:hAnsi="Arial" w:cs="Arial"/>
          <w:sz w:val="20"/>
          <w:szCs w:val="20"/>
        </w:rPr>
        <w:t xml:space="preserve"> over</w:t>
      </w:r>
      <w:r w:rsidR="5577D005" w:rsidRPr="00DE396D">
        <w:rPr>
          <w:rFonts w:ascii="Arial" w:eastAsia="Arial" w:hAnsi="Arial" w:cs="Arial"/>
          <w:sz w:val="20"/>
          <w:szCs w:val="20"/>
        </w:rPr>
        <w:t xml:space="preserve"> </w:t>
      </w:r>
      <w:r w:rsidRPr="00DE396D">
        <w:rPr>
          <w:rFonts w:ascii="Arial" w:eastAsia="Arial" w:hAnsi="Arial" w:cs="Arial"/>
          <w:sz w:val="20"/>
          <w:szCs w:val="20"/>
        </w:rPr>
        <w:t>time and not incur increased capital costs without having time to properly prepare and hedge the</w:t>
      </w:r>
      <w:r w:rsidR="002B7DFF" w:rsidRPr="00DE396D">
        <w:rPr>
          <w:rFonts w:ascii="Arial" w:eastAsia="Arial" w:hAnsi="Arial" w:cs="Arial"/>
          <w:sz w:val="20"/>
          <w:szCs w:val="20"/>
        </w:rPr>
        <w:t xml:space="preserve"> additional</w:t>
      </w:r>
      <w:r w:rsidRPr="00DE396D">
        <w:rPr>
          <w:rFonts w:ascii="Arial" w:eastAsia="Arial" w:hAnsi="Arial" w:cs="Arial"/>
          <w:sz w:val="20"/>
          <w:szCs w:val="20"/>
        </w:rPr>
        <w:t xml:space="preserve"> risks.</w:t>
      </w:r>
    </w:p>
    <w:p w14:paraId="4EFDB1CB" w14:textId="77777777" w:rsidR="00B64BC9" w:rsidRDefault="00B64BC9" w:rsidP="00DE396D">
      <w:pPr>
        <w:jc w:val="both"/>
        <w:rPr>
          <w:rFonts w:ascii="Arial" w:eastAsia="Arial" w:hAnsi="Arial" w:cs="Arial"/>
          <w:sz w:val="20"/>
          <w:szCs w:val="20"/>
        </w:rPr>
      </w:pPr>
    </w:p>
    <w:p w14:paraId="63DE72B3" w14:textId="5886CD53" w:rsidR="00DE396D" w:rsidRDefault="00DE396D" w:rsidP="00DE396D">
      <w:pPr>
        <w:jc w:val="both"/>
        <w:rPr>
          <w:rFonts w:ascii="Arial" w:eastAsia="Arial" w:hAnsi="Arial" w:cs="Arial"/>
          <w:sz w:val="20"/>
          <w:szCs w:val="20"/>
        </w:rPr>
      </w:pPr>
      <w:r>
        <w:rPr>
          <w:rFonts w:ascii="Arial" w:eastAsia="Arial" w:hAnsi="Arial" w:cs="Arial"/>
          <w:sz w:val="20"/>
          <w:szCs w:val="20"/>
        </w:rPr>
        <w:t>Best regards,</w:t>
      </w:r>
    </w:p>
    <w:p w14:paraId="3136FB9D" w14:textId="54A51B1F" w:rsidR="00DE396D" w:rsidRPr="00DE396D" w:rsidRDefault="00935E3A" w:rsidP="00DE396D">
      <w:pPr>
        <w:jc w:val="both"/>
        <w:rPr>
          <w:rFonts w:ascii="Arial" w:eastAsia="Arial" w:hAnsi="Arial" w:cs="Arial"/>
          <w:sz w:val="20"/>
          <w:szCs w:val="20"/>
        </w:rPr>
      </w:pPr>
      <w:r>
        <w:rPr>
          <w:rFonts w:ascii="Arial" w:eastAsia="Arial" w:hAnsi="Arial" w:cs="Arial"/>
          <w:sz w:val="20"/>
          <w:szCs w:val="20"/>
        </w:rPr>
        <w:t>Viktorija Dermeikiene</w:t>
      </w:r>
    </w:p>
    <w:p w14:paraId="48F013E4" w14:textId="19D9B31E" w:rsidR="00B64BC9" w:rsidRPr="00DE396D" w:rsidRDefault="00B64BC9" w:rsidP="00DE396D">
      <w:pPr>
        <w:jc w:val="both"/>
        <w:rPr>
          <w:rFonts w:ascii="Arial" w:eastAsia="Arial" w:hAnsi="Arial" w:cs="Arial"/>
          <w:sz w:val="20"/>
          <w:szCs w:val="20"/>
          <w:lang w:val="lt-LT"/>
        </w:rPr>
      </w:pPr>
    </w:p>
    <w:sectPr w:rsidR="00B64BC9" w:rsidRPr="00DE396D">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60534"/>
    <w:multiLevelType w:val="hybridMultilevel"/>
    <w:tmpl w:val="35D4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320EB"/>
    <w:multiLevelType w:val="hybridMultilevel"/>
    <w:tmpl w:val="03B44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CA77AB"/>
    <w:multiLevelType w:val="hybridMultilevel"/>
    <w:tmpl w:val="69463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D864BD"/>
    <w:multiLevelType w:val="hybridMultilevel"/>
    <w:tmpl w:val="B00E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598029">
    <w:abstractNumId w:val="0"/>
  </w:num>
  <w:num w:numId="2" w16cid:durableId="1005861109">
    <w:abstractNumId w:val="1"/>
  </w:num>
  <w:num w:numId="3" w16cid:durableId="557017320">
    <w:abstractNumId w:val="2"/>
  </w:num>
  <w:num w:numId="4" w16cid:durableId="610094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13"/>
    <w:rsid w:val="00096B4A"/>
    <w:rsid w:val="00116311"/>
    <w:rsid w:val="001443C9"/>
    <w:rsid w:val="00284459"/>
    <w:rsid w:val="002B7DFF"/>
    <w:rsid w:val="003A09A7"/>
    <w:rsid w:val="003B5F4C"/>
    <w:rsid w:val="0044573C"/>
    <w:rsid w:val="004873B9"/>
    <w:rsid w:val="004F1C49"/>
    <w:rsid w:val="00533863"/>
    <w:rsid w:val="00584115"/>
    <w:rsid w:val="006167E0"/>
    <w:rsid w:val="006E5B7E"/>
    <w:rsid w:val="007809CE"/>
    <w:rsid w:val="00825CFE"/>
    <w:rsid w:val="00883782"/>
    <w:rsid w:val="00935E3A"/>
    <w:rsid w:val="00981949"/>
    <w:rsid w:val="009839BA"/>
    <w:rsid w:val="00A81758"/>
    <w:rsid w:val="00A95BA2"/>
    <w:rsid w:val="00AB49FA"/>
    <w:rsid w:val="00B64BC9"/>
    <w:rsid w:val="00BD41E8"/>
    <w:rsid w:val="00BD7CDC"/>
    <w:rsid w:val="00BF6F05"/>
    <w:rsid w:val="00C05F37"/>
    <w:rsid w:val="00C82F19"/>
    <w:rsid w:val="00C83378"/>
    <w:rsid w:val="00CE736F"/>
    <w:rsid w:val="00D042BA"/>
    <w:rsid w:val="00D36913"/>
    <w:rsid w:val="00D52C1F"/>
    <w:rsid w:val="00DD67B3"/>
    <w:rsid w:val="00DE396D"/>
    <w:rsid w:val="00EB4796"/>
    <w:rsid w:val="00EF266E"/>
    <w:rsid w:val="02233671"/>
    <w:rsid w:val="03109922"/>
    <w:rsid w:val="032D9692"/>
    <w:rsid w:val="03CAA48B"/>
    <w:rsid w:val="04045287"/>
    <w:rsid w:val="042349B6"/>
    <w:rsid w:val="043FB596"/>
    <w:rsid w:val="0482D801"/>
    <w:rsid w:val="050FBB3A"/>
    <w:rsid w:val="05222A3C"/>
    <w:rsid w:val="064AC92B"/>
    <w:rsid w:val="06CF6BC4"/>
    <w:rsid w:val="06DA7D32"/>
    <w:rsid w:val="0869C7C3"/>
    <w:rsid w:val="0AB7DFDC"/>
    <w:rsid w:val="0E3F147D"/>
    <w:rsid w:val="0F23FCB0"/>
    <w:rsid w:val="0FAFECAC"/>
    <w:rsid w:val="100205C8"/>
    <w:rsid w:val="1026D3AD"/>
    <w:rsid w:val="110163E1"/>
    <w:rsid w:val="1283D1BF"/>
    <w:rsid w:val="140900E2"/>
    <w:rsid w:val="14CE0933"/>
    <w:rsid w:val="14D14A46"/>
    <w:rsid w:val="15825F9B"/>
    <w:rsid w:val="15C51C30"/>
    <w:rsid w:val="16716888"/>
    <w:rsid w:val="19163BDF"/>
    <w:rsid w:val="195DFA73"/>
    <w:rsid w:val="1A1B9706"/>
    <w:rsid w:val="1B4ACE60"/>
    <w:rsid w:val="1B834DA5"/>
    <w:rsid w:val="1CFAA7DD"/>
    <w:rsid w:val="1D98523B"/>
    <w:rsid w:val="1E590703"/>
    <w:rsid w:val="1E8D2D3E"/>
    <w:rsid w:val="1FD7D08C"/>
    <w:rsid w:val="203330B8"/>
    <w:rsid w:val="21051754"/>
    <w:rsid w:val="212441C2"/>
    <w:rsid w:val="21E97465"/>
    <w:rsid w:val="22BE0258"/>
    <w:rsid w:val="2421CEA3"/>
    <w:rsid w:val="2426243A"/>
    <w:rsid w:val="246198AF"/>
    <w:rsid w:val="25EAAB9D"/>
    <w:rsid w:val="2683687C"/>
    <w:rsid w:val="27C14FE6"/>
    <w:rsid w:val="2A78B9DB"/>
    <w:rsid w:val="2AA1AADE"/>
    <w:rsid w:val="2AE093EC"/>
    <w:rsid w:val="2B2B2EA9"/>
    <w:rsid w:val="2B7F5CC2"/>
    <w:rsid w:val="2C69B64C"/>
    <w:rsid w:val="2DE92F90"/>
    <w:rsid w:val="2E9E6989"/>
    <w:rsid w:val="3032B7DB"/>
    <w:rsid w:val="329147E2"/>
    <w:rsid w:val="3415EDA6"/>
    <w:rsid w:val="3455B62C"/>
    <w:rsid w:val="34DD01B9"/>
    <w:rsid w:val="3556F705"/>
    <w:rsid w:val="35630914"/>
    <w:rsid w:val="357C67AF"/>
    <w:rsid w:val="35AFFDB2"/>
    <w:rsid w:val="35D6C18A"/>
    <w:rsid w:val="35FEA3B2"/>
    <w:rsid w:val="365A46F7"/>
    <w:rsid w:val="369155C9"/>
    <w:rsid w:val="371E04BC"/>
    <w:rsid w:val="38296F3A"/>
    <w:rsid w:val="3B1A3873"/>
    <w:rsid w:val="3B583D1D"/>
    <w:rsid w:val="3B5D3DD3"/>
    <w:rsid w:val="3CDA46A9"/>
    <w:rsid w:val="3DB37448"/>
    <w:rsid w:val="3EDDC199"/>
    <w:rsid w:val="4000F7B4"/>
    <w:rsid w:val="40B24BA0"/>
    <w:rsid w:val="40CF64ED"/>
    <w:rsid w:val="413F6813"/>
    <w:rsid w:val="42867462"/>
    <w:rsid w:val="42E97AFD"/>
    <w:rsid w:val="43057945"/>
    <w:rsid w:val="4345B5D3"/>
    <w:rsid w:val="46C9E077"/>
    <w:rsid w:val="47C13818"/>
    <w:rsid w:val="492450EE"/>
    <w:rsid w:val="49B159B1"/>
    <w:rsid w:val="49BCEF49"/>
    <w:rsid w:val="4B345B05"/>
    <w:rsid w:val="4BA26650"/>
    <w:rsid w:val="4D20B47E"/>
    <w:rsid w:val="4E1D6277"/>
    <w:rsid w:val="4F1EFEC8"/>
    <w:rsid w:val="4FEE6ADE"/>
    <w:rsid w:val="52B3BCE4"/>
    <w:rsid w:val="53846AFD"/>
    <w:rsid w:val="549BA6DF"/>
    <w:rsid w:val="5577D005"/>
    <w:rsid w:val="559D12AE"/>
    <w:rsid w:val="5650BCAF"/>
    <w:rsid w:val="586DDC3E"/>
    <w:rsid w:val="58F3A1E9"/>
    <w:rsid w:val="590D13B1"/>
    <w:rsid w:val="591BF942"/>
    <w:rsid w:val="5C087B1E"/>
    <w:rsid w:val="5C87B37A"/>
    <w:rsid w:val="5C949E14"/>
    <w:rsid w:val="5D79AB6C"/>
    <w:rsid w:val="5D938EF7"/>
    <w:rsid w:val="5DF3A133"/>
    <w:rsid w:val="5E52A75A"/>
    <w:rsid w:val="5E7E1537"/>
    <w:rsid w:val="5EB9EB93"/>
    <w:rsid w:val="5F6AC42D"/>
    <w:rsid w:val="5F70EDAA"/>
    <w:rsid w:val="603961E3"/>
    <w:rsid w:val="605AC7D0"/>
    <w:rsid w:val="60B53016"/>
    <w:rsid w:val="61067C40"/>
    <w:rsid w:val="61D97775"/>
    <w:rsid w:val="63330332"/>
    <w:rsid w:val="63D5C2B8"/>
    <w:rsid w:val="63E37D84"/>
    <w:rsid w:val="64B7D245"/>
    <w:rsid w:val="671027A5"/>
    <w:rsid w:val="672FD87B"/>
    <w:rsid w:val="6AF20A1D"/>
    <w:rsid w:val="6BA2D47C"/>
    <w:rsid w:val="6D1B03FE"/>
    <w:rsid w:val="6D630985"/>
    <w:rsid w:val="6DB94922"/>
    <w:rsid w:val="6F52FEF5"/>
    <w:rsid w:val="70D1CE10"/>
    <w:rsid w:val="71602DD6"/>
    <w:rsid w:val="7169C08E"/>
    <w:rsid w:val="71F29B32"/>
    <w:rsid w:val="728F1B1A"/>
    <w:rsid w:val="74C1AED2"/>
    <w:rsid w:val="75008BD2"/>
    <w:rsid w:val="75A74B60"/>
    <w:rsid w:val="75E9785C"/>
    <w:rsid w:val="7622D1CB"/>
    <w:rsid w:val="764345D3"/>
    <w:rsid w:val="76546B88"/>
    <w:rsid w:val="76651A67"/>
    <w:rsid w:val="76D252B1"/>
    <w:rsid w:val="776ADFEC"/>
    <w:rsid w:val="77C41F2F"/>
    <w:rsid w:val="781ACAE7"/>
    <w:rsid w:val="795D5AF2"/>
    <w:rsid w:val="7B018C8A"/>
    <w:rsid w:val="7B4E23F5"/>
    <w:rsid w:val="7B587E3A"/>
    <w:rsid w:val="7EA62731"/>
    <w:rsid w:val="7FE1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F539"/>
  <w15:chartTrackingRefBased/>
  <w15:docId w15:val="{7226A2CA-BD92-4A4A-ABE0-A1A1058E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9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9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9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9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9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9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9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9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9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9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9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9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9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9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9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913"/>
    <w:rPr>
      <w:rFonts w:eastAsiaTheme="majorEastAsia" w:cstheme="majorBidi"/>
      <w:color w:val="272727" w:themeColor="text1" w:themeTint="D8"/>
    </w:rPr>
  </w:style>
  <w:style w:type="paragraph" w:styleId="Title">
    <w:name w:val="Title"/>
    <w:basedOn w:val="Normal"/>
    <w:next w:val="Normal"/>
    <w:link w:val="TitleChar"/>
    <w:uiPriority w:val="10"/>
    <w:qFormat/>
    <w:rsid w:val="00D36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9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9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913"/>
    <w:pPr>
      <w:spacing w:before="160"/>
      <w:jc w:val="center"/>
    </w:pPr>
    <w:rPr>
      <w:i/>
      <w:iCs/>
      <w:color w:val="404040" w:themeColor="text1" w:themeTint="BF"/>
    </w:rPr>
  </w:style>
  <w:style w:type="character" w:customStyle="1" w:styleId="QuoteChar">
    <w:name w:val="Quote Char"/>
    <w:basedOn w:val="DefaultParagraphFont"/>
    <w:link w:val="Quote"/>
    <w:uiPriority w:val="29"/>
    <w:rsid w:val="00D36913"/>
    <w:rPr>
      <w:i/>
      <w:iCs/>
      <w:color w:val="404040" w:themeColor="text1" w:themeTint="BF"/>
    </w:rPr>
  </w:style>
  <w:style w:type="paragraph" w:styleId="ListParagraph">
    <w:name w:val="List Paragraph"/>
    <w:basedOn w:val="Normal"/>
    <w:uiPriority w:val="34"/>
    <w:qFormat/>
    <w:rsid w:val="00D36913"/>
    <w:pPr>
      <w:ind w:left="720"/>
      <w:contextualSpacing/>
    </w:pPr>
  </w:style>
  <w:style w:type="character" w:styleId="IntenseEmphasis">
    <w:name w:val="Intense Emphasis"/>
    <w:basedOn w:val="DefaultParagraphFont"/>
    <w:uiPriority w:val="21"/>
    <w:qFormat/>
    <w:rsid w:val="00D36913"/>
    <w:rPr>
      <w:i/>
      <w:iCs/>
      <w:color w:val="0F4761" w:themeColor="accent1" w:themeShade="BF"/>
    </w:rPr>
  </w:style>
  <w:style w:type="paragraph" w:styleId="IntenseQuote">
    <w:name w:val="Intense Quote"/>
    <w:basedOn w:val="Normal"/>
    <w:next w:val="Normal"/>
    <w:link w:val="IntenseQuoteChar"/>
    <w:uiPriority w:val="30"/>
    <w:qFormat/>
    <w:rsid w:val="00D36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913"/>
    <w:rPr>
      <w:i/>
      <w:iCs/>
      <w:color w:val="0F4761" w:themeColor="accent1" w:themeShade="BF"/>
    </w:rPr>
  </w:style>
  <w:style w:type="character" w:styleId="IntenseReference">
    <w:name w:val="Intense Reference"/>
    <w:basedOn w:val="DefaultParagraphFont"/>
    <w:uiPriority w:val="32"/>
    <w:qFormat/>
    <w:rsid w:val="00D36913"/>
    <w:rPr>
      <w:b/>
      <w:bCs/>
      <w:smallCaps/>
      <w:color w:val="0F4761" w:themeColor="accent1" w:themeShade="BF"/>
      <w:spacing w:val="5"/>
    </w:rPr>
  </w:style>
  <w:style w:type="paragraph" w:styleId="Revision">
    <w:name w:val="Revision"/>
    <w:hidden/>
    <w:uiPriority w:val="99"/>
    <w:semiHidden/>
    <w:rsid w:val="00DE39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23a5fe3-e275-4f34-83d8-c86b6341c5ca" xsi:nil="true"/>
    <lcf76f155ced4ddcb4097134ff3c332f xmlns="619e4131-47ff-4c8d-9b9b-ca493c9c41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DE966C61B8D74CA7B80753E2FF85F9" ma:contentTypeVersion="21" ma:contentTypeDescription="Create a new document." ma:contentTypeScope="" ma:versionID="e5f1e1077b3901d03e49512ffafd5069">
  <xsd:schema xmlns:xsd="http://www.w3.org/2001/XMLSchema" xmlns:xs="http://www.w3.org/2001/XMLSchema" xmlns:p="http://schemas.microsoft.com/office/2006/metadata/properties" xmlns:ns1="http://schemas.microsoft.com/sharepoint/v3" xmlns:ns2="619e4131-47ff-4c8d-9b9b-ca493c9c4195" xmlns:ns3="523a5fe3-e275-4f34-83d8-c86b6341c5ca" targetNamespace="http://schemas.microsoft.com/office/2006/metadata/properties" ma:root="true" ma:fieldsID="fcd316d9e1e115c5fde10f615fd1478f" ns1:_="" ns2:_="" ns3:_="">
    <xsd:import namespace="http://schemas.microsoft.com/sharepoint/v3"/>
    <xsd:import namespace="619e4131-47ff-4c8d-9b9b-ca493c9c4195"/>
    <xsd:import namespace="523a5fe3-e275-4f34-83d8-c86b6341c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9e4131-47ff-4c8d-9b9b-ca493c9c4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27653b-b514-4746-8437-b9ca52b1e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3a5fe3-e275-4f34-83d8-c86b6341c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4b13a59-3921-4a04-9fa6-9d1002217b30}" ma:internalName="TaxCatchAll" ma:showField="CatchAllData" ma:web="523a5fe3-e275-4f34-83d8-c86b6341c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A88C5-5368-4ADD-81F8-062C2667561E}">
  <ds:schemaRefs>
    <ds:schemaRef ds:uri="http://purl.org/dc/terms/"/>
    <ds:schemaRef ds:uri="http://schemas.microsoft.com/sharepoint/v3"/>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523a5fe3-e275-4f34-83d8-c86b6341c5ca"/>
    <ds:schemaRef ds:uri="619e4131-47ff-4c8d-9b9b-ca493c9c4195"/>
  </ds:schemaRefs>
</ds:datastoreItem>
</file>

<file path=customXml/itemProps2.xml><?xml version="1.0" encoding="utf-8"?>
<ds:datastoreItem xmlns:ds="http://schemas.openxmlformats.org/officeDocument/2006/customXml" ds:itemID="{AAF78B29-270F-4F9B-A5E0-B99E9881F39F}">
  <ds:schemaRefs>
    <ds:schemaRef ds:uri="http://schemas.microsoft.com/sharepoint/v3/contenttype/forms"/>
  </ds:schemaRefs>
</ds:datastoreItem>
</file>

<file path=customXml/itemProps3.xml><?xml version="1.0" encoding="utf-8"?>
<ds:datastoreItem xmlns:ds="http://schemas.openxmlformats.org/officeDocument/2006/customXml" ds:itemID="{740189AA-57BC-40FA-A05B-2141B0532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9e4131-47ff-4c8d-9b9b-ca493c9c4195"/>
    <ds:schemaRef ds:uri="523a5fe3-e275-4f34-83d8-c86b6341c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Strumila</dc:creator>
  <cp:keywords/>
  <dc:description/>
  <cp:lastModifiedBy>Viktorija Dermeikienė</cp:lastModifiedBy>
  <cp:revision>2</cp:revision>
  <dcterms:created xsi:type="dcterms:W3CDTF">2025-02-12T14:21:00Z</dcterms:created>
  <dcterms:modified xsi:type="dcterms:W3CDTF">2025-02-12T14:21:00Z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0x010100ADDE966C61B8D74CA7B80753E2FF85F9</vt:lpwstr>
  </property>
  <property fmtid="{D5CDD505-2E9C-101B-9397-08002B2CF9AE}" pid="3" name="MediaServiceImageTags">
    <vt:lpwstr/>
  </property>
</Properties>
</file>