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A8AB0" w14:textId="5349FEA1" w:rsidR="002F0431" w:rsidRPr="0064273E" w:rsidRDefault="00ED110F" w:rsidP="00845635">
      <w:pPr>
        <w:spacing w:after="100" w:line="259" w:lineRule="auto"/>
        <w:jc w:val="right"/>
        <w:rPr>
          <w:rFonts w:asciiTheme="majorHAnsi" w:hAnsiTheme="majorHAnsi"/>
          <w:szCs w:val="22"/>
          <w:lang w:val="en-US"/>
        </w:rPr>
      </w:pPr>
      <w:r>
        <w:rPr>
          <w:rFonts w:asciiTheme="majorHAnsi" w:hAnsiTheme="majorHAnsi"/>
          <w:szCs w:val="22"/>
          <w:lang w:val="en-US"/>
        </w:rPr>
        <w:t>11</w:t>
      </w:r>
      <w:r w:rsidR="00BA51E2" w:rsidRPr="0064273E">
        <w:rPr>
          <w:rFonts w:asciiTheme="majorHAnsi" w:hAnsiTheme="majorHAnsi"/>
          <w:szCs w:val="22"/>
          <w:lang w:val="en-US"/>
        </w:rPr>
        <w:t>.</w:t>
      </w:r>
      <w:r w:rsidR="00642256" w:rsidRPr="0064273E">
        <w:rPr>
          <w:rFonts w:asciiTheme="majorHAnsi" w:hAnsiTheme="majorHAnsi"/>
          <w:szCs w:val="22"/>
          <w:lang w:val="en-US"/>
        </w:rPr>
        <w:t>2</w:t>
      </w:r>
      <w:r w:rsidR="00BA51E2" w:rsidRPr="0064273E">
        <w:rPr>
          <w:rFonts w:asciiTheme="majorHAnsi" w:hAnsiTheme="majorHAnsi"/>
          <w:szCs w:val="22"/>
          <w:lang w:val="en-US"/>
        </w:rPr>
        <w:t>.</w:t>
      </w:r>
      <w:r w:rsidR="007F4462" w:rsidRPr="0064273E">
        <w:rPr>
          <w:rFonts w:asciiTheme="majorHAnsi" w:hAnsiTheme="majorHAnsi"/>
          <w:szCs w:val="22"/>
          <w:lang w:val="en-US"/>
        </w:rPr>
        <w:t>202</w:t>
      </w:r>
      <w:r w:rsidR="007F07FE" w:rsidRPr="0064273E">
        <w:rPr>
          <w:rFonts w:asciiTheme="majorHAnsi" w:hAnsiTheme="majorHAnsi"/>
          <w:szCs w:val="22"/>
          <w:lang w:val="en-US"/>
        </w:rPr>
        <w:t>5</w:t>
      </w:r>
    </w:p>
    <w:p w14:paraId="514B5C6A" w14:textId="3E694B89" w:rsidR="00C25406" w:rsidRPr="00C25406" w:rsidRDefault="00C25406" w:rsidP="00C25406">
      <w:pPr>
        <w:jc w:val="center"/>
        <w:rPr>
          <w:b/>
          <w:bCs/>
          <w:sz w:val="28"/>
          <w:szCs w:val="28"/>
          <w:lang w:val="en-US"/>
        </w:rPr>
      </w:pPr>
      <w:r w:rsidRPr="00C25406">
        <w:rPr>
          <w:b/>
          <w:bCs/>
          <w:sz w:val="28"/>
          <w:szCs w:val="28"/>
          <w:lang w:val="en-US"/>
        </w:rPr>
        <w:t>EBA consult</w:t>
      </w:r>
      <w:r>
        <w:rPr>
          <w:b/>
          <w:bCs/>
          <w:sz w:val="28"/>
          <w:szCs w:val="28"/>
          <w:lang w:val="en-US"/>
        </w:rPr>
        <w:t>ation</w:t>
      </w:r>
      <w:r w:rsidRPr="00C25406">
        <w:rPr>
          <w:b/>
          <w:bCs/>
          <w:sz w:val="28"/>
          <w:szCs w:val="28"/>
          <w:lang w:val="en-US"/>
        </w:rPr>
        <w:t xml:space="preserve"> </w:t>
      </w:r>
      <w:r>
        <w:rPr>
          <w:b/>
          <w:bCs/>
          <w:sz w:val="28"/>
          <w:szCs w:val="28"/>
          <w:lang w:val="en-US"/>
        </w:rPr>
        <w:br/>
      </w:r>
      <w:r w:rsidRPr="00C25406">
        <w:rPr>
          <w:b/>
          <w:bCs/>
          <w:sz w:val="28"/>
          <w:szCs w:val="28"/>
          <w:lang w:val="en-US"/>
        </w:rPr>
        <w:t>on Guidelines on proportionate retail diversification methods</w:t>
      </w:r>
    </w:p>
    <w:p w14:paraId="2A3645D6" w14:textId="77777777" w:rsidR="00396922" w:rsidRPr="00C25406" w:rsidRDefault="00396922" w:rsidP="00845635">
      <w:pPr>
        <w:jc w:val="center"/>
        <w:rPr>
          <w:rFonts w:cstheme="minorHAnsi"/>
          <w:b/>
          <w:bCs/>
          <w:lang w:val="en-US"/>
        </w:rPr>
      </w:pPr>
      <w:r w:rsidRPr="00396922">
        <w:rPr>
          <w:rFonts w:cstheme="minorHAnsi"/>
          <w:b/>
          <w:bCs/>
          <w:lang w:val="en-US"/>
        </w:rPr>
        <w:t xml:space="preserve">Comments </w:t>
      </w:r>
      <w:r w:rsidRPr="00C25406">
        <w:rPr>
          <w:rFonts w:cstheme="minorHAnsi"/>
          <w:b/>
          <w:bCs/>
          <w:lang w:val="en-US"/>
        </w:rPr>
        <w:t>of the Austrian Banking Industry</w:t>
      </w:r>
    </w:p>
    <w:p w14:paraId="111CE79A" w14:textId="77777777" w:rsidR="00642256" w:rsidRPr="00C25406" w:rsidRDefault="00642256" w:rsidP="00BE3F95">
      <w:pPr>
        <w:rPr>
          <w:rFonts w:cstheme="minorHAnsi"/>
          <w:b/>
          <w:bCs/>
          <w:u w:val="single"/>
          <w:lang w:val="en-US"/>
        </w:rPr>
      </w:pPr>
    </w:p>
    <w:p w14:paraId="1CEDB1D3" w14:textId="2B531A64" w:rsidR="00642256" w:rsidRDefault="001A4052" w:rsidP="00BE3F95">
      <w:pPr>
        <w:pStyle w:val="Listenabsatz"/>
        <w:numPr>
          <w:ilvl w:val="0"/>
          <w:numId w:val="36"/>
        </w:numPr>
        <w:rPr>
          <w:rFonts w:cstheme="minorHAnsi"/>
          <w:b/>
          <w:bCs/>
          <w:u w:val="single"/>
          <w:lang w:val="en-US"/>
        </w:rPr>
      </w:pPr>
      <w:r>
        <w:rPr>
          <w:rFonts w:cstheme="minorHAnsi"/>
          <w:b/>
          <w:bCs/>
          <w:u w:val="single"/>
          <w:lang w:val="en-US"/>
        </w:rPr>
        <w:t>Introductory</w:t>
      </w:r>
      <w:r w:rsidR="00642256" w:rsidRPr="0064273E">
        <w:rPr>
          <w:rFonts w:cstheme="minorHAnsi"/>
          <w:b/>
          <w:bCs/>
          <w:u w:val="single"/>
          <w:lang w:val="en-US"/>
        </w:rPr>
        <w:t xml:space="preserve"> remarks</w:t>
      </w:r>
    </w:p>
    <w:p w14:paraId="6002AF98" w14:textId="77777777" w:rsidR="001A4052" w:rsidRPr="0064273E" w:rsidRDefault="001A4052" w:rsidP="001A4052">
      <w:pPr>
        <w:pStyle w:val="Listenabsatz"/>
        <w:rPr>
          <w:rFonts w:cstheme="minorHAnsi"/>
          <w:b/>
          <w:bCs/>
          <w:u w:val="single"/>
          <w:lang w:val="en-US"/>
        </w:rPr>
      </w:pPr>
    </w:p>
    <w:p w14:paraId="17C09CBD" w14:textId="1A641172" w:rsidR="001A4052" w:rsidRDefault="001A4052" w:rsidP="001A4052">
      <w:pPr>
        <w:rPr>
          <w:rFonts w:cstheme="minorHAnsi"/>
          <w:lang w:val="en-US"/>
        </w:rPr>
      </w:pPr>
      <w:r w:rsidRPr="001A4052">
        <w:rPr>
          <w:rFonts w:cstheme="minorHAnsi"/>
          <w:lang w:val="en-US"/>
        </w:rPr>
        <w:t>It should be borne in mind that there where solid reasons why the granularity criterion (Para 55 - 3. Bullet Point Basel IV-Standard) was not implemented in Article 123 CRR III by the European legislator. The criterion does not fit for smaller banks and the Basel framework is designed for large banks that are operating cross-border. We perceive the proposed 10</w:t>
      </w:r>
      <w:r>
        <w:rPr>
          <w:rFonts w:cstheme="minorHAnsi"/>
          <w:lang w:val="en-US"/>
        </w:rPr>
        <w:t> </w:t>
      </w:r>
      <w:r w:rsidRPr="001A4052">
        <w:rPr>
          <w:rFonts w:cstheme="minorHAnsi"/>
          <w:lang w:val="en-US"/>
        </w:rPr>
        <w:t>% exemption as an inappropriate attempt to make the 0.2</w:t>
      </w:r>
      <w:r>
        <w:rPr>
          <w:rFonts w:cstheme="minorHAnsi"/>
          <w:lang w:val="en-US"/>
        </w:rPr>
        <w:t> </w:t>
      </w:r>
      <w:r w:rsidRPr="001A4052">
        <w:rPr>
          <w:rFonts w:cstheme="minorHAnsi"/>
          <w:lang w:val="en-US"/>
        </w:rPr>
        <w:t xml:space="preserve">% granularity criterion applicable to smaller banks via the backdoor. </w:t>
      </w:r>
    </w:p>
    <w:p w14:paraId="3957DFA3" w14:textId="77777777" w:rsidR="001A4052" w:rsidRPr="001A4052" w:rsidRDefault="001A4052" w:rsidP="001A4052">
      <w:pPr>
        <w:rPr>
          <w:rFonts w:cstheme="minorHAnsi"/>
          <w:lang w:val="en-US"/>
        </w:rPr>
      </w:pPr>
    </w:p>
    <w:p w14:paraId="5349BEB9" w14:textId="36295BE8" w:rsidR="001A4052" w:rsidRDefault="001A4052" w:rsidP="001A4052">
      <w:pPr>
        <w:rPr>
          <w:rFonts w:cstheme="minorHAnsi"/>
          <w:lang w:val="en-US"/>
        </w:rPr>
      </w:pPr>
      <w:r w:rsidRPr="001A4052">
        <w:rPr>
          <w:rFonts w:cstheme="minorHAnsi"/>
          <w:lang w:val="en-US"/>
        </w:rPr>
        <w:t>EBA’s preliminary method negatively surprised us a bit. Because in its policy advice on the Basel III reforms even EBA stated that ‘the proposed granularity criterion of 0.2</w:t>
      </w:r>
      <w:r>
        <w:rPr>
          <w:rFonts w:cstheme="minorHAnsi"/>
          <w:lang w:val="en-US"/>
        </w:rPr>
        <w:t> </w:t>
      </w:r>
      <w:r w:rsidRPr="001A4052">
        <w:rPr>
          <w:rFonts w:cstheme="minorHAnsi"/>
          <w:lang w:val="en-US"/>
        </w:rPr>
        <w:t>% of the overall regulatory retail portfolio is neither necessary nor sufficient for ensuring adequate diversification of institutions’ regulatory retail portfolios</w:t>
      </w:r>
      <w:r w:rsidRPr="001A4052">
        <w:rPr>
          <w:rFonts w:cstheme="minorHAnsi"/>
          <w:vertAlign w:val="superscript"/>
          <w:lang w:val="en-US"/>
        </w:rPr>
        <w:footnoteReference w:id="1"/>
      </w:r>
      <w:r w:rsidRPr="001A4052">
        <w:rPr>
          <w:rFonts w:cstheme="minorHAnsi"/>
          <w:lang w:val="en-US"/>
        </w:rPr>
        <w:t>.’</w:t>
      </w:r>
    </w:p>
    <w:p w14:paraId="088FF87F" w14:textId="77777777" w:rsidR="001A4052" w:rsidRPr="001A4052" w:rsidRDefault="001A4052" w:rsidP="001A4052">
      <w:pPr>
        <w:rPr>
          <w:rFonts w:cstheme="minorHAnsi"/>
          <w:lang w:val="en-US"/>
        </w:rPr>
      </w:pPr>
    </w:p>
    <w:p w14:paraId="4F26A4A9" w14:textId="77777777" w:rsidR="001A4052" w:rsidRDefault="001A4052" w:rsidP="001A4052">
      <w:pPr>
        <w:rPr>
          <w:rFonts w:cstheme="minorHAnsi"/>
          <w:lang w:val="en-US"/>
        </w:rPr>
      </w:pPr>
      <w:r w:rsidRPr="001A4052">
        <w:rPr>
          <w:rFonts w:cstheme="minorHAnsi"/>
          <w:lang w:val="en-US"/>
        </w:rPr>
        <w:t xml:space="preserve">It is important to be aware that the EBA requirements laid down in the draft guidelines have a massive impact on capital ratios for smaller banks. In addition, the guidelines lead to a considerable effort </w:t>
      </w:r>
      <w:proofErr w:type="gramStart"/>
      <w:r w:rsidRPr="001A4052">
        <w:rPr>
          <w:rFonts w:cstheme="minorHAnsi"/>
          <w:lang w:val="en-US"/>
        </w:rPr>
        <w:t>in particular for</w:t>
      </w:r>
      <w:proofErr w:type="gramEnd"/>
      <w:r w:rsidRPr="001A4052">
        <w:rPr>
          <w:rFonts w:cstheme="minorHAnsi"/>
          <w:lang w:val="en-US"/>
        </w:rPr>
        <w:t xml:space="preserve"> smaller banks. Furthermore, those institutions are confronted with an avoidable competitive disadvantage in comparison to US and UK banks as in both countries no comparable requirements are implemented. </w:t>
      </w:r>
    </w:p>
    <w:p w14:paraId="4E2BA959" w14:textId="77777777" w:rsidR="001A4052" w:rsidRPr="001A4052" w:rsidRDefault="001A4052" w:rsidP="001A4052">
      <w:pPr>
        <w:rPr>
          <w:rFonts w:cstheme="minorHAnsi"/>
          <w:lang w:val="en-US"/>
        </w:rPr>
      </w:pPr>
    </w:p>
    <w:p w14:paraId="1887BEFD" w14:textId="77777777" w:rsidR="001A4052" w:rsidRDefault="001A4052" w:rsidP="001A4052">
      <w:pPr>
        <w:rPr>
          <w:rFonts w:cstheme="minorHAnsi"/>
          <w:lang w:val="en-US"/>
        </w:rPr>
      </w:pPr>
      <w:r w:rsidRPr="001A4052">
        <w:rPr>
          <w:rFonts w:cstheme="minorHAnsi"/>
          <w:lang w:val="en-US"/>
        </w:rPr>
        <w:t>For example, a bank that only has a retail portfolio of EUR 100 million would be able to grant retail loans of up to EUR 200.000 granularly. This leads to strong distortions of competition to the disadvantage of small banks and thus blatantly contradicts the level playing field concept. It should be borne in mind that this does not only affect consumer loans to natural persons. Rather, it also concerns working capital loans to SMEs.</w:t>
      </w:r>
    </w:p>
    <w:p w14:paraId="3560875C" w14:textId="77777777" w:rsidR="001A4052" w:rsidRPr="001A4052" w:rsidRDefault="001A4052" w:rsidP="001A4052">
      <w:pPr>
        <w:rPr>
          <w:rFonts w:cstheme="minorHAnsi"/>
          <w:lang w:val="en-US"/>
        </w:rPr>
      </w:pPr>
    </w:p>
    <w:p w14:paraId="2AB6B05A" w14:textId="243674BF" w:rsidR="001A4052" w:rsidRPr="001A4052" w:rsidRDefault="001A4052" w:rsidP="001A4052">
      <w:pPr>
        <w:rPr>
          <w:rFonts w:cstheme="minorHAnsi"/>
          <w:lang w:val="en-US"/>
        </w:rPr>
      </w:pPr>
      <w:r w:rsidRPr="001A4052">
        <w:rPr>
          <w:rFonts w:cstheme="minorHAnsi"/>
          <w:lang w:val="en-US"/>
        </w:rPr>
        <w:t>Based on Article 123</w:t>
      </w:r>
      <w:r w:rsidR="00464A78">
        <w:rPr>
          <w:rFonts w:cstheme="minorHAnsi"/>
          <w:lang w:val="en-US"/>
        </w:rPr>
        <w:t> </w:t>
      </w:r>
      <w:r w:rsidRPr="001A4052">
        <w:rPr>
          <w:rFonts w:cstheme="minorHAnsi"/>
          <w:lang w:val="en-US"/>
        </w:rPr>
        <w:t>(1)</w:t>
      </w:r>
      <w:r w:rsidR="00464A78">
        <w:rPr>
          <w:rFonts w:cstheme="minorHAnsi"/>
          <w:lang w:val="en-US"/>
        </w:rPr>
        <w:t> </w:t>
      </w:r>
      <w:proofErr w:type="spellStart"/>
      <w:r w:rsidRPr="001A4052">
        <w:rPr>
          <w:rFonts w:cstheme="minorHAnsi"/>
          <w:lang w:val="en-US"/>
        </w:rPr>
        <w:t>subpara</w:t>
      </w:r>
      <w:proofErr w:type="spellEnd"/>
      <w:r w:rsidR="00464A78">
        <w:rPr>
          <w:rFonts w:cstheme="minorHAnsi"/>
          <w:lang w:val="en-US"/>
        </w:rPr>
        <w:t> </w:t>
      </w:r>
      <w:r w:rsidRPr="001A4052">
        <w:rPr>
          <w:rFonts w:cstheme="minorHAnsi"/>
          <w:lang w:val="en-US"/>
        </w:rPr>
        <w:t>2</w:t>
      </w:r>
      <w:r w:rsidR="00464A78">
        <w:rPr>
          <w:rFonts w:cstheme="minorHAnsi"/>
          <w:lang w:val="en-US"/>
        </w:rPr>
        <w:t> </w:t>
      </w:r>
      <w:r w:rsidRPr="001A4052">
        <w:rPr>
          <w:rFonts w:cstheme="minorHAnsi"/>
          <w:lang w:val="en-US"/>
        </w:rPr>
        <w:t>CRR</w:t>
      </w:r>
      <w:r w:rsidR="00464A78">
        <w:rPr>
          <w:rFonts w:cstheme="minorHAnsi"/>
          <w:lang w:val="en-US"/>
        </w:rPr>
        <w:t> </w:t>
      </w:r>
      <w:r w:rsidRPr="001A4052">
        <w:rPr>
          <w:rFonts w:cstheme="minorHAnsi"/>
          <w:lang w:val="en-US"/>
        </w:rPr>
        <w:t xml:space="preserve">III EBA shall issue guidelines to specify </w:t>
      </w:r>
      <w:r w:rsidRPr="001A4052">
        <w:rPr>
          <w:rFonts w:cstheme="minorHAnsi"/>
          <w:u w:val="single"/>
          <w:lang w:val="en-US"/>
        </w:rPr>
        <w:t>proportionate</w:t>
      </w:r>
      <w:r w:rsidRPr="001A4052">
        <w:rPr>
          <w:rFonts w:cstheme="minorHAnsi"/>
          <w:lang w:val="en-US"/>
        </w:rPr>
        <w:t xml:space="preserve"> diversification methods under which a retail exposure is to be considered as one of a significant number of similar exposures with similar characteristics. Applying proportionality shall result in reliefs and not in additional operational and financial burden. Hence, the EBA draft guidelines are not in line with the guiding principles of the mandate in Article 123(1)</w:t>
      </w:r>
      <w:r w:rsidR="009B1EBE">
        <w:rPr>
          <w:rFonts w:cstheme="minorHAnsi"/>
          <w:lang w:val="en-US"/>
        </w:rPr>
        <w:t xml:space="preserve"> </w:t>
      </w:r>
      <w:proofErr w:type="spellStart"/>
      <w:r w:rsidRPr="001A4052">
        <w:rPr>
          <w:rFonts w:cstheme="minorHAnsi"/>
          <w:lang w:val="en-US"/>
        </w:rPr>
        <w:t>subpara</w:t>
      </w:r>
      <w:proofErr w:type="spellEnd"/>
      <w:r w:rsidRPr="001A4052">
        <w:rPr>
          <w:rFonts w:cstheme="minorHAnsi"/>
          <w:lang w:val="en-US"/>
        </w:rPr>
        <w:t xml:space="preserve"> 2 CRR III. </w:t>
      </w:r>
    </w:p>
    <w:p w14:paraId="0971A52F" w14:textId="77777777" w:rsidR="001A4052" w:rsidRDefault="001A4052" w:rsidP="001A4052">
      <w:pPr>
        <w:rPr>
          <w:rFonts w:cstheme="minorHAnsi"/>
          <w:b/>
          <w:bCs/>
          <w:lang w:val="en-US"/>
        </w:rPr>
      </w:pPr>
    </w:p>
    <w:p w14:paraId="3D982844" w14:textId="1220A549" w:rsidR="001A4052" w:rsidRPr="001A4052" w:rsidRDefault="001A4052" w:rsidP="001A4052">
      <w:pPr>
        <w:pBdr>
          <w:top w:val="single" w:sz="4" w:space="1" w:color="auto"/>
          <w:left w:val="single" w:sz="4" w:space="4" w:color="auto"/>
          <w:bottom w:val="single" w:sz="4" w:space="1" w:color="auto"/>
          <w:right w:val="single" w:sz="4" w:space="4" w:color="auto"/>
        </w:pBdr>
        <w:shd w:val="clear" w:color="auto" w:fill="E5E5E5" w:themeFill="accent4" w:themeFillTint="33"/>
        <w:rPr>
          <w:rFonts w:cstheme="minorHAnsi"/>
          <w:b/>
          <w:bCs/>
          <w:lang w:val="en-US"/>
        </w:rPr>
      </w:pPr>
      <w:r w:rsidRPr="001A4052">
        <w:rPr>
          <w:rFonts w:cstheme="minorHAnsi"/>
          <w:b/>
          <w:bCs/>
          <w:lang w:val="en-US"/>
        </w:rPr>
        <w:t>In short: The proposed guidelines disproportionately disadvantage smaller banks and should be reconsidered.</w:t>
      </w:r>
    </w:p>
    <w:p w14:paraId="5A18134F" w14:textId="7AC5F7CE" w:rsidR="00915F51" w:rsidRPr="00915F51" w:rsidRDefault="00915F51" w:rsidP="00BE3F95">
      <w:pPr>
        <w:rPr>
          <w:rFonts w:cstheme="minorHAnsi"/>
          <w:lang w:val="en-US"/>
        </w:rPr>
      </w:pPr>
    </w:p>
    <w:p w14:paraId="1ED79617" w14:textId="77777777" w:rsidR="00642256" w:rsidRDefault="00642256" w:rsidP="00BE3F95">
      <w:pPr>
        <w:rPr>
          <w:rFonts w:cstheme="minorHAnsi"/>
          <w:lang w:val="en-US"/>
        </w:rPr>
      </w:pPr>
    </w:p>
    <w:p w14:paraId="776FE3CF" w14:textId="77777777" w:rsidR="001A4052" w:rsidRDefault="001A4052">
      <w:pPr>
        <w:rPr>
          <w:rFonts w:cstheme="minorHAnsi"/>
          <w:b/>
          <w:u w:val="single"/>
          <w:lang w:val="en-US"/>
        </w:rPr>
      </w:pPr>
      <w:r>
        <w:rPr>
          <w:rFonts w:cstheme="minorHAnsi"/>
          <w:b/>
          <w:u w:val="single"/>
          <w:lang w:val="en-US"/>
        </w:rPr>
        <w:br w:type="page"/>
      </w:r>
    </w:p>
    <w:p w14:paraId="152D5588" w14:textId="02BBBDE0" w:rsidR="0064273E" w:rsidRPr="001A4052" w:rsidRDefault="001A4052" w:rsidP="00C529CD">
      <w:pPr>
        <w:pStyle w:val="Listenabsatz"/>
        <w:numPr>
          <w:ilvl w:val="0"/>
          <w:numId w:val="36"/>
        </w:numPr>
        <w:rPr>
          <w:rFonts w:cstheme="minorHAnsi"/>
          <w:b/>
          <w:lang w:val="en-US"/>
        </w:rPr>
      </w:pPr>
      <w:r w:rsidRPr="001A4052">
        <w:rPr>
          <w:rFonts w:cstheme="minorHAnsi"/>
          <w:b/>
          <w:u w:val="single"/>
          <w:lang w:val="en-US"/>
        </w:rPr>
        <w:lastRenderedPageBreak/>
        <w:t>Proposed Solutions</w:t>
      </w:r>
    </w:p>
    <w:p w14:paraId="3912EF32" w14:textId="77777777" w:rsidR="001A4052" w:rsidRDefault="001A4052" w:rsidP="001A4052">
      <w:pPr>
        <w:rPr>
          <w:rFonts w:cstheme="minorHAnsi"/>
          <w:lang w:val="en-US"/>
        </w:rPr>
      </w:pPr>
    </w:p>
    <w:p w14:paraId="3AD305D7" w14:textId="77777777" w:rsidR="001A4052" w:rsidRDefault="001A4052" w:rsidP="001A4052">
      <w:pPr>
        <w:rPr>
          <w:rFonts w:cstheme="minorHAnsi"/>
          <w:sz w:val="24"/>
          <w:szCs w:val="24"/>
          <w:lang w:val="en-US"/>
        </w:rPr>
      </w:pPr>
      <w:r w:rsidRPr="001A4052">
        <w:rPr>
          <w:rFonts w:cstheme="minorHAnsi"/>
          <w:sz w:val="24"/>
          <w:szCs w:val="24"/>
          <w:lang w:val="en-US"/>
        </w:rPr>
        <w:t xml:space="preserve">It is therefore necessary to develop different solutions which take the principle of proportionality into account. </w:t>
      </w:r>
    </w:p>
    <w:p w14:paraId="0AE705C3" w14:textId="77777777" w:rsidR="001A4052" w:rsidRPr="001A4052" w:rsidRDefault="001A4052" w:rsidP="001A4052">
      <w:pPr>
        <w:rPr>
          <w:rFonts w:cstheme="minorHAnsi"/>
          <w:sz w:val="24"/>
          <w:szCs w:val="24"/>
          <w:lang w:val="en-US"/>
        </w:rPr>
      </w:pPr>
    </w:p>
    <w:p w14:paraId="4C93CAD1" w14:textId="2DA1F25A" w:rsidR="001A4052" w:rsidRDefault="001A4052" w:rsidP="001A4052">
      <w:pPr>
        <w:pBdr>
          <w:top w:val="single" w:sz="4" w:space="1" w:color="auto"/>
          <w:left w:val="single" w:sz="4" w:space="4" w:color="auto"/>
          <w:bottom w:val="single" w:sz="4" w:space="1" w:color="auto"/>
          <w:right w:val="single" w:sz="4" w:space="4" w:color="auto"/>
        </w:pBdr>
        <w:shd w:val="clear" w:color="auto" w:fill="E5E5E5" w:themeFill="accent4" w:themeFillTint="33"/>
        <w:rPr>
          <w:rFonts w:cstheme="minorHAnsi"/>
          <w:b/>
          <w:bCs/>
          <w:lang w:val="en-US"/>
        </w:rPr>
      </w:pPr>
      <w:r w:rsidRPr="001A4052">
        <w:rPr>
          <w:rFonts w:cstheme="minorHAnsi"/>
          <w:b/>
          <w:bCs/>
          <w:lang w:val="en-US"/>
        </w:rPr>
        <w:t>As a reasonable approach small and non-complex institutions according to Article</w:t>
      </w:r>
      <w:r w:rsidR="006E1B06">
        <w:rPr>
          <w:rFonts w:cstheme="minorHAnsi"/>
          <w:b/>
          <w:bCs/>
          <w:lang w:val="en-US"/>
        </w:rPr>
        <w:t> </w:t>
      </w:r>
      <w:r w:rsidRPr="001A4052">
        <w:rPr>
          <w:rFonts w:cstheme="minorHAnsi"/>
          <w:b/>
          <w:bCs/>
          <w:lang w:val="en-US"/>
        </w:rPr>
        <w:t>4</w:t>
      </w:r>
      <w:r w:rsidR="006E1B06">
        <w:rPr>
          <w:rFonts w:cstheme="minorHAnsi"/>
          <w:b/>
          <w:bCs/>
          <w:lang w:val="en-US"/>
        </w:rPr>
        <w:t> </w:t>
      </w:r>
      <w:r w:rsidRPr="001A4052">
        <w:rPr>
          <w:rFonts w:cstheme="minorHAnsi"/>
          <w:b/>
          <w:bCs/>
          <w:lang w:val="en-US"/>
        </w:rPr>
        <w:t>(1)</w:t>
      </w:r>
      <w:r w:rsidR="006E1B06">
        <w:rPr>
          <w:rFonts w:cstheme="minorHAnsi"/>
          <w:b/>
          <w:bCs/>
          <w:lang w:val="en-US"/>
        </w:rPr>
        <w:t> </w:t>
      </w:r>
      <w:r w:rsidRPr="001A4052">
        <w:rPr>
          <w:rFonts w:cstheme="minorHAnsi"/>
          <w:b/>
          <w:bCs/>
          <w:lang w:val="en-US"/>
        </w:rPr>
        <w:t>(145)</w:t>
      </w:r>
      <w:r w:rsidR="006E1B06">
        <w:rPr>
          <w:rFonts w:cstheme="minorHAnsi"/>
          <w:b/>
          <w:bCs/>
          <w:lang w:val="en-US"/>
        </w:rPr>
        <w:t> </w:t>
      </w:r>
      <w:r w:rsidRPr="001A4052">
        <w:rPr>
          <w:rFonts w:cstheme="minorHAnsi"/>
          <w:b/>
          <w:bCs/>
          <w:lang w:val="en-US"/>
        </w:rPr>
        <w:t xml:space="preserve">CRR (balance sheet total up to EUR 5 bn) should be out of scope. </w:t>
      </w:r>
    </w:p>
    <w:p w14:paraId="7CCB9BC9" w14:textId="77777777" w:rsidR="001A4052" w:rsidRPr="001A4052" w:rsidRDefault="001A4052" w:rsidP="001A4052">
      <w:pPr>
        <w:pBdr>
          <w:top w:val="single" w:sz="4" w:space="1" w:color="auto"/>
          <w:left w:val="single" w:sz="4" w:space="4" w:color="auto"/>
          <w:bottom w:val="single" w:sz="4" w:space="1" w:color="auto"/>
          <w:right w:val="single" w:sz="4" w:space="4" w:color="auto"/>
        </w:pBdr>
        <w:shd w:val="clear" w:color="auto" w:fill="E5E5E5" w:themeFill="accent4" w:themeFillTint="33"/>
        <w:rPr>
          <w:rFonts w:cstheme="minorHAnsi"/>
          <w:b/>
          <w:bCs/>
          <w:lang w:val="en-US"/>
        </w:rPr>
      </w:pPr>
    </w:p>
    <w:p w14:paraId="5CD8993A" w14:textId="77777777" w:rsidR="001A4052" w:rsidRDefault="001A4052" w:rsidP="001A4052">
      <w:pPr>
        <w:pBdr>
          <w:top w:val="single" w:sz="4" w:space="1" w:color="auto"/>
          <w:left w:val="single" w:sz="4" w:space="4" w:color="auto"/>
          <w:bottom w:val="single" w:sz="4" w:space="1" w:color="auto"/>
          <w:right w:val="single" w:sz="4" w:space="4" w:color="auto"/>
        </w:pBdr>
        <w:shd w:val="clear" w:color="auto" w:fill="E5E5E5" w:themeFill="accent4" w:themeFillTint="33"/>
        <w:rPr>
          <w:rFonts w:cstheme="minorHAnsi"/>
          <w:b/>
          <w:bCs/>
          <w:lang w:val="en-US"/>
        </w:rPr>
      </w:pPr>
      <w:r w:rsidRPr="001A4052">
        <w:rPr>
          <w:rFonts w:cstheme="minorHAnsi"/>
          <w:b/>
          <w:bCs/>
          <w:lang w:val="en-US"/>
        </w:rPr>
        <w:t xml:space="preserve">If EBA cannot agree on this, at least very small institutions with a balance sheet total not more than EUR 3 bn should be exempted from the EBA guidelines. </w:t>
      </w:r>
    </w:p>
    <w:p w14:paraId="4F32DA15" w14:textId="77777777" w:rsidR="001A4052" w:rsidRPr="001A4052" w:rsidRDefault="001A4052" w:rsidP="001A4052">
      <w:pPr>
        <w:pBdr>
          <w:top w:val="single" w:sz="4" w:space="1" w:color="auto"/>
          <w:left w:val="single" w:sz="4" w:space="4" w:color="auto"/>
          <w:bottom w:val="single" w:sz="4" w:space="1" w:color="auto"/>
          <w:right w:val="single" w:sz="4" w:space="4" w:color="auto"/>
        </w:pBdr>
        <w:shd w:val="clear" w:color="auto" w:fill="E5E5E5" w:themeFill="accent4" w:themeFillTint="33"/>
        <w:rPr>
          <w:rFonts w:cstheme="minorHAnsi"/>
          <w:b/>
          <w:bCs/>
          <w:lang w:val="en-US"/>
        </w:rPr>
      </w:pPr>
    </w:p>
    <w:p w14:paraId="7C7B3616" w14:textId="77777777" w:rsidR="001A4052" w:rsidRPr="001A4052" w:rsidRDefault="001A4052" w:rsidP="001A4052">
      <w:pPr>
        <w:pBdr>
          <w:top w:val="single" w:sz="4" w:space="1" w:color="auto"/>
          <w:left w:val="single" w:sz="4" w:space="4" w:color="auto"/>
          <w:bottom w:val="single" w:sz="4" w:space="1" w:color="auto"/>
          <w:right w:val="single" w:sz="4" w:space="4" w:color="auto"/>
        </w:pBdr>
        <w:shd w:val="clear" w:color="auto" w:fill="E5E5E5" w:themeFill="accent4" w:themeFillTint="33"/>
        <w:rPr>
          <w:rFonts w:cstheme="minorHAnsi"/>
          <w:b/>
          <w:bCs/>
          <w:lang w:val="en-US"/>
        </w:rPr>
      </w:pPr>
      <w:r w:rsidRPr="001A4052">
        <w:rPr>
          <w:rFonts w:cstheme="minorHAnsi"/>
          <w:b/>
          <w:bCs/>
          <w:lang w:val="en-US"/>
        </w:rPr>
        <w:t>In any event, the guiding principle ‘the smaller the balance sheet total, the larger the relief’ should be implemented.</w:t>
      </w:r>
    </w:p>
    <w:p w14:paraId="0986F416" w14:textId="77777777" w:rsidR="001A4052" w:rsidRPr="001A4052" w:rsidRDefault="001A4052" w:rsidP="001A4052">
      <w:pPr>
        <w:rPr>
          <w:rFonts w:cstheme="minorHAnsi"/>
          <w:b/>
          <w:bCs/>
          <w:sz w:val="24"/>
          <w:szCs w:val="24"/>
          <w:lang w:val="en-US"/>
        </w:rPr>
      </w:pPr>
    </w:p>
    <w:p w14:paraId="56510F9A" w14:textId="21123E7A" w:rsidR="001A4052" w:rsidRPr="001A4052" w:rsidRDefault="001A4052" w:rsidP="001A4052">
      <w:pPr>
        <w:rPr>
          <w:rFonts w:cstheme="minorHAnsi"/>
          <w:b/>
          <w:bCs/>
          <w:sz w:val="24"/>
          <w:szCs w:val="24"/>
          <w:u w:val="single"/>
          <w:lang w:val="en-US"/>
        </w:rPr>
      </w:pPr>
      <w:r w:rsidRPr="001A4052">
        <w:rPr>
          <w:rFonts w:cstheme="minorHAnsi"/>
          <w:sz w:val="24"/>
          <w:szCs w:val="24"/>
          <w:lang w:val="en-US"/>
        </w:rPr>
        <w:t>A conceivable alternative approach would be to focus on the membership in an institutional protection scheme (IPS) pursuant to Article 113</w:t>
      </w:r>
      <w:r>
        <w:rPr>
          <w:rFonts w:cstheme="minorHAnsi"/>
          <w:sz w:val="24"/>
          <w:szCs w:val="24"/>
          <w:lang w:val="en-US"/>
        </w:rPr>
        <w:t xml:space="preserve"> </w:t>
      </w:r>
      <w:r w:rsidRPr="001A4052">
        <w:rPr>
          <w:rFonts w:cstheme="minorHAnsi"/>
          <w:sz w:val="24"/>
          <w:szCs w:val="24"/>
          <w:lang w:val="en-US"/>
        </w:rPr>
        <w:t>(7) CRR. Following this approach, it should be necessary to ensure a sufficient diversified retail portfolio on the level of an IPS</w:t>
      </w:r>
      <w:r w:rsidR="006D6B4E">
        <w:rPr>
          <w:rFonts w:cstheme="minorHAnsi"/>
          <w:sz w:val="24"/>
          <w:szCs w:val="24"/>
          <w:lang w:val="en-US"/>
        </w:rPr>
        <w:t xml:space="preserve">, </w:t>
      </w:r>
      <w:r w:rsidR="006D6B4E" w:rsidRPr="00BB3779">
        <w:rPr>
          <w:rFonts w:cstheme="minorHAnsi"/>
          <w:sz w:val="24"/>
          <w:szCs w:val="24"/>
          <w:lang w:val="en-US"/>
        </w:rPr>
        <w:t xml:space="preserve">reducing the </w:t>
      </w:r>
      <w:r w:rsidR="006D6B4E">
        <w:rPr>
          <w:rFonts w:cstheme="minorHAnsi"/>
          <w:sz w:val="24"/>
          <w:szCs w:val="24"/>
          <w:lang w:val="en-US"/>
        </w:rPr>
        <w:t xml:space="preserve">operative </w:t>
      </w:r>
      <w:r w:rsidR="006D6B4E" w:rsidRPr="00BB3779">
        <w:rPr>
          <w:rFonts w:cstheme="minorHAnsi"/>
          <w:sz w:val="24"/>
          <w:szCs w:val="24"/>
          <w:lang w:val="en-US"/>
        </w:rPr>
        <w:t>burden and the impact to the single institution</w:t>
      </w:r>
      <w:r w:rsidR="006D6B4E">
        <w:rPr>
          <w:rFonts w:cstheme="minorHAnsi"/>
          <w:sz w:val="24"/>
          <w:szCs w:val="24"/>
          <w:lang w:val="en-US"/>
        </w:rPr>
        <w:t>.</w:t>
      </w:r>
    </w:p>
    <w:p w14:paraId="4B3DD450" w14:textId="77777777" w:rsidR="001A4052" w:rsidRDefault="001A4052" w:rsidP="001A4052">
      <w:pPr>
        <w:rPr>
          <w:rFonts w:cstheme="minorHAnsi"/>
          <w:b/>
          <w:bCs/>
          <w:sz w:val="24"/>
          <w:szCs w:val="24"/>
          <w:u w:val="single"/>
          <w:lang w:val="en-US"/>
        </w:rPr>
      </w:pPr>
    </w:p>
    <w:p w14:paraId="2F76BC77" w14:textId="77777777" w:rsidR="001A4052" w:rsidRPr="001A4052" w:rsidRDefault="001A4052" w:rsidP="001A4052">
      <w:pPr>
        <w:pStyle w:val="Listenabsatz"/>
        <w:numPr>
          <w:ilvl w:val="0"/>
          <w:numId w:val="36"/>
        </w:numPr>
        <w:rPr>
          <w:rFonts w:cstheme="minorHAnsi"/>
          <w:b/>
          <w:bCs/>
          <w:sz w:val="24"/>
          <w:szCs w:val="24"/>
          <w:u w:val="single"/>
          <w:lang w:val="en-US"/>
        </w:rPr>
      </w:pPr>
      <w:r w:rsidRPr="001A4052">
        <w:rPr>
          <w:rFonts w:cstheme="minorHAnsi"/>
          <w:b/>
          <w:u w:val="single"/>
          <w:lang w:val="en-US"/>
        </w:rPr>
        <w:t>Clarifications</w:t>
      </w:r>
    </w:p>
    <w:p w14:paraId="2B1BE4F5" w14:textId="77777777" w:rsidR="001A4052" w:rsidRPr="001A4052" w:rsidRDefault="001A4052" w:rsidP="001A4052">
      <w:pPr>
        <w:rPr>
          <w:rFonts w:cstheme="minorHAnsi"/>
          <w:sz w:val="24"/>
          <w:szCs w:val="24"/>
          <w:lang w:val="en-US"/>
        </w:rPr>
      </w:pPr>
    </w:p>
    <w:p w14:paraId="297DCED9" w14:textId="5A752EE6" w:rsidR="00ED110F" w:rsidRPr="001A4052" w:rsidRDefault="001A4052" w:rsidP="001A4052">
      <w:pPr>
        <w:rPr>
          <w:rFonts w:cstheme="minorHAnsi"/>
          <w:sz w:val="24"/>
          <w:szCs w:val="24"/>
          <w:lang w:val="en-US"/>
        </w:rPr>
      </w:pPr>
      <w:r w:rsidRPr="001A4052">
        <w:rPr>
          <w:rFonts w:cstheme="minorHAnsi"/>
          <w:sz w:val="24"/>
          <w:szCs w:val="24"/>
          <w:lang w:val="en-US"/>
        </w:rPr>
        <w:t>Regardless of the final approach chosen</w:t>
      </w:r>
      <w:r w:rsidR="006E1B06">
        <w:rPr>
          <w:rFonts w:cstheme="minorHAnsi"/>
          <w:sz w:val="24"/>
          <w:szCs w:val="24"/>
          <w:lang w:val="en-US"/>
        </w:rPr>
        <w:t>,</w:t>
      </w:r>
      <w:r w:rsidRPr="001A4052">
        <w:rPr>
          <w:rFonts w:cstheme="minorHAnsi"/>
          <w:sz w:val="24"/>
          <w:szCs w:val="24"/>
          <w:lang w:val="en-US"/>
        </w:rPr>
        <w:t xml:space="preserve"> it should be clarified in the guidelines that the retail portfolios in terms of exposure value shall be calculated </w:t>
      </w:r>
      <w:r w:rsidRPr="001A4052">
        <w:rPr>
          <w:rFonts w:cstheme="minorHAnsi"/>
          <w:b/>
          <w:sz w:val="24"/>
          <w:szCs w:val="24"/>
          <w:lang w:val="en-US"/>
        </w:rPr>
        <w:t xml:space="preserve">before credit risk adjustments </w:t>
      </w:r>
      <w:r w:rsidRPr="001A4052">
        <w:rPr>
          <w:rFonts w:cstheme="minorHAnsi"/>
          <w:sz w:val="24"/>
          <w:szCs w:val="24"/>
          <w:lang w:val="en-US"/>
        </w:rPr>
        <w:t>as gross amounts.</w:t>
      </w:r>
    </w:p>
    <w:p w14:paraId="2B20429E" w14:textId="77777777" w:rsidR="001A4052" w:rsidRPr="001A4052" w:rsidRDefault="001A4052" w:rsidP="001A4052">
      <w:pPr>
        <w:rPr>
          <w:rFonts w:cstheme="minorHAnsi"/>
          <w:sz w:val="24"/>
          <w:szCs w:val="24"/>
          <w:lang w:val="en-US"/>
        </w:rPr>
      </w:pPr>
    </w:p>
    <w:p w14:paraId="406CAEA1" w14:textId="18550060" w:rsidR="007F07FE" w:rsidRDefault="001A4052" w:rsidP="001A4052">
      <w:pPr>
        <w:rPr>
          <w:rFonts w:cstheme="minorHAnsi"/>
          <w:sz w:val="24"/>
          <w:szCs w:val="24"/>
          <w:lang w:val="en-US"/>
        </w:rPr>
      </w:pPr>
      <w:r w:rsidRPr="001A4052">
        <w:rPr>
          <w:rFonts w:cstheme="minorHAnsi"/>
          <w:sz w:val="24"/>
          <w:szCs w:val="24"/>
          <w:lang w:val="en-US"/>
        </w:rPr>
        <w:t xml:space="preserve">In addition, the </w:t>
      </w:r>
      <w:r w:rsidRPr="001A4052">
        <w:rPr>
          <w:rFonts w:cstheme="minorHAnsi"/>
          <w:b/>
          <w:sz w:val="24"/>
          <w:szCs w:val="24"/>
          <w:lang w:val="en-US"/>
        </w:rPr>
        <w:t>threshold of 10</w:t>
      </w:r>
      <w:r w:rsidR="006E1B06">
        <w:rPr>
          <w:rFonts w:cstheme="minorHAnsi"/>
          <w:b/>
          <w:sz w:val="24"/>
          <w:szCs w:val="24"/>
          <w:lang w:val="en-US"/>
        </w:rPr>
        <w:t> </w:t>
      </w:r>
      <w:r w:rsidRPr="001A4052">
        <w:rPr>
          <w:rFonts w:cstheme="minorHAnsi"/>
          <w:b/>
          <w:sz w:val="24"/>
          <w:szCs w:val="24"/>
          <w:lang w:val="en-US"/>
        </w:rPr>
        <w:t>% should be calculated using the one-step approach.</w:t>
      </w:r>
      <w:r w:rsidRPr="001A4052">
        <w:rPr>
          <w:rFonts w:cstheme="minorHAnsi"/>
          <w:sz w:val="24"/>
          <w:szCs w:val="24"/>
          <w:lang w:val="en-US"/>
        </w:rPr>
        <w:t xml:space="preserve"> The proposed iterative approach would effectively result in a lower threshold and is associated with avoidable operational implementation costs, particularly for LSIs. Consequently, the currently proposed one-step approach with a threshold of 5</w:t>
      </w:r>
      <w:r w:rsidR="006E1B06">
        <w:rPr>
          <w:rFonts w:cstheme="minorHAnsi"/>
          <w:sz w:val="24"/>
          <w:szCs w:val="24"/>
          <w:lang w:val="en-US"/>
        </w:rPr>
        <w:t> </w:t>
      </w:r>
      <w:r w:rsidRPr="001A4052">
        <w:rPr>
          <w:rFonts w:cstheme="minorHAnsi"/>
          <w:sz w:val="24"/>
          <w:szCs w:val="24"/>
          <w:lang w:val="en-US"/>
        </w:rPr>
        <w:t>% would become obsolete.</w:t>
      </w:r>
    </w:p>
    <w:p w14:paraId="60E40A57" w14:textId="77777777" w:rsidR="00ED110F" w:rsidRDefault="00ED110F" w:rsidP="001A4052">
      <w:pPr>
        <w:rPr>
          <w:rFonts w:cstheme="minorHAnsi"/>
          <w:sz w:val="24"/>
          <w:szCs w:val="24"/>
          <w:lang w:val="en-US"/>
        </w:rPr>
      </w:pPr>
    </w:p>
    <w:p w14:paraId="2F54BBB5" w14:textId="64978782" w:rsidR="00ED110F" w:rsidRPr="001A4052" w:rsidRDefault="00ED110F" w:rsidP="001A4052">
      <w:pPr>
        <w:rPr>
          <w:rFonts w:cstheme="minorHAnsi"/>
          <w:sz w:val="24"/>
          <w:szCs w:val="24"/>
          <w:lang w:val="en-US"/>
        </w:rPr>
      </w:pPr>
      <w:r w:rsidRPr="00ED110F">
        <w:rPr>
          <w:rFonts w:cstheme="minorHAnsi"/>
          <w:sz w:val="24"/>
          <w:szCs w:val="24"/>
          <w:lang w:val="en-US"/>
        </w:rPr>
        <w:t>In addition</w:t>
      </w:r>
      <w:r>
        <w:rPr>
          <w:rFonts w:cstheme="minorHAnsi"/>
          <w:sz w:val="24"/>
          <w:szCs w:val="24"/>
          <w:lang w:val="en-US"/>
        </w:rPr>
        <w:t>, t</w:t>
      </w:r>
      <w:r w:rsidRPr="00ED110F">
        <w:rPr>
          <w:rFonts w:cstheme="minorHAnsi"/>
          <w:sz w:val="24"/>
          <w:szCs w:val="24"/>
          <w:lang w:val="en-US"/>
        </w:rPr>
        <w:t xml:space="preserve">he retail portfolio as </w:t>
      </w:r>
      <w:r>
        <w:rPr>
          <w:rFonts w:cstheme="minorHAnsi"/>
          <w:sz w:val="24"/>
          <w:szCs w:val="24"/>
          <w:lang w:val="en-US"/>
        </w:rPr>
        <w:t>of</w:t>
      </w:r>
      <w:r w:rsidRPr="00ED110F">
        <w:rPr>
          <w:rFonts w:cstheme="minorHAnsi"/>
          <w:sz w:val="24"/>
          <w:szCs w:val="24"/>
          <w:lang w:val="en-US"/>
        </w:rPr>
        <w:t xml:space="preserve"> December 31 </w:t>
      </w:r>
      <w:r w:rsidR="009B1EBE">
        <w:rPr>
          <w:rFonts w:cstheme="minorHAnsi"/>
          <w:sz w:val="24"/>
          <w:szCs w:val="24"/>
          <w:lang w:val="en-US"/>
        </w:rPr>
        <w:t>of the previous year</w:t>
      </w:r>
      <w:r w:rsidRPr="00ED110F">
        <w:rPr>
          <w:rFonts w:cstheme="minorHAnsi"/>
          <w:sz w:val="24"/>
          <w:szCs w:val="24"/>
          <w:lang w:val="en-US"/>
        </w:rPr>
        <w:t xml:space="preserve"> should be used as the basis for calculation. It is </w:t>
      </w:r>
      <w:r w:rsidR="009B1EBE">
        <w:rPr>
          <w:rFonts w:cstheme="minorHAnsi"/>
          <w:sz w:val="24"/>
          <w:szCs w:val="24"/>
          <w:lang w:val="en-US"/>
        </w:rPr>
        <w:t xml:space="preserve">far </w:t>
      </w:r>
      <w:proofErr w:type="spellStart"/>
      <w:r w:rsidR="009B1EBE">
        <w:rPr>
          <w:rFonts w:cstheme="minorHAnsi"/>
          <w:sz w:val="24"/>
          <w:szCs w:val="24"/>
          <w:lang w:val="en-US"/>
        </w:rPr>
        <w:t>to</w:t>
      </w:r>
      <w:proofErr w:type="spellEnd"/>
      <w:r w:rsidR="009B1EBE">
        <w:rPr>
          <w:rFonts w:cstheme="minorHAnsi"/>
          <w:sz w:val="24"/>
          <w:szCs w:val="24"/>
          <w:lang w:val="en-US"/>
        </w:rPr>
        <w:t xml:space="preserve"> burdensome</w:t>
      </w:r>
      <w:r w:rsidRPr="00ED110F">
        <w:rPr>
          <w:rFonts w:cstheme="minorHAnsi"/>
          <w:sz w:val="24"/>
          <w:szCs w:val="24"/>
          <w:lang w:val="en-US"/>
        </w:rPr>
        <w:t xml:space="preserve"> </w:t>
      </w:r>
      <w:r w:rsidR="009B1EBE">
        <w:rPr>
          <w:rFonts w:cstheme="minorHAnsi"/>
          <w:sz w:val="24"/>
          <w:szCs w:val="24"/>
          <w:lang w:val="en-US"/>
        </w:rPr>
        <w:t>if the</w:t>
      </w:r>
      <w:r w:rsidRPr="00ED110F">
        <w:rPr>
          <w:rFonts w:cstheme="minorHAnsi"/>
          <w:sz w:val="24"/>
          <w:szCs w:val="24"/>
          <w:lang w:val="en-US"/>
        </w:rPr>
        <w:t xml:space="preserve"> values change constantly</w:t>
      </w:r>
      <w:r w:rsidR="009B1EBE">
        <w:rPr>
          <w:rFonts w:cstheme="minorHAnsi"/>
          <w:sz w:val="24"/>
          <w:szCs w:val="24"/>
          <w:lang w:val="en-US"/>
        </w:rPr>
        <w:t xml:space="preserve">. </w:t>
      </w:r>
    </w:p>
    <w:sectPr w:rsidR="00ED110F" w:rsidRPr="001A4052" w:rsidSect="0064273E">
      <w:headerReference w:type="default" r:id="rId11"/>
      <w:footerReference w:type="default" r:id="rId12"/>
      <w:pgSz w:w="11906" w:h="16838"/>
      <w:pgMar w:top="1843" w:right="1416"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4728A" w14:textId="77777777" w:rsidR="00B00BA6" w:rsidRDefault="00B00BA6" w:rsidP="007F4462">
      <w:pPr>
        <w:spacing w:line="240" w:lineRule="auto"/>
      </w:pPr>
      <w:r>
        <w:separator/>
      </w:r>
    </w:p>
  </w:endnote>
  <w:endnote w:type="continuationSeparator" w:id="0">
    <w:p w14:paraId="745F5C30" w14:textId="77777777" w:rsidR="00B00BA6" w:rsidRDefault="00B00BA6" w:rsidP="007F44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319607"/>
      <w:docPartObj>
        <w:docPartGallery w:val="Page Numbers (Bottom of Page)"/>
        <w:docPartUnique/>
      </w:docPartObj>
    </w:sdtPr>
    <w:sdtEndPr/>
    <w:sdtContent>
      <w:p w14:paraId="1A043267" w14:textId="26F5660C" w:rsidR="00102AAB" w:rsidRPr="00102AAB" w:rsidRDefault="00102AAB" w:rsidP="00102AAB">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D6E79" w14:textId="77777777" w:rsidR="00B00BA6" w:rsidRDefault="00B00BA6" w:rsidP="007F4462">
      <w:pPr>
        <w:spacing w:line="240" w:lineRule="auto"/>
      </w:pPr>
      <w:r>
        <w:separator/>
      </w:r>
    </w:p>
  </w:footnote>
  <w:footnote w:type="continuationSeparator" w:id="0">
    <w:p w14:paraId="77101C4A" w14:textId="77777777" w:rsidR="00B00BA6" w:rsidRDefault="00B00BA6" w:rsidP="007F4462">
      <w:pPr>
        <w:spacing w:line="240" w:lineRule="auto"/>
      </w:pPr>
      <w:r>
        <w:continuationSeparator/>
      </w:r>
    </w:p>
  </w:footnote>
  <w:footnote w:id="1">
    <w:p w14:paraId="114D7BB1" w14:textId="54370C05" w:rsidR="001A4052" w:rsidRPr="003732BC" w:rsidRDefault="001A4052" w:rsidP="001A4052">
      <w:pPr>
        <w:pStyle w:val="Funotentext"/>
        <w:rPr>
          <w:lang w:val="en-US"/>
        </w:rPr>
      </w:pPr>
      <w:r>
        <w:rPr>
          <w:rStyle w:val="Funotenzeichen"/>
        </w:rPr>
        <w:footnoteRef/>
      </w:r>
      <w:r w:rsidRPr="003732BC">
        <w:rPr>
          <w:lang w:val="en-US"/>
        </w:rPr>
        <w:t xml:space="preserve"> </w:t>
      </w:r>
      <w:r w:rsidRPr="003732BC">
        <w:rPr>
          <w:i/>
          <w:iCs/>
          <w:lang w:val="en-US"/>
        </w:rPr>
        <w:t>EBA</w:t>
      </w:r>
      <w:r>
        <w:rPr>
          <w:lang w:val="en-US"/>
        </w:rPr>
        <w:t xml:space="preserve">, </w:t>
      </w:r>
      <w:r w:rsidR="00202A94" w:rsidRPr="003732BC">
        <w:rPr>
          <w:lang w:val="en-US"/>
        </w:rPr>
        <w:t xml:space="preserve">policy advice on the </w:t>
      </w:r>
      <w:proofErr w:type="spellStart"/>
      <w:r w:rsidR="00202A94" w:rsidRPr="003732BC">
        <w:rPr>
          <w:lang w:val="en-US"/>
        </w:rPr>
        <w:t>basel</w:t>
      </w:r>
      <w:proofErr w:type="spellEnd"/>
      <w:r w:rsidR="00202A94" w:rsidRPr="003732BC">
        <w:rPr>
          <w:lang w:val="en-US"/>
        </w:rPr>
        <w:t xml:space="preserve"> iii reforms: credit risk </w:t>
      </w:r>
      <w:proofErr w:type="spellStart"/>
      <w:r w:rsidR="00202A94" w:rsidRPr="003732BC">
        <w:rPr>
          <w:lang w:val="en-US"/>
        </w:rPr>
        <w:t>standardised</w:t>
      </w:r>
      <w:proofErr w:type="spellEnd"/>
      <w:r w:rsidR="00202A94" w:rsidRPr="003732BC">
        <w:rPr>
          <w:lang w:val="en-US"/>
        </w:rPr>
        <w:t xml:space="preserve"> approach and </w:t>
      </w:r>
      <w:proofErr w:type="spellStart"/>
      <w:r w:rsidR="00202A94" w:rsidRPr="003732BC">
        <w:rPr>
          <w:lang w:val="en-US"/>
        </w:rPr>
        <w:t>irb</w:t>
      </w:r>
      <w:proofErr w:type="spellEnd"/>
      <w:r w:rsidR="00202A94" w:rsidRPr="003732BC">
        <w:rPr>
          <w:lang w:val="en-US"/>
        </w:rPr>
        <w:t xml:space="preserve"> approach </w:t>
      </w:r>
      <w:r w:rsidRPr="003732BC">
        <w:rPr>
          <w:lang w:val="en-US"/>
        </w:rPr>
        <w:t>EBA-Op-2019-09a</w:t>
      </w:r>
      <w:r>
        <w:rPr>
          <w:lang w:val="en-US"/>
        </w:rPr>
        <w:t xml:space="preserve">, page 67.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A64E" w14:textId="710AEA6B" w:rsidR="007F4462" w:rsidRDefault="007F4462" w:rsidP="00102AAB">
    <w:pPr>
      <w:spacing w:line="240" w:lineRule="auto"/>
    </w:pPr>
    <w:r>
      <w:rPr>
        <w:noProof/>
        <w:lang w:val="de-AT" w:eastAsia="de-AT"/>
      </w:rPr>
      <w:drawing>
        <wp:anchor distT="0" distB="0" distL="114300" distR="114300" simplePos="0" relativeHeight="251659264" behindDoc="0" locked="1" layoutInCell="1" allowOverlap="1" wp14:anchorId="2B9F3358" wp14:editId="73489B81">
          <wp:simplePos x="0" y="0"/>
          <wp:positionH relativeFrom="margin">
            <wp:posOffset>3722370</wp:posOffset>
          </wp:positionH>
          <wp:positionV relativeFrom="page">
            <wp:posOffset>180975</wp:posOffset>
          </wp:positionV>
          <wp:extent cx="2210435" cy="861695"/>
          <wp:effectExtent l="0" t="0" r="0" b="0"/>
          <wp:wrapSquare wrapText="bothSides"/>
          <wp:docPr id="961389426" name="Grafik 96138942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0435" cy="8616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25C3"/>
    <w:multiLevelType w:val="hybridMultilevel"/>
    <w:tmpl w:val="BEEC05C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EA0979"/>
    <w:multiLevelType w:val="hybridMultilevel"/>
    <w:tmpl w:val="44DE654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4E96910"/>
    <w:multiLevelType w:val="hybridMultilevel"/>
    <w:tmpl w:val="D47409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57E3F6E"/>
    <w:multiLevelType w:val="hybridMultilevel"/>
    <w:tmpl w:val="3A4858CE"/>
    <w:lvl w:ilvl="0" w:tplc="054C813A">
      <w:start w:val="1"/>
      <w:numFmt w:val="bullet"/>
      <w:lvlText w:val=""/>
      <w:lvlJc w:val="left"/>
      <w:pPr>
        <w:ind w:left="720" w:hanging="360"/>
      </w:pPr>
      <w:rPr>
        <w:rFonts w:ascii="Symbol" w:hAnsi="Symbol" w:hint="default"/>
        <w:sz w:val="22"/>
        <w:szCs w:val="22"/>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8855761"/>
    <w:multiLevelType w:val="hybridMultilevel"/>
    <w:tmpl w:val="CADC01BC"/>
    <w:lvl w:ilvl="0" w:tplc="24287096">
      <w:start w:val="17"/>
      <w:numFmt w:val="bullet"/>
      <w:lvlText w:val="-"/>
      <w:lvlJc w:val="left"/>
      <w:pPr>
        <w:ind w:left="1800" w:hanging="360"/>
      </w:pPr>
      <w:rPr>
        <w:rFonts w:ascii="Trebuchet MS" w:eastAsia="Times New Roman" w:hAnsi="Trebuchet MS" w:cs="Times New Roman" w:hint="default"/>
      </w:rPr>
    </w:lvl>
    <w:lvl w:ilvl="1" w:tplc="0C070003" w:tentative="1">
      <w:start w:val="1"/>
      <w:numFmt w:val="bullet"/>
      <w:lvlText w:val="o"/>
      <w:lvlJc w:val="left"/>
      <w:pPr>
        <w:ind w:left="2520" w:hanging="360"/>
      </w:pPr>
      <w:rPr>
        <w:rFonts w:ascii="Courier New" w:hAnsi="Courier New" w:cs="Courier New" w:hint="default"/>
      </w:rPr>
    </w:lvl>
    <w:lvl w:ilvl="2" w:tplc="0C070005" w:tentative="1">
      <w:start w:val="1"/>
      <w:numFmt w:val="bullet"/>
      <w:lvlText w:val=""/>
      <w:lvlJc w:val="left"/>
      <w:pPr>
        <w:ind w:left="3240" w:hanging="360"/>
      </w:pPr>
      <w:rPr>
        <w:rFonts w:ascii="Wingdings" w:hAnsi="Wingdings" w:hint="default"/>
      </w:rPr>
    </w:lvl>
    <w:lvl w:ilvl="3" w:tplc="0C070001" w:tentative="1">
      <w:start w:val="1"/>
      <w:numFmt w:val="bullet"/>
      <w:lvlText w:val=""/>
      <w:lvlJc w:val="left"/>
      <w:pPr>
        <w:ind w:left="3960" w:hanging="360"/>
      </w:pPr>
      <w:rPr>
        <w:rFonts w:ascii="Symbol" w:hAnsi="Symbol" w:hint="default"/>
      </w:rPr>
    </w:lvl>
    <w:lvl w:ilvl="4" w:tplc="0C070003" w:tentative="1">
      <w:start w:val="1"/>
      <w:numFmt w:val="bullet"/>
      <w:lvlText w:val="o"/>
      <w:lvlJc w:val="left"/>
      <w:pPr>
        <w:ind w:left="4680" w:hanging="360"/>
      </w:pPr>
      <w:rPr>
        <w:rFonts w:ascii="Courier New" w:hAnsi="Courier New" w:cs="Courier New" w:hint="default"/>
      </w:rPr>
    </w:lvl>
    <w:lvl w:ilvl="5" w:tplc="0C070005" w:tentative="1">
      <w:start w:val="1"/>
      <w:numFmt w:val="bullet"/>
      <w:lvlText w:val=""/>
      <w:lvlJc w:val="left"/>
      <w:pPr>
        <w:ind w:left="5400" w:hanging="360"/>
      </w:pPr>
      <w:rPr>
        <w:rFonts w:ascii="Wingdings" w:hAnsi="Wingdings" w:hint="default"/>
      </w:rPr>
    </w:lvl>
    <w:lvl w:ilvl="6" w:tplc="0C070001" w:tentative="1">
      <w:start w:val="1"/>
      <w:numFmt w:val="bullet"/>
      <w:lvlText w:val=""/>
      <w:lvlJc w:val="left"/>
      <w:pPr>
        <w:ind w:left="6120" w:hanging="360"/>
      </w:pPr>
      <w:rPr>
        <w:rFonts w:ascii="Symbol" w:hAnsi="Symbol" w:hint="default"/>
      </w:rPr>
    </w:lvl>
    <w:lvl w:ilvl="7" w:tplc="0C070003" w:tentative="1">
      <w:start w:val="1"/>
      <w:numFmt w:val="bullet"/>
      <w:lvlText w:val="o"/>
      <w:lvlJc w:val="left"/>
      <w:pPr>
        <w:ind w:left="6840" w:hanging="360"/>
      </w:pPr>
      <w:rPr>
        <w:rFonts w:ascii="Courier New" w:hAnsi="Courier New" w:cs="Courier New" w:hint="default"/>
      </w:rPr>
    </w:lvl>
    <w:lvl w:ilvl="8" w:tplc="0C070005" w:tentative="1">
      <w:start w:val="1"/>
      <w:numFmt w:val="bullet"/>
      <w:lvlText w:val=""/>
      <w:lvlJc w:val="left"/>
      <w:pPr>
        <w:ind w:left="7560" w:hanging="360"/>
      </w:pPr>
      <w:rPr>
        <w:rFonts w:ascii="Wingdings" w:hAnsi="Wingdings" w:hint="default"/>
      </w:rPr>
    </w:lvl>
  </w:abstractNum>
  <w:abstractNum w:abstractNumId="5" w15:restartNumberingAfterBreak="0">
    <w:nsid w:val="18936D8E"/>
    <w:multiLevelType w:val="hybridMultilevel"/>
    <w:tmpl w:val="65A848AA"/>
    <w:lvl w:ilvl="0" w:tplc="0C07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6F41F1"/>
    <w:multiLevelType w:val="hybridMultilevel"/>
    <w:tmpl w:val="AA7CC5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674F96"/>
    <w:multiLevelType w:val="hybridMultilevel"/>
    <w:tmpl w:val="FD6A89D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1D5169B5"/>
    <w:multiLevelType w:val="hybridMultilevel"/>
    <w:tmpl w:val="16A2A6B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9" w15:restartNumberingAfterBreak="0">
    <w:nsid w:val="1E804D82"/>
    <w:multiLevelType w:val="hybridMultilevel"/>
    <w:tmpl w:val="99689C5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1CF4310"/>
    <w:multiLevelType w:val="hybridMultilevel"/>
    <w:tmpl w:val="EB4C898C"/>
    <w:lvl w:ilvl="0" w:tplc="0C070001">
      <w:start w:val="1"/>
      <w:numFmt w:val="bullet"/>
      <w:lvlText w:val=""/>
      <w:lvlJc w:val="left"/>
      <w:pPr>
        <w:ind w:left="1776" w:hanging="360"/>
      </w:pPr>
      <w:rPr>
        <w:rFonts w:ascii="Symbol" w:hAnsi="Symbol" w:hint="default"/>
      </w:rPr>
    </w:lvl>
    <w:lvl w:ilvl="1" w:tplc="0C070003" w:tentative="1">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11" w15:restartNumberingAfterBreak="0">
    <w:nsid w:val="240810EA"/>
    <w:multiLevelType w:val="hybridMultilevel"/>
    <w:tmpl w:val="488CAE68"/>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257C506A"/>
    <w:multiLevelType w:val="hybridMultilevel"/>
    <w:tmpl w:val="62E0A5E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73D7EC0"/>
    <w:multiLevelType w:val="hybridMultilevel"/>
    <w:tmpl w:val="CB9A4BCA"/>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2BE52EEE"/>
    <w:multiLevelType w:val="hybridMultilevel"/>
    <w:tmpl w:val="462C9D10"/>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0AD0822"/>
    <w:multiLevelType w:val="hybridMultilevel"/>
    <w:tmpl w:val="7178862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6" w15:restartNumberingAfterBreak="0">
    <w:nsid w:val="31106E93"/>
    <w:multiLevelType w:val="hybridMultilevel"/>
    <w:tmpl w:val="ABDC8F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9B1548"/>
    <w:multiLevelType w:val="hybridMultilevel"/>
    <w:tmpl w:val="1A185610"/>
    <w:lvl w:ilvl="0" w:tplc="FEB8787E">
      <w:start w:val="17"/>
      <w:numFmt w:val="bullet"/>
      <w:lvlText w:val="-"/>
      <w:lvlJc w:val="left"/>
      <w:pPr>
        <w:ind w:left="2520" w:hanging="360"/>
      </w:pPr>
      <w:rPr>
        <w:rFonts w:ascii="Trebuchet MS" w:eastAsia="Times New Roman" w:hAnsi="Trebuchet MS" w:cs="Times New Roman" w:hint="default"/>
      </w:rPr>
    </w:lvl>
    <w:lvl w:ilvl="1" w:tplc="0C070003" w:tentative="1">
      <w:start w:val="1"/>
      <w:numFmt w:val="bullet"/>
      <w:lvlText w:val="o"/>
      <w:lvlJc w:val="left"/>
      <w:pPr>
        <w:ind w:left="3240" w:hanging="360"/>
      </w:pPr>
      <w:rPr>
        <w:rFonts w:ascii="Courier New" w:hAnsi="Courier New" w:cs="Courier New" w:hint="default"/>
      </w:rPr>
    </w:lvl>
    <w:lvl w:ilvl="2" w:tplc="0C070005" w:tentative="1">
      <w:start w:val="1"/>
      <w:numFmt w:val="bullet"/>
      <w:lvlText w:val=""/>
      <w:lvlJc w:val="left"/>
      <w:pPr>
        <w:ind w:left="3960" w:hanging="360"/>
      </w:pPr>
      <w:rPr>
        <w:rFonts w:ascii="Wingdings" w:hAnsi="Wingdings" w:hint="default"/>
      </w:rPr>
    </w:lvl>
    <w:lvl w:ilvl="3" w:tplc="0C070001" w:tentative="1">
      <w:start w:val="1"/>
      <w:numFmt w:val="bullet"/>
      <w:lvlText w:val=""/>
      <w:lvlJc w:val="left"/>
      <w:pPr>
        <w:ind w:left="4680" w:hanging="360"/>
      </w:pPr>
      <w:rPr>
        <w:rFonts w:ascii="Symbol" w:hAnsi="Symbol" w:hint="default"/>
      </w:rPr>
    </w:lvl>
    <w:lvl w:ilvl="4" w:tplc="0C070003" w:tentative="1">
      <w:start w:val="1"/>
      <w:numFmt w:val="bullet"/>
      <w:lvlText w:val="o"/>
      <w:lvlJc w:val="left"/>
      <w:pPr>
        <w:ind w:left="5400" w:hanging="360"/>
      </w:pPr>
      <w:rPr>
        <w:rFonts w:ascii="Courier New" w:hAnsi="Courier New" w:cs="Courier New" w:hint="default"/>
      </w:rPr>
    </w:lvl>
    <w:lvl w:ilvl="5" w:tplc="0C070005" w:tentative="1">
      <w:start w:val="1"/>
      <w:numFmt w:val="bullet"/>
      <w:lvlText w:val=""/>
      <w:lvlJc w:val="left"/>
      <w:pPr>
        <w:ind w:left="6120" w:hanging="360"/>
      </w:pPr>
      <w:rPr>
        <w:rFonts w:ascii="Wingdings" w:hAnsi="Wingdings" w:hint="default"/>
      </w:rPr>
    </w:lvl>
    <w:lvl w:ilvl="6" w:tplc="0C070001" w:tentative="1">
      <w:start w:val="1"/>
      <w:numFmt w:val="bullet"/>
      <w:lvlText w:val=""/>
      <w:lvlJc w:val="left"/>
      <w:pPr>
        <w:ind w:left="6840" w:hanging="360"/>
      </w:pPr>
      <w:rPr>
        <w:rFonts w:ascii="Symbol" w:hAnsi="Symbol" w:hint="default"/>
      </w:rPr>
    </w:lvl>
    <w:lvl w:ilvl="7" w:tplc="0C070003" w:tentative="1">
      <w:start w:val="1"/>
      <w:numFmt w:val="bullet"/>
      <w:lvlText w:val="o"/>
      <w:lvlJc w:val="left"/>
      <w:pPr>
        <w:ind w:left="7560" w:hanging="360"/>
      </w:pPr>
      <w:rPr>
        <w:rFonts w:ascii="Courier New" w:hAnsi="Courier New" w:cs="Courier New" w:hint="default"/>
      </w:rPr>
    </w:lvl>
    <w:lvl w:ilvl="8" w:tplc="0C070005" w:tentative="1">
      <w:start w:val="1"/>
      <w:numFmt w:val="bullet"/>
      <w:lvlText w:val=""/>
      <w:lvlJc w:val="left"/>
      <w:pPr>
        <w:ind w:left="8280" w:hanging="360"/>
      </w:pPr>
      <w:rPr>
        <w:rFonts w:ascii="Wingdings" w:hAnsi="Wingdings" w:hint="default"/>
      </w:rPr>
    </w:lvl>
  </w:abstractNum>
  <w:abstractNum w:abstractNumId="18" w15:restartNumberingAfterBreak="0">
    <w:nsid w:val="370A4BBF"/>
    <w:multiLevelType w:val="hybridMultilevel"/>
    <w:tmpl w:val="632264C2"/>
    <w:lvl w:ilvl="0" w:tplc="0C070003">
      <w:start w:val="1"/>
      <w:numFmt w:val="bullet"/>
      <w:lvlText w:val="o"/>
      <w:lvlJc w:val="left"/>
      <w:pPr>
        <w:ind w:left="720" w:hanging="360"/>
      </w:pPr>
      <w:rPr>
        <w:rFonts w:ascii="Courier New" w:hAnsi="Courier New" w:cs="Courier New" w:hint="default"/>
      </w:rPr>
    </w:lvl>
    <w:lvl w:ilvl="1" w:tplc="24287096">
      <w:start w:val="17"/>
      <w:numFmt w:val="bullet"/>
      <w:lvlText w:val="-"/>
      <w:lvlJc w:val="left"/>
      <w:pPr>
        <w:ind w:left="2160" w:hanging="360"/>
      </w:pPr>
      <w:rPr>
        <w:rFonts w:ascii="Trebuchet MS" w:eastAsia="Times New Roman" w:hAnsi="Trebuchet MS" w:cs="Times New Roman"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88C5EEA"/>
    <w:multiLevelType w:val="hybridMultilevel"/>
    <w:tmpl w:val="03F41650"/>
    <w:lvl w:ilvl="0" w:tplc="52C49CAA">
      <w:start w:val="1"/>
      <w:numFmt w:val="decimal"/>
      <w:lvlText w:val="%1."/>
      <w:lvlJc w:val="left"/>
      <w:pPr>
        <w:ind w:left="720" w:hanging="360"/>
      </w:pPr>
    </w:lvl>
    <w:lvl w:ilvl="1" w:tplc="9A7E605A">
      <w:start w:val="1"/>
      <w:numFmt w:val="lowerLetter"/>
      <w:lvlText w:val="%2."/>
      <w:lvlJc w:val="left"/>
      <w:pPr>
        <w:ind w:left="1440" w:hanging="360"/>
      </w:pPr>
    </w:lvl>
    <w:lvl w:ilvl="2" w:tplc="ECFC0F2A">
      <w:start w:val="1"/>
      <w:numFmt w:val="lowerRoman"/>
      <w:lvlText w:val="%3."/>
      <w:lvlJc w:val="right"/>
      <w:pPr>
        <w:ind w:left="2160" w:hanging="180"/>
      </w:pPr>
    </w:lvl>
    <w:lvl w:ilvl="3" w:tplc="17964472">
      <w:start w:val="1"/>
      <w:numFmt w:val="decimal"/>
      <w:lvlText w:val="%4."/>
      <w:lvlJc w:val="left"/>
      <w:pPr>
        <w:ind w:left="2880" w:hanging="360"/>
      </w:pPr>
    </w:lvl>
    <w:lvl w:ilvl="4" w:tplc="1826A8C8">
      <w:start w:val="1"/>
      <w:numFmt w:val="lowerLetter"/>
      <w:lvlText w:val="%5."/>
      <w:lvlJc w:val="left"/>
      <w:pPr>
        <w:ind w:left="3600" w:hanging="360"/>
      </w:pPr>
    </w:lvl>
    <w:lvl w:ilvl="5" w:tplc="B17EB14A">
      <w:start w:val="1"/>
      <w:numFmt w:val="lowerRoman"/>
      <w:lvlText w:val="%6."/>
      <w:lvlJc w:val="right"/>
      <w:pPr>
        <w:ind w:left="4320" w:hanging="180"/>
      </w:pPr>
    </w:lvl>
    <w:lvl w:ilvl="6" w:tplc="0DA01D1A">
      <w:start w:val="1"/>
      <w:numFmt w:val="decimal"/>
      <w:lvlText w:val="%7."/>
      <w:lvlJc w:val="left"/>
      <w:pPr>
        <w:ind w:left="5040" w:hanging="360"/>
      </w:pPr>
    </w:lvl>
    <w:lvl w:ilvl="7" w:tplc="F244CDE4">
      <w:start w:val="1"/>
      <w:numFmt w:val="lowerLetter"/>
      <w:lvlText w:val="%8."/>
      <w:lvlJc w:val="left"/>
      <w:pPr>
        <w:ind w:left="5760" w:hanging="360"/>
      </w:pPr>
    </w:lvl>
    <w:lvl w:ilvl="8" w:tplc="2E20FF52">
      <w:start w:val="1"/>
      <w:numFmt w:val="lowerRoman"/>
      <w:lvlText w:val="%9."/>
      <w:lvlJc w:val="right"/>
      <w:pPr>
        <w:ind w:left="6480" w:hanging="180"/>
      </w:pPr>
    </w:lvl>
  </w:abstractNum>
  <w:abstractNum w:abstractNumId="20" w15:restartNumberingAfterBreak="0">
    <w:nsid w:val="3BDD4CDD"/>
    <w:multiLevelType w:val="hybridMultilevel"/>
    <w:tmpl w:val="1A68862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DDB395D"/>
    <w:multiLevelType w:val="hybridMultilevel"/>
    <w:tmpl w:val="B526FF2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44BB7C21"/>
    <w:multiLevelType w:val="hybridMultilevel"/>
    <w:tmpl w:val="AF4A4C2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5EF170B"/>
    <w:multiLevelType w:val="hybridMultilevel"/>
    <w:tmpl w:val="7462482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472D44B7"/>
    <w:multiLevelType w:val="hybridMultilevel"/>
    <w:tmpl w:val="ECD0A81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5" w15:restartNumberingAfterBreak="0">
    <w:nsid w:val="4BFD7CD9"/>
    <w:multiLevelType w:val="hybridMultilevel"/>
    <w:tmpl w:val="D8164408"/>
    <w:lvl w:ilvl="0" w:tplc="F8964860">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4C4C3EC5"/>
    <w:multiLevelType w:val="hybridMultilevel"/>
    <w:tmpl w:val="AE7C4E5E"/>
    <w:lvl w:ilvl="0" w:tplc="DFA2C93C">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4C7A2BEA"/>
    <w:multiLevelType w:val="hybridMultilevel"/>
    <w:tmpl w:val="DBE6BA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582255B1"/>
    <w:multiLevelType w:val="hybridMultilevel"/>
    <w:tmpl w:val="844836D0"/>
    <w:lvl w:ilvl="0" w:tplc="24287096">
      <w:start w:val="17"/>
      <w:numFmt w:val="bullet"/>
      <w:lvlText w:val="-"/>
      <w:lvlJc w:val="left"/>
      <w:pPr>
        <w:ind w:left="2160" w:hanging="360"/>
      </w:pPr>
      <w:rPr>
        <w:rFonts w:ascii="Trebuchet MS" w:eastAsia="Times New Roman" w:hAnsi="Trebuchet MS" w:cs="Times New Roman"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29" w15:restartNumberingAfterBreak="0">
    <w:nsid w:val="58296E1E"/>
    <w:multiLevelType w:val="hybridMultilevel"/>
    <w:tmpl w:val="9404EB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BD425E7"/>
    <w:multiLevelType w:val="hybridMultilevel"/>
    <w:tmpl w:val="B34859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6595487A"/>
    <w:multiLevelType w:val="hybridMultilevel"/>
    <w:tmpl w:val="4C20EDD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669120E0"/>
    <w:multiLevelType w:val="hybridMultilevel"/>
    <w:tmpl w:val="BC5228A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6B83442A"/>
    <w:multiLevelType w:val="hybridMultilevel"/>
    <w:tmpl w:val="98FC7E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6CA70BEC"/>
    <w:multiLevelType w:val="hybridMultilevel"/>
    <w:tmpl w:val="2408A7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056618A"/>
    <w:multiLevelType w:val="hybridMultilevel"/>
    <w:tmpl w:val="92DEEEA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6" w15:restartNumberingAfterBreak="0">
    <w:nsid w:val="77682943"/>
    <w:multiLevelType w:val="hybridMultilevel"/>
    <w:tmpl w:val="CC22D6C0"/>
    <w:lvl w:ilvl="0" w:tplc="054C813A">
      <w:start w:val="1"/>
      <w:numFmt w:val="bullet"/>
      <w:lvlText w:val=""/>
      <w:lvlJc w:val="left"/>
      <w:pPr>
        <w:ind w:left="720" w:hanging="360"/>
      </w:pPr>
      <w:rPr>
        <w:rFonts w:ascii="Symbol" w:hAnsi="Symbol" w:hint="default"/>
        <w:sz w:val="22"/>
        <w:szCs w:val="2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686055750">
    <w:abstractNumId w:val="9"/>
  </w:num>
  <w:num w:numId="2" w16cid:durableId="1170679435">
    <w:abstractNumId w:val="6"/>
  </w:num>
  <w:num w:numId="3" w16cid:durableId="805201574">
    <w:abstractNumId w:val="35"/>
  </w:num>
  <w:num w:numId="4" w16cid:durableId="1174224545">
    <w:abstractNumId w:val="4"/>
  </w:num>
  <w:num w:numId="5" w16cid:durableId="1507405978">
    <w:abstractNumId w:val="17"/>
  </w:num>
  <w:num w:numId="6" w16cid:durableId="878588505">
    <w:abstractNumId w:val="26"/>
  </w:num>
  <w:num w:numId="7" w16cid:durableId="837229428">
    <w:abstractNumId w:val="18"/>
  </w:num>
  <w:num w:numId="8" w16cid:durableId="2042976082">
    <w:abstractNumId w:val="5"/>
  </w:num>
  <w:num w:numId="9" w16cid:durableId="636642400">
    <w:abstractNumId w:val="28"/>
  </w:num>
  <w:num w:numId="10" w16cid:durableId="2040161953">
    <w:abstractNumId w:val="33"/>
  </w:num>
  <w:num w:numId="11" w16cid:durableId="1286110862">
    <w:abstractNumId w:val="31"/>
  </w:num>
  <w:num w:numId="12" w16cid:durableId="933199857">
    <w:abstractNumId w:val="0"/>
  </w:num>
  <w:num w:numId="13" w16cid:durableId="905726561">
    <w:abstractNumId w:val="12"/>
  </w:num>
  <w:num w:numId="14" w16cid:durableId="438524651">
    <w:abstractNumId w:val="13"/>
  </w:num>
  <w:num w:numId="15" w16cid:durableId="1696997341">
    <w:abstractNumId w:val="7"/>
  </w:num>
  <w:num w:numId="16" w16cid:durableId="1633903082">
    <w:abstractNumId w:val="10"/>
  </w:num>
  <w:num w:numId="17" w16cid:durableId="761487746">
    <w:abstractNumId w:val="36"/>
  </w:num>
  <w:num w:numId="18" w16cid:durableId="1850412286">
    <w:abstractNumId w:val="3"/>
  </w:num>
  <w:num w:numId="19" w16cid:durableId="25177192">
    <w:abstractNumId w:val="22"/>
  </w:num>
  <w:num w:numId="20" w16cid:durableId="1225801823">
    <w:abstractNumId w:val="21"/>
  </w:num>
  <w:num w:numId="21" w16cid:durableId="304090981">
    <w:abstractNumId w:val="23"/>
  </w:num>
  <w:num w:numId="22" w16cid:durableId="1774936424">
    <w:abstractNumId w:val="1"/>
  </w:num>
  <w:num w:numId="23" w16cid:durableId="1790198386">
    <w:abstractNumId w:val="30"/>
  </w:num>
  <w:num w:numId="24" w16cid:durableId="20933157">
    <w:abstractNumId w:val="27"/>
  </w:num>
  <w:num w:numId="25" w16cid:durableId="883755617">
    <w:abstractNumId w:val="32"/>
  </w:num>
  <w:num w:numId="26" w16cid:durableId="1946502373">
    <w:abstractNumId w:val="20"/>
  </w:num>
  <w:num w:numId="27" w16cid:durableId="1480685660">
    <w:abstractNumId w:val="15"/>
  </w:num>
  <w:num w:numId="28" w16cid:durableId="391150598">
    <w:abstractNumId w:val="24"/>
  </w:num>
  <w:num w:numId="29" w16cid:durableId="1560478927">
    <w:abstractNumId w:val="8"/>
  </w:num>
  <w:num w:numId="30" w16cid:durableId="1671056148">
    <w:abstractNumId w:val="25"/>
  </w:num>
  <w:num w:numId="31" w16cid:durableId="2089885559">
    <w:abstractNumId w:val="19"/>
  </w:num>
  <w:num w:numId="32" w16cid:durableId="916280088">
    <w:abstractNumId w:val="34"/>
  </w:num>
  <w:num w:numId="33" w16cid:durableId="989208135">
    <w:abstractNumId w:val="16"/>
  </w:num>
  <w:num w:numId="34" w16cid:durableId="1310406594">
    <w:abstractNumId w:val="29"/>
  </w:num>
  <w:num w:numId="35" w16cid:durableId="864756041">
    <w:abstractNumId w:val="2"/>
  </w:num>
  <w:num w:numId="36" w16cid:durableId="148599619">
    <w:abstractNumId w:val="11"/>
  </w:num>
  <w:num w:numId="37" w16cid:durableId="21056144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6BB"/>
    <w:rsid w:val="00002CAE"/>
    <w:rsid w:val="000056F5"/>
    <w:rsid w:val="00006256"/>
    <w:rsid w:val="0000713F"/>
    <w:rsid w:val="000127E2"/>
    <w:rsid w:val="00012D1A"/>
    <w:rsid w:val="00015B32"/>
    <w:rsid w:val="00016D43"/>
    <w:rsid w:val="00035DE7"/>
    <w:rsid w:val="0003719F"/>
    <w:rsid w:val="00041E2C"/>
    <w:rsid w:val="000608E2"/>
    <w:rsid w:val="00062E52"/>
    <w:rsid w:val="000641B8"/>
    <w:rsid w:val="00071001"/>
    <w:rsid w:val="00074C50"/>
    <w:rsid w:val="00075857"/>
    <w:rsid w:val="00081F10"/>
    <w:rsid w:val="00082C8C"/>
    <w:rsid w:val="00096503"/>
    <w:rsid w:val="000A0EEE"/>
    <w:rsid w:val="000A71B3"/>
    <w:rsid w:val="000A71EA"/>
    <w:rsid w:val="000B7855"/>
    <w:rsid w:val="000C385F"/>
    <w:rsid w:val="000C4EA0"/>
    <w:rsid w:val="000D607B"/>
    <w:rsid w:val="000D7CD2"/>
    <w:rsid w:val="000E02C8"/>
    <w:rsid w:val="000E57F4"/>
    <w:rsid w:val="000F1496"/>
    <w:rsid w:val="000F55F6"/>
    <w:rsid w:val="000F69DE"/>
    <w:rsid w:val="00102604"/>
    <w:rsid w:val="00102AAB"/>
    <w:rsid w:val="00102C32"/>
    <w:rsid w:val="00102E04"/>
    <w:rsid w:val="00103E15"/>
    <w:rsid w:val="00106C6F"/>
    <w:rsid w:val="00107F0F"/>
    <w:rsid w:val="00123FF7"/>
    <w:rsid w:val="001455FF"/>
    <w:rsid w:val="00145964"/>
    <w:rsid w:val="0015182C"/>
    <w:rsid w:val="00156DAF"/>
    <w:rsid w:val="00166D5F"/>
    <w:rsid w:val="001675EA"/>
    <w:rsid w:val="00193FBA"/>
    <w:rsid w:val="001A04D8"/>
    <w:rsid w:val="001A1F7F"/>
    <w:rsid w:val="001A4052"/>
    <w:rsid w:val="001C5380"/>
    <w:rsid w:val="001E2D12"/>
    <w:rsid w:val="001E5650"/>
    <w:rsid w:val="001F25D1"/>
    <w:rsid w:val="00200EC8"/>
    <w:rsid w:val="0020107C"/>
    <w:rsid w:val="00202A94"/>
    <w:rsid w:val="00207605"/>
    <w:rsid w:val="00213287"/>
    <w:rsid w:val="00220E0E"/>
    <w:rsid w:val="00222D92"/>
    <w:rsid w:val="00226ADD"/>
    <w:rsid w:val="002272DC"/>
    <w:rsid w:val="0023020C"/>
    <w:rsid w:val="00240497"/>
    <w:rsid w:val="002535CA"/>
    <w:rsid w:val="00253970"/>
    <w:rsid w:val="00261C4B"/>
    <w:rsid w:val="00271D63"/>
    <w:rsid w:val="00277E56"/>
    <w:rsid w:val="00283BF5"/>
    <w:rsid w:val="002971D3"/>
    <w:rsid w:val="002A2E36"/>
    <w:rsid w:val="002A6A53"/>
    <w:rsid w:val="002B0611"/>
    <w:rsid w:val="002B0C5A"/>
    <w:rsid w:val="002C1E20"/>
    <w:rsid w:val="002C33A7"/>
    <w:rsid w:val="002D4063"/>
    <w:rsid w:val="002D5AE1"/>
    <w:rsid w:val="002E3053"/>
    <w:rsid w:val="002E40B7"/>
    <w:rsid w:val="002E4BD5"/>
    <w:rsid w:val="002F0431"/>
    <w:rsid w:val="003134C7"/>
    <w:rsid w:val="003258AF"/>
    <w:rsid w:val="00326AD7"/>
    <w:rsid w:val="00331C9B"/>
    <w:rsid w:val="00332EBE"/>
    <w:rsid w:val="003351AC"/>
    <w:rsid w:val="00341140"/>
    <w:rsid w:val="00353145"/>
    <w:rsid w:val="00354C94"/>
    <w:rsid w:val="00356823"/>
    <w:rsid w:val="0036292F"/>
    <w:rsid w:val="003661E7"/>
    <w:rsid w:val="0037643C"/>
    <w:rsid w:val="003779CB"/>
    <w:rsid w:val="00382B0A"/>
    <w:rsid w:val="00385222"/>
    <w:rsid w:val="003925AD"/>
    <w:rsid w:val="00396922"/>
    <w:rsid w:val="003A03DF"/>
    <w:rsid w:val="003C7BD4"/>
    <w:rsid w:val="003D1A2B"/>
    <w:rsid w:val="003D261A"/>
    <w:rsid w:val="003D53D2"/>
    <w:rsid w:val="003D621A"/>
    <w:rsid w:val="003D70C4"/>
    <w:rsid w:val="003D7AD3"/>
    <w:rsid w:val="003E3102"/>
    <w:rsid w:val="003F3096"/>
    <w:rsid w:val="003F6C84"/>
    <w:rsid w:val="003F72E9"/>
    <w:rsid w:val="003F792D"/>
    <w:rsid w:val="00405E8D"/>
    <w:rsid w:val="004064B9"/>
    <w:rsid w:val="00411B54"/>
    <w:rsid w:val="004270E2"/>
    <w:rsid w:val="00433804"/>
    <w:rsid w:val="00442A54"/>
    <w:rsid w:val="00445917"/>
    <w:rsid w:val="00446AEB"/>
    <w:rsid w:val="00446BE3"/>
    <w:rsid w:val="00450DC1"/>
    <w:rsid w:val="00450E5E"/>
    <w:rsid w:val="0045136D"/>
    <w:rsid w:val="00454F8D"/>
    <w:rsid w:val="00464A78"/>
    <w:rsid w:val="00470A23"/>
    <w:rsid w:val="00471400"/>
    <w:rsid w:val="00482ED1"/>
    <w:rsid w:val="00484B00"/>
    <w:rsid w:val="004A0C5F"/>
    <w:rsid w:val="004A2074"/>
    <w:rsid w:val="004C5BD9"/>
    <w:rsid w:val="004D5B87"/>
    <w:rsid w:val="004F01C6"/>
    <w:rsid w:val="004F23C4"/>
    <w:rsid w:val="005073AE"/>
    <w:rsid w:val="005154D9"/>
    <w:rsid w:val="005246B6"/>
    <w:rsid w:val="00527B54"/>
    <w:rsid w:val="00531490"/>
    <w:rsid w:val="00532C68"/>
    <w:rsid w:val="005344F4"/>
    <w:rsid w:val="005464E0"/>
    <w:rsid w:val="00547A59"/>
    <w:rsid w:val="005501F5"/>
    <w:rsid w:val="005534B9"/>
    <w:rsid w:val="005625A7"/>
    <w:rsid w:val="00582502"/>
    <w:rsid w:val="00596D89"/>
    <w:rsid w:val="005A7E33"/>
    <w:rsid w:val="005B0909"/>
    <w:rsid w:val="005B46D0"/>
    <w:rsid w:val="005B7474"/>
    <w:rsid w:val="005B7B2B"/>
    <w:rsid w:val="005C5376"/>
    <w:rsid w:val="005C5DC0"/>
    <w:rsid w:val="005D0BA5"/>
    <w:rsid w:val="005D282D"/>
    <w:rsid w:val="005D3BF4"/>
    <w:rsid w:val="005D6B25"/>
    <w:rsid w:val="005D714A"/>
    <w:rsid w:val="005D7FBC"/>
    <w:rsid w:val="005E317C"/>
    <w:rsid w:val="005F6829"/>
    <w:rsid w:val="0060498F"/>
    <w:rsid w:val="00617DBA"/>
    <w:rsid w:val="00626C2B"/>
    <w:rsid w:val="00631FED"/>
    <w:rsid w:val="006327CF"/>
    <w:rsid w:val="00640476"/>
    <w:rsid w:val="00642256"/>
    <w:rsid w:val="0064273E"/>
    <w:rsid w:val="00662F3F"/>
    <w:rsid w:val="0066391E"/>
    <w:rsid w:val="00665515"/>
    <w:rsid w:val="00667712"/>
    <w:rsid w:val="00693C90"/>
    <w:rsid w:val="006967E0"/>
    <w:rsid w:val="0069759C"/>
    <w:rsid w:val="006A6454"/>
    <w:rsid w:val="006A78D2"/>
    <w:rsid w:val="006B1064"/>
    <w:rsid w:val="006B464D"/>
    <w:rsid w:val="006C0AD9"/>
    <w:rsid w:val="006C3CB5"/>
    <w:rsid w:val="006D58B7"/>
    <w:rsid w:val="006D6B4E"/>
    <w:rsid w:val="006E0005"/>
    <w:rsid w:val="006E1B06"/>
    <w:rsid w:val="006E2E0E"/>
    <w:rsid w:val="006E5EB7"/>
    <w:rsid w:val="006E6936"/>
    <w:rsid w:val="006F2C6D"/>
    <w:rsid w:val="007050C2"/>
    <w:rsid w:val="0072603E"/>
    <w:rsid w:val="00733E21"/>
    <w:rsid w:val="007370B8"/>
    <w:rsid w:val="00737458"/>
    <w:rsid w:val="00741FC0"/>
    <w:rsid w:val="00744E03"/>
    <w:rsid w:val="00746591"/>
    <w:rsid w:val="007475BD"/>
    <w:rsid w:val="0075635E"/>
    <w:rsid w:val="007572B2"/>
    <w:rsid w:val="00757D59"/>
    <w:rsid w:val="007624B1"/>
    <w:rsid w:val="00764C39"/>
    <w:rsid w:val="00765216"/>
    <w:rsid w:val="00765322"/>
    <w:rsid w:val="00773EE0"/>
    <w:rsid w:val="007764E3"/>
    <w:rsid w:val="007766FC"/>
    <w:rsid w:val="00780333"/>
    <w:rsid w:val="00782F87"/>
    <w:rsid w:val="00786DF5"/>
    <w:rsid w:val="007A6524"/>
    <w:rsid w:val="007C0666"/>
    <w:rsid w:val="007D472B"/>
    <w:rsid w:val="007E1A50"/>
    <w:rsid w:val="007E2915"/>
    <w:rsid w:val="007E3271"/>
    <w:rsid w:val="007F07FE"/>
    <w:rsid w:val="007F0DCC"/>
    <w:rsid w:val="007F4462"/>
    <w:rsid w:val="007F47AD"/>
    <w:rsid w:val="008042C9"/>
    <w:rsid w:val="00813C58"/>
    <w:rsid w:val="00813D37"/>
    <w:rsid w:val="008206A3"/>
    <w:rsid w:val="00822213"/>
    <w:rsid w:val="00831F79"/>
    <w:rsid w:val="00835A38"/>
    <w:rsid w:val="008401B3"/>
    <w:rsid w:val="00841B66"/>
    <w:rsid w:val="00845635"/>
    <w:rsid w:val="0085384E"/>
    <w:rsid w:val="0085473E"/>
    <w:rsid w:val="0085688E"/>
    <w:rsid w:val="00861D96"/>
    <w:rsid w:val="00864BB9"/>
    <w:rsid w:val="00870AF0"/>
    <w:rsid w:val="0087385E"/>
    <w:rsid w:val="00873B28"/>
    <w:rsid w:val="00873CCE"/>
    <w:rsid w:val="00875856"/>
    <w:rsid w:val="008862DB"/>
    <w:rsid w:val="00886998"/>
    <w:rsid w:val="00897409"/>
    <w:rsid w:val="008A0FF8"/>
    <w:rsid w:val="008A24DF"/>
    <w:rsid w:val="008A713B"/>
    <w:rsid w:val="008B3B02"/>
    <w:rsid w:val="008B46EE"/>
    <w:rsid w:val="008C5CC7"/>
    <w:rsid w:val="008C62EC"/>
    <w:rsid w:val="008D08A5"/>
    <w:rsid w:val="008D6D1E"/>
    <w:rsid w:val="008F40A5"/>
    <w:rsid w:val="0090586A"/>
    <w:rsid w:val="00905D69"/>
    <w:rsid w:val="00915F51"/>
    <w:rsid w:val="0091731A"/>
    <w:rsid w:val="00947228"/>
    <w:rsid w:val="00951D89"/>
    <w:rsid w:val="00954E0A"/>
    <w:rsid w:val="00964715"/>
    <w:rsid w:val="00976333"/>
    <w:rsid w:val="00982719"/>
    <w:rsid w:val="00990658"/>
    <w:rsid w:val="009A789A"/>
    <w:rsid w:val="009B14CE"/>
    <w:rsid w:val="009B1EBE"/>
    <w:rsid w:val="009C58B4"/>
    <w:rsid w:val="009D2944"/>
    <w:rsid w:val="009D6188"/>
    <w:rsid w:val="009F7963"/>
    <w:rsid w:val="00A01D86"/>
    <w:rsid w:val="00A04226"/>
    <w:rsid w:val="00A07A71"/>
    <w:rsid w:val="00A17B8C"/>
    <w:rsid w:val="00A20932"/>
    <w:rsid w:val="00A26AF1"/>
    <w:rsid w:val="00A30D99"/>
    <w:rsid w:val="00A36A73"/>
    <w:rsid w:val="00A40993"/>
    <w:rsid w:val="00A40F7B"/>
    <w:rsid w:val="00A44660"/>
    <w:rsid w:val="00A646F8"/>
    <w:rsid w:val="00A675D0"/>
    <w:rsid w:val="00A741F1"/>
    <w:rsid w:val="00A76C23"/>
    <w:rsid w:val="00A77064"/>
    <w:rsid w:val="00A8397F"/>
    <w:rsid w:val="00A90F8A"/>
    <w:rsid w:val="00AA0BE0"/>
    <w:rsid w:val="00AC1901"/>
    <w:rsid w:val="00AC215F"/>
    <w:rsid w:val="00AC28F5"/>
    <w:rsid w:val="00AC5E74"/>
    <w:rsid w:val="00AC617A"/>
    <w:rsid w:val="00AD057B"/>
    <w:rsid w:val="00AD104F"/>
    <w:rsid w:val="00AD16CA"/>
    <w:rsid w:val="00AD6225"/>
    <w:rsid w:val="00AE2B70"/>
    <w:rsid w:val="00AF0948"/>
    <w:rsid w:val="00B00BA6"/>
    <w:rsid w:val="00B05EEA"/>
    <w:rsid w:val="00B158EE"/>
    <w:rsid w:val="00B172D4"/>
    <w:rsid w:val="00B20F70"/>
    <w:rsid w:val="00B259C5"/>
    <w:rsid w:val="00B27DDA"/>
    <w:rsid w:val="00B30C0F"/>
    <w:rsid w:val="00B313B9"/>
    <w:rsid w:val="00B31B15"/>
    <w:rsid w:val="00B33663"/>
    <w:rsid w:val="00B3531E"/>
    <w:rsid w:val="00B56534"/>
    <w:rsid w:val="00B83F56"/>
    <w:rsid w:val="00B872A5"/>
    <w:rsid w:val="00B95721"/>
    <w:rsid w:val="00BA1C24"/>
    <w:rsid w:val="00BA48CC"/>
    <w:rsid w:val="00BA51E2"/>
    <w:rsid w:val="00BB4B43"/>
    <w:rsid w:val="00BB5056"/>
    <w:rsid w:val="00BB6754"/>
    <w:rsid w:val="00BC1A2D"/>
    <w:rsid w:val="00BC2477"/>
    <w:rsid w:val="00BC6C12"/>
    <w:rsid w:val="00BD35DF"/>
    <w:rsid w:val="00BD39D5"/>
    <w:rsid w:val="00BD5142"/>
    <w:rsid w:val="00BD567B"/>
    <w:rsid w:val="00BE1A89"/>
    <w:rsid w:val="00BE3F95"/>
    <w:rsid w:val="00BE717D"/>
    <w:rsid w:val="00BE79A7"/>
    <w:rsid w:val="00BF2B69"/>
    <w:rsid w:val="00BF312C"/>
    <w:rsid w:val="00C009D1"/>
    <w:rsid w:val="00C04A90"/>
    <w:rsid w:val="00C07FB4"/>
    <w:rsid w:val="00C10E89"/>
    <w:rsid w:val="00C160EC"/>
    <w:rsid w:val="00C17B81"/>
    <w:rsid w:val="00C25406"/>
    <w:rsid w:val="00C36B74"/>
    <w:rsid w:val="00C41A97"/>
    <w:rsid w:val="00C42CFE"/>
    <w:rsid w:val="00C51E2B"/>
    <w:rsid w:val="00C5329E"/>
    <w:rsid w:val="00C65C5C"/>
    <w:rsid w:val="00C779A5"/>
    <w:rsid w:val="00C83D7A"/>
    <w:rsid w:val="00C8448C"/>
    <w:rsid w:val="00CB1F99"/>
    <w:rsid w:val="00CB4B04"/>
    <w:rsid w:val="00CB71CB"/>
    <w:rsid w:val="00CC56F1"/>
    <w:rsid w:val="00CD434B"/>
    <w:rsid w:val="00CD6209"/>
    <w:rsid w:val="00CD7345"/>
    <w:rsid w:val="00CE4DF9"/>
    <w:rsid w:val="00CE7A80"/>
    <w:rsid w:val="00CF5188"/>
    <w:rsid w:val="00CF54DF"/>
    <w:rsid w:val="00D00A67"/>
    <w:rsid w:val="00D00D00"/>
    <w:rsid w:val="00D10647"/>
    <w:rsid w:val="00D15CA5"/>
    <w:rsid w:val="00D230F7"/>
    <w:rsid w:val="00D237BC"/>
    <w:rsid w:val="00D306BB"/>
    <w:rsid w:val="00D314FD"/>
    <w:rsid w:val="00D4620F"/>
    <w:rsid w:val="00D4732E"/>
    <w:rsid w:val="00D5367E"/>
    <w:rsid w:val="00D55033"/>
    <w:rsid w:val="00D55BF3"/>
    <w:rsid w:val="00D60841"/>
    <w:rsid w:val="00D615F1"/>
    <w:rsid w:val="00D62C0B"/>
    <w:rsid w:val="00D6384B"/>
    <w:rsid w:val="00D710D2"/>
    <w:rsid w:val="00D8453B"/>
    <w:rsid w:val="00D86C87"/>
    <w:rsid w:val="00D90FF5"/>
    <w:rsid w:val="00D956B6"/>
    <w:rsid w:val="00D96F6A"/>
    <w:rsid w:val="00DA37ED"/>
    <w:rsid w:val="00DA4BB8"/>
    <w:rsid w:val="00DA5D6E"/>
    <w:rsid w:val="00DB3E70"/>
    <w:rsid w:val="00DB446C"/>
    <w:rsid w:val="00DB65F5"/>
    <w:rsid w:val="00DB6699"/>
    <w:rsid w:val="00DB79D5"/>
    <w:rsid w:val="00DC7BC0"/>
    <w:rsid w:val="00DD11C1"/>
    <w:rsid w:val="00DD288B"/>
    <w:rsid w:val="00DD6B4B"/>
    <w:rsid w:val="00DE516A"/>
    <w:rsid w:val="00DE5505"/>
    <w:rsid w:val="00DE7501"/>
    <w:rsid w:val="00DF0080"/>
    <w:rsid w:val="00DF3287"/>
    <w:rsid w:val="00E062AA"/>
    <w:rsid w:val="00E11A80"/>
    <w:rsid w:val="00E33347"/>
    <w:rsid w:val="00E3381F"/>
    <w:rsid w:val="00E33954"/>
    <w:rsid w:val="00E50617"/>
    <w:rsid w:val="00E51955"/>
    <w:rsid w:val="00E51FD3"/>
    <w:rsid w:val="00E57018"/>
    <w:rsid w:val="00E70AE7"/>
    <w:rsid w:val="00E736C4"/>
    <w:rsid w:val="00E76A26"/>
    <w:rsid w:val="00E778D0"/>
    <w:rsid w:val="00E8086C"/>
    <w:rsid w:val="00E80945"/>
    <w:rsid w:val="00E95F0C"/>
    <w:rsid w:val="00EA367F"/>
    <w:rsid w:val="00EA3EE5"/>
    <w:rsid w:val="00EA4A57"/>
    <w:rsid w:val="00EB42A2"/>
    <w:rsid w:val="00EB432D"/>
    <w:rsid w:val="00EB5344"/>
    <w:rsid w:val="00EC23DE"/>
    <w:rsid w:val="00EC5392"/>
    <w:rsid w:val="00EC5E56"/>
    <w:rsid w:val="00EC6603"/>
    <w:rsid w:val="00ED110F"/>
    <w:rsid w:val="00ED26B7"/>
    <w:rsid w:val="00EE0505"/>
    <w:rsid w:val="00EE25FD"/>
    <w:rsid w:val="00EE3F9B"/>
    <w:rsid w:val="00F11A35"/>
    <w:rsid w:val="00F12014"/>
    <w:rsid w:val="00F2629E"/>
    <w:rsid w:val="00F31D66"/>
    <w:rsid w:val="00F325D3"/>
    <w:rsid w:val="00F35F7E"/>
    <w:rsid w:val="00F417CD"/>
    <w:rsid w:val="00F45B5D"/>
    <w:rsid w:val="00F56473"/>
    <w:rsid w:val="00F57A62"/>
    <w:rsid w:val="00F667E7"/>
    <w:rsid w:val="00F7001B"/>
    <w:rsid w:val="00F723C7"/>
    <w:rsid w:val="00F80B86"/>
    <w:rsid w:val="00F86929"/>
    <w:rsid w:val="00F94622"/>
    <w:rsid w:val="00FA68C6"/>
    <w:rsid w:val="00FA7B80"/>
    <w:rsid w:val="00FB3022"/>
    <w:rsid w:val="00FB5F64"/>
    <w:rsid w:val="00FC6679"/>
    <w:rsid w:val="00FD3DA0"/>
    <w:rsid w:val="00FE13A5"/>
    <w:rsid w:val="00FF282E"/>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4F9C8"/>
  <w15:chartTrackingRefBased/>
  <w15:docId w15:val="{B6FD80F8-1A75-4D27-8DFE-E1D62A82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06BB"/>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Listenabsatz">
    <w:name w:val="List Paragraph"/>
    <w:aliases w:val="List Paragraph Main,List first level,Paragraphe EI,Paragraphe de liste1,EC,List Paragraph,Bullet Points,Colorful List - Accent 11,Dot pt,F5 List Paragraph,Indicator Text,List Paragraph Char Char Char,List Paragraph11,List Paragraph2"/>
    <w:basedOn w:val="Standard"/>
    <w:link w:val="ListenabsatzZchn"/>
    <w:uiPriority w:val="34"/>
    <w:qFormat/>
    <w:rsid w:val="00D306BB"/>
    <w:pPr>
      <w:ind w:left="720"/>
      <w:contextualSpacing/>
    </w:pPr>
  </w:style>
  <w:style w:type="character" w:customStyle="1" w:styleId="ListenabsatzZchn">
    <w:name w:val="Listenabsatz Zchn"/>
    <w:aliases w:val="List Paragraph Main Zchn,List first level Zchn,Paragraphe EI Zchn,Paragraphe de liste1 Zchn,EC Zchn,List Paragraph Zchn,Bullet Points Zchn,Colorful List - Accent 11 Zchn,Dot pt Zchn,F5 List Paragraph Zchn,Indicator Text Zchn"/>
    <w:basedOn w:val="Absatz-Standardschriftart"/>
    <w:link w:val="Listenabsatz"/>
    <w:uiPriority w:val="34"/>
    <w:locked/>
    <w:rsid w:val="00D306BB"/>
    <w:rPr>
      <w:rFonts w:ascii="Trebuchet MS" w:hAnsi="Trebuchet MS" w:cs="Times New Roman"/>
      <w:szCs w:val="20"/>
      <w:lang w:val="de-DE" w:eastAsia="de-DE"/>
    </w:rPr>
  </w:style>
  <w:style w:type="paragraph" w:styleId="berarbeitung">
    <w:name w:val="Revision"/>
    <w:hidden/>
    <w:uiPriority w:val="99"/>
    <w:semiHidden/>
    <w:rsid w:val="00A8397F"/>
    <w:pPr>
      <w:spacing w:line="240" w:lineRule="auto"/>
    </w:pPr>
    <w:rPr>
      <w:rFonts w:ascii="Trebuchet MS" w:hAnsi="Trebuchet MS" w:cs="Times New Roman"/>
      <w:szCs w:val="20"/>
      <w:lang w:val="de-DE" w:eastAsia="de-DE"/>
    </w:rPr>
  </w:style>
  <w:style w:type="paragraph" w:styleId="Kopfzeile">
    <w:name w:val="header"/>
    <w:basedOn w:val="Standard"/>
    <w:link w:val="KopfzeileZchn"/>
    <w:uiPriority w:val="99"/>
    <w:unhideWhenUsed/>
    <w:rsid w:val="007F446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F4462"/>
    <w:rPr>
      <w:rFonts w:ascii="Trebuchet MS" w:hAnsi="Trebuchet MS" w:cs="Times New Roman"/>
      <w:szCs w:val="20"/>
      <w:lang w:val="de-DE" w:eastAsia="de-DE"/>
    </w:rPr>
  </w:style>
  <w:style w:type="paragraph" w:styleId="Fuzeile">
    <w:name w:val="footer"/>
    <w:basedOn w:val="Standard"/>
    <w:link w:val="FuzeileZchn"/>
    <w:uiPriority w:val="99"/>
    <w:unhideWhenUsed/>
    <w:rsid w:val="007F446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F4462"/>
    <w:rPr>
      <w:rFonts w:ascii="Trebuchet MS" w:hAnsi="Trebuchet MS" w:cs="Times New Roman"/>
      <w:szCs w:val="20"/>
      <w:lang w:val="de-DE" w:eastAsia="de-DE"/>
    </w:rPr>
  </w:style>
  <w:style w:type="character" w:styleId="Hyperlink">
    <w:name w:val="Hyperlink"/>
    <w:basedOn w:val="Absatz-Standardschriftart"/>
    <w:uiPriority w:val="99"/>
    <w:semiHidden/>
    <w:unhideWhenUsed/>
    <w:rsid w:val="00DA4BB8"/>
    <w:rPr>
      <w:color w:val="0000FF"/>
      <w:u w:val="single"/>
    </w:rPr>
  </w:style>
  <w:style w:type="character" w:styleId="Hervorhebung">
    <w:name w:val="Emphasis"/>
    <w:basedOn w:val="Absatz-Standardschriftart"/>
    <w:uiPriority w:val="20"/>
    <w:qFormat/>
    <w:rsid w:val="003D53D2"/>
    <w:rPr>
      <w:i/>
      <w:iCs/>
    </w:rPr>
  </w:style>
  <w:style w:type="paragraph" w:customStyle="1" w:styleId="xxmsonormal">
    <w:name w:val="x_xmsonormal"/>
    <w:basedOn w:val="Standard"/>
    <w:rsid w:val="00450E5E"/>
    <w:pPr>
      <w:spacing w:line="240" w:lineRule="auto"/>
    </w:pPr>
    <w:rPr>
      <w:rFonts w:ascii="Calibri" w:eastAsiaTheme="minorHAnsi" w:hAnsi="Calibri" w:cs="Calibri"/>
      <w:szCs w:val="22"/>
      <w:lang w:val="de-AT" w:eastAsia="de-AT"/>
    </w:rPr>
  </w:style>
  <w:style w:type="paragraph" w:styleId="StandardWeb">
    <w:name w:val="Normal (Web)"/>
    <w:basedOn w:val="Standard"/>
    <w:uiPriority w:val="99"/>
    <w:semiHidden/>
    <w:unhideWhenUsed/>
    <w:rsid w:val="007F07FE"/>
    <w:pPr>
      <w:spacing w:before="100" w:beforeAutospacing="1" w:after="100" w:afterAutospacing="1" w:line="240" w:lineRule="auto"/>
    </w:pPr>
    <w:rPr>
      <w:rFonts w:ascii="Calibri" w:eastAsiaTheme="minorHAnsi" w:hAnsi="Calibri" w:cs="Calibri"/>
      <w:szCs w:val="22"/>
      <w:lang w:val="de-AT" w:eastAsia="de-AT"/>
    </w:rPr>
  </w:style>
  <w:style w:type="character" w:styleId="Funotenzeichen">
    <w:name w:val="footnote reference"/>
    <w:basedOn w:val="Absatz-Standardschriftart"/>
    <w:uiPriority w:val="99"/>
    <w:semiHidden/>
    <w:unhideWhenUsed/>
    <w:rsid w:val="001A40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7843">
      <w:bodyDiv w:val="1"/>
      <w:marLeft w:val="0"/>
      <w:marRight w:val="0"/>
      <w:marTop w:val="0"/>
      <w:marBottom w:val="0"/>
      <w:divBdr>
        <w:top w:val="none" w:sz="0" w:space="0" w:color="auto"/>
        <w:left w:val="none" w:sz="0" w:space="0" w:color="auto"/>
        <w:bottom w:val="none" w:sz="0" w:space="0" w:color="auto"/>
        <w:right w:val="none" w:sz="0" w:space="0" w:color="auto"/>
      </w:divBdr>
      <w:divsChild>
        <w:div w:id="1920290348">
          <w:marLeft w:val="0"/>
          <w:marRight w:val="0"/>
          <w:marTop w:val="0"/>
          <w:marBottom w:val="0"/>
          <w:divBdr>
            <w:top w:val="none" w:sz="0" w:space="0" w:color="auto"/>
            <w:left w:val="none" w:sz="0" w:space="0" w:color="auto"/>
            <w:bottom w:val="none" w:sz="0" w:space="0" w:color="auto"/>
            <w:right w:val="none" w:sz="0" w:space="0" w:color="auto"/>
          </w:divBdr>
          <w:divsChild>
            <w:div w:id="12924795">
              <w:marLeft w:val="0"/>
              <w:marRight w:val="0"/>
              <w:marTop w:val="0"/>
              <w:marBottom w:val="0"/>
              <w:divBdr>
                <w:top w:val="none" w:sz="0" w:space="0" w:color="auto"/>
                <w:left w:val="none" w:sz="0" w:space="0" w:color="auto"/>
                <w:bottom w:val="none" w:sz="0" w:space="0" w:color="auto"/>
                <w:right w:val="none" w:sz="0" w:space="0" w:color="auto"/>
              </w:divBdr>
              <w:divsChild>
                <w:div w:id="1745255840">
                  <w:marLeft w:val="0"/>
                  <w:marRight w:val="0"/>
                  <w:marTop w:val="0"/>
                  <w:marBottom w:val="0"/>
                  <w:divBdr>
                    <w:top w:val="none" w:sz="0" w:space="0" w:color="auto"/>
                    <w:left w:val="none" w:sz="0" w:space="0" w:color="auto"/>
                    <w:bottom w:val="none" w:sz="0" w:space="0" w:color="auto"/>
                    <w:right w:val="none" w:sz="0" w:space="0" w:color="auto"/>
                  </w:divBdr>
                  <w:divsChild>
                    <w:div w:id="5060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317531">
      <w:bodyDiv w:val="1"/>
      <w:marLeft w:val="0"/>
      <w:marRight w:val="0"/>
      <w:marTop w:val="0"/>
      <w:marBottom w:val="0"/>
      <w:divBdr>
        <w:top w:val="none" w:sz="0" w:space="0" w:color="auto"/>
        <w:left w:val="none" w:sz="0" w:space="0" w:color="auto"/>
        <w:bottom w:val="none" w:sz="0" w:space="0" w:color="auto"/>
        <w:right w:val="none" w:sz="0" w:space="0" w:color="auto"/>
      </w:divBdr>
    </w:div>
    <w:div w:id="749473527">
      <w:bodyDiv w:val="1"/>
      <w:marLeft w:val="0"/>
      <w:marRight w:val="0"/>
      <w:marTop w:val="0"/>
      <w:marBottom w:val="0"/>
      <w:divBdr>
        <w:top w:val="none" w:sz="0" w:space="0" w:color="auto"/>
        <w:left w:val="none" w:sz="0" w:space="0" w:color="auto"/>
        <w:bottom w:val="none" w:sz="0" w:space="0" w:color="auto"/>
        <w:right w:val="none" w:sz="0" w:space="0" w:color="auto"/>
      </w:divBdr>
    </w:div>
    <w:div w:id="767314620">
      <w:bodyDiv w:val="1"/>
      <w:marLeft w:val="0"/>
      <w:marRight w:val="0"/>
      <w:marTop w:val="0"/>
      <w:marBottom w:val="0"/>
      <w:divBdr>
        <w:top w:val="none" w:sz="0" w:space="0" w:color="auto"/>
        <w:left w:val="none" w:sz="0" w:space="0" w:color="auto"/>
        <w:bottom w:val="none" w:sz="0" w:space="0" w:color="auto"/>
        <w:right w:val="none" w:sz="0" w:space="0" w:color="auto"/>
      </w:divBdr>
    </w:div>
    <w:div w:id="867183745">
      <w:bodyDiv w:val="1"/>
      <w:marLeft w:val="0"/>
      <w:marRight w:val="0"/>
      <w:marTop w:val="0"/>
      <w:marBottom w:val="0"/>
      <w:divBdr>
        <w:top w:val="none" w:sz="0" w:space="0" w:color="auto"/>
        <w:left w:val="none" w:sz="0" w:space="0" w:color="auto"/>
        <w:bottom w:val="none" w:sz="0" w:space="0" w:color="auto"/>
        <w:right w:val="none" w:sz="0" w:space="0" w:color="auto"/>
      </w:divBdr>
    </w:div>
    <w:div w:id="902258803">
      <w:bodyDiv w:val="1"/>
      <w:marLeft w:val="0"/>
      <w:marRight w:val="0"/>
      <w:marTop w:val="0"/>
      <w:marBottom w:val="0"/>
      <w:divBdr>
        <w:top w:val="none" w:sz="0" w:space="0" w:color="auto"/>
        <w:left w:val="none" w:sz="0" w:space="0" w:color="auto"/>
        <w:bottom w:val="none" w:sz="0" w:space="0" w:color="auto"/>
        <w:right w:val="none" w:sz="0" w:space="0" w:color="auto"/>
      </w:divBdr>
    </w:div>
    <w:div w:id="1335493192">
      <w:bodyDiv w:val="1"/>
      <w:marLeft w:val="0"/>
      <w:marRight w:val="0"/>
      <w:marTop w:val="0"/>
      <w:marBottom w:val="0"/>
      <w:divBdr>
        <w:top w:val="none" w:sz="0" w:space="0" w:color="auto"/>
        <w:left w:val="none" w:sz="0" w:space="0" w:color="auto"/>
        <w:bottom w:val="none" w:sz="0" w:space="0" w:color="auto"/>
        <w:right w:val="none" w:sz="0" w:space="0" w:color="auto"/>
      </w:divBdr>
      <w:divsChild>
        <w:div w:id="1888907821">
          <w:marLeft w:val="0"/>
          <w:marRight w:val="0"/>
          <w:marTop w:val="0"/>
          <w:marBottom w:val="0"/>
          <w:divBdr>
            <w:top w:val="none" w:sz="0" w:space="0" w:color="auto"/>
            <w:left w:val="none" w:sz="0" w:space="0" w:color="auto"/>
            <w:bottom w:val="none" w:sz="0" w:space="0" w:color="auto"/>
            <w:right w:val="none" w:sz="0" w:space="0" w:color="auto"/>
          </w:divBdr>
          <w:divsChild>
            <w:div w:id="1523546931">
              <w:marLeft w:val="0"/>
              <w:marRight w:val="0"/>
              <w:marTop w:val="0"/>
              <w:marBottom w:val="0"/>
              <w:divBdr>
                <w:top w:val="none" w:sz="0" w:space="0" w:color="auto"/>
                <w:left w:val="none" w:sz="0" w:space="0" w:color="auto"/>
                <w:bottom w:val="none" w:sz="0" w:space="0" w:color="auto"/>
                <w:right w:val="none" w:sz="0" w:space="0" w:color="auto"/>
              </w:divBdr>
              <w:divsChild>
                <w:div w:id="550461763">
                  <w:marLeft w:val="0"/>
                  <w:marRight w:val="0"/>
                  <w:marTop w:val="0"/>
                  <w:marBottom w:val="0"/>
                  <w:divBdr>
                    <w:top w:val="none" w:sz="0" w:space="0" w:color="auto"/>
                    <w:left w:val="none" w:sz="0" w:space="0" w:color="auto"/>
                    <w:bottom w:val="none" w:sz="0" w:space="0" w:color="auto"/>
                    <w:right w:val="none" w:sz="0" w:space="0" w:color="auto"/>
                  </w:divBdr>
                  <w:divsChild>
                    <w:div w:id="95502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72242">
      <w:bodyDiv w:val="1"/>
      <w:marLeft w:val="0"/>
      <w:marRight w:val="0"/>
      <w:marTop w:val="0"/>
      <w:marBottom w:val="0"/>
      <w:divBdr>
        <w:top w:val="none" w:sz="0" w:space="0" w:color="auto"/>
        <w:left w:val="none" w:sz="0" w:space="0" w:color="auto"/>
        <w:bottom w:val="none" w:sz="0" w:space="0" w:color="auto"/>
        <w:right w:val="none" w:sz="0" w:space="0" w:color="auto"/>
      </w:divBdr>
    </w:div>
    <w:div w:id="1917594870">
      <w:bodyDiv w:val="1"/>
      <w:marLeft w:val="0"/>
      <w:marRight w:val="0"/>
      <w:marTop w:val="0"/>
      <w:marBottom w:val="0"/>
      <w:divBdr>
        <w:top w:val="none" w:sz="0" w:space="0" w:color="auto"/>
        <w:left w:val="none" w:sz="0" w:space="0" w:color="auto"/>
        <w:bottom w:val="none" w:sz="0" w:space="0" w:color="auto"/>
        <w:right w:val="none" w:sz="0" w:space="0" w:color="auto"/>
      </w:divBdr>
    </w:div>
    <w:div w:id="208391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F58735FE02C464E988DCE4466142512" ma:contentTypeVersion="4" ma:contentTypeDescription="Ein neues Dokument erstellen." ma:contentTypeScope="" ma:versionID="4a5bf9938d035bd641413633624ad42a">
  <xsd:schema xmlns:xsd="http://www.w3.org/2001/XMLSchema" xmlns:xs="http://www.w3.org/2001/XMLSchema" xmlns:p="http://schemas.microsoft.com/office/2006/metadata/properties" xmlns:ns1="http://schemas.microsoft.com/sharepoint/v3" xmlns:ns2="3f0ca330-48cc-46e5-800c-36a6e697f15d" xmlns:ns3="93d5e4e3-7a1f-42c7-9998-c78b810670d3" targetNamespace="http://schemas.microsoft.com/office/2006/metadata/properties" ma:root="true" ma:fieldsID="bfc1f0689147513c510cbc7f6486dee0" ns1:_="" ns2:_="" ns3:_="">
    <xsd:import namespace="http://schemas.microsoft.com/sharepoint/v3"/>
    <xsd:import namespace="3f0ca330-48cc-46e5-800c-36a6e697f15d"/>
    <xsd:import namespace="93d5e4e3-7a1f-42c7-9998-c78b810670d3"/>
    <xsd:element name="properties">
      <xsd:complexType>
        <xsd:sequence>
          <xsd:element name="documentManagement">
            <xsd:complexType>
              <xsd:all>
                <xsd:element ref="ns1:PublishingStartDate" minOccurs="0"/>
                <xsd:element ref="ns1:PublishingExpirationDate" minOccurs="0"/>
                <xsd:element ref="ns2:fe4c2041fb2741f881b05524cd6d930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0ca330-48cc-46e5-800c-36a6e697f15d" elementFormDefault="qualified">
    <xsd:import namespace="http://schemas.microsoft.com/office/2006/documentManagement/types"/>
    <xsd:import namespace="http://schemas.microsoft.com/office/infopath/2007/PartnerControls"/>
    <xsd:element name="fe4c2041fb2741f881b05524cd6d9300" ma:index="11" nillable="true" ma:taxonomy="true" ma:internalName="fe4c2041fb2741f881b05524cd6d9300" ma:taxonomyFieldName="Wiki_x0020_Categories" ma:displayName="Wiki Categories" ma:indexed="true" ma:default="" ma:fieldId="{fe4c2041-fb27-41f8-81b0-5524cd6d9300}" ma:sspId="baf87a8b-6281-4a93-a3d6-06013b5ab2f5" ma:termSetId="64797273-dd38-4d2b-9290-c907984a9e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d5e4e3-7a1f-42c7-9998-c78b810670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b97ceb-b1be-46d1-8e6a-46982f1b4378}" ma:internalName="TaxCatchAll" ma:showField="CatchAllData" ma:web="93d5e4e3-7a1f-42c7-9998-c78b81067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3d5e4e3-7a1f-42c7-9998-c78b810670d3"/>
    <PublishingExpirationDate xmlns="http://schemas.microsoft.com/sharepoint/v3" xsi:nil="true"/>
    <fe4c2041fb2741f881b05524cd6d9300 xmlns="3f0ca330-48cc-46e5-800c-36a6e697f15d">
      <Terms xmlns="http://schemas.microsoft.com/office/infopath/2007/PartnerControls"/>
    </fe4c2041fb2741f881b05524cd6d9300>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4AE2A-A087-4B5B-9508-74D964A8BBBD}">
  <ds:schemaRefs>
    <ds:schemaRef ds:uri="http://schemas.microsoft.com/sharepoint/v3/contenttype/forms"/>
  </ds:schemaRefs>
</ds:datastoreItem>
</file>

<file path=customXml/itemProps2.xml><?xml version="1.0" encoding="utf-8"?>
<ds:datastoreItem xmlns:ds="http://schemas.openxmlformats.org/officeDocument/2006/customXml" ds:itemID="{C981A5D7-C967-4D72-BF3E-7D7C2004C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0ca330-48cc-46e5-800c-36a6e697f15d"/>
    <ds:schemaRef ds:uri="93d5e4e3-7a1f-42c7-9998-c78b8106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93C76D-0CC9-4E82-8610-A3A81DED655B}">
  <ds:schemaRefs>
    <ds:schemaRef ds:uri="http://schemas.microsoft.com/office/2006/metadata/properties"/>
    <ds:schemaRef ds:uri="http://schemas.microsoft.com/office/infopath/2007/PartnerControls"/>
    <ds:schemaRef ds:uri="93d5e4e3-7a1f-42c7-9998-c78b810670d3"/>
    <ds:schemaRef ds:uri="http://schemas.microsoft.com/sharepoint/v3"/>
    <ds:schemaRef ds:uri="3f0ca330-48cc-46e5-800c-36a6e697f15d"/>
  </ds:schemaRefs>
</ds:datastoreItem>
</file>

<file path=customXml/itemProps4.xml><?xml version="1.0" encoding="utf-8"?>
<ds:datastoreItem xmlns:ds="http://schemas.openxmlformats.org/officeDocument/2006/customXml" ds:itemID="{E6D30954-D48E-4AAF-AD6C-C898BF30E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3563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Normal.dotm</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dc:title>
  <dc:subject/>
  <dc:creator>Horvath Philipp | WKOE</dc:creator>
  <cp:keywords/>
  <dc:description/>
  <cp:lastModifiedBy>Egger Bernhard | WKOE</cp:lastModifiedBy>
  <cp:revision>5</cp:revision>
  <dcterms:created xsi:type="dcterms:W3CDTF">2025-02-06T11:08:00Z</dcterms:created>
  <dcterms:modified xsi:type="dcterms:W3CDTF">2025-02-11T17:47:00Z</dcterms:modified>
</cp:coreProperties>
</file>