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9EE50" w14:textId="73998A12" w:rsidR="00B9119D" w:rsidRPr="00B9119D" w:rsidRDefault="006D6199" w:rsidP="00B9119D">
      <w:pPr>
        <w:jc w:val="right"/>
        <w:rPr>
          <w:rFonts w:ascii="Trebuchet MS" w:eastAsia="Calibri" w:hAnsi="Trebuchet MS"/>
          <w:bCs/>
          <w:color w:val="303030"/>
          <w:spacing w:val="0"/>
          <w:sz w:val="22"/>
          <w:szCs w:val="22"/>
          <w:lang w:val="en-GB" w:eastAsia="en-US"/>
        </w:rPr>
      </w:pPr>
      <w:r>
        <w:rPr>
          <w:rFonts w:ascii="Trebuchet MS" w:eastAsia="Calibri" w:hAnsi="Trebuchet MS"/>
          <w:bCs/>
          <w:color w:val="303030"/>
          <w:spacing w:val="0"/>
          <w:sz w:val="22"/>
          <w:szCs w:val="22"/>
          <w:lang w:val="en-GB" w:eastAsia="en-US"/>
        </w:rPr>
        <w:t>19</w:t>
      </w:r>
      <w:r w:rsidR="00B9119D" w:rsidRPr="00B9119D">
        <w:rPr>
          <w:rFonts w:ascii="Trebuchet MS" w:eastAsia="Calibri" w:hAnsi="Trebuchet MS"/>
          <w:bCs/>
          <w:color w:val="303030"/>
          <w:spacing w:val="0"/>
          <w:sz w:val="22"/>
          <w:szCs w:val="22"/>
          <w:lang w:val="en-GB" w:eastAsia="en-US"/>
        </w:rPr>
        <w:t xml:space="preserve"> August 2024</w:t>
      </w:r>
    </w:p>
    <w:p w14:paraId="4E9C3251" w14:textId="6FBF0183" w:rsidR="00692526" w:rsidRPr="006E0316" w:rsidRDefault="00692526" w:rsidP="00692526">
      <w:pPr>
        <w:jc w:val="center"/>
        <w:rPr>
          <w:rFonts w:ascii="Trebuchet MS" w:eastAsia="Calibri" w:hAnsi="Trebuchet MS"/>
          <w:spacing w:val="0"/>
          <w:sz w:val="22"/>
          <w:szCs w:val="22"/>
          <w:lang w:val="en-GB" w:eastAsia="en-US"/>
        </w:rPr>
      </w:pPr>
      <w:r w:rsidRPr="006E0316">
        <w:rPr>
          <w:rFonts w:ascii="Trebuchet MS" w:eastAsia="Calibri" w:hAnsi="Trebuchet MS"/>
          <w:b/>
          <w:spacing w:val="0"/>
          <w:sz w:val="22"/>
          <w:szCs w:val="22"/>
          <w:lang w:val="en-GB" w:eastAsia="en-US"/>
        </w:rPr>
        <w:t>EBA consultation on</w:t>
      </w:r>
      <w:r w:rsidRPr="006E0316">
        <w:rPr>
          <w:rFonts w:ascii="Trebuchet MS" w:eastAsia="Calibri" w:hAnsi="Trebuchet MS"/>
          <w:spacing w:val="0"/>
          <w:sz w:val="22"/>
          <w:szCs w:val="22"/>
          <w:lang w:val="en-GB" w:eastAsia="en-US"/>
        </w:rPr>
        <w:t xml:space="preserve"> </w:t>
      </w:r>
    </w:p>
    <w:p w14:paraId="685FCE7F" w14:textId="3B809335" w:rsidR="00692526" w:rsidRPr="006E0316" w:rsidRDefault="00692526" w:rsidP="00692526">
      <w:pPr>
        <w:jc w:val="center"/>
        <w:rPr>
          <w:rFonts w:ascii="Trebuchet MS" w:eastAsia="Calibri" w:hAnsi="Trebuchet MS" w:cs="Arial"/>
          <w:b/>
          <w:bCs/>
          <w:spacing w:val="0"/>
          <w:kern w:val="28"/>
          <w:sz w:val="22"/>
          <w:szCs w:val="22"/>
          <w:lang w:val="en-GB" w:eastAsia="en-US"/>
        </w:rPr>
      </w:pPr>
      <w:r w:rsidRPr="006E0316">
        <w:rPr>
          <w:rFonts w:ascii="Trebuchet MS" w:eastAsia="Calibri" w:hAnsi="Trebuchet MS" w:cs="Arial"/>
          <w:b/>
          <w:bCs/>
          <w:spacing w:val="0"/>
          <w:kern w:val="28"/>
          <w:sz w:val="22"/>
          <w:szCs w:val="22"/>
          <w:lang w:val="en-GB" w:eastAsia="en-US"/>
        </w:rPr>
        <w:t>Draft Guidelines on ADC exposures to residential property</w:t>
      </w:r>
    </w:p>
    <w:p w14:paraId="022ED765" w14:textId="77777777" w:rsidR="00692526" w:rsidRPr="006E0316" w:rsidRDefault="00692526" w:rsidP="00692526">
      <w:pPr>
        <w:jc w:val="center"/>
        <w:rPr>
          <w:rFonts w:ascii="Trebuchet MS" w:eastAsia="Calibri" w:hAnsi="Trebuchet MS" w:cs="Arial"/>
          <w:b/>
          <w:bCs/>
          <w:spacing w:val="0"/>
          <w:kern w:val="28"/>
          <w:sz w:val="22"/>
          <w:szCs w:val="22"/>
          <w:lang w:val="en-GB" w:eastAsia="en-US"/>
        </w:rPr>
      </w:pPr>
    </w:p>
    <w:p w14:paraId="48E36267" w14:textId="6308F513" w:rsidR="00692526" w:rsidRPr="006E0316" w:rsidRDefault="00692526" w:rsidP="00692526">
      <w:pPr>
        <w:jc w:val="center"/>
        <w:rPr>
          <w:rFonts w:ascii="Trebuchet MS" w:eastAsia="Calibri" w:hAnsi="Trebuchet MS"/>
          <w:spacing w:val="0"/>
          <w:sz w:val="22"/>
          <w:szCs w:val="22"/>
          <w:lang w:val="en-GB" w:eastAsia="en-US"/>
        </w:rPr>
      </w:pPr>
      <w:r w:rsidRPr="006E0316">
        <w:rPr>
          <w:rFonts w:ascii="Trebuchet MS" w:eastAsia="Calibri" w:hAnsi="Trebuchet MS" w:cs="Arial"/>
          <w:b/>
          <w:bCs/>
          <w:spacing w:val="0"/>
          <w:kern w:val="28"/>
          <w:sz w:val="22"/>
          <w:szCs w:val="22"/>
          <w:lang w:val="en-GB" w:eastAsia="en-US"/>
        </w:rPr>
        <w:t>Comments of the Austrian Banking Industry</w:t>
      </w:r>
    </w:p>
    <w:p w14:paraId="3E81D19A" w14:textId="77777777" w:rsidR="00692526" w:rsidRPr="006E0316" w:rsidRDefault="00692526" w:rsidP="00692526">
      <w:pPr>
        <w:rPr>
          <w:rFonts w:ascii="Trebuchet MS" w:eastAsia="Calibri" w:hAnsi="Trebuchet MS"/>
          <w:spacing w:val="0"/>
          <w:sz w:val="22"/>
          <w:szCs w:val="22"/>
          <w:lang w:val="en-GB" w:eastAsia="en-US"/>
        </w:rPr>
      </w:pPr>
    </w:p>
    <w:p w14:paraId="1552D744" w14:textId="77777777" w:rsidR="00692526" w:rsidRPr="006E0316" w:rsidRDefault="00692526" w:rsidP="00692526">
      <w:pPr>
        <w:rPr>
          <w:rFonts w:ascii="Trebuchet MS" w:eastAsia="Calibri" w:hAnsi="Trebuchet MS"/>
          <w:b/>
          <w:bCs/>
          <w:spacing w:val="0"/>
          <w:sz w:val="22"/>
          <w:szCs w:val="22"/>
          <w:u w:val="single"/>
          <w:lang w:val="en-GB" w:eastAsia="en-US"/>
        </w:rPr>
      </w:pPr>
    </w:p>
    <w:p w14:paraId="261908C6" w14:textId="77777777" w:rsidR="00692526" w:rsidRPr="006E0316" w:rsidRDefault="00692526" w:rsidP="00692526">
      <w:pPr>
        <w:jc w:val="both"/>
        <w:rPr>
          <w:rFonts w:ascii="Trebuchet MS" w:eastAsia="Calibri" w:hAnsi="Trebuchet MS" w:cs="Calibri"/>
          <w:b/>
          <w:bCs/>
          <w:spacing w:val="0"/>
          <w:sz w:val="22"/>
          <w:szCs w:val="22"/>
          <w:u w:val="single"/>
          <w:lang w:val="en-US" w:eastAsia="en-US"/>
        </w:rPr>
      </w:pPr>
      <w:r w:rsidRPr="006E0316">
        <w:rPr>
          <w:rFonts w:ascii="Trebuchet MS" w:eastAsia="Calibri" w:hAnsi="Trebuchet MS" w:cs="Calibri"/>
          <w:b/>
          <w:bCs/>
          <w:spacing w:val="0"/>
          <w:sz w:val="22"/>
          <w:szCs w:val="22"/>
          <w:u w:val="single"/>
          <w:lang w:val="en-US" w:eastAsia="en-US"/>
        </w:rPr>
        <w:t>General remarks</w:t>
      </w:r>
    </w:p>
    <w:p w14:paraId="297248D5" w14:textId="77777777" w:rsidR="00692526" w:rsidRPr="006E0316" w:rsidRDefault="00692526" w:rsidP="00692526">
      <w:pPr>
        <w:jc w:val="both"/>
        <w:rPr>
          <w:rFonts w:ascii="Trebuchet MS" w:eastAsia="Calibri" w:hAnsi="Trebuchet MS" w:cs="Calibri"/>
          <w:spacing w:val="0"/>
          <w:sz w:val="22"/>
          <w:szCs w:val="22"/>
          <w:lang w:val="en-US" w:eastAsia="en-US"/>
        </w:rPr>
      </w:pPr>
    </w:p>
    <w:p w14:paraId="2060D000" w14:textId="5ED844FE" w:rsidR="00692526" w:rsidRPr="006E0316" w:rsidRDefault="006E0316" w:rsidP="00692526">
      <w:pPr>
        <w:jc w:val="both"/>
        <w:rPr>
          <w:rFonts w:ascii="Trebuchet MS" w:eastAsia="Calibri" w:hAnsi="Trebuchet MS" w:cs="Calibri"/>
          <w:spacing w:val="0"/>
          <w:sz w:val="22"/>
          <w:szCs w:val="22"/>
          <w:lang w:val="en-US" w:eastAsia="en-US"/>
        </w:rPr>
      </w:pPr>
      <w:r w:rsidRPr="006E0316">
        <w:rPr>
          <w:rFonts w:ascii="Trebuchet MS" w:eastAsia="Calibri" w:hAnsi="Trebuchet MS" w:cs="Calibri"/>
          <w:spacing w:val="0"/>
          <w:sz w:val="22"/>
          <w:szCs w:val="22"/>
          <w:lang w:val="en-US" w:eastAsia="en-US"/>
        </w:rPr>
        <w:t>There</w:t>
      </w:r>
      <w:r w:rsidR="00692526" w:rsidRPr="006E0316">
        <w:rPr>
          <w:rFonts w:ascii="Trebuchet MS" w:eastAsia="Calibri" w:hAnsi="Trebuchet MS" w:cs="Calibri"/>
          <w:spacing w:val="0"/>
          <w:sz w:val="22"/>
          <w:szCs w:val="22"/>
          <w:lang w:val="en-US" w:eastAsia="en-US"/>
        </w:rPr>
        <w:t xml:space="preserve"> are several elements in the Guidelines </w:t>
      </w:r>
      <w:r>
        <w:rPr>
          <w:rFonts w:ascii="Trebuchet MS" w:eastAsia="Calibri" w:hAnsi="Trebuchet MS" w:cs="Calibri"/>
          <w:spacing w:val="0"/>
          <w:sz w:val="22"/>
          <w:szCs w:val="22"/>
          <w:lang w:val="en-US" w:eastAsia="en-US"/>
        </w:rPr>
        <w:t xml:space="preserve">which need </w:t>
      </w:r>
      <w:r w:rsidR="00692526" w:rsidRPr="006E0316">
        <w:rPr>
          <w:rFonts w:ascii="Trebuchet MS" w:eastAsia="Calibri" w:hAnsi="Trebuchet MS" w:cs="Calibri"/>
          <w:spacing w:val="0"/>
          <w:sz w:val="22"/>
          <w:szCs w:val="22"/>
          <w:lang w:val="en-US" w:eastAsia="en-US"/>
        </w:rPr>
        <w:t>to be clarified</w:t>
      </w:r>
      <w:r>
        <w:rPr>
          <w:rFonts w:ascii="Trebuchet MS" w:eastAsia="Calibri" w:hAnsi="Trebuchet MS" w:cs="Calibri"/>
          <w:spacing w:val="0"/>
          <w:sz w:val="22"/>
          <w:szCs w:val="22"/>
          <w:lang w:val="en-US" w:eastAsia="en-US"/>
        </w:rPr>
        <w:t xml:space="preserve">, </w:t>
      </w:r>
      <w:proofErr w:type="gramStart"/>
      <w:r>
        <w:rPr>
          <w:rFonts w:ascii="Trebuchet MS" w:eastAsia="Calibri" w:hAnsi="Trebuchet MS" w:cs="Calibri"/>
          <w:spacing w:val="0"/>
          <w:sz w:val="22"/>
          <w:szCs w:val="22"/>
          <w:lang w:val="en-US" w:eastAsia="en-US"/>
        </w:rPr>
        <w:t xml:space="preserve">in </w:t>
      </w:r>
      <w:r w:rsidR="00692526" w:rsidRPr="006E0316">
        <w:rPr>
          <w:rFonts w:ascii="Trebuchet MS" w:eastAsia="Calibri" w:hAnsi="Trebuchet MS" w:cs="Calibri"/>
          <w:spacing w:val="0"/>
          <w:sz w:val="22"/>
          <w:szCs w:val="22"/>
          <w:lang w:val="en-US" w:eastAsia="en-US"/>
        </w:rPr>
        <w:t>particular</w:t>
      </w:r>
      <w:r>
        <w:rPr>
          <w:rFonts w:ascii="Trebuchet MS" w:eastAsia="Calibri" w:hAnsi="Trebuchet MS" w:cs="Calibri"/>
          <w:spacing w:val="0"/>
          <w:sz w:val="22"/>
          <w:szCs w:val="22"/>
          <w:lang w:val="en-US" w:eastAsia="en-US"/>
        </w:rPr>
        <w:t xml:space="preserve"> with</w:t>
      </w:r>
      <w:proofErr w:type="gramEnd"/>
      <w:r>
        <w:rPr>
          <w:rFonts w:ascii="Trebuchet MS" w:eastAsia="Calibri" w:hAnsi="Trebuchet MS" w:cs="Calibri"/>
          <w:spacing w:val="0"/>
          <w:sz w:val="22"/>
          <w:szCs w:val="22"/>
          <w:lang w:val="en-US" w:eastAsia="en-US"/>
        </w:rPr>
        <w:t xml:space="preserve"> regards to</w:t>
      </w:r>
      <w:r w:rsidR="00692526" w:rsidRPr="006E0316">
        <w:rPr>
          <w:rFonts w:ascii="Trebuchet MS" w:eastAsia="Calibri" w:hAnsi="Trebuchet MS" w:cs="Calibri"/>
          <w:spacing w:val="0"/>
          <w:sz w:val="22"/>
          <w:szCs w:val="22"/>
          <w:lang w:val="en-US" w:eastAsia="en-US"/>
        </w:rPr>
        <w:t xml:space="preserve"> non-profit projects.</w:t>
      </w:r>
    </w:p>
    <w:p w14:paraId="3D184174" w14:textId="77777777" w:rsidR="00692526" w:rsidRPr="006E0316" w:rsidRDefault="00692526" w:rsidP="00692526">
      <w:pPr>
        <w:jc w:val="both"/>
        <w:rPr>
          <w:rFonts w:ascii="Trebuchet MS" w:eastAsia="Calibri" w:hAnsi="Trebuchet MS" w:cs="Calibri"/>
          <w:spacing w:val="0"/>
          <w:sz w:val="22"/>
          <w:szCs w:val="22"/>
          <w:lang w:val="en-US" w:eastAsia="en-US"/>
        </w:rPr>
      </w:pPr>
    </w:p>
    <w:p w14:paraId="6693D47B" w14:textId="3C7F50CD" w:rsidR="00692526" w:rsidRPr="006E0316" w:rsidRDefault="00692526" w:rsidP="00692526">
      <w:pPr>
        <w:spacing w:after="120"/>
        <w:jc w:val="both"/>
        <w:rPr>
          <w:rFonts w:ascii="Trebuchet MS" w:eastAsia="Calibri" w:hAnsi="Trebuchet MS"/>
          <w:spacing w:val="0"/>
          <w:sz w:val="22"/>
          <w:szCs w:val="22"/>
          <w:lang w:val="en-US" w:eastAsia="en-US"/>
        </w:rPr>
      </w:pPr>
      <w:r w:rsidRPr="006E0316">
        <w:rPr>
          <w:rFonts w:ascii="Trebuchet MS" w:eastAsia="Calibri" w:hAnsi="Trebuchet MS"/>
          <w:spacing w:val="0"/>
          <w:sz w:val="22"/>
          <w:szCs w:val="22"/>
          <w:lang w:val="en-US" w:eastAsia="en-US"/>
        </w:rPr>
        <w:t>It should be noted that the ADC definition replaces the previous definition of speculative real estate financing and is intended to cover real estate financing with increased risk for the financing bank. There is no such increased risk for the financing bank when financing non-profit building associations. Non-profit building associations do not build speculative projects, but urgently needed affordable housing. It is therefore not about vacant vacation homes or apartment complexes, but regularly about affordable housing in urban centers. Most non-profit building associations have very substantial equity and a good credit rating, because they are not allowed to distribute profits freely. Insolvencies of non-profit developers are therefore rare. In the past,</w:t>
      </w:r>
      <w:r w:rsidR="00690407">
        <w:rPr>
          <w:rFonts w:ascii="Trebuchet MS" w:eastAsia="Calibri" w:hAnsi="Trebuchet MS"/>
          <w:spacing w:val="0"/>
          <w:sz w:val="22"/>
          <w:szCs w:val="22"/>
          <w:lang w:val="en-US" w:eastAsia="en-US"/>
        </w:rPr>
        <w:t xml:space="preserve"> dating back more than 30 years,</w:t>
      </w:r>
      <w:r w:rsidRPr="006E0316">
        <w:rPr>
          <w:rFonts w:ascii="Trebuchet MS" w:eastAsia="Calibri" w:hAnsi="Trebuchet MS"/>
          <w:spacing w:val="0"/>
          <w:sz w:val="22"/>
          <w:szCs w:val="22"/>
          <w:lang w:val="en-US" w:eastAsia="en-US"/>
        </w:rPr>
        <w:t xml:space="preserve"> they have almost only occurred in exceptional individual cases, in connection with criminal activities. </w:t>
      </w:r>
    </w:p>
    <w:p w14:paraId="504B6E9D" w14:textId="77777777" w:rsidR="00692526" w:rsidRPr="006E0316" w:rsidRDefault="00692526" w:rsidP="00692526">
      <w:pPr>
        <w:spacing w:after="120"/>
        <w:jc w:val="both"/>
        <w:rPr>
          <w:rFonts w:ascii="Trebuchet MS" w:eastAsia="Calibri" w:hAnsi="Trebuchet MS" w:cs="Calibri"/>
          <w:spacing w:val="0"/>
          <w:sz w:val="22"/>
          <w:szCs w:val="22"/>
          <w:lang w:val="en-US" w:eastAsia="en-US"/>
        </w:rPr>
      </w:pPr>
      <w:r w:rsidRPr="006E0316">
        <w:rPr>
          <w:rFonts w:ascii="Trebuchet MS" w:eastAsia="Calibri" w:hAnsi="Trebuchet MS" w:cs="Calibri"/>
          <w:spacing w:val="0"/>
          <w:sz w:val="22"/>
          <w:szCs w:val="22"/>
          <w:lang w:val="en-US" w:eastAsia="en-US"/>
        </w:rPr>
        <w:t>The CRR III recognizes this in principle. It provides for preferential treatment of Income Producing Real Estate (IPRE) in Article124(2)(a)(ii) and para (3) and (4) if it is held by non-profit building associations:</w:t>
      </w:r>
    </w:p>
    <w:p w14:paraId="78DF6781" w14:textId="77777777" w:rsidR="00692526" w:rsidRPr="006E0316" w:rsidRDefault="00692526" w:rsidP="00692526">
      <w:pPr>
        <w:autoSpaceDE w:val="0"/>
        <w:autoSpaceDN w:val="0"/>
        <w:adjustRightInd w:val="0"/>
        <w:spacing w:after="240" w:line="240" w:lineRule="atLeast"/>
        <w:ind w:left="851" w:hanging="284"/>
        <w:jc w:val="both"/>
        <w:rPr>
          <w:rFonts w:ascii="Trebuchet MS" w:eastAsia="Calibri" w:hAnsi="Trebuchet MS" w:cs="Calibri"/>
          <w:spacing w:val="0"/>
          <w:sz w:val="22"/>
          <w:szCs w:val="22"/>
          <w:lang w:val="en-US" w:eastAsia="en-US"/>
        </w:rPr>
      </w:pPr>
      <w:r w:rsidRPr="006E0316">
        <w:rPr>
          <w:rFonts w:ascii="Trebuchet MS" w:eastAsia="Calibri" w:hAnsi="Trebuchet MS" w:cs="Calibri"/>
          <w:spacing w:val="0"/>
          <w:sz w:val="22"/>
          <w:szCs w:val="22"/>
          <w:lang w:val="en-US" w:eastAsia="en-US"/>
        </w:rPr>
        <w:t>„ (</w:t>
      </w:r>
      <w:r w:rsidRPr="006E0316">
        <w:rPr>
          <w:rFonts w:ascii="Trebuchet MS" w:eastAsia="Calibri" w:hAnsi="Trebuchet MS" w:cs="Calibri"/>
          <w:i/>
          <w:iCs/>
          <w:spacing w:val="0"/>
          <w:sz w:val="22"/>
          <w:szCs w:val="22"/>
          <w:lang w:val="en-US" w:eastAsia="en-US"/>
        </w:rPr>
        <w:t>(ii)</w:t>
      </w:r>
      <w:r w:rsidRPr="006E0316">
        <w:rPr>
          <w:rFonts w:ascii="Trebuchet MS" w:eastAsia="Calibri" w:hAnsi="Trebuchet MS" w:cs="Calibri"/>
          <w:b/>
          <w:bCs/>
          <w:i/>
          <w:iCs/>
          <w:spacing w:val="0"/>
          <w:sz w:val="22"/>
          <w:szCs w:val="22"/>
          <w:lang w:val="en-US" w:eastAsia="en-US"/>
        </w:rPr>
        <w:t xml:space="preserve"> </w:t>
      </w:r>
      <w:r w:rsidRPr="006E0316">
        <w:rPr>
          <w:rFonts w:ascii="Trebuchet MS" w:eastAsia="Calibri" w:hAnsi="Trebuchet MS" w:cs="Calibri"/>
          <w:spacing w:val="0"/>
          <w:sz w:val="22"/>
          <w:szCs w:val="22"/>
          <w:lang w:val="en-US" w:eastAsia="en-US"/>
        </w:rPr>
        <w:t xml:space="preserve">an IPRE exposure shall be treated in accordance with Article 125(1) where the exposure meets any of the following conditions: </w:t>
      </w:r>
    </w:p>
    <w:p w14:paraId="2D92C457" w14:textId="77777777" w:rsidR="00692526" w:rsidRPr="006E0316" w:rsidRDefault="00692526" w:rsidP="00692526">
      <w:pPr>
        <w:autoSpaceDE w:val="0"/>
        <w:autoSpaceDN w:val="0"/>
        <w:adjustRightInd w:val="0"/>
        <w:spacing w:after="240" w:line="240" w:lineRule="atLeast"/>
        <w:ind w:left="1134" w:hanging="283"/>
        <w:jc w:val="both"/>
        <w:rPr>
          <w:rFonts w:ascii="Trebuchet MS" w:eastAsia="Calibri" w:hAnsi="Trebuchet MS" w:cs="Calibri"/>
          <w:spacing w:val="0"/>
          <w:sz w:val="22"/>
          <w:szCs w:val="22"/>
          <w:lang w:val="en-US" w:eastAsia="en-US"/>
        </w:rPr>
      </w:pPr>
      <w:r w:rsidRPr="006E0316">
        <w:rPr>
          <w:rFonts w:ascii="Trebuchet MS" w:eastAsia="Calibri" w:hAnsi="Trebuchet MS" w:cs="Calibri"/>
          <w:spacing w:val="0"/>
          <w:sz w:val="22"/>
          <w:szCs w:val="22"/>
          <w:lang w:val="en-US" w:eastAsia="en-US"/>
        </w:rPr>
        <w:t>(</w:t>
      </w:r>
      <w:r w:rsidRPr="006E0316">
        <w:rPr>
          <w:rFonts w:ascii="Trebuchet MS" w:eastAsia="Calibri" w:hAnsi="Trebuchet MS" w:cs="Calibri"/>
          <w:b/>
          <w:bCs/>
          <w:i/>
          <w:iCs/>
          <w:spacing w:val="0"/>
          <w:sz w:val="22"/>
          <w:szCs w:val="22"/>
          <w:lang w:val="en-US" w:eastAsia="en-US"/>
        </w:rPr>
        <w:t>1</w:t>
      </w:r>
      <w:r w:rsidRPr="006E0316">
        <w:rPr>
          <w:rFonts w:ascii="Trebuchet MS" w:eastAsia="Calibri" w:hAnsi="Trebuchet MS" w:cs="Calibri"/>
          <w:spacing w:val="0"/>
          <w:sz w:val="22"/>
          <w:szCs w:val="22"/>
          <w:lang w:val="en-US" w:eastAsia="en-US"/>
        </w:rPr>
        <w:t xml:space="preserve">) the immovable property securing the exposure is the obligor’s primary residence, either where the immovable property as a whole constitutes a single housing unit or where the immovable property securing the exposure is a housing unit that is a separated part within an immovable </w:t>
      </w:r>
      <w:proofErr w:type="gramStart"/>
      <w:r w:rsidRPr="006E0316">
        <w:rPr>
          <w:rFonts w:ascii="Trebuchet MS" w:eastAsia="Calibri" w:hAnsi="Trebuchet MS" w:cs="Calibri"/>
          <w:spacing w:val="0"/>
          <w:sz w:val="22"/>
          <w:szCs w:val="22"/>
          <w:lang w:val="en-US" w:eastAsia="en-US"/>
        </w:rPr>
        <w:t>property;</w:t>
      </w:r>
      <w:proofErr w:type="gramEnd"/>
      <w:r w:rsidRPr="006E0316">
        <w:rPr>
          <w:rFonts w:ascii="Trebuchet MS" w:eastAsia="Calibri" w:hAnsi="Trebuchet MS" w:cs="Calibri"/>
          <w:spacing w:val="0"/>
          <w:sz w:val="22"/>
          <w:szCs w:val="22"/>
          <w:lang w:val="en-US" w:eastAsia="en-US"/>
        </w:rPr>
        <w:t xml:space="preserve"> </w:t>
      </w:r>
    </w:p>
    <w:p w14:paraId="7282F679" w14:textId="77777777" w:rsidR="00692526" w:rsidRPr="006E0316" w:rsidRDefault="00692526" w:rsidP="00692526">
      <w:pPr>
        <w:autoSpaceDE w:val="0"/>
        <w:autoSpaceDN w:val="0"/>
        <w:adjustRightInd w:val="0"/>
        <w:spacing w:after="240" w:line="240" w:lineRule="atLeast"/>
        <w:ind w:left="1134" w:hanging="283"/>
        <w:jc w:val="both"/>
        <w:rPr>
          <w:rFonts w:ascii="Trebuchet MS" w:eastAsia="Calibri" w:hAnsi="Trebuchet MS" w:cs="Calibri"/>
          <w:spacing w:val="0"/>
          <w:sz w:val="22"/>
          <w:szCs w:val="22"/>
          <w:lang w:val="en-US" w:eastAsia="en-US"/>
        </w:rPr>
      </w:pPr>
      <w:r w:rsidRPr="006E0316">
        <w:rPr>
          <w:rFonts w:ascii="Trebuchet MS" w:eastAsia="Calibri" w:hAnsi="Trebuchet MS" w:cs="Calibri"/>
          <w:spacing w:val="0"/>
          <w:sz w:val="22"/>
          <w:szCs w:val="22"/>
          <w:lang w:val="en-US" w:eastAsia="en-US"/>
        </w:rPr>
        <w:t>(</w:t>
      </w:r>
      <w:r w:rsidRPr="006E0316">
        <w:rPr>
          <w:rFonts w:ascii="Trebuchet MS" w:eastAsia="Calibri" w:hAnsi="Trebuchet MS" w:cs="Calibri"/>
          <w:b/>
          <w:bCs/>
          <w:i/>
          <w:iCs/>
          <w:spacing w:val="0"/>
          <w:sz w:val="22"/>
          <w:szCs w:val="22"/>
          <w:lang w:val="en-US" w:eastAsia="en-US"/>
        </w:rPr>
        <w:t>2</w:t>
      </w:r>
      <w:r w:rsidRPr="006E0316">
        <w:rPr>
          <w:rFonts w:ascii="Trebuchet MS" w:eastAsia="Calibri" w:hAnsi="Trebuchet MS" w:cs="Calibri"/>
          <w:spacing w:val="0"/>
          <w:sz w:val="22"/>
          <w:szCs w:val="22"/>
          <w:lang w:val="en-US" w:eastAsia="en-US"/>
        </w:rPr>
        <w:t xml:space="preserve">) the exposure is to a natural person and is secured by an income-producing residential housing unit, either where the immovable property as a whole constitutes a single housing unit or where the housing unit is a separated part within the immovable property, and total exposures of the institution to that natural person are not secured by more than four immovable properties, including those which are not residential properties or which do not meet any of the criteria in this point, or separate housing units within immovable properties; </w:t>
      </w:r>
    </w:p>
    <w:p w14:paraId="25367AFE" w14:textId="77777777" w:rsidR="00692526" w:rsidRPr="006E0316" w:rsidRDefault="00692526" w:rsidP="00692526">
      <w:pPr>
        <w:autoSpaceDE w:val="0"/>
        <w:autoSpaceDN w:val="0"/>
        <w:adjustRightInd w:val="0"/>
        <w:spacing w:after="240" w:line="240" w:lineRule="atLeast"/>
        <w:ind w:left="1134" w:hanging="283"/>
        <w:jc w:val="both"/>
        <w:rPr>
          <w:rFonts w:ascii="Trebuchet MS" w:eastAsia="Calibri" w:hAnsi="Trebuchet MS" w:cs="Calibri"/>
          <w:b/>
          <w:bCs/>
          <w:spacing w:val="0"/>
          <w:sz w:val="22"/>
          <w:szCs w:val="22"/>
          <w:lang w:val="en-US" w:eastAsia="en-US"/>
        </w:rPr>
      </w:pPr>
      <w:r w:rsidRPr="006E0316">
        <w:rPr>
          <w:rFonts w:ascii="Trebuchet MS" w:eastAsia="Calibri" w:hAnsi="Trebuchet MS" w:cs="Calibri"/>
          <w:b/>
          <w:bCs/>
          <w:spacing w:val="0"/>
          <w:sz w:val="22"/>
          <w:szCs w:val="22"/>
          <w:lang w:val="en-US" w:eastAsia="en-US"/>
        </w:rPr>
        <w:t>(</w:t>
      </w:r>
      <w:r w:rsidRPr="006E0316">
        <w:rPr>
          <w:rFonts w:ascii="Trebuchet MS" w:eastAsia="Calibri" w:hAnsi="Trebuchet MS" w:cs="Calibri"/>
          <w:b/>
          <w:bCs/>
          <w:i/>
          <w:iCs/>
          <w:spacing w:val="0"/>
          <w:sz w:val="22"/>
          <w:szCs w:val="22"/>
          <w:lang w:val="en-US" w:eastAsia="en-US"/>
        </w:rPr>
        <w:t>3</w:t>
      </w:r>
      <w:r w:rsidRPr="006E0316">
        <w:rPr>
          <w:rFonts w:ascii="Trebuchet MS" w:eastAsia="Calibri" w:hAnsi="Trebuchet MS" w:cs="Calibri"/>
          <w:b/>
          <w:bCs/>
          <w:spacing w:val="0"/>
          <w:sz w:val="22"/>
          <w:szCs w:val="22"/>
          <w:lang w:val="en-US" w:eastAsia="en-US"/>
        </w:rPr>
        <w:t xml:space="preserve">) the exposure is to associations or cooperatives of natural persons that are regulated by law and solely exist to grant their members the use of a primary residence in the property securing the </w:t>
      </w:r>
      <w:proofErr w:type="gramStart"/>
      <w:r w:rsidRPr="006E0316">
        <w:rPr>
          <w:rFonts w:ascii="Trebuchet MS" w:eastAsia="Calibri" w:hAnsi="Trebuchet MS" w:cs="Calibri"/>
          <w:b/>
          <w:bCs/>
          <w:spacing w:val="0"/>
          <w:sz w:val="22"/>
          <w:szCs w:val="22"/>
          <w:lang w:val="en-US" w:eastAsia="en-US"/>
        </w:rPr>
        <w:t>loans;</w:t>
      </w:r>
      <w:proofErr w:type="gramEnd"/>
      <w:r w:rsidRPr="006E0316">
        <w:rPr>
          <w:rFonts w:ascii="Trebuchet MS" w:eastAsia="Calibri" w:hAnsi="Trebuchet MS" w:cs="Calibri"/>
          <w:b/>
          <w:bCs/>
          <w:spacing w:val="0"/>
          <w:sz w:val="22"/>
          <w:szCs w:val="22"/>
          <w:lang w:val="en-US" w:eastAsia="en-US"/>
        </w:rPr>
        <w:t xml:space="preserve"> </w:t>
      </w:r>
    </w:p>
    <w:p w14:paraId="36191FA4" w14:textId="77777777" w:rsidR="00692526" w:rsidRPr="006E0316" w:rsidRDefault="00692526" w:rsidP="00692526">
      <w:pPr>
        <w:autoSpaceDE w:val="0"/>
        <w:autoSpaceDN w:val="0"/>
        <w:adjustRightInd w:val="0"/>
        <w:spacing w:after="240" w:line="240" w:lineRule="atLeast"/>
        <w:ind w:left="1134" w:hanging="283"/>
        <w:jc w:val="both"/>
        <w:rPr>
          <w:rFonts w:ascii="Trebuchet MS" w:eastAsia="Calibri" w:hAnsi="Trebuchet MS" w:cs="Calibri"/>
          <w:b/>
          <w:bCs/>
          <w:spacing w:val="0"/>
          <w:sz w:val="22"/>
          <w:szCs w:val="22"/>
          <w:lang w:val="en-US" w:eastAsia="en-US"/>
        </w:rPr>
      </w:pPr>
      <w:r w:rsidRPr="006E0316">
        <w:rPr>
          <w:rFonts w:ascii="Trebuchet MS" w:eastAsia="Calibri" w:hAnsi="Trebuchet MS" w:cs="Calibri"/>
          <w:b/>
          <w:bCs/>
          <w:spacing w:val="0"/>
          <w:sz w:val="22"/>
          <w:szCs w:val="22"/>
          <w:lang w:val="en-US" w:eastAsia="en-US"/>
        </w:rPr>
        <w:t>(</w:t>
      </w:r>
      <w:r w:rsidRPr="006E0316">
        <w:rPr>
          <w:rFonts w:ascii="Trebuchet MS" w:eastAsia="Calibri" w:hAnsi="Trebuchet MS" w:cs="Calibri"/>
          <w:b/>
          <w:bCs/>
          <w:i/>
          <w:iCs/>
          <w:spacing w:val="0"/>
          <w:sz w:val="22"/>
          <w:szCs w:val="22"/>
          <w:lang w:val="en-US" w:eastAsia="en-US"/>
        </w:rPr>
        <w:t>4</w:t>
      </w:r>
      <w:r w:rsidRPr="006E0316">
        <w:rPr>
          <w:rFonts w:ascii="Trebuchet MS" w:eastAsia="Calibri" w:hAnsi="Trebuchet MS" w:cs="Calibri"/>
          <w:b/>
          <w:bCs/>
          <w:spacing w:val="0"/>
          <w:sz w:val="22"/>
          <w:szCs w:val="22"/>
          <w:lang w:val="en-US" w:eastAsia="en-US"/>
        </w:rPr>
        <w:t xml:space="preserve">) the exposure is to public housing companies or not-for-profit associations that are regulated by law and exist to serve social purposes and to offer tenants long-term housing;” </w:t>
      </w:r>
    </w:p>
    <w:p w14:paraId="7CDFA759" w14:textId="77777777" w:rsidR="00692526" w:rsidRPr="006E0316" w:rsidRDefault="00692526" w:rsidP="00692526">
      <w:pPr>
        <w:spacing w:after="120"/>
        <w:jc w:val="both"/>
        <w:rPr>
          <w:rFonts w:ascii="Trebuchet MS" w:eastAsia="Calibri" w:hAnsi="Trebuchet MS"/>
          <w:b/>
          <w:bCs/>
          <w:spacing w:val="0"/>
          <w:sz w:val="22"/>
          <w:szCs w:val="22"/>
          <w:u w:val="single"/>
          <w:lang w:val="en-US" w:eastAsia="en-US"/>
        </w:rPr>
      </w:pPr>
      <w:r w:rsidRPr="006E0316">
        <w:rPr>
          <w:rFonts w:ascii="Trebuchet MS" w:eastAsia="Calibri" w:hAnsi="Trebuchet MS"/>
          <w:b/>
          <w:bCs/>
          <w:spacing w:val="0"/>
          <w:sz w:val="22"/>
          <w:szCs w:val="22"/>
          <w:u w:val="single"/>
          <w:lang w:val="en-US" w:eastAsia="en-US"/>
        </w:rPr>
        <w:t xml:space="preserve">Taking this legal background into account one comes to the following conclusion: </w:t>
      </w:r>
    </w:p>
    <w:p w14:paraId="2B23FA31" w14:textId="77777777" w:rsidR="00692526" w:rsidRPr="006E0316" w:rsidRDefault="00692526" w:rsidP="00692526">
      <w:pPr>
        <w:numPr>
          <w:ilvl w:val="0"/>
          <w:numId w:val="19"/>
        </w:numPr>
        <w:spacing w:after="160" w:line="259" w:lineRule="auto"/>
        <w:jc w:val="both"/>
        <w:rPr>
          <w:rFonts w:ascii="Trebuchet MS" w:eastAsia="Calibri" w:hAnsi="Trebuchet MS" w:cs="Calibri"/>
          <w:spacing w:val="0"/>
          <w:sz w:val="22"/>
          <w:szCs w:val="22"/>
          <w:lang w:val="en-US" w:eastAsia="en-US"/>
        </w:rPr>
      </w:pPr>
      <w:r w:rsidRPr="006E0316">
        <w:rPr>
          <w:rFonts w:ascii="Trebuchet MS" w:eastAsia="Calibri" w:hAnsi="Trebuchet MS" w:cs="Calibri"/>
          <w:spacing w:val="0"/>
          <w:sz w:val="22"/>
          <w:szCs w:val="22"/>
          <w:lang w:val="en-US" w:eastAsia="en-US"/>
        </w:rPr>
        <w:lastRenderedPageBreak/>
        <w:t xml:space="preserve">The IPRE exemptions in Article 124(2)(a)(ii) and para 3 and 4 CRR III show very clearly that IPRE exposures to non-profit building associations should receive a </w:t>
      </w:r>
      <w:proofErr w:type="gramStart"/>
      <w:r w:rsidRPr="006E0316">
        <w:rPr>
          <w:rFonts w:ascii="Trebuchet MS" w:eastAsia="Calibri" w:hAnsi="Trebuchet MS" w:cs="Calibri"/>
          <w:spacing w:val="0"/>
          <w:sz w:val="22"/>
          <w:szCs w:val="22"/>
          <w:lang w:val="en-US" w:eastAsia="en-US"/>
        </w:rPr>
        <w:t>low risk</w:t>
      </w:r>
      <w:proofErr w:type="gramEnd"/>
      <w:r w:rsidRPr="006E0316">
        <w:rPr>
          <w:rFonts w:ascii="Trebuchet MS" w:eastAsia="Calibri" w:hAnsi="Trebuchet MS" w:cs="Calibri"/>
          <w:spacing w:val="0"/>
          <w:sz w:val="22"/>
          <w:szCs w:val="22"/>
          <w:lang w:val="en-US" w:eastAsia="en-US"/>
        </w:rPr>
        <w:t xml:space="preserve"> weight. However, this intended preferential treatment would not even come into play if the purchase of a property by a non-profit building association for the purpose of constructing a non-profit housing project had to be classified as an ADC. This cannot be the intention of the European legislator (despite the fundamental priority of ADC treatment over IPRS treatment).</w:t>
      </w:r>
    </w:p>
    <w:p w14:paraId="1E420331" w14:textId="648DA1DD" w:rsidR="00692526" w:rsidRPr="006E0316" w:rsidRDefault="00692526" w:rsidP="00692526">
      <w:pPr>
        <w:numPr>
          <w:ilvl w:val="0"/>
          <w:numId w:val="19"/>
        </w:numPr>
        <w:spacing w:after="160" w:line="259" w:lineRule="auto"/>
        <w:jc w:val="both"/>
        <w:rPr>
          <w:rFonts w:ascii="Trebuchet MS" w:eastAsia="Calibri" w:hAnsi="Trebuchet MS" w:cs="Calibri"/>
          <w:spacing w:val="0"/>
          <w:sz w:val="22"/>
          <w:szCs w:val="22"/>
          <w:lang w:val="en-US" w:eastAsia="en-US"/>
        </w:rPr>
      </w:pPr>
      <w:r w:rsidRPr="006E0316">
        <w:rPr>
          <w:rFonts w:ascii="Trebuchet MS" w:eastAsia="Calibri" w:hAnsi="Trebuchet MS" w:cs="Calibri"/>
          <w:spacing w:val="0"/>
          <w:sz w:val="22"/>
          <w:szCs w:val="22"/>
          <w:lang w:val="en-US" w:eastAsia="en-US"/>
        </w:rPr>
        <w:t>From a legal point of view, a reasonable result is reached that does justice to the actually low risk of non-profit building associations and leaves a scope of application for the preferential treatment of IPRE financing over non-profit developers intended by CRR III if the intention to make a profit (combined with the intention to distribute profits) is interpreted into the concept of real estate development. Real estate development always has something to do with a high proportion of borrowed capital and a borrower's ability to repay depending on the uncertain success of the sale. The use of SPVs is typical. Non-profit building associations are the opposite of SPVs. They are very wealthy and the realization</w:t>
      </w:r>
      <w:r w:rsidR="00690407">
        <w:rPr>
          <w:rFonts w:ascii="Trebuchet MS" w:eastAsia="Calibri" w:hAnsi="Trebuchet MS" w:cs="Calibri"/>
          <w:spacing w:val="0"/>
          <w:sz w:val="22"/>
          <w:szCs w:val="22"/>
          <w:lang w:val="en-US" w:eastAsia="en-US"/>
        </w:rPr>
        <w:t xml:space="preserve"> (either for rent or for sale)</w:t>
      </w:r>
      <w:r w:rsidRPr="006E0316">
        <w:rPr>
          <w:rFonts w:ascii="Trebuchet MS" w:eastAsia="Calibri" w:hAnsi="Trebuchet MS" w:cs="Calibri"/>
          <w:spacing w:val="0"/>
          <w:sz w:val="22"/>
          <w:szCs w:val="22"/>
          <w:lang w:val="en-US" w:eastAsia="en-US"/>
        </w:rPr>
        <w:t xml:space="preserve"> of the affordable housing they create is not a problem at all. </w:t>
      </w:r>
    </w:p>
    <w:p w14:paraId="65813D06" w14:textId="77777777" w:rsidR="00692526" w:rsidRPr="006E0316" w:rsidRDefault="00692526" w:rsidP="00692526">
      <w:pPr>
        <w:numPr>
          <w:ilvl w:val="0"/>
          <w:numId w:val="19"/>
        </w:numPr>
        <w:spacing w:after="160" w:line="259" w:lineRule="auto"/>
        <w:jc w:val="both"/>
        <w:rPr>
          <w:rFonts w:ascii="Trebuchet MS" w:eastAsia="Calibri" w:hAnsi="Trebuchet MS" w:cs="Calibri"/>
          <w:spacing w:val="0"/>
          <w:sz w:val="22"/>
          <w:szCs w:val="22"/>
          <w:lang w:val="en-US" w:eastAsia="en-US"/>
        </w:rPr>
      </w:pPr>
      <w:r w:rsidRPr="006E0316">
        <w:rPr>
          <w:rFonts w:ascii="Trebuchet MS" w:eastAsia="Calibri" w:hAnsi="Trebuchet MS" w:cs="Calibri"/>
          <w:spacing w:val="0"/>
          <w:sz w:val="22"/>
          <w:szCs w:val="22"/>
          <w:lang w:val="en-US" w:eastAsia="en-US"/>
        </w:rPr>
        <w:t xml:space="preserve">Against this background, it was misleading that in the last negotiations the EBA mandate in Art 126a CRR III was also extended to include a mandate to the EBA to take into account ‘the specificities of institutions’ lending to public housing or not-for profit entities across the Union that are regulated by law and that exist to serve social purposes and to offer tenants long-term housing” in the guidelines on the undefined legal terms used in Article 126a CRR III. The specificities of not-for-profit entities should not be </w:t>
      </w:r>
      <w:proofErr w:type="gramStart"/>
      <w:r w:rsidRPr="006E0316">
        <w:rPr>
          <w:rFonts w:ascii="Trebuchet MS" w:eastAsia="Calibri" w:hAnsi="Trebuchet MS" w:cs="Calibri"/>
          <w:spacing w:val="0"/>
          <w:sz w:val="22"/>
          <w:szCs w:val="22"/>
          <w:lang w:val="en-US" w:eastAsia="en-US"/>
        </w:rPr>
        <w:t>taken into account</w:t>
      </w:r>
      <w:proofErr w:type="gramEnd"/>
      <w:r w:rsidRPr="006E0316">
        <w:rPr>
          <w:rFonts w:ascii="Trebuchet MS" w:eastAsia="Calibri" w:hAnsi="Trebuchet MS" w:cs="Calibri"/>
          <w:spacing w:val="0"/>
          <w:sz w:val="22"/>
          <w:szCs w:val="22"/>
          <w:lang w:val="en-US" w:eastAsia="en-US"/>
        </w:rPr>
        <w:t xml:space="preserve"> by calibrating any thresholds differently. Rather, it is a matter of clarifying that the financing of non-profit building associations does not generally fall under the scope of ADC, as this is the only way to leave room for the application of the preferential treatment corresponding to the actual low risk in accordance with Article 124(2)(a)(ii) and para 3 and 4 CRR III.</w:t>
      </w:r>
    </w:p>
    <w:p w14:paraId="2A0F014C" w14:textId="77777777" w:rsidR="00692526" w:rsidRPr="006E0316" w:rsidRDefault="00692526" w:rsidP="00692526">
      <w:pPr>
        <w:numPr>
          <w:ilvl w:val="0"/>
          <w:numId w:val="19"/>
        </w:numPr>
        <w:spacing w:after="160" w:line="259" w:lineRule="auto"/>
        <w:jc w:val="both"/>
        <w:rPr>
          <w:rFonts w:ascii="Trebuchet MS" w:eastAsia="Calibri" w:hAnsi="Trebuchet MS" w:cs="Calibri"/>
          <w:spacing w:val="0"/>
          <w:sz w:val="22"/>
          <w:szCs w:val="22"/>
          <w:lang w:val="en-US" w:eastAsia="en-US"/>
        </w:rPr>
      </w:pPr>
      <w:r w:rsidRPr="006E0316">
        <w:rPr>
          <w:rFonts w:ascii="Trebuchet MS" w:eastAsia="Calibri" w:hAnsi="Trebuchet MS" w:cs="Calibri"/>
          <w:spacing w:val="0"/>
          <w:sz w:val="22"/>
          <w:szCs w:val="22"/>
          <w:lang w:val="en-US" w:eastAsia="en-US"/>
        </w:rPr>
        <w:t>We also believe that treating exposures to not-for-profit entities as ADC exposures under Article 126(2) CRR3 is an incorrect implementation of the final Basel III standards (BCBS 424) into EU law. Paragraph 68 of BCBS 424 explicitly states that public housing companies and not-for-profit associations should generally be excluded from the IPRE treatment, irrespective of the property’s completion status. Instead, the loan-splitting or ETV approach should be applied. Given that not-for-profit entities are excluded from the IPRE treatment even during the construction phase, this rationale should be even more applicable to the stricter ADC treatment. In our view, BCBS 424 does not intend for exposures to not-for-profit entities to be classified as ADC exposures. Therefore, they should not be treated as such under CRR3.</w:t>
      </w:r>
    </w:p>
    <w:p w14:paraId="626B375F" w14:textId="6452D078" w:rsidR="00692526" w:rsidRPr="006D6199" w:rsidRDefault="006E0316" w:rsidP="006D6199">
      <w:pPr>
        <w:spacing w:after="120"/>
        <w:jc w:val="both"/>
        <w:rPr>
          <w:rFonts w:ascii="Trebuchet MS" w:eastAsia="Calibri" w:hAnsi="Trebuchet MS"/>
          <w:b/>
          <w:bCs/>
          <w:spacing w:val="0"/>
          <w:sz w:val="22"/>
          <w:szCs w:val="22"/>
          <w:lang w:val="en-US" w:eastAsia="en-US"/>
        </w:rPr>
      </w:pPr>
      <w:proofErr w:type="gramStart"/>
      <w:r>
        <w:rPr>
          <w:rFonts w:ascii="Trebuchet MS" w:eastAsia="Calibri" w:hAnsi="Trebuchet MS"/>
          <w:b/>
          <w:bCs/>
          <w:spacing w:val="0"/>
          <w:sz w:val="22"/>
          <w:szCs w:val="22"/>
          <w:lang w:val="en-US" w:eastAsia="en-US"/>
        </w:rPr>
        <w:t>In</w:t>
      </w:r>
      <w:r w:rsidR="00692526" w:rsidRPr="006E0316">
        <w:rPr>
          <w:rFonts w:ascii="Trebuchet MS" w:eastAsia="Calibri" w:hAnsi="Trebuchet MS"/>
          <w:b/>
          <w:bCs/>
          <w:spacing w:val="0"/>
          <w:sz w:val="22"/>
          <w:szCs w:val="22"/>
          <w:lang w:val="en-US" w:eastAsia="en-US"/>
        </w:rPr>
        <w:t xml:space="preserve"> the event that</w:t>
      </w:r>
      <w:proofErr w:type="gramEnd"/>
      <w:r w:rsidR="00692526" w:rsidRPr="006E0316">
        <w:rPr>
          <w:rFonts w:ascii="Trebuchet MS" w:eastAsia="Calibri" w:hAnsi="Trebuchet MS"/>
          <w:b/>
          <w:bCs/>
          <w:spacing w:val="0"/>
          <w:sz w:val="22"/>
          <w:szCs w:val="22"/>
          <w:lang w:val="en-US" w:eastAsia="en-US"/>
        </w:rPr>
        <w:t xml:space="preserve"> the EBA – despite of all the substantive arguments – is unable to come to a general clarification of the non-application of the ADC rules to the financing of non-profit building associations, we would like to comment on the proposed details:</w:t>
      </w:r>
    </w:p>
    <w:p w14:paraId="46383265" w14:textId="77777777" w:rsidR="00692526" w:rsidRPr="00B906B1" w:rsidRDefault="00692526" w:rsidP="00692526">
      <w:pPr>
        <w:spacing w:after="160" w:line="259" w:lineRule="auto"/>
        <w:jc w:val="both"/>
        <w:rPr>
          <w:rFonts w:ascii="Trebuchet MS" w:eastAsia="Calibri" w:hAnsi="Trebuchet MS" w:cs="Calibri"/>
          <w:color w:val="303030"/>
          <w:spacing w:val="0"/>
          <w:sz w:val="22"/>
          <w:szCs w:val="22"/>
          <w:lang w:val="en-US" w:eastAsia="en-US"/>
        </w:rPr>
      </w:pPr>
      <w:proofErr w:type="gramStart"/>
      <w:r w:rsidRPr="00B906B1">
        <w:rPr>
          <w:rFonts w:ascii="Trebuchet MS" w:eastAsia="Calibri" w:hAnsi="Trebuchet MS" w:cs="Calibri"/>
          <w:color w:val="303030"/>
          <w:spacing w:val="0"/>
          <w:sz w:val="22"/>
          <w:szCs w:val="22"/>
          <w:lang w:val="en-US" w:eastAsia="en-US"/>
        </w:rPr>
        <w:t>First of all</w:t>
      </w:r>
      <w:proofErr w:type="gramEnd"/>
      <w:r w:rsidRPr="00B906B1">
        <w:rPr>
          <w:rFonts w:ascii="Trebuchet MS" w:eastAsia="Calibri" w:hAnsi="Trebuchet MS" w:cs="Calibri"/>
          <w:color w:val="303030"/>
          <w:spacing w:val="0"/>
          <w:sz w:val="22"/>
          <w:szCs w:val="22"/>
          <w:lang w:val="en-US" w:eastAsia="en-US"/>
        </w:rPr>
        <w:t xml:space="preserve">, we would like to raise attention to the </w:t>
      </w:r>
      <w:r w:rsidRPr="00B906B1">
        <w:rPr>
          <w:rFonts w:ascii="Trebuchet MS" w:eastAsia="Calibri" w:hAnsi="Trebuchet MS" w:cs="Calibri"/>
          <w:b/>
          <w:bCs/>
          <w:color w:val="303030"/>
          <w:spacing w:val="0"/>
          <w:sz w:val="22"/>
          <w:szCs w:val="22"/>
          <w:lang w:val="en-US" w:eastAsia="en-US"/>
        </w:rPr>
        <w:t>Basel IV implementation draft in the United States</w:t>
      </w:r>
      <w:r w:rsidRPr="00B906B1">
        <w:rPr>
          <w:rFonts w:ascii="Trebuchet MS" w:eastAsia="Calibri" w:hAnsi="Trebuchet MS" w:cs="Calibri"/>
          <w:color w:val="303030"/>
          <w:spacing w:val="0"/>
          <w:sz w:val="22"/>
          <w:szCs w:val="22"/>
          <w:lang w:val="en-US" w:eastAsia="en-US"/>
        </w:rPr>
        <w:t xml:space="preserve">. </w:t>
      </w:r>
      <w:r w:rsidRPr="00B906B1">
        <w:rPr>
          <w:rFonts w:ascii="Trebuchet MS" w:eastAsia="Calibri" w:hAnsi="Trebuchet MS" w:cs="Calibri"/>
          <w:b/>
          <w:bCs/>
          <w:color w:val="303030"/>
          <w:spacing w:val="0"/>
          <w:sz w:val="22"/>
          <w:szCs w:val="22"/>
          <w:lang w:val="en-US" w:eastAsia="en-US"/>
        </w:rPr>
        <w:t>§ 1831bb</w:t>
      </w:r>
      <w:r w:rsidRPr="00B906B1">
        <w:rPr>
          <w:rFonts w:ascii="Trebuchet MS" w:eastAsia="Calibri" w:hAnsi="Trebuchet MS" w:cs="Calibri"/>
          <w:color w:val="303030"/>
          <w:spacing w:val="0"/>
          <w:sz w:val="22"/>
          <w:szCs w:val="22"/>
          <w:lang w:val="en-US" w:eastAsia="en-US"/>
        </w:rPr>
        <w:t xml:space="preserve"> stipulates capital requirements for certain acquisition, development, or construction loans (‘HVCRE ADC loans’). HVCRE loans can be compared with ADC exposures pursuant to Article 126a CRR.  According to Article 1831bb para 2 a non-</w:t>
      </w:r>
      <w:r w:rsidRPr="00B906B1">
        <w:rPr>
          <w:rFonts w:ascii="Trebuchet MS" w:eastAsia="Calibri" w:hAnsi="Trebuchet MS" w:cs="Calibri"/>
          <w:color w:val="303030"/>
          <w:spacing w:val="0"/>
          <w:sz w:val="22"/>
          <w:szCs w:val="22"/>
          <w:lang w:val="en-US" w:eastAsia="en-US"/>
        </w:rPr>
        <w:lastRenderedPageBreak/>
        <w:t xml:space="preserve">HVCRE ADC loan does not include a credit facility financing. </w:t>
      </w:r>
      <w:proofErr w:type="gramStart"/>
      <w:r w:rsidRPr="00B906B1">
        <w:rPr>
          <w:rFonts w:ascii="Trebuchet MS" w:eastAsia="Calibri" w:hAnsi="Trebuchet MS" w:cs="Calibri"/>
          <w:color w:val="303030"/>
          <w:spacing w:val="0"/>
          <w:sz w:val="22"/>
          <w:szCs w:val="22"/>
          <w:lang w:val="en-US" w:eastAsia="en-US"/>
        </w:rPr>
        <w:t>In particular, we</w:t>
      </w:r>
      <w:proofErr w:type="gramEnd"/>
      <w:r w:rsidRPr="00B906B1">
        <w:rPr>
          <w:rFonts w:ascii="Trebuchet MS" w:eastAsia="Calibri" w:hAnsi="Trebuchet MS" w:cs="Calibri"/>
          <w:color w:val="303030"/>
          <w:spacing w:val="0"/>
          <w:sz w:val="22"/>
          <w:szCs w:val="22"/>
          <w:lang w:val="en-US" w:eastAsia="en-US"/>
        </w:rPr>
        <w:t xml:space="preserve"> would like to refer to (POINT D) which states as follows:</w:t>
      </w:r>
    </w:p>
    <w:p w14:paraId="74F22255" w14:textId="77777777" w:rsidR="00692526" w:rsidRPr="00B906B1" w:rsidRDefault="00692526" w:rsidP="00692526">
      <w:pPr>
        <w:spacing w:after="160" w:line="259" w:lineRule="auto"/>
        <w:jc w:val="both"/>
        <w:rPr>
          <w:rFonts w:ascii="Trebuchet MS" w:eastAsia="Calibri" w:hAnsi="Trebuchet MS" w:cs="Calibri"/>
          <w:color w:val="303030"/>
          <w:spacing w:val="0"/>
          <w:sz w:val="22"/>
          <w:szCs w:val="22"/>
          <w:lang w:val="en-US" w:eastAsia="en-US"/>
        </w:rPr>
      </w:pPr>
      <w:r w:rsidRPr="00B906B1">
        <w:rPr>
          <w:rFonts w:ascii="Trebuchet MS" w:eastAsia="Calibri" w:hAnsi="Trebuchet MS" w:cs="Calibri"/>
          <w:color w:val="303030"/>
          <w:spacing w:val="0"/>
          <w:sz w:val="22"/>
          <w:szCs w:val="22"/>
          <w:lang w:val="en-US" w:eastAsia="en-US"/>
        </w:rPr>
        <w:t>(D) commercial real property projects in which —</w:t>
      </w:r>
    </w:p>
    <w:p w14:paraId="081C0853" w14:textId="77777777" w:rsidR="00692526" w:rsidRPr="00B906B1" w:rsidRDefault="00692526" w:rsidP="00692526">
      <w:pPr>
        <w:spacing w:after="160" w:line="259" w:lineRule="auto"/>
        <w:ind w:left="720"/>
        <w:contextualSpacing/>
        <w:jc w:val="both"/>
        <w:rPr>
          <w:rFonts w:ascii="Trebuchet MS" w:eastAsia="Calibri" w:hAnsi="Trebuchet MS" w:cs="Calibri"/>
          <w:b/>
          <w:bCs/>
          <w:color w:val="303030"/>
          <w:spacing w:val="0"/>
          <w:sz w:val="22"/>
          <w:szCs w:val="22"/>
          <w:lang w:val="en-US" w:eastAsia="en-US"/>
        </w:rPr>
      </w:pPr>
      <w:r w:rsidRPr="00B906B1">
        <w:rPr>
          <w:rFonts w:ascii="Trebuchet MS" w:eastAsia="Calibri" w:hAnsi="Trebuchet MS" w:cs="Calibri"/>
          <w:color w:val="303030"/>
          <w:spacing w:val="0"/>
          <w:sz w:val="22"/>
          <w:szCs w:val="22"/>
          <w:lang w:val="en-US" w:eastAsia="en-US"/>
        </w:rPr>
        <w:t xml:space="preserve">(i) the </w:t>
      </w:r>
      <w:r w:rsidRPr="00B906B1">
        <w:rPr>
          <w:rFonts w:ascii="Trebuchet MS" w:eastAsia="Calibri" w:hAnsi="Trebuchet MS" w:cs="Calibri"/>
          <w:b/>
          <w:bCs/>
          <w:color w:val="303030"/>
          <w:spacing w:val="0"/>
          <w:sz w:val="22"/>
          <w:szCs w:val="22"/>
          <w:lang w:val="en-US" w:eastAsia="en-US"/>
        </w:rPr>
        <w:t>loan-to-value ratio is less than or equal to the applicable maximum supervisory</w:t>
      </w:r>
    </w:p>
    <w:p w14:paraId="36780BEE" w14:textId="77777777" w:rsidR="00692526" w:rsidRPr="00B906B1" w:rsidRDefault="00692526" w:rsidP="00692526">
      <w:pPr>
        <w:spacing w:after="160" w:line="259" w:lineRule="auto"/>
        <w:ind w:left="720"/>
        <w:contextualSpacing/>
        <w:jc w:val="both"/>
        <w:rPr>
          <w:rFonts w:ascii="Trebuchet MS" w:eastAsia="Calibri" w:hAnsi="Trebuchet MS" w:cs="Calibri"/>
          <w:color w:val="303030"/>
          <w:spacing w:val="0"/>
          <w:sz w:val="22"/>
          <w:szCs w:val="22"/>
          <w:lang w:val="en-US" w:eastAsia="en-US"/>
        </w:rPr>
      </w:pPr>
      <w:r w:rsidRPr="00B906B1">
        <w:rPr>
          <w:rFonts w:ascii="Trebuchet MS" w:eastAsia="Calibri" w:hAnsi="Trebuchet MS" w:cs="Calibri"/>
          <w:b/>
          <w:bCs/>
          <w:color w:val="303030"/>
          <w:spacing w:val="0"/>
          <w:sz w:val="22"/>
          <w:szCs w:val="22"/>
          <w:lang w:val="en-US" w:eastAsia="en-US"/>
        </w:rPr>
        <w:t>loan-to-value ratio</w:t>
      </w:r>
      <w:r w:rsidRPr="00B906B1">
        <w:rPr>
          <w:rFonts w:ascii="Trebuchet MS" w:eastAsia="Calibri" w:hAnsi="Trebuchet MS" w:cs="Calibri"/>
          <w:color w:val="303030"/>
          <w:spacing w:val="0"/>
          <w:sz w:val="22"/>
          <w:szCs w:val="22"/>
          <w:lang w:val="en-US" w:eastAsia="en-US"/>
        </w:rPr>
        <w:t xml:space="preserve"> as determined by the appropriate Federal banking </w:t>
      </w:r>
      <w:proofErr w:type="gramStart"/>
      <w:r w:rsidRPr="00B906B1">
        <w:rPr>
          <w:rFonts w:ascii="Trebuchet MS" w:eastAsia="Calibri" w:hAnsi="Trebuchet MS" w:cs="Calibri"/>
          <w:color w:val="303030"/>
          <w:spacing w:val="0"/>
          <w:sz w:val="22"/>
          <w:szCs w:val="22"/>
          <w:lang w:val="en-US" w:eastAsia="en-US"/>
        </w:rPr>
        <w:t>agency;</w:t>
      </w:r>
      <w:proofErr w:type="gramEnd"/>
    </w:p>
    <w:p w14:paraId="366E70A5" w14:textId="77777777" w:rsidR="00692526" w:rsidRPr="00B906B1" w:rsidRDefault="00692526" w:rsidP="00692526">
      <w:pPr>
        <w:spacing w:after="160" w:line="259" w:lineRule="auto"/>
        <w:ind w:left="720"/>
        <w:contextualSpacing/>
        <w:jc w:val="both"/>
        <w:rPr>
          <w:rFonts w:ascii="Trebuchet MS" w:eastAsia="Calibri" w:hAnsi="Trebuchet MS" w:cs="Calibri"/>
          <w:color w:val="303030"/>
          <w:spacing w:val="0"/>
          <w:sz w:val="22"/>
          <w:szCs w:val="22"/>
          <w:lang w:val="en-US" w:eastAsia="en-US"/>
        </w:rPr>
      </w:pPr>
    </w:p>
    <w:p w14:paraId="45E432D9" w14:textId="77777777" w:rsidR="00692526" w:rsidRPr="00B906B1" w:rsidRDefault="00692526" w:rsidP="00692526">
      <w:pPr>
        <w:spacing w:after="160" w:line="259" w:lineRule="auto"/>
        <w:ind w:left="720"/>
        <w:contextualSpacing/>
        <w:jc w:val="both"/>
        <w:rPr>
          <w:rFonts w:ascii="Trebuchet MS" w:eastAsia="Calibri" w:hAnsi="Trebuchet MS" w:cs="Calibri"/>
          <w:b/>
          <w:bCs/>
          <w:color w:val="303030"/>
          <w:spacing w:val="0"/>
          <w:sz w:val="22"/>
          <w:szCs w:val="22"/>
          <w:lang w:val="en-US" w:eastAsia="en-US"/>
        </w:rPr>
      </w:pPr>
      <w:r w:rsidRPr="00B906B1">
        <w:rPr>
          <w:rFonts w:ascii="Trebuchet MS" w:eastAsia="Calibri" w:hAnsi="Trebuchet MS" w:cs="Calibri"/>
          <w:color w:val="303030"/>
          <w:spacing w:val="0"/>
          <w:sz w:val="22"/>
          <w:szCs w:val="22"/>
          <w:lang w:val="en-US" w:eastAsia="en-US"/>
        </w:rPr>
        <w:t xml:space="preserve">(ii) the borrower has contributed capital of at </w:t>
      </w:r>
      <w:r w:rsidRPr="00B906B1">
        <w:rPr>
          <w:rFonts w:ascii="Trebuchet MS" w:eastAsia="Calibri" w:hAnsi="Trebuchet MS" w:cs="Calibri"/>
          <w:b/>
          <w:bCs/>
          <w:color w:val="303030"/>
          <w:spacing w:val="0"/>
          <w:sz w:val="22"/>
          <w:szCs w:val="22"/>
          <w:lang w:val="en-US" w:eastAsia="en-US"/>
        </w:rPr>
        <w:t>least 15 percent of the real property’s</w:t>
      </w:r>
    </w:p>
    <w:p w14:paraId="5E7F7E8E" w14:textId="77777777" w:rsidR="00692526" w:rsidRPr="00B906B1" w:rsidRDefault="00692526" w:rsidP="00692526">
      <w:pPr>
        <w:spacing w:after="160" w:line="259" w:lineRule="auto"/>
        <w:ind w:left="720"/>
        <w:contextualSpacing/>
        <w:jc w:val="both"/>
        <w:rPr>
          <w:rFonts w:ascii="Trebuchet MS" w:eastAsia="Calibri" w:hAnsi="Trebuchet MS" w:cs="Calibri"/>
          <w:color w:val="303030"/>
          <w:spacing w:val="0"/>
          <w:sz w:val="22"/>
          <w:szCs w:val="22"/>
          <w:lang w:val="en-US" w:eastAsia="en-US"/>
        </w:rPr>
      </w:pPr>
      <w:r w:rsidRPr="00B906B1">
        <w:rPr>
          <w:rFonts w:ascii="Trebuchet MS" w:eastAsia="Calibri" w:hAnsi="Trebuchet MS" w:cs="Calibri"/>
          <w:b/>
          <w:bCs/>
          <w:color w:val="303030"/>
          <w:spacing w:val="0"/>
          <w:sz w:val="22"/>
          <w:szCs w:val="22"/>
          <w:lang w:val="en-US" w:eastAsia="en-US"/>
        </w:rPr>
        <w:t>appraised</w:t>
      </w:r>
      <w:r w:rsidRPr="00B906B1">
        <w:rPr>
          <w:rFonts w:ascii="Trebuchet MS" w:eastAsia="Calibri" w:hAnsi="Trebuchet MS" w:cs="Calibri"/>
          <w:color w:val="303030"/>
          <w:spacing w:val="0"/>
          <w:sz w:val="22"/>
          <w:szCs w:val="22"/>
          <w:lang w:val="en-US" w:eastAsia="en-US"/>
        </w:rPr>
        <w:t xml:space="preserve">, ‘‘as completed’’ value to the </w:t>
      </w:r>
      <w:proofErr w:type="gramStart"/>
      <w:r w:rsidRPr="00B906B1">
        <w:rPr>
          <w:rFonts w:ascii="Trebuchet MS" w:eastAsia="Calibri" w:hAnsi="Trebuchet MS" w:cs="Calibri"/>
          <w:color w:val="303030"/>
          <w:spacing w:val="0"/>
          <w:sz w:val="22"/>
          <w:szCs w:val="22"/>
          <w:lang w:val="en-US" w:eastAsia="en-US"/>
        </w:rPr>
        <w:t>project</w:t>
      </w:r>
      <w:proofErr w:type="gramEnd"/>
    </w:p>
    <w:p w14:paraId="5C26F19D" w14:textId="77777777" w:rsidR="00692526" w:rsidRPr="00B906B1" w:rsidRDefault="00692526" w:rsidP="00692526">
      <w:pPr>
        <w:spacing w:after="160" w:line="259" w:lineRule="auto"/>
        <w:jc w:val="both"/>
        <w:rPr>
          <w:rFonts w:ascii="Trebuchet MS" w:eastAsia="Calibri" w:hAnsi="Trebuchet MS" w:cs="Calibri"/>
          <w:color w:val="303030"/>
          <w:spacing w:val="0"/>
          <w:sz w:val="22"/>
          <w:szCs w:val="22"/>
          <w:lang w:val="en-US" w:eastAsia="en-US"/>
        </w:rPr>
      </w:pPr>
      <w:r w:rsidRPr="00B906B1">
        <w:rPr>
          <w:rFonts w:ascii="Trebuchet MS" w:eastAsia="Calibri" w:hAnsi="Trebuchet MS" w:cs="Calibri"/>
          <w:color w:val="303030"/>
          <w:spacing w:val="0"/>
          <w:sz w:val="22"/>
          <w:szCs w:val="22"/>
          <w:lang w:val="en-US" w:eastAsia="en-US"/>
        </w:rPr>
        <w:t>In this context, § 365.2 of the US Basel IV implementation draft (Real estate lending standards) provides Supervisory Loan-to-Value Limits as follows (80 % LTV for Construction):</w:t>
      </w:r>
    </w:p>
    <w:p w14:paraId="5D1000AE" w14:textId="77777777" w:rsidR="00692526" w:rsidRPr="00B906B1" w:rsidRDefault="00692526" w:rsidP="00692526">
      <w:pPr>
        <w:spacing w:after="160" w:line="259" w:lineRule="auto"/>
        <w:jc w:val="both"/>
        <w:rPr>
          <w:rFonts w:ascii="Trebuchet MS" w:eastAsia="Calibri" w:hAnsi="Trebuchet MS"/>
          <w:color w:val="303030"/>
          <w:spacing w:val="0"/>
          <w:sz w:val="22"/>
          <w:szCs w:val="22"/>
          <w:lang w:val="en-US" w:eastAsia="en-US"/>
        </w:rPr>
      </w:pPr>
      <w:r w:rsidRPr="00B906B1">
        <w:rPr>
          <w:rFonts w:ascii="Trebuchet MS" w:eastAsia="Calibri" w:hAnsi="Trebuchet MS"/>
          <w:noProof/>
          <w:color w:val="303030"/>
          <w:spacing w:val="0"/>
          <w:sz w:val="22"/>
          <w:szCs w:val="22"/>
          <w:lang w:val="de-AT" w:eastAsia="en-US"/>
        </w:rPr>
        <w:drawing>
          <wp:anchor distT="0" distB="0" distL="114300" distR="114300" simplePos="0" relativeHeight="251659264" behindDoc="1" locked="0" layoutInCell="1" allowOverlap="1" wp14:anchorId="152B720F" wp14:editId="308F9FF5">
            <wp:simplePos x="0" y="0"/>
            <wp:positionH relativeFrom="column">
              <wp:posOffset>881380</wp:posOffset>
            </wp:positionH>
            <wp:positionV relativeFrom="paragraph">
              <wp:posOffset>1615</wp:posOffset>
            </wp:positionV>
            <wp:extent cx="4024462" cy="2971800"/>
            <wp:effectExtent l="0" t="0" r="0" b="0"/>
            <wp:wrapTight wrapText="bothSides">
              <wp:wrapPolygon edited="0">
                <wp:start x="0" y="0"/>
                <wp:lineTo x="0" y="21462"/>
                <wp:lineTo x="21474" y="21462"/>
                <wp:lineTo x="2147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024462" cy="2971800"/>
                    </a:xfrm>
                    <a:prstGeom prst="rect">
                      <a:avLst/>
                    </a:prstGeom>
                    <a:noFill/>
                    <a:ln>
                      <a:noFill/>
                    </a:ln>
                  </pic:spPr>
                </pic:pic>
              </a:graphicData>
            </a:graphic>
          </wp:anchor>
        </w:drawing>
      </w:r>
    </w:p>
    <w:p w14:paraId="49F6FB96" w14:textId="77777777" w:rsidR="00692526" w:rsidRPr="00B906B1" w:rsidRDefault="00692526" w:rsidP="00692526">
      <w:pPr>
        <w:spacing w:after="160" w:line="259" w:lineRule="auto"/>
        <w:jc w:val="both"/>
        <w:rPr>
          <w:rFonts w:ascii="Trebuchet MS" w:eastAsia="Calibri" w:hAnsi="Trebuchet MS"/>
          <w:color w:val="303030"/>
          <w:spacing w:val="0"/>
          <w:sz w:val="22"/>
          <w:szCs w:val="22"/>
          <w:lang w:val="en-US" w:eastAsia="en-US"/>
        </w:rPr>
      </w:pPr>
    </w:p>
    <w:p w14:paraId="231E844F" w14:textId="77777777" w:rsidR="00692526" w:rsidRPr="00B906B1" w:rsidRDefault="00692526" w:rsidP="00692526">
      <w:pPr>
        <w:spacing w:after="160" w:line="259" w:lineRule="auto"/>
        <w:jc w:val="both"/>
        <w:rPr>
          <w:rFonts w:ascii="Trebuchet MS" w:eastAsia="Calibri" w:hAnsi="Trebuchet MS" w:cs="Calibri"/>
          <w:color w:val="303030"/>
          <w:spacing w:val="0"/>
          <w:sz w:val="22"/>
          <w:szCs w:val="22"/>
          <w:lang w:val="en-US" w:eastAsia="en-US"/>
        </w:rPr>
      </w:pPr>
    </w:p>
    <w:p w14:paraId="64C683DE" w14:textId="77777777" w:rsidR="00692526" w:rsidRPr="00B906B1" w:rsidRDefault="00692526" w:rsidP="00692526">
      <w:pPr>
        <w:spacing w:after="120"/>
        <w:jc w:val="both"/>
        <w:rPr>
          <w:rFonts w:ascii="Trebuchet MS" w:eastAsia="Calibri" w:hAnsi="Trebuchet MS"/>
          <w:b/>
          <w:bCs/>
          <w:color w:val="303030"/>
          <w:spacing w:val="0"/>
          <w:sz w:val="22"/>
          <w:szCs w:val="22"/>
          <w:lang w:val="en-US" w:eastAsia="en-US"/>
        </w:rPr>
      </w:pPr>
    </w:p>
    <w:p w14:paraId="2EBDCC31" w14:textId="77777777" w:rsidR="00692526" w:rsidRPr="00B906B1" w:rsidRDefault="00692526" w:rsidP="00692526">
      <w:pPr>
        <w:spacing w:after="120"/>
        <w:jc w:val="both"/>
        <w:rPr>
          <w:rFonts w:ascii="Trebuchet MS" w:eastAsia="Calibri" w:hAnsi="Trebuchet MS"/>
          <w:b/>
          <w:bCs/>
          <w:color w:val="303030"/>
          <w:spacing w:val="0"/>
          <w:sz w:val="22"/>
          <w:szCs w:val="22"/>
          <w:lang w:val="en-US" w:eastAsia="en-US"/>
        </w:rPr>
      </w:pPr>
    </w:p>
    <w:p w14:paraId="424F46E5" w14:textId="77777777" w:rsidR="00692526" w:rsidRPr="00B906B1" w:rsidRDefault="00692526" w:rsidP="00692526">
      <w:pPr>
        <w:spacing w:after="120"/>
        <w:jc w:val="both"/>
        <w:rPr>
          <w:rFonts w:ascii="Trebuchet MS" w:eastAsia="Calibri" w:hAnsi="Trebuchet MS"/>
          <w:b/>
          <w:bCs/>
          <w:color w:val="303030"/>
          <w:spacing w:val="0"/>
          <w:sz w:val="22"/>
          <w:szCs w:val="22"/>
          <w:lang w:val="en-US" w:eastAsia="en-US"/>
        </w:rPr>
      </w:pPr>
    </w:p>
    <w:p w14:paraId="765FA9E3" w14:textId="77777777" w:rsidR="00692526" w:rsidRPr="00B906B1" w:rsidRDefault="00692526" w:rsidP="00692526">
      <w:pPr>
        <w:spacing w:after="120"/>
        <w:jc w:val="both"/>
        <w:rPr>
          <w:rFonts w:ascii="Trebuchet MS" w:eastAsia="Calibri" w:hAnsi="Trebuchet MS"/>
          <w:b/>
          <w:bCs/>
          <w:color w:val="303030"/>
          <w:spacing w:val="0"/>
          <w:sz w:val="22"/>
          <w:szCs w:val="22"/>
          <w:lang w:val="en-US" w:eastAsia="en-US"/>
        </w:rPr>
      </w:pPr>
    </w:p>
    <w:p w14:paraId="4F055C7B" w14:textId="77777777" w:rsidR="00692526" w:rsidRPr="00B906B1" w:rsidRDefault="00692526" w:rsidP="00692526">
      <w:pPr>
        <w:spacing w:after="120"/>
        <w:jc w:val="both"/>
        <w:rPr>
          <w:rFonts w:ascii="Trebuchet MS" w:eastAsia="Calibri" w:hAnsi="Trebuchet MS"/>
          <w:b/>
          <w:bCs/>
          <w:color w:val="303030"/>
          <w:spacing w:val="0"/>
          <w:sz w:val="22"/>
          <w:szCs w:val="22"/>
          <w:lang w:val="en-US" w:eastAsia="en-US"/>
        </w:rPr>
      </w:pPr>
    </w:p>
    <w:p w14:paraId="1BB9ADA2" w14:textId="77777777" w:rsidR="00692526" w:rsidRPr="00B906B1" w:rsidRDefault="00692526" w:rsidP="00692526">
      <w:pPr>
        <w:spacing w:after="120"/>
        <w:jc w:val="both"/>
        <w:rPr>
          <w:rFonts w:ascii="Trebuchet MS" w:eastAsia="Calibri" w:hAnsi="Trebuchet MS"/>
          <w:b/>
          <w:bCs/>
          <w:color w:val="303030"/>
          <w:spacing w:val="0"/>
          <w:sz w:val="22"/>
          <w:szCs w:val="22"/>
          <w:lang w:val="en-US" w:eastAsia="en-US"/>
        </w:rPr>
      </w:pPr>
    </w:p>
    <w:p w14:paraId="3D46D640" w14:textId="77777777" w:rsidR="00692526" w:rsidRPr="00B906B1" w:rsidRDefault="00692526" w:rsidP="00692526">
      <w:pPr>
        <w:spacing w:after="120"/>
        <w:jc w:val="both"/>
        <w:rPr>
          <w:rFonts w:ascii="Trebuchet MS" w:eastAsia="Calibri" w:hAnsi="Trebuchet MS"/>
          <w:b/>
          <w:bCs/>
          <w:color w:val="303030"/>
          <w:spacing w:val="0"/>
          <w:sz w:val="22"/>
          <w:szCs w:val="22"/>
          <w:lang w:val="en-US" w:eastAsia="en-US"/>
        </w:rPr>
      </w:pPr>
    </w:p>
    <w:p w14:paraId="61962A24" w14:textId="77777777" w:rsidR="00692526" w:rsidRPr="00B906B1" w:rsidRDefault="00692526" w:rsidP="00692526">
      <w:pPr>
        <w:spacing w:after="120"/>
        <w:jc w:val="both"/>
        <w:rPr>
          <w:rFonts w:ascii="Trebuchet MS" w:eastAsia="Calibri" w:hAnsi="Trebuchet MS"/>
          <w:b/>
          <w:bCs/>
          <w:color w:val="303030"/>
          <w:spacing w:val="0"/>
          <w:sz w:val="22"/>
          <w:szCs w:val="22"/>
          <w:lang w:val="en-US" w:eastAsia="en-US"/>
        </w:rPr>
      </w:pPr>
    </w:p>
    <w:p w14:paraId="58DB9F90" w14:textId="77777777" w:rsidR="00692526" w:rsidRPr="00B906B1" w:rsidRDefault="00692526" w:rsidP="00692526">
      <w:pPr>
        <w:spacing w:after="120"/>
        <w:jc w:val="both"/>
        <w:rPr>
          <w:rFonts w:ascii="Trebuchet MS" w:eastAsia="Calibri" w:hAnsi="Trebuchet MS"/>
          <w:b/>
          <w:bCs/>
          <w:color w:val="303030"/>
          <w:spacing w:val="0"/>
          <w:sz w:val="22"/>
          <w:szCs w:val="22"/>
          <w:lang w:val="en-US" w:eastAsia="en-US"/>
        </w:rPr>
      </w:pPr>
    </w:p>
    <w:p w14:paraId="7C853425" w14:textId="5D65615D" w:rsidR="00692526" w:rsidRPr="00B906B1" w:rsidRDefault="00692526" w:rsidP="00692526">
      <w:pPr>
        <w:spacing w:after="120"/>
        <w:jc w:val="both"/>
        <w:rPr>
          <w:rFonts w:ascii="Trebuchet MS" w:eastAsia="Calibri" w:hAnsi="Trebuchet MS"/>
          <w:color w:val="303030"/>
          <w:spacing w:val="0"/>
          <w:sz w:val="22"/>
          <w:szCs w:val="22"/>
          <w:lang w:val="en-US" w:eastAsia="en-US"/>
        </w:rPr>
      </w:pPr>
      <w:r w:rsidRPr="00B906B1">
        <w:rPr>
          <w:rFonts w:ascii="Trebuchet MS" w:eastAsia="Calibri" w:hAnsi="Trebuchet MS"/>
          <w:color w:val="303030"/>
          <w:spacing w:val="0"/>
          <w:sz w:val="22"/>
          <w:szCs w:val="22"/>
          <w:lang w:val="en-US" w:eastAsia="en-US"/>
        </w:rPr>
        <w:t xml:space="preserve">Comparing the envisaged US implementation to the European, anyone can realize the massive competitive disadvantage for European banks in comparison to US institutions. </w:t>
      </w:r>
    </w:p>
    <w:p w14:paraId="1D2E71AB" w14:textId="01D81750" w:rsidR="00692526" w:rsidRPr="00B906B1" w:rsidRDefault="006E0316" w:rsidP="00692526">
      <w:pPr>
        <w:spacing w:after="120"/>
        <w:jc w:val="both"/>
        <w:rPr>
          <w:rFonts w:ascii="Trebuchet MS" w:eastAsia="Calibri" w:hAnsi="Trebuchet MS"/>
          <w:color w:val="303030"/>
          <w:spacing w:val="0"/>
          <w:sz w:val="22"/>
          <w:szCs w:val="22"/>
          <w:lang w:val="en-US" w:eastAsia="en-US"/>
        </w:rPr>
      </w:pPr>
      <w:r>
        <w:rPr>
          <w:rFonts w:ascii="Trebuchet MS" w:eastAsia="Calibri" w:hAnsi="Trebuchet MS"/>
          <w:b/>
          <w:bCs/>
          <w:color w:val="303030"/>
          <w:spacing w:val="0"/>
          <w:sz w:val="22"/>
          <w:szCs w:val="22"/>
          <w:lang w:val="en-US" w:eastAsia="en-US"/>
        </w:rPr>
        <w:t>C</w:t>
      </w:r>
      <w:r w:rsidR="00692526" w:rsidRPr="00B906B1">
        <w:rPr>
          <w:rFonts w:ascii="Trebuchet MS" w:eastAsia="Calibri" w:hAnsi="Trebuchet MS"/>
          <w:b/>
          <w:bCs/>
          <w:color w:val="303030"/>
          <w:spacing w:val="0"/>
          <w:sz w:val="22"/>
          <w:szCs w:val="22"/>
          <w:lang w:val="en-US" w:eastAsia="en-US"/>
        </w:rPr>
        <w:t>ompetitive drawbacks for EU banks should be avoided by any means.</w:t>
      </w:r>
      <w:r w:rsidR="00692526" w:rsidRPr="00B906B1">
        <w:rPr>
          <w:rFonts w:ascii="Trebuchet MS" w:eastAsia="Calibri" w:hAnsi="Trebuchet MS"/>
          <w:color w:val="303030"/>
          <w:spacing w:val="0"/>
          <w:sz w:val="22"/>
          <w:szCs w:val="22"/>
          <w:lang w:val="en-US" w:eastAsia="en-US"/>
        </w:rPr>
        <w:t xml:space="preserve"> This clear target was also recently stipulated by President von der Leyen. This approach should be duly </w:t>
      </w:r>
      <w:proofErr w:type="gramStart"/>
      <w:r w:rsidR="00692526" w:rsidRPr="00B906B1">
        <w:rPr>
          <w:rFonts w:ascii="Trebuchet MS" w:eastAsia="Calibri" w:hAnsi="Trebuchet MS"/>
          <w:color w:val="303030"/>
          <w:spacing w:val="0"/>
          <w:sz w:val="22"/>
          <w:szCs w:val="22"/>
          <w:lang w:val="en-US" w:eastAsia="en-US"/>
        </w:rPr>
        <w:t>taken into account</w:t>
      </w:r>
      <w:proofErr w:type="gramEnd"/>
      <w:r w:rsidR="00692526" w:rsidRPr="00B906B1">
        <w:rPr>
          <w:rFonts w:ascii="Trebuchet MS" w:eastAsia="Calibri" w:hAnsi="Trebuchet MS"/>
          <w:color w:val="303030"/>
          <w:spacing w:val="0"/>
          <w:sz w:val="22"/>
          <w:szCs w:val="22"/>
          <w:lang w:val="en-US" w:eastAsia="en-US"/>
        </w:rPr>
        <w:t xml:space="preserve"> by EBA. </w:t>
      </w:r>
    </w:p>
    <w:p w14:paraId="2E44F137" w14:textId="77777777" w:rsidR="00692526" w:rsidRPr="00B906B1" w:rsidRDefault="00692526" w:rsidP="00692526">
      <w:pPr>
        <w:rPr>
          <w:rFonts w:ascii="Trebuchet MS" w:eastAsia="Calibri" w:hAnsi="Trebuchet MS"/>
          <w:b/>
          <w:bCs/>
          <w:color w:val="303030"/>
          <w:spacing w:val="0"/>
          <w:sz w:val="22"/>
          <w:szCs w:val="22"/>
          <w:u w:val="single"/>
          <w:lang w:val="en-GB" w:eastAsia="en-US"/>
        </w:rPr>
      </w:pPr>
    </w:p>
    <w:p w14:paraId="25E69B15" w14:textId="77777777" w:rsidR="00692526" w:rsidRPr="00B906B1" w:rsidRDefault="00692526" w:rsidP="00692526">
      <w:pPr>
        <w:rPr>
          <w:rFonts w:ascii="Trebuchet MS" w:eastAsia="Calibri" w:hAnsi="Trebuchet MS"/>
          <w:b/>
          <w:bCs/>
          <w:color w:val="303030"/>
          <w:spacing w:val="0"/>
          <w:sz w:val="22"/>
          <w:szCs w:val="22"/>
          <w:u w:val="single"/>
          <w:lang w:val="en-GB" w:eastAsia="en-US"/>
        </w:rPr>
      </w:pPr>
    </w:p>
    <w:p w14:paraId="1AD82EC7" w14:textId="77777777" w:rsidR="00692526" w:rsidRPr="00B906B1" w:rsidRDefault="00692526" w:rsidP="00692526">
      <w:pPr>
        <w:rPr>
          <w:rFonts w:ascii="Trebuchet MS" w:eastAsia="Calibri" w:hAnsi="Trebuchet MS"/>
          <w:b/>
          <w:bCs/>
          <w:color w:val="303030"/>
          <w:spacing w:val="0"/>
          <w:sz w:val="22"/>
          <w:szCs w:val="22"/>
          <w:u w:val="single"/>
          <w:lang w:val="en-GB" w:eastAsia="en-US"/>
        </w:rPr>
      </w:pPr>
      <w:r w:rsidRPr="00B906B1">
        <w:rPr>
          <w:rFonts w:ascii="Trebuchet MS" w:eastAsia="Calibri" w:hAnsi="Trebuchet MS"/>
          <w:b/>
          <w:bCs/>
          <w:color w:val="303030"/>
          <w:spacing w:val="0"/>
          <w:sz w:val="22"/>
          <w:szCs w:val="22"/>
          <w:u w:val="single"/>
          <w:lang w:val="en-GB" w:eastAsia="en-US"/>
        </w:rPr>
        <w:t xml:space="preserve">Questions </w:t>
      </w:r>
    </w:p>
    <w:p w14:paraId="728739F8" w14:textId="77777777" w:rsidR="00692526" w:rsidRPr="00B906B1" w:rsidRDefault="00692526" w:rsidP="00692526">
      <w:pPr>
        <w:suppressAutoHyphens/>
        <w:rPr>
          <w:rFonts w:ascii="Trebuchet MS" w:eastAsia="Calibri" w:hAnsi="Trebuchet MS"/>
          <w:color w:val="303030"/>
          <w:spacing w:val="0"/>
          <w:sz w:val="22"/>
          <w:szCs w:val="22"/>
          <w:lang w:val="en-GB" w:eastAsia="en-US"/>
        </w:rPr>
      </w:pPr>
    </w:p>
    <w:p w14:paraId="48C7C958"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Question 1: What is the materiality of the pre-sale and pre-lease contracts that would not have the expected characteristics of legally binding contract?</w:t>
      </w:r>
    </w:p>
    <w:tbl>
      <w:tblPr>
        <w:tblStyle w:val="Tabellenraster1"/>
        <w:tblW w:w="0" w:type="auto"/>
        <w:tblInd w:w="0" w:type="dxa"/>
        <w:tblLook w:val="04A0" w:firstRow="1" w:lastRow="0" w:firstColumn="1" w:lastColumn="0" w:noHBand="0" w:noVBand="1"/>
      </w:tblPr>
      <w:tblGrid>
        <w:gridCol w:w="9062"/>
      </w:tblGrid>
      <w:tr w:rsidR="00692526" w:rsidRPr="006D6199" w14:paraId="2B71E877" w14:textId="77777777" w:rsidTr="00F17AD7">
        <w:tc>
          <w:tcPr>
            <w:tcW w:w="9346" w:type="dxa"/>
          </w:tcPr>
          <w:p w14:paraId="3383FE53" w14:textId="77777777" w:rsidR="00692526" w:rsidRPr="0021271F" w:rsidRDefault="00692526" w:rsidP="00692526">
            <w:pPr>
              <w:suppressAutoHyphens/>
              <w:rPr>
                <w:rFonts w:ascii="Trebuchet MS" w:eastAsia="Calibri" w:hAnsi="Trebuchet MS"/>
                <w:spacing w:val="0"/>
                <w:sz w:val="22"/>
                <w:szCs w:val="22"/>
                <w:lang w:val="en-US" w:eastAsia="zh-CN"/>
              </w:rPr>
            </w:pPr>
            <w:r w:rsidRPr="0021271F">
              <w:rPr>
                <w:rFonts w:ascii="Trebuchet MS" w:eastAsia="Calibri" w:hAnsi="Trebuchet MS"/>
                <w:spacing w:val="0"/>
                <w:sz w:val="22"/>
                <w:szCs w:val="22"/>
                <w:lang w:val="en-US" w:eastAsia="zh-CN"/>
              </w:rPr>
              <w:t xml:space="preserve">Since the </w:t>
            </w:r>
            <w:proofErr w:type="spellStart"/>
            <w:r w:rsidRPr="0021271F">
              <w:rPr>
                <w:rFonts w:ascii="Trebuchet MS" w:eastAsia="Calibri" w:hAnsi="Trebuchet MS"/>
                <w:spacing w:val="0"/>
                <w:sz w:val="22"/>
                <w:szCs w:val="22"/>
                <w:lang w:val="en-US" w:eastAsia="zh-CN"/>
              </w:rPr>
              <w:t>Bauträgervertragsgesetz</w:t>
            </w:r>
            <w:proofErr w:type="spellEnd"/>
            <w:r w:rsidRPr="0021271F">
              <w:rPr>
                <w:rFonts w:ascii="Trebuchet MS" w:eastAsia="Calibri" w:hAnsi="Trebuchet MS"/>
                <w:spacing w:val="0"/>
                <w:sz w:val="22"/>
                <w:szCs w:val="22"/>
                <w:lang w:val="en-US" w:eastAsia="zh-CN"/>
              </w:rPr>
              <w:t xml:space="preserve"> (the Austrian Law regulating the drawing plan and </w:t>
            </w:r>
            <w:proofErr w:type="spellStart"/>
            <w:r w:rsidRPr="0021271F">
              <w:rPr>
                <w:rFonts w:ascii="Trebuchet MS" w:eastAsia="Calibri" w:hAnsi="Trebuchet MS"/>
                <w:spacing w:val="0"/>
                <w:sz w:val="22"/>
                <w:szCs w:val="22"/>
                <w:lang w:val="en-US" w:eastAsia="zh-CN"/>
              </w:rPr>
              <w:t>securisation</w:t>
            </w:r>
            <w:proofErr w:type="spellEnd"/>
            <w:r w:rsidRPr="0021271F">
              <w:rPr>
                <w:rFonts w:ascii="Trebuchet MS" w:eastAsia="Calibri" w:hAnsi="Trebuchet MS"/>
                <w:spacing w:val="0"/>
                <w:sz w:val="22"/>
                <w:szCs w:val="22"/>
                <w:lang w:val="en-US" w:eastAsia="zh-CN"/>
              </w:rPr>
              <w:t xml:space="preserve"> of disbursements according to the construction progress) regulates certain withdrawal rights for the buyers without a fee or other compensation for the developer, all development projects would be subject to this regulation. </w:t>
            </w:r>
          </w:p>
          <w:p w14:paraId="69C08952" w14:textId="63A9BE50" w:rsidR="00692526" w:rsidRPr="0021271F" w:rsidRDefault="00692526" w:rsidP="00692526">
            <w:pPr>
              <w:numPr>
                <w:ilvl w:val="0"/>
                <w:numId w:val="18"/>
              </w:numPr>
              <w:suppressAutoHyphens/>
              <w:contextualSpacing/>
              <w:rPr>
                <w:rFonts w:ascii="Trebuchet MS" w:eastAsia="Calibri" w:hAnsi="Trebuchet MS"/>
                <w:spacing w:val="0"/>
                <w:sz w:val="22"/>
                <w:szCs w:val="22"/>
                <w:lang w:val="en-US" w:eastAsia="zh-CN"/>
              </w:rPr>
            </w:pPr>
            <w:r w:rsidRPr="0021271F">
              <w:rPr>
                <w:rFonts w:ascii="Trebuchet MS" w:eastAsia="Calibri" w:hAnsi="Trebuchet MS"/>
                <w:spacing w:val="0"/>
                <w:sz w:val="22"/>
                <w:szCs w:val="22"/>
                <w:lang w:val="en-US" w:eastAsia="zh-CN"/>
              </w:rPr>
              <w:t>Therefore, a clarification “legally binding, except mandatory withdrawal rights of the buyer” would be helpful</w:t>
            </w:r>
            <w:r w:rsidR="0021271F" w:rsidRPr="0021271F">
              <w:rPr>
                <w:rFonts w:ascii="Trebuchet MS" w:eastAsia="Calibri" w:hAnsi="Trebuchet MS"/>
                <w:spacing w:val="0"/>
                <w:sz w:val="22"/>
                <w:szCs w:val="22"/>
                <w:lang w:val="en-US" w:eastAsia="zh-CN"/>
              </w:rPr>
              <w:t>.</w:t>
            </w:r>
          </w:p>
          <w:p w14:paraId="714E2F39" w14:textId="77777777" w:rsidR="00692526" w:rsidRPr="0021271F" w:rsidRDefault="00692526" w:rsidP="0021271F">
            <w:pPr>
              <w:suppressAutoHyphens/>
              <w:contextualSpacing/>
              <w:rPr>
                <w:rFonts w:ascii="Trebuchet MS" w:eastAsia="Calibri" w:hAnsi="Trebuchet MS"/>
                <w:spacing w:val="0"/>
                <w:sz w:val="22"/>
                <w:szCs w:val="22"/>
                <w:lang w:val="en-US" w:eastAsia="zh-CN"/>
              </w:rPr>
            </w:pPr>
          </w:p>
          <w:p w14:paraId="5F76887A" w14:textId="7A60EB00" w:rsidR="00692526" w:rsidRPr="0021271F" w:rsidRDefault="00692526" w:rsidP="00692526">
            <w:pPr>
              <w:rPr>
                <w:rFonts w:ascii="Trebuchet MS" w:eastAsia="Arial" w:hAnsi="Trebuchet MS" w:cs="Calibri"/>
                <w:bCs/>
                <w:iCs/>
                <w:spacing w:val="0"/>
                <w:sz w:val="22"/>
                <w:szCs w:val="22"/>
                <w:lang w:val="en-US" w:eastAsia="de-DE"/>
              </w:rPr>
            </w:pPr>
            <w:r w:rsidRPr="0021271F">
              <w:rPr>
                <w:rFonts w:ascii="Trebuchet MS" w:eastAsia="Arial" w:hAnsi="Trebuchet MS" w:cs="Calibri"/>
                <w:bCs/>
                <w:iCs/>
                <w:spacing w:val="0"/>
                <w:sz w:val="22"/>
                <w:szCs w:val="22"/>
                <w:lang w:val="en-US" w:eastAsia="de-DE"/>
              </w:rPr>
              <w:t xml:space="preserve">According to our understanding, a preliminary contract is an agreement to conclude the main contract (purchase contract or rental agreement) in the future. The obligation arising </w:t>
            </w:r>
            <w:r w:rsidRPr="0021271F">
              <w:rPr>
                <w:rFonts w:ascii="Trebuchet MS" w:eastAsia="Arial" w:hAnsi="Trebuchet MS" w:cs="Calibri"/>
                <w:bCs/>
                <w:iCs/>
                <w:spacing w:val="0"/>
                <w:sz w:val="22"/>
                <w:szCs w:val="22"/>
                <w:lang w:val="en-US" w:eastAsia="de-DE"/>
              </w:rPr>
              <w:lastRenderedPageBreak/>
              <w:t xml:space="preserve">from the preliminary agreement therefore includes the conclusion of a purchase or rental agreement. Pre-sale and pre-lease agreements are </w:t>
            </w:r>
            <w:r w:rsidR="0021271F" w:rsidRPr="0021271F">
              <w:rPr>
                <w:rFonts w:ascii="Trebuchet MS" w:eastAsia="Arial" w:hAnsi="Trebuchet MS" w:cs="Calibri"/>
                <w:bCs/>
                <w:iCs/>
                <w:spacing w:val="0"/>
                <w:sz w:val="22"/>
                <w:szCs w:val="22"/>
                <w:lang w:val="en-US" w:eastAsia="de-DE"/>
              </w:rPr>
              <w:t xml:space="preserve">therefore </w:t>
            </w:r>
            <w:r w:rsidRPr="0021271F">
              <w:rPr>
                <w:rFonts w:ascii="Trebuchet MS" w:eastAsia="Arial" w:hAnsi="Trebuchet MS" w:cs="Calibri"/>
                <w:bCs/>
                <w:iCs/>
                <w:spacing w:val="0"/>
                <w:sz w:val="22"/>
                <w:szCs w:val="22"/>
                <w:lang w:val="en-US" w:eastAsia="de-DE"/>
              </w:rPr>
              <w:t xml:space="preserve">of </w:t>
            </w:r>
            <w:r w:rsidR="0021271F" w:rsidRPr="0021271F">
              <w:rPr>
                <w:rFonts w:ascii="Trebuchet MS" w:eastAsia="Arial" w:hAnsi="Trebuchet MS" w:cs="Calibri"/>
                <w:bCs/>
                <w:iCs/>
                <w:spacing w:val="0"/>
                <w:sz w:val="22"/>
                <w:szCs w:val="22"/>
                <w:lang w:val="en-US" w:eastAsia="de-DE"/>
              </w:rPr>
              <w:t>minor</w:t>
            </w:r>
            <w:r w:rsidRPr="0021271F">
              <w:rPr>
                <w:rFonts w:ascii="Trebuchet MS" w:eastAsia="Arial" w:hAnsi="Trebuchet MS" w:cs="Calibri"/>
                <w:bCs/>
                <w:iCs/>
                <w:spacing w:val="0"/>
                <w:sz w:val="22"/>
                <w:szCs w:val="22"/>
                <w:lang w:val="en-US" w:eastAsia="de-DE"/>
              </w:rPr>
              <w:t xml:space="preserve"> practical significance for real estate financing. In connection with Article 126a (2) CRR III, </w:t>
            </w:r>
            <w:r w:rsidR="0021271F" w:rsidRPr="0021271F">
              <w:rPr>
                <w:rFonts w:ascii="Trebuchet MS" w:eastAsia="Arial" w:hAnsi="Trebuchet MS" w:cs="Calibri"/>
                <w:bCs/>
                <w:iCs/>
                <w:spacing w:val="0"/>
                <w:sz w:val="22"/>
                <w:szCs w:val="22"/>
                <w:lang w:val="en-US" w:eastAsia="de-DE"/>
              </w:rPr>
              <w:t>a lot of banks</w:t>
            </w:r>
            <w:r w:rsidRPr="0021271F">
              <w:rPr>
                <w:rFonts w:ascii="Trebuchet MS" w:eastAsia="Arial" w:hAnsi="Trebuchet MS" w:cs="Calibri"/>
                <w:bCs/>
                <w:iCs/>
                <w:spacing w:val="0"/>
                <w:sz w:val="22"/>
                <w:szCs w:val="22"/>
                <w:lang w:val="en-US" w:eastAsia="de-DE"/>
              </w:rPr>
              <w:t xml:space="preserve"> plan not</w:t>
            </w:r>
            <w:r w:rsidR="00690407">
              <w:rPr>
                <w:rFonts w:ascii="Trebuchet MS" w:eastAsia="Arial" w:hAnsi="Trebuchet MS" w:cs="Calibri"/>
                <w:bCs/>
                <w:iCs/>
                <w:spacing w:val="0"/>
                <w:sz w:val="22"/>
                <w:szCs w:val="22"/>
                <w:lang w:val="en-US" w:eastAsia="de-DE"/>
              </w:rPr>
              <w:t xml:space="preserve"> to</w:t>
            </w:r>
            <w:r w:rsidRPr="0021271F">
              <w:rPr>
                <w:rFonts w:ascii="Trebuchet MS" w:eastAsia="Arial" w:hAnsi="Trebuchet MS" w:cs="Calibri"/>
                <w:bCs/>
                <w:iCs/>
                <w:spacing w:val="0"/>
                <w:sz w:val="22"/>
                <w:szCs w:val="22"/>
                <w:lang w:val="en-US" w:eastAsia="de-DE"/>
              </w:rPr>
              <w:t xml:space="preserve"> accept pre-contracts as proof of sale or lease (as has already been the case in connection with speculative real estate financing), but only the submission of written (and thus legally effective) sales or lease agreements concluded </w:t>
            </w:r>
            <w:proofErr w:type="gramStart"/>
            <w:r w:rsidRPr="0021271F">
              <w:rPr>
                <w:rFonts w:ascii="Trebuchet MS" w:eastAsia="Arial" w:hAnsi="Trebuchet MS" w:cs="Calibri"/>
                <w:bCs/>
                <w:iCs/>
                <w:spacing w:val="0"/>
                <w:sz w:val="22"/>
                <w:szCs w:val="22"/>
                <w:lang w:val="en-US" w:eastAsia="de-DE"/>
              </w:rPr>
              <w:t>on the basis of</w:t>
            </w:r>
            <w:proofErr w:type="gramEnd"/>
            <w:r w:rsidRPr="0021271F">
              <w:rPr>
                <w:rFonts w:ascii="Trebuchet MS" w:eastAsia="Arial" w:hAnsi="Trebuchet MS" w:cs="Calibri"/>
                <w:bCs/>
                <w:iCs/>
                <w:spacing w:val="0"/>
                <w:sz w:val="22"/>
                <w:szCs w:val="22"/>
                <w:lang w:val="en-US" w:eastAsia="de-DE"/>
              </w:rPr>
              <w:t xml:space="preserve"> concordant declarations of intent (offer and acceptance).</w:t>
            </w:r>
          </w:p>
          <w:p w14:paraId="615EAA60" w14:textId="77777777" w:rsidR="00692526" w:rsidRPr="0021271F" w:rsidRDefault="00692526" w:rsidP="00692526">
            <w:pPr>
              <w:rPr>
                <w:rFonts w:ascii="Trebuchet MS" w:eastAsia="Arial" w:hAnsi="Trebuchet MS" w:cs="Calibri"/>
                <w:bCs/>
                <w:iCs/>
                <w:spacing w:val="0"/>
                <w:sz w:val="22"/>
                <w:szCs w:val="22"/>
                <w:lang w:val="en-US" w:eastAsia="de-DE"/>
              </w:rPr>
            </w:pPr>
          </w:p>
          <w:p w14:paraId="07BB20F6" w14:textId="77777777" w:rsidR="00692526" w:rsidRPr="0021271F" w:rsidRDefault="00692526" w:rsidP="00692526">
            <w:pPr>
              <w:rPr>
                <w:rFonts w:ascii="Trebuchet MS" w:eastAsia="Arial" w:hAnsi="Trebuchet MS" w:cs="Calibri"/>
                <w:spacing w:val="0"/>
                <w:sz w:val="22"/>
                <w:szCs w:val="22"/>
                <w:u w:val="single"/>
                <w:lang w:val="en-US" w:eastAsia="zh-CN"/>
              </w:rPr>
            </w:pPr>
            <w:r w:rsidRPr="0021271F">
              <w:rPr>
                <w:rFonts w:ascii="Trebuchet MS" w:eastAsia="Arial" w:hAnsi="Trebuchet MS" w:cs="Calibri"/>
                <w:spacing w:val="0"/>
                <w:sz w:val="22"/>
                <w:szCs w:val="22"/>
                <w:u w:val="single"/>
                <w:lang w:val="en-US" w:eastAsia="zh-CN"/>
              </w:rPr>
              <w:t>Legally binding nature of sales or rental agreements</w:t>
            </w:r>
          </w:p>
          <w:p w14:paraId="30EC290D" w14:textId="77777777" w:rsidR="00692526" w:rsidRPr="0021271F" w:rsidRDefault="00692526" w:rsidP="00692526">
            <w:pPr>
              <w:rPr>
                <w:rFonts w:ascii="Trebuchet MS" w:eastAsia="Arial" w:hAnsi="Trebuchet MS" w:cs="Calibri"/>
                <w:spacing w:val="0"/>
                <w:sz w:val="22"/>
                <w:szCs w:val="22"/>
                <w:lang w:val="en-US" w:eastAsia="zh-CN"/>
              </w:rPr>
            </w:pPr>
          </w:p>
          <w:p w14:paraId="6EEFAD97" w14:textId="77777777" w:rsidR="00692526" w:rsidRPr="0021271F" w:rsidRDefault="00692526" w:rsidP="00692526">
            <w:pPr>
              <w:rPr>
                <w:rFonts w:ascii="Trebuchet MS" w:eastAsia="Arial" w:hAnsi="Trebuchet MS" w:cs="Calibri"/>
                <w:spacing w:val="0"/>
                <w:sz w:val="22"/>
                <w:szCs w:val="22"/>
                <w:lang w:val="en-US" w:eastAsia="zh-CN"/>
              </w:rPr>
            </w:pPr>
            <w:r w:rsidRPr="0021271F">
              <w:rPr>
                <w:rFonts w:ascii="Trebuchet MS" w:eastAsia="Arial" w:hAnsi="Trebuchet MS" w:cs="Calibri"/>
                <w:spacing w:val="0"/>
                <w:sz w:val="22"/>
                <w:szCs w:val="22"/>
                <w:lang w:val="en-US" w:eastAsia="zh-CN"/>
              </w:rPr>
              <w:t>According to the draft EBA-GL, the pre-sale and pre-lease agreements and sale or lease agreements must be legally binding (however, the draft EBA-GL only regulates when pre-sale or pre-lease agreements can be considered legally binding, namely when they are concluded in writing, the latest time/date for signing the sale/lease agreement and the purchase price/rent, must include any conditions under which the potential buyer/tenant can still terminate the preliminary agreement instead of signing the sale/lease agreement, unless this right of the buyer/tenant cannot be excluded by law);</w:t>
            </w:r>
          </w:p>
          <w:p w14:paraId="7BE359D6" w14:textId="77777777" w:rsidR="00692526" w:rsidRPr="0021271F" w:rsidRDefault="00692526" w:rsidP="00692526">
            <w:pPr>
              <w:rPr>
                <w:rFonts w:ascii="Trebuchet MS" w:eastAsia="Arial" w:hAnsi="Trebuchet MS" w:cs="Calibri"/>
                <w:spacing w:val="0"/>
                <w:sz w:val="22"/>
                <w:szCs w:val="22"/>
                <w:lang w:val="en-US" w:eastAsia="zh-CN"/>
              </w:rPr>
            </w:pPr>
          </w:p>
          <w:p w14:paraId="5BFA5ACE" w14:textId="77777777" w:rsidR="00692526" w:rsidRPr="0021271F" w:rsidRDefault="00692526" w:rsidP="00692526">
            <w:pPr>
              <w:rPr>
                <w:rFonts w:ascii="Trebuchet MS" w:eastAsia="Arial" w:hAnsi="Trebuchet MS" w:cs="Calibri"/>
                <w:spacing w:val="0"/>
                <w:sz w:val="22"/>
                <w:szCs w:val="22"/>
                <w:lang w:val="en-US" w:eastAsia="zh-CN"/>
              </w:rPr>
            </w:pPr>
            <w:r w:rsidRPr="0021271F">
              <w:rPr>
                <w:rFonts w:ascii="Trebuchet MS" w:eastAsia="Arial" w:hAnsi="Trebuchet MS" w:cs="Calibri"/>
                <w:spacing w:val="0"/>
                <w:sz w:val="22"/>
                <w:szCs w:val="22"/>
                <w:lang w:val="en-US" w:eastAsia="zh-CN"/>
              </w:rPr>
              <w:t>We assume that sales or rental agreements - in accordance with general legal principles - are legally binding if they have been concluded with legal effect. In our view, this is the case if there are concurring declarations of intent (offer and acceptance) regarding performance and consideration (</w:t>
            </w:r>
            <w:proofErr w:type="gramStart"/>
            <w:r w:rsidRPr="0021271F">
              <w:rPr>
                <w:rFonts w:ascii="Trebuchet MS" w:eastAsia="Arial" w:hAnsi="Trebuchet MS" w:cs="Calibri"/>
                <w:spacing w:val="0"/>
                <w:sz w:val="22"/>
                <w:szCs w:val="22"/>
                <w:lang w:val="en-US" w:eastAsia="zh-CN"/>
              </w:rPr>
              <w:t>in particular the</w:t>
            </w:r>
            <w:proofErr w:type="gramEnd"/>
            <w:r w:rsidRPr="0021271F">
              <w:rPr>
                <w:rFonts w:ascii="Trebuchet MS" w:eastAsia="Arial" w:hAnsi="Trebuchet MS" w:cs="Calibri"/>
                <w:spacing w:val="0"/>
                <w:sz w:val="22"/>
                <w:szCs w:val="22"/>
                <w:lang w:val="en-US" w:eastAsia="zh-CN"/>
              </w:rPr>
              <w:t xml:space="preserve"> object of purchase or rental as well as the purchase price and amount of rent). Statutory or customary contractual termination options as well as statutory warranty claims should not be detrimental to legal validity within the meaning of Art 126a (2) CRR III.</w:t>
            </w:r>
          </w:p>
          <w:p w14:paraId="2E7A789D" w14:textId="77777777" w:rsidR="00692526" w:rsidRPr="00B906B1" w:rsidRDefault="00692526" w:rsidP="00692526">
            <w:pPr>
              <w:suppressAutoHyphens/>
              <w:rPr>
                <w:rFonts w:ascii="Trebuchet MS" w:eastAsia="Calibri" w:hAnsi="Trebuchet MS"/>
                <w:color w:val="4472C4"/>
                <w:spacing w:val="0"/>
                <w:sz w:val="22"/>
                <w:szCs w:val="22"/>
                <w:lang w:val="en-US" w:eastAsia="zh-CN"/>
              </w:rPr>
            </w:pPr>
          </w:p>
        </w:tc>
      </w:tr>
    </w:tbl>
    <w:p w14:paraId="4BEFF75E" w14:textId="77777777" w:rsidR="00692526" w:rsidRPr="00B906B1" w:rsidRDefault="00692526" w:rsidP="00692526">
      <w:pPr>
        <w:suppressAutoHyphens/>
        <w:rPr>
          <w:rFonts w:ascii="Trebuchet MS" w:eastAsia="Calibri" w:hAnsi="Trebuchet MS"/>
          <w:color w:val="4472C4"/>
          <w:spacing w:val="0"/>
          <w:sz w:val="22"/>
          <w:szCs w:val="22"/>
          <w:lang w:val="en-US" w:eastAsia="en-US"/>
        </w:rPr>
      </w:pPr>
    </w:p>
    <w:p w14:paraId="4FF1BEB1" w14:textId="77777777" w:rsidR="00692526" w:rsidRPr="00B906B1" w:rsidRDefault="00692526" w:rsidP="00692526">
      <w:pPr>
        <w:suppressAutoHyphens/>
        <w:rPr>
          <w:rFonts w:ascii="Trebuchet MS" w:eastAsia="Calibri" w:hAnsi="Trebuchet MS"/>
          <w:color w:val="303030"/>
          <w:spacing w:val="0"/>
          <w:sz w:val="22"/>
          <w:szCs w:val="22"/>
          <w:lang w:val="en-US" w:eastAsia="en-US"/>
        </w:rPr>
      </w:pPr>
    </w:p>
    <w:p w14:paraId="082D7B93"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Question 2: Do you agree with the approach proposed to specify the term “substantial cash deposit”?</w:t>
      </w:r>
    </w:p>
    <w:tbl>
      <w:tblPr>
        <w:tblStyle w:val="Tabellenraster1"/>
        <w:tblW w:w="0" w:type="auto"/>
        <w:tblInd w:w="0" w:type="dxa"/>
        <w:tblLook w:val="04A0" w:firstRow="1" w:lastRow="0" w:firstColumn="1" w:lastColumn="0" w:noHBand="0" w:noVBand="1"/>
      </w:tblPr>
      <w:tblGrid>
        <w:gridCol w:w="9062"/>
      </w:tblGrid>
      <w:tr w:rsidR="00692526" w:rsidRPr="006D6199" w14:paraId="39B1DA5E" w14:textId="77777777" w:rsidTr="00F17AD7">
        <w:tc>
          <w:tcPr>
            <w:tcW w:w="9346" w:type="dxa"/>
          </w:tcPr>
          <w:p w14:paraId="16217C42" w14:textId="3050B236" w:rsidR="0021271F" w:rsidRPr="0021271F" w:rsidRDefault="0021271F" w:rsidP="0021271F">
            <w:pPr>
              <w:rPr>
                <w:rFonts w:ascii="Trebuchet MS" w:eastAsia="Arial" w:hAnsi="Trebuchet MS" w:cs="Calibri"/>
                <w:spacing w:val="0"/>
                <w:sz w:val="22"/>
                <w:szCs w:val="22"/>
                <w:lang w:val="en-US" w:eastAsia="zh-CN"/>
              </w:rPr>
            </w:pPr>
            <w:r w:rsidRPr="0021271F">
              <w:rPr>
                <w:rFonts w:ascii="Trebuchet MS" w:eastAsia="Arial" w:hAnsi="Trebuchet MS" w:cs="Calibri"/>
                <w:spacing w:val="0"/>
                <w:sz w:val="22"/>
                <w:szCs w:val="22"/>
                <w:lang w:val="en-US" w:eastAsia="zh-CN"/>
              </w:rPr>
              <w:t xml:space="preserve">Yes. </w:t>
            </w:r>
          </w:p>
          <w:p w14:paraId="61689FDE" w14:textId="77777777" w:rsidR="00692526" w:rsidRPr="0021271F" w:rsidRDefault="00692526" w:rsidP="00692526">
            <w:pPr>
              <w:suppressAutoHyphens/>
              <w:rPr>
                <w:rFonts w:ascii="Trebuchet MS" w:eastAsia="Arial" w:hAnsi="Trebuchet MS" w:cs="Calibri"/>
                <w:spacing w:val="0"/>
                <w:sz w:val="22"/>
                <w:szCs w:val="22"/>
                <w:lang w:val="en-US" w:eastAsia="zh-CN"/>
              </w:rPr>
            </w:pPr>
          </w:p>
          <w:p w14:paraId="2FADC99F" w14:textId="6775A1C2" w:rsidR="00692526" w:rsidRPr="0021271F" w:rsidRDefault="00692526" w:rsidP="00692526">
            <w:pPr>
              <w:suppressAutoHyphens/>
              <w:rPr>
                <w:rFonts w:ascii="Trebuchet MS" w:eastAsia="Arial" w:hAnsi="Trebuchet MS" w:cs="Calibri"/>
                <w:spacing w:val="0"/>
                <w:sz w:val="22"/>
                <w:szCs w:val="22"/>
                <w:lang w:val="en-US" w:eastAsia="zh-CN"/>
              </w:rPr>
            </w:pPr>
            <w:r w:rsidRPr="0021271F">
              <w:rPr>
                <w:rFonts w:ascii="Trebuchet MS" w:eastAsia="Arial" w:hAnsi="Trebuchet MS" w:cs="Calibri"/>
                <w:spacing w:val="0"/>
                <w:sz w:val="22"/>
                <w:szCs w:val="22"/>
                <w:lang w:val="en-US" w:eastAsia="zh-CN"/>
              </w:rPr>
              <w:t xml:space="preserve">On the Austrian market, it is common for dwellings to be sold prior to the start of construction on a property project. For this purpose, bank guarantees or irrevocable payment guarantees are issued by the buyer's bank and deposited with a trustee to secure the sale price of the residential unit. Due to the structure of the bank guarantee (abstract, can be drawn without objection at first request, bank as guarantor), it can be regarded as equivalent to a cash deposit. </w:t>
            </w:r>
            <w:r w:rsidR="00844A9D">
              <w:rPr>
                <w:rFonts w:ascii="Trebuchet MS" w:eastAsia="Arial" w:hAnsi="Trebuchet MS" w:cs="Calibri"/>
                <w:spacing w:val="0"/>
                <w:sz w:val="22"/>
                <w:szCs w:val="22"/>
                <w:lang w:val="en-US" w:eastAsia="zh-CN"/>
              </w:rPr>
              <w:t>Therefore, we ask EBA to confirm that</w:t>
            </w:r>
            <w:r w:rsidRPr="0021271F">
              <w:rPr>
                <w:rFonts w:ascii="Trebuchet MS" w:eastAsia="Arial" w:hAnsi="Trebuchet MS" w:cs="Calibri"/>
                <w:spacing w:val="0"/>
                <w:sz w:val="22"/>
                <w:szCs w:val="22"/>
                <w:lang w:val="en-US" w:eastAsia="zh-CN"/>
              </w:rPr>
              <w:t xml:space="preserve"> these bank guarantees or irrevocable payment guarantees from the buyer's bank</w:t>
            </w:r>
            <w:r w:rsidR="00844A9D">
              <w:rPr>
                <w:rFonts w:ascii="Trebuchet MS" w:eastAsia="Arial" w:hAnsi="Trebuchet MS" w:cs="Calibri"/>
                <w:spacing w:val="0"/>
                <w:sz w:val="22"/>
                <w:szCs w:val="22"/>
                <w:lang w:val="en-US" w:eastAsia="zh-CN"/>
              </w:rPr>
              <w:t xml:space="preserve"> can</w:t>
            </w:r>
            <w:r w:rsidRPr="0021271F">
              <w:rPr>
                <w:rFonts w:ascii="Trebuchet MS" w:eastAsia="Arial" w:hAnsi="Trebuchet MS" w:cs="Calibri"/>
                <w:spacing w:val="0"/>
                <w:sz w:val="22"/>
                <w:szCs w:val="22"/>
                <w:lang w:val="en-US" w:eastAsia="zh-CN"/>
              </w:rPr>
              <w:t xml:space="preserve"> be regarded as a ‘cash deposit’</w:t>
            </w:r>
            <w:r w:rsidR="00844A9D">
              <w:rPr>
                <w:rFonts w:ascii="Trebuchet MS" w:eastAsia="Arial" w:hAnsi="Trebuchet MS" w:cs="Calibri"/>
                <w:spacing w:val="0"/>
                <w:sz w:val="22"/>
                <w:szCs w:val="22"/>
                <w:lang w:val="en-US" w:eastAsia="zh-CN"/>
              </w:rPr>
              <w:t>.</w:t>
            </w:r>
          </w:p>
          <w:p w14:paraId="1D21EDF0" w14:textId="77777777" w:rsidR="00692526" w:rsidRPr="00B906B1" w:rsidRDefault="00692526" w:rsidP="0021271F">
            <w:pPr>
              <w:rPr>
                <w:rFonts w:ascii="Trebuchet MS" w:eastAsia="Calibri" w:hAnsi="Trebuchet MS"/>
                <w:color w:val="303030"/>
                <w:spacing w:val="0"/>
                <w:sz w:val="22"/>
                <w:szCs w:val="22"/>
                <w:lang w:val="en-US" w:eastAsia="zh-CN"/>
              </w:rPr>
            </w:pPr>
          </w:p>
        </w:tc>
      </w:tr>
    </w:tbl>
    <w:p w14:paraId="77131B3E" w14:textId="77777777" w:rsidR="00692526" w:rsidRPr="00B906B1" w:rsidRDefault="00692526" w:rsidP="00692526">
      <w:pPr>
        <w:suppressAutoHyphens/>
        <w:rPr>
          <w:rFonts w:ascii="Trebuchet MS" w:eastAsia="Calibri" w:hAnsi="Trebuchet MS"/>
          <w:color w:val="303030"/>
          <w:spacing w:val="0"/>
          <w:sz w:val="22"/>
          <w:szCs w:val="22"/>
          <w:lang w:val="en-US" w:eastAsia="en-US"/>
        </w:rPr>
      </w:pPr>
    </w:p>
    <w:p w14:paraId="33090439" w14:textId="77777777" w:rsidR="00692526" w:rsidRPr="00B906B1" w:rsidRDefault="00692526" w:rsidP="00692526">
      <w:pPr>
        <w:suppressAutoHyphens/>
        <w:rPr>
          <w:rFonts w:ascii="Trebuchet MS" w:eastAsia="Calibri" w:hAnsi="Trebuchet MS"/>
          <w:color w:val="303030"/>
          <w:spacing w:val="0"/>
          <w:sz w:val="22"/>
          <w:szCs w:val="22"/>
          <w:lang w:val="en-US" w:eastAsia="en-US"/>
        </w:rPr>
      </w:pPr>
    </w:p>
    <w:p w14:paraId="7BF3CB5B"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Question 3: Do you consider the 10% ratio to be appropriate for the determination of the ADC exposures benefitting from the lower risk weight?</w:t>
      </w:r>
    </w:p>
    <w:tbl>
      <w:tblPr>
        <w:tblStyle w:val="Tabellenraster1"/>
        <w:tblW w:w="0" w:type="auto"/>
        <w:tblInd w:w="0" w:type="dxa"/>
        <w:tblLook w:val="04A0" w:firstRow="1" w:lastRow="0" w:firstColumn="1" w:lastColumn="0" w:noHBand="0" w:noVBand="1"/>
      </w:tblPr>
      <w:tblGrid>
        <w:gridCol w:w="9062"/>
      </w:tblGrid>
      <w:tr w:rsidR="00692526" w:rsidRPr="006D6199" w14:paraId="0A107265" w14:textId="77777777" w:rsidTr="00F17AD7">
        <w:tc>
          <w:tcPr>
            <w:tcW w:w="9346" w:type="dxa"/>
          </w:tcPr>
          <w:p w14:paraId="52CD5B4B" w14:textId="3B0B099C" w:rsidR="00692526" w:rsidRPr="001C13A9" w:rsidRDefault="00692526" w:rsidP="00692526">
            <w:pPr>
              <w:suppressAutoHyphens/>
              <w:rPr>
                <w:rFonts w:ascii="Trebuchet MS" w:eastAsia="Arial" w:hAnsi="Trebuchet MS" w:cs="Calibri"/>
                <w:spacing w:val="0"/>
                <w:sz w:val="22"/>
                <w:szCs w:val="22"/>
                <w:lang w:val="en-US" w:eastAsia="zh-CN"/>
              </w:rPr>
            </w:pPr>
            <w:proofErr w:type="gramStart"/>
            <w:r w:rsidRPr="001C13A9">
              <w:rPr>
                <w:rFonts w:ascii="Trebuchet MS" w:eastAsia="Arial" w:hAnsi="Trebuchet MS" w:cs="Calibri"/>
                <w:spacing w:val="0"/>
                <w:sz w:val="22"/>
                <w:szCs w:val="22"/>
                <w:lang w:val="en-US" w:eastAsia="zh-CN"/>
              </w:rPr>
              <w:t>At the moment</w:t>
            </w:r>
            <w:proofErr w:type="gramEnd"/>
            <w:r w:rsidRPr="001C13A9">
              <w:rPr>
                <w:rFonts w:ascii="Trebuchet MS" w:eastAsia="Arial" w:hAnsi="Trebuchet MS" w:cs="Calibri"/>
                <w:spacing w:val="0"/>
                <w:sz w:val="22"/>
                <w:szCs w:val="22"/>
                <w:lang w:val="en-US" w:eastAsia="zh-CN"/>
              </w:rPr>
              <w:t>, there are no penalties in A</w:t>
            </w:r>
            <w:r w:rsidR="001C13A9" w:rsidRPr="001C13A9">
              <w:rPr>
                <w:rFonts w:ascii="Trebuchet MS" w:eastAsia="Arial" w:hAnsi="Trebuchet MS" w:cs="Calibri"/>
                <w:spacing w:val="0"/>
                <w:sz w:val="22"/>
                <w:szCs w:val="22"/>
                <w:lang w:val="en-US" w:eastAsia="zh-CN"/>
              </w:rPr>
              <w:t>ustria</w:t>
            </w:r>
            <w:r w:rsidRPr="001C13A9">
              <w:rPr>
                <w:rFonts w:ascii="Trebuchet MS" w:eastAsia="Arial" w:hAnsi="Trebuchet MS" w:cs="Calibri"/>
                <w:spacing w:val="0"/>
                <w:sz w:val="22"/>
                <w:szCs w:val="22"/>
                <w:lang w:val="en-US" w:eastAsia="zh-CN"/>
              </w:rPr>
              <w:t>, except the compensation of the developer for proven expenses (see answer to question 1)</w:t>
            </w:r>
            <w:r w:rsidR="00844A9D">
              <w:rPr>
                <w:rFonts w:ascii="Trebuchet MS" w:eastAsia="Arial" w:hAnsi="Trebuchet MS" w:cs="Calibri"/>
                <w:spacing w:val="0"/>
                <w:sz w:val="22"/>
                <w:szCs w:val="22"/>
                <w:lang w:val="en-US" w:eastAsia="zh-CN"/>
              </w:rPr>
              <w:t xml:space="preserve">, since the price is paid in several steps depending on the progress of construction (as a </w:t>
            </w:r>
            <w:proofErr w:type="spellStart"/>
            <w:r w:rsidR="00844A9D">
              <w:rPr>
                <w:rFonts w:ascii="Trebuchet MS" w:eastAsia="Arial" w:hAnsi="Trebuchet MS" w:cs="Calibri"/>
                <w:spacing w:val="0"/>
                <w:sz w:val="22"/>
                <w:szCs w:val="22"/>
                <w:lang w:val="en-US" w:eastAsia="zh-CN"/>
              </w:rPr>
              <w:t>consuer</w:t>
            </w:r>
            <w:proofErr w:type="spellEnd"/>
            <w:r w:rsidR="00844A9D">
              <w:rPr>
                <w:rFonts w:ascii="Trebuchet MS" w:eastAsia="Arial" w:hAnsi="Trebuchet MS" w:cs="Calibri"/>
                <w:spacing w:val="0"/>
                <w:sz w:val="22"/>
                <w:szCs w:val="22"/>
                <w:lang w:val="en-US" w:eastAsia="zh-CN"/>
              </w:rPr>
              <w:t xml:space="preserve"> protection measure in case of insolvency of the developer).</w:t>
            </w:r>
          </w:p>
          <w:p w14:paraId="2B342231" w14:textId="77777777" w:rsidR="00692526" w:rsidRPr="00B906B1" w:rsidRDefault="00692526" w:rsidP="00692526">
            <w:pPr>
              <w:suppressAutoHyphens/>
              <w:rPr>
                <w:rFonts w:ascii="Trebuchet MS" w:eastAsia="Calibri" w:hAnsi="Trebuchet MS"/>
                <w:color w:val="4472C4"/>
                <w:spacing w:val="0"/>
                <w:sz w:val="22"/>
                <w:szCs w:val="22"/>
                <w:lang w:val="en-US" w:eastAsia="zh-CN"/>
              </w:rPr>
            </w:pPr>
          </w:p>
        </w:tc>
      </w:tr>
    </w:tbl>
    <w:p w14:paraId="34012FD5"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p>
    <w:p w14:paraId="2C94DF7D"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p>
    <w:p w14:paraId="664E8178" w14:textId="77777777" w:rsidR="00692526" w:rsidRPr="00B906B1" w:rsidRDefault="00692526" w:rsidP="00692526">
      <w:pPr>
        <w:suppressAutoHyphens/>
        <w:rPr>
          <w:rFonts w:ascii="Trebuchet MS" w:eastAsia="Calibri" w:hAnsi="Trebuchet MS"/>
          <w:b/>
          <w:bCs/>
          <w:color w:val="303030"/>
          <w:spacing w:val="0"/>
          <w:sz w:val="22"/>
          <w:szCs w:val="22"/>
          <w:lang w:val="de-AT" w:eastAsia="en-US"/>
        </w:rPr>
      </w:pPr>
      <w:r w:rsidRPr="00B906B1">
        <w:rPr>
          <w:rFonts w:ascii="Trebuchet MS" w:eastAsia="Calibri" w:hAnsi="Trebuchet MS"/>
          <w:b/>
          <w:bCs/>
          <w:color w:val="303030"/>
          <w:spacing w:val="0"/>
          <w:sz w:val="22"/>
          <w:szCs w:val="22"/>
          <w:lang w:val="en-GB" w:eastAsia="en-US"/>
        </w:rPr>
        <w:lastRenderedPageBreak/>
        <w:t xml:space="preserve">Question 4: Do you have any concerns with applying a single ratio to all ADC projects? Are there any practical options the EBA should consider setting the ratio in a more granular way (e.g., threshold subject to </w:t>
      </w:r>
      <w:proofErr w:type="gramStart"/>
      <w:r w:rsidRPr="00B906B1">
        <w:rPr>
          <w:rFonts w:ascii="Trebuchet MS" w:eastAsia="Calibri" w:hAnsi="Trebuchet MS"/>
          <w:b/>
          <w:bCs/>
          <w:color w:val="303030"/>
          <w:spacing w:val="0"/>
          <w:sz w:val="22"/>
          <w:szCs w:val="22"/>
          <w:lang w:val="en-GB" w:eastAsia="en-US"/>
        </w:rPr>
        <w:t>case by case</w:t>
      </w:r>
      <w:proofErr w:type="gramEnd"/>
      <w:r w:rsidRPr="00B906B1">
        <w:rPr>
          <w:rFonts w:ascii="Trebuchet MS" w:eastAsia="Calibri" w:hAnsi="Trebuchet MS"/>
          <w:b/>
          <w:bCs/>
          <w:color w:val="303030"/>
          <w:spacing w:val="0"/>
          <w:sz w:val="22"/>
          <w:szCs w:val="22"/>
          <w:lang w:val="en-GB" w:eastAsia="en-US"/>
        </w:rPr>
        <w:t xml:space="preserve"> adjustments for either insufficient incentives or for non-enforceability of sufficient incentives but floored at potential market price deterioration over the relevant period) keeping in mind the simplicity of the Standardised Approach and the level playing field across institutions? </w:t>
      </w:r>
      <w:proofErr w:type="spellStart"/>
      <w:r w:rsidRPr="00B906B1">
        <w:rPr>
          <w:rFonts w:ascii="Trebuchet MS" w:eastAsia="Calibri" w:hAnsi="Trebuchet MS"/>
          <w:b/>
          <w:bCs/>
          <w:color w:val="303030"/>
          <w:spacing w:val="0"/>
          <w:sz w:val="22"/>
          <w:szCs w:val="22"/>
          <w:lang w:val="de-AT" w:eastAsia="en-US"/>
        </w:rPr>
        <w:t>If</w:t>
      </w:r>
      <w:proofErr w:type="spellEnd"/>
      <w:r w:rsidRPr="00B906B1">
        <w:rPr>
          <w:rFonts w:ascii="Trebuchet MS" w:eastAsia="Calibri" w:hAnsi="Trebuchet MS"/>
          <w:b/>
          <w:bCs/>
          <w:color w:val="303030"/>
          <w:spacing w:val="0"/>
          <w:sz w:val="22"/>
          <w:szCs w:val="22"/>
          <w:lang w:val="de-AT" w:eastAsia="en-US"/>
        </w:rPr>
        <w:t xml:space="preserve"> </w:t>
      </w:r>
      <w:proofErr w:type="spellStart"/>
      <w:r w:rsidRPr="00B906B1">
        <w:rPr>
          <w:rFonts w:ascii="Trebuchet MS" w:eastAsia="Calibri" w:hAnsi="Trebuchet MS"/>
          <w:b/>
          <w:bCs/>
          <w:color w:val="303030"/>
          <w:spacing w:val="0"/>
          <w:sz w:val="22"/>
          <w:szCs w:val="22"/>
          <w:lang w:val="de-AT" w:eastAsia="en-US"/>
        </w:rPr>
        <w:t>yes</w:t>
      </w:r>
      <w:proofErr w:type="spellEnd"/>
      <w:r w:rsidRPr="00B906B1">
        <w:rPr>
          <w:rFonts w:ascii="Trebuchet MS" w:eastAsia="Calibri" w:hAnsi="Trebuchet MS"/>
          <w:b/>
          <w:bCs/>
          <w:color w:val="303030"/>
          <w:spacing w:val="0"/>
          <w:sz w:val="22"/>
          <w:szCs w:val="22"/>
          <w:lang w:val="de-AT" w:eastAsia="en-US"/>
        </w:rPr>
        <w:t xml:space="preserve">, </w:t>
      </w:r>
      <w:proofErr w:type="spellStart"/>
      <w:r w:rsidRPr="00B906B1">
        <w:rPr>
          <w:rFonts w:ascii="Trebuchet MS" w:eastAsia="Calibri" w:hAnsi="Trebuchet MS"/>
          <w:b/>
          <w:bCs/>
          <w:color w:val="303030"/>
          <w:spacing w:val="0"/>
          <w:sz w:val="22"/>
          <w:szCs w:val="22"/>
          <w:lang w:val="de-AT" w:eastAsia="en-US"/>
        </w:rPr>
        <w:t>please</w:t>
      </w:r>
      <w:proofErr w:type="spellEnd"/>
      <w:r w:rsidRPr="00B906B1">
        <w:rPr>
          <w:rFonts w:ascii="Trebuchet MS" w:eastAsia="Calibri" w:hAnsi="Trebuchet MS"/>
          <w:b/>
          <w:bCs/>
          <w:color w:val="303030"/>
          <w:spacing w:val="0"/>
          <w:sz w:val="22"/>
          <w:szCs w:val="22"/>
          <w:lang w:val="de-AT" w:eastAsia="en-US"/>
        </w:rPr>
        <w:t xml:space="preserve"> </w:t>
      </w:r>
      <w:proofErr w:type="spellStart"/>
      <w:r w:rsidRPr="00B906B1">
        <w:rPr>
          <w:rFonts w:ascii="Trebuchet MS" w:eastAsia="Calibri" w:hAnsi="Trebuchet MS"/>
          <w:b/>
          <w:bCs/>
          <w:color w:val="303030"/>
          <w:spacing w:val="0"/>
          <w:sz w:val="22"/>
          <w:szCs w:val="22"/>
          <w:lang w:val="de-AT" w:eastAsia="en-US"/>
        </w:rPr>
        <w:t>elaborate</w:t>
      </w:r>
      <w:proofErr w:type="spellEnd"/>
      <w:r w:rsidRPr="00B906B1">
        <w:rPr>
          <w:rFonts w:ascii="Trebuchet MS" w:eastAsia="Calibri" w:hAnsi="Trebuchet MS"/>
          <w:b/>
          <w:bCs/>
          <w:color w:val="303030"/>
          <w:spacing w:val="0"/>
          <w:sz w:val="22"/>
          <w:szCs w:val="22"/>
          <w:lang w:val="de-AT" w:eastAsia="en-US"/>
        </w:rPr>
        <w:t xml:space="preserve"> </w:t>
      </w:r>
      <w:proofErr w:type="spellStart"/>
      <w:r w:rsidRPr="00B906B1">
        <w:rPr>
          <w:rFonts w:ascii="Trebuchet MS" w:eastAsia="Calibri" w:hAnsi="Trebuchet MS"/>
          <w:b/>
          <w:bCs/>
          <w:color w:val="303030"/>
          <w:spacing w:val="0"/>
          <w:sz w:val="22"/>
          <w:szCs w:val="22"/>
          <w:lang w:val="de-AT" w:eastAsia="en-US"/>
        </w:rPr>
        <w:t>these</w:t>
      </w:r>
      <w:proofErr w:type="spellEnd"/>
      <w:r w:rsidRPr="00B906B1">
        <w:rPr>
          <w:rFonts w:ascii="Trebuchet MS" w:eastAsia="Calibri" w:hAnsi="Trebuchet MS"/>
          <w:b/>
          <w:bCs/>
          <w:color w:val="303030"/>
          <w:spacing w:val="0"/>
          <w:sz w:val="22"/>
          <w:szCs w:val="22"/>
          <w:lang w:val="de-AT" w:eastAsia="en-US"/>
        </w:rPr>
        <w:t xml:space="preserve"> </w:t>
      </w:r>
      <w:proofErr w:type="spellStart"/>
      <w:r w:rsidRPr="00B906B1">
        <w:rPr>
          <w:rFonts w:ascii="Trebuchet MS" w:eastAsia="Calibri" w:hAnsi="Trebuchet MS"/>
          <w:b/>
          <w:bCs/>
          <w:color w:val="303030"/>
          <w:spacing w:val="0"/>
          <w:sz w:val="22"/>
          <w:szCs w:val="22"/>
          <w:lang w:val="de-AT" w:eastAsia="en-US"/>
        </w:rPr>
        <w:t>options</w:t>
      </w:r>
      <w:proofErr w:type="spellEnd"/>
      <w:r w:rsidRPr="00B906B1">
        <w:rPr>
          <w:rFonts w:ascii="Trebuchet MS" w:eastAsia="Calibri" w:hAnsi="Trebuchet MS"/>
          <w:b/>
          <w:bCs/>
          <w:color w:val="303030"/>
          <w:spacing w:val="0"/>
          <w:sz w:val="22"/>
          <w:szCs w:val="22"/>
          <w:lang w:val="de-AT" w:eastAsia="en-US"/>
        </w:rPr>
        <w:t xml:space="preserve"> in </w:t>
      </w:r>
      <w:proofErr w:type="spellStart"/>
      <w:r w:rsidRPr="00B906B1">
        <w:rPr>
          <w:rFonts w:ascii="Trebuchet MS" w:eastAsia="Calibri" w:hAnsi="Trebuchet MS"/>
          <w:b/>
          <w:bCs/>
          <w:color w:val="303030"/>
          <w:spacing w:val="0"/>
          <w:sz w:val="22"/>
          <w:szCs w:val="22"/>
          <w:lang w:val="de-AT" w:eastAsia="en-US"/>
        </w:rPr>
        <w:t>detail</w:t>
      </w:r>
      <w:proofErr w:type="spellEnd"/>
      <w:r w:rsidRPr="00B906B1">
        <w:rPr>
          <w:rFonts w:ascii="Trebuchet MS" w:eastAsia="Calibri" w:hAnsi="Trebuchet MS"/>
          <w:b/>
          <w:bCs/>
          <w:color w:val="303030"/>
          <w:spacing w:val="0"/>
          <w:sz w:val="22"/>
          <w:szCs w:val="22"/>
          <w:lang w:val="de-AT" w:eastAsia="en-US"/>
        </w:rPr>
        <w:t>.</w:t>
      </w:r>
    </w:p>
    <w:tbl>
      <w:tblPr>
        <w:tblStyle w:val="Tabellenraster1"/>
        <w:tblW w:w="0" w:type="auto"/>
        <w:tblInd w:w="0" w:type="dxa"/>
        <w:tblLook w:val="04A0" w:firstRow="1" w:lastRow="0" w:firstColumn="1" w:lastColumn="0" w:noHBand="0" w:noVBand="1"/>
      </w:tblPr>
      <w:tblGrid>
        <w:gridCol w:w="9062"/>
      </w:tblGrid>
      <w:tr w:rsidR="00692526" w:rsidRPr="006D6199" w14:paraId="2C0C4361" w14:textId="77777777" w:rsidTr="00F17AD7">
        <w:tc>
          <w:tcPr>
            <w:tcW w:w="9346" w:type="dxa"/>
          </w:tcPr>
          <w:p w14:paraId="1413985E" w14:textId="77777777" w:rsidR="00692526" w:rsidRPr="00B906B1" w:rsidRDefault="00692526" w:rsidP="00692526">
            <w:pPr>
              <w:suppressAutoHyphens/>
              <w:rPr>
                <w:rFonts w:ascii="Trebuchet MS" w:eastAsia="Calibri" w:hAnsi="Trebuchet MS"/>
                <w:color w:val="4472C4"/>
                <w:spacing w:val="0"/>
                <w:sz w:val="22"/>
                <w:szCs w:val="22"/>
                <w:lang w:val="en-US" w:eastAsia="zh-CN"/>
              </w:rPr>
            </w:pPr>
          </w:p>
          <w:p w14:paraId="0EC37AA6" w14:textId="5B87BCDC" w:rsidR="00692526" w:rsidRPr="001C13A9" w:rsidRDefault="001C13A9" w:rsidP="00692526">
            <w:pPr>
              <w:suppressAutoHyphens/>
              <w:rPr>
                <w:rFonts w:ascii="Trebuchet MS" w:eastAsia="Arial" w:hAnsi="Trebuchet MS" w:cs="Calibri"/>
                <w:spacing w:val="0"/>
                <w:sz w:val="22"/>
                <w:szCs w:val="22"/>
                <w:lang w:val="en-US" w:eastAsia="zh-CN"/>
              </w:rPr>
            </w:pPr>
            <w:r w:rsidRPr="001C13A9">
              <w:rPr>
                <w:rFonts w:ascii="Trebuchet MS" w:eastAsia="Arial" w:hAnsi="Trebuchet MS" w:cs="Calibri"/>
                <w:spacing w:val="0"/>
                <w:sz w:val="22"/>
                <w:szCs w:val="22"/>
                <w:lang w:val="en-US" w:eastAsia="zh-CN"/>
              </w:rPr>
              <w:t>We have no</w:t>
            </w:r>
            <w:r w:rsidR="00692526" w:rsidRPr="001C13A9">
              <w:rPr>
                <w:rFonts w:ascii="Trebuchet MS" w:eastAsia="Arial" w:hAnsi="Trebuchet MS" w:cs="Calibri"/>
                <w:spacing w:val="0"/>
                <w:sz w:val="22"/>
                <w:szCs w:val="22"/>
                <w:lang w:val="en-US" w:eastAsia="zh-CN"/>
              </w:rPr>
              <w:t xml:space="preserve"> concerns.</w:t>
            </w:r>
            <w:r w:rsidRPr="001C13A9">
              <w:rPr>
                <w:rFonts w:ascii="Trebuchet MS" w:eastAsia="Arial" w:hAnsi="Trebuchet MS" w:cs="Calibri"/>
                <w:spacing w:val="0"/>
                <w:sz w:val="22"/>
                <w:szCs w:val="22"/>
                <w:lang w:val="en-US" w:eastAsia="zh-CN"/>
              </w:rPr>
              <w:t xml:space="preserve"> </w:t>
            </w:r>
            <w:r w:rsidR="00692526" w:rsidRPr="001C13A9">
              <w:rPr>
                <w:rFonts w:ascii="Trebuchet MS" w:eastAsia="Arial" w:hAnsi="Trebuchet MS" w:cs="Calibri"/>
                <w:spacing w:val="0"/>
                <w:sz w:val="22"/>
                <w:szCs w:val="22"/>
                <w:lang w:val="en-US" w:eastAsia="zh-CN"/>
              </w:rPr>
              <w:t>Any alternative to set the ratio in a more granular manner should keep in mind the inherent simplicit</w:t>
            </w:r>
            <w:r w:rsidR="00692526" w:rsidRPr="006E0316">
              <w:rPr>
                <w:rFonts w:ascii="Trebuchet MS" w:eastAsia="Arial" w:hAnsi="Trebuchet MS" w:cs="Calibri"/>
                <w:spacing w:val="0"/>
                <w:sz w:val="22"/>
                <w:szCs w:val="22"/>
                <w:lang w:val="en-US" w:eastAsia="zh-CN"/>
              </w:rPr>
              <w:t xml:space="preserve">y of the </w:t>
            </w:r>
            <w:proofErr w:type="spellStart"/>
            <w:r w:rsidR="00692526" w:rsidRPr="006E0316">
              <w:rPr>
                <w:rFonts w:ascii="Trebuchet MS" w:eastAsia="Arial" w:hAnsi="Trebuchet MS" w:cs="Calibri"/>
                <w:spacing w:val="0"/>
                <w:sz w:val="22"/>
                <w:szCs w:val="22"/>
                <w:lang w:val="en-US" w:eastAsia="zh-CN"/>
              </w:rPr>
              <w:t>Standardised</w:t>
            </w:r>
            <w:proofErr w:type="spellEnd"/>
            <w:r w:rsidR="00692526" w:rsidRPr="006E0316">
              <w:rPr>
                <w:rFonts w:ascii="Trebuchet MS" w:eastAsia="Arial" w:hAnsi="Trebuchet MS" w:cs="Calibri"/>
                <w:spacing w:val="0"/>
                <w:sz w:val="22"/>
                <w:szCs w:val="22"/>
                <w:lang w:val="en-US" w:eastAsia="zh-CN"/>
              </w:rPr>
              <w:t xml:space="preserve"> </w:t>
            </w:r>
            <w:r w:rsidR="00692526" w:rsidRPr="001C13A9">
              <w:rPr>
                <w:rFonts w:ascii="Trebuchet MS" w:eastAsia="Arial" w:hAnsi="Trebuchet MS" w:cs="Calibri"/>
                <w:spacing w:val="0"/>
                <w:sz w:val="22"/>
                <w:szCs w:val="22"/>
                <w:lang w:val="en-US" w:eastAsia="zh-CN"/>
              </w:rPr>
              <w:t>Approach and the level playing field across institutions.</w:t>
            </w:r>
          </w:p>
          <w:p w14:paraId="4361E98D" w14:textId="77777777" w:rsidR="00692526" w:rsidRPr="001C13A9" w:rsidRDefault="00692526" w:rsidP="00692526">
            <w:pPr>
              <w:suppressAutoHyphens/>
              <w:rPr>
                <w:rFonts w:ascii="Trebuchet MS" w:eastAsia="Arial" w:hAnsi="Trebuchet MS" w:cs="Calibri"/>
                <w:spacing w:val="0"/>
                <w:sz w:val="22"/>
                <w:szCs w:val="22"/>
                <w:lang w:val="en-US" w:eastAsia="zh-CN"/>
              </w:rPr>
            </w:pPr>
          </w:p>
          <w:p w14:paraId="1E49A4DC" w14:textId="070E28A4" w:rsidR="00692526" w:rsidRPr="001C13A9" w:rsidRDefault="001C13A9" w:rsidP="00692526">
            <w:pPr>
              <w:suppressAutoHyphens/>
              <w:rPr>
                <w:rFonts w:ascii="Trebuchet MS" w:eastAsia="Arial" w:hAnsi="Trebuchet MS" w:cs="Calibri"/>
                <w:spacing w:val="0"/>
                <w:sz w:val="22"/>
                <w:szCs w:val="22"/>
                <w:lang w:val="en-US" w:eastAsia="zh-CN"/>
              </w:rPr>
            </w:pPr>
            <w:r w:rsidRPr="001C13A9">
              <w:rPr>
                <w:rFonts w:ascii="Trebuchet MS" w:eastAsia="Arial" w:hAnsi="Trebuchet MS" w:cs="Calibri"/>
                <w:spacing w:val="0"/>
                <w:sz w:val="22"/>
                <w:szCs w:val="22"/>
                <w:lang w:val="en-US" w:eastAsia="zh-CN"/>
              </w:rPr>
              <w:t>In</w:t>
            </w:r>
            <w:r w:rsidR="00692526" w:rsidRPr="001C13A9">
              <w:rPr>
                <w:rFonts w:ascii="Trebuchet MS" w:eastAsia="Arial" w:hAnsi="Trebuchet MS" w:cs="Calibri"/>
                <w:spacing w:val="0"/>
                <w:sz w:val="22"/>
                <w:szCs w:val="22"/>
                <w:lang w:val="en-US" w:eastAsia="zh-CN"/>
              </w:rPr>
              <w:t xml:space="preserve"> our view once the building is completed (notification of completion), there is no longer an ADC, but an IPRE (thus application of ETV or loan-splitting is possible). It is not necessary for the apartments to have already been let or sold or for a certain ratio to have been reached. </w:t>
            </w:r>
          </w:p>
          <w:p w14:paraId="0A464F36" w14:textId="77777777" w:rsidR="00692526" w:rsidRPr="001C13A9" w:rsidRDefault="00692526" w:rsidP="00692526">
            <w:pPr>
              <w:suppressAutoHyphens/>
              <w:rPr>
                <w:rFonts w:ascii="Trebuchet MS" w:eastAsia="Arial" w:hAnsi="Trebuchet MS" w:cs="Calibri"/>
                <w:spacing w:val="0"/>
                <w:sz w:val="22"/>
                <w:szCs w:val="22"/>
                <w:lang w:val="en-US" w:eastAsia="zh-CN"/>
              </w:rPr>
            </w:pPr>
            <w:r w:rsidRPr="001C13A9">
              <w:rPr>
                <w:rFonts w:ascii="Trebuchet MS" w:eastAsia="Arial" w:hAnsi="Trebuchet MS" w:cs="Calibri"/>
                <w:spacing w:val="0"/>
                <w:sz w:val="22"/>
                <w:szCs w:val="22"/>
                <w:lang w:val="en-US" w:eastAsia="zh-CN"/>
              </w:rPr>
              <w:t xml:space="preserve">It follows from the definition of IPRE that the fulfillment of the loan obligations is essentially dependent on the cash flows generated by the properties securing this risk position, rather than on the debtor's ability to fulfill the loan obligations from other sources, whereby the primary source of such cash flows </w:t>
            </w:r>
            <w:proofErr w:type="gramStart"/>
            <w:r w:rsidRPr="001C13A9">
              <w:rPr>
                <w:rFonts w:ascii="Trebuchet MS" w:eastAsia="Arial" w:hAnsi="Trebuchet MS" w:cs="Calibri"/>
                <w:spacing w:val="0"/>
                <w:sz w:val="22"/>
                <w:szCs w:val="22"/>
                <w:lang w:val="en-US" w:eastAsia="zh-CN"/>
              </w:rPr>
              <w:t>are</w:t>
            </w:r>
            <w:proofErr w:type="gramEnd"/>
            <w:r w:rsidRPr="001C13A9">
              <w:rPr>
                <w:rFonts w:ascii="Trebuchet MS" w:eastAsia="Arial" w:hAnsi="Trebuchet MS" w:cs="Calibri"/>
                <w:spacing w:val="0"/>
                <w:sz w:val="22"/>
                <w:szCs w:val="22"/>
                <w:lang w:val="en-US" w:eastAsia="zh-CN"/>
              </w:rPr>
              <w:t xml:space="preserve"> rental or lease payments or proceeds from the sale of the residential or commercial property.</w:t>
            </w:r>
          </w:p>
          <w:p w14:paraId="46598270" w14:textId="77777777" w:rsidR="00692526" w:rsidRPr="001C13A9" w:rsidRDefault="00692526" w:rsidP="00692526">
            <w:pPr>
              <w:suppressAutoHyphens/>
              <w:rPr>
                <w:rFonts w:ascii="Trebuchet MS" w:eastAsia="Arial" w:hAnsi="Trebuchet MS" w:cs="Calibri"/>
                <w:spacing w:val="0"/>
                <w:sz w:val="22"/>
                <w:szCs w:val="22"/>
                <w:lang w:val="en-US" w:eastAsia="zh-CN"/>
              </w:rPr>
            </w:pPr>
            <w:r w:rsidRPr="001C13A9">
              <w:rPr>
                <w:rFonts w:ascii="Trebuchet MS" w:eastAsia="Arial" w:hAnsi="Trebuchet MS" w:cs="Calibri"/>
                <w:spacing w:val="0"/>
                <w:sz w:val="22"/>
                <w:szCs w:val="22"/>
                <w:lang w:val="en-US" w:eastAsia="zh-CN"/>
              </w:rPr>
              <w:t>However, the fact that the fulfillment of the loan obligations is largely dependent on the cash flows generated by the properties securing this risk position does not mean that the cash flows for the proper fulfillment of the loan obligation are already secure/secured (rental or sale already completed). ADC financing finances the acquisition of land for development and construction purposes or the development and construction of residential or commercial properties. Once the land acquisition, development and construction have been completed, the purpose of the financing has been achieved and the uncertainty from the perspective of the secured bank is considerably reduced, as the pledged property has already been completed and can therefore be sold).</w:t>
            </w:r>
          </w:p>
          <w:p w14:paraId="72EDE8E3" w14:textId="77777777" w:rsidR="00692526" w:rsidRPr="00B906B1" w:rsidRDefault="00692526" w:rsidP="00692526">
            <w:pPr>
              <w:suppressAutoHyphens/>
              <w:rPr>
                <w:rFonts w:ascii="Trebuchet MS" w:eastAsia="Calibri" w:hAnsi="Trebuchet MS"/>
                <w:color w:val="4472C4"/>
                <w:spacing w:val="0"/>
                <w:sz w:val="22"/>
                <w:szCs w:val="22"/>
                <w:lang w:val="en-US" w:eastAsia="zh-CN"/>
              </w:rPr>
            </w:pPr>
          </w:p>
        </w:tc>
      </w:tr>
    </w:tbl>
    <w:p w14:paraId="6D819DE7" w14:textId="77777777" w:rsidR="00692526" w:rsidRPr="00B906B1" w:rsidRDefault="00692526" w:rsidP="00692526">
      <w:pPr>
        <w:suppressAutoHyphens/>
        <w:rPr>
          <w:rFonts w:ascii="Trebuchet MS" w:eastAsia="Calibri" w:hAnsi="Trebuchet MS"/>
          <w:color w:val="303030"/>
          <w:spacing w:val="0"/>
          <w:sz w:val="22"/>
          <w:szCs w:val="22"/>
          <w:lang w:val="en-GB" w:eastAsia="en-US"/>
        </w:rPr>
      </w:pPr>
    </w:p>
    <w:p w14:paraId="20939391"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Question 5: Do you see any drawbacks in adopting the selected option? In case you prefer the alternative option, could you provide the rationale and an example of the calculation and estimation of the net present value of total payments?</w:t>
      </w:r>
    </w:p>
    <w:tbl>
      <w:tblPr>
        <w:tblStyle w:val="Tabellenraster1"/>
        <w:tblW w:w="0" w:type="auto"/>
        <w:tblInd w:w="0" w:type="dxa"/>
        <w:tblLook w:val="04A0" w:firstRow="1" w:lastRow="0" w:firstColumn="1" w:lastColumn="0" w:noHBand="0" w:noVBand="1"/>
      </w:tblPr>
      <w:tblGrid>
        <w:gridCol w:w="9062"/>
      </w:tblGrid>
      <w:tr w:rsidR="00692526" w:rsidRPr="006D6199" w14:paraId="6DC727C5" w14:textId="77777777" w:rsidTr="00F17AD7">
        <w:tc>
          <w:tcPr>
            <w:tcW w:w="9346" w:type="dxa"/>
          </w:tcPr>
          <w:p w14:paraId="4981717E" w14:textId="77777777" w:rsidR="00692526" w:rsidRPr="00B906B1" w:rsidRDefault="00692526" w:rsidP="00692526">
            <w:pPr>
              <w:suppressAutoHyphens/>
              <w:rPr>
                <w:rFonts w:ascii="Trebuchet MS" w:eastAsia="Calibri" w:hAnsi="Trebuchet MS"/>
                <w:color w:val="4472C4"/>
                <w:spacing w:val="0"/>
                <w:sz w:val="22"/>
                <w:szCs w:val="22"/>
                <w:lang w:val="en-US" w:eastAsia="zh-CN"/>
              </w:rPr>
            </w:pPr>
          </w:p>
          <w:p w14:paraId="05EBC612" w14:textId="317C81AF" w:rsidR="00692526" w:rsidRPr="001C13A9" w:rsidRDefault="00692526" w:rsidP="00692526">
            <w:pPr>
              <w:rPr>
                <w:rFonts w:ascii="Trebuchet MS" w:eastAsia="Arial" w:hAnsi="Trebuchet MS" w:cs="Calibri"/>
                <w:spacing w:val="0"/>
                <w:sz w:val="22"/>
                <w:szCs w:val="22"/>
                <w:lang w:val="en-US" w:eastAsia="zh-CN"/>
              </w:rPr>
            </w:pPr>
            <w:r w:rsidRPr="001C13A9">
              <w:rPr>
                <w:rFonts w:ascii="Trebuchet MS" w:eastAsia="Arial" w:hAnsi="Trebuchet MS" w:cs="Calibri"/>
                <w:spacing w:val="0"/>
                <w:sz w:val="22"/>
                <w:szCs w:val="22"/>
                <w:lang w:val="en-US" w:eastAsia="zh-CN"/>
              </w:rPr>
              <w:t>This form of security (deposit of 3 months during the construction phase for residential property) is not provided on the free Austrian market, so the proposed regulation is not applicable to Austria in our view.</w:t>
            </w:r>
          </w:p>
          <w:p w14:paraId="411A451B" w14:textId="77777777" w:rsidR="00692526" w:rsidRPr="00B906B1" w:rsidRDefault="00692526" w:rsidP="00692526">
            <w:pPr>
              <w:suppressAutoHyphens/>
              <w:rPr>
                <w:rFonts w:ascii="Trebuchet MS" w:eastAsia="Calibri" w:hAnsi="Trebuchet MS"/>
                <w:color w:val="4472C4"/>
                <w:spacing w:val="0"/>
                <w:sz w:val="22"/>
                <w:szCs w:val="22"/>
                <w:lang w:val="en-US" w:eastAsia="zh-CN"/>
              </w:rPr>
            </w:pPr>
          </w:p>
          <w:p w14:paraId="27D9E8DD" w14:textId="77777777" w:rsidR="00692526" w:rsidRPr="00B906B1" w:rsidRDefault="00692526" w:rsidP="00692526">
            <w:pPr>
              <w:suppressAutoHyphens/>
              <w:rPr>
                <w:rFonts w:ascii="Trebuchet MS" w:eastAsia="Calibri" w:hAnsi="Trebuchet MS"/>
                <w:color w:val="4472C4"/>
                <w:spacing w:val="0"/>
                <w:sz w:val="22"/>
                <w:szCs w:val="22"/>
                <w:lang w:val="en-US" w:eastAsia="zh-CN"/>
              </w:rPr>
            </w:pPr>
          </w:p>
        </w:tc>
      </w:tr>
    </w:tbl>
    <w:p w14:paraId="0C4DA755" w14:textId="77777777" w:rsidR="00692526" w:rsidRPr="00B906B1" w:rsidRDefault="00692526" w:rsidP="00692526">
      <w:pPr>
        <w:suppressAutoHyphens/>
        <w:rPr>
          <w:rFonts w:ascii="Trebuchet MS" w:eastAsia="Calibri" w:hAnsi="Trebuchet MS"/>
          <w:b/>
          <w:bCs/>
          <w:color w:val="303030"/>
          <w:spacing w:val="0"/>
          <w:sz w:val="22"/>
          <w:szCs w:val="22"/>
          <w:lang w:val="en-US" w:eastAsia="en-US"/>
        </w:rPr>
      </w:pPr>
    </w:p>
    <w:p w14:paraId="1A19179C" w14:textId="77777777" w:rsidR="00692526" w:rsidRPr="00B906B1" w:rsidRDefault="00692526" w:rsidP="00692526">
      <w:pPr>
        <w:suppressAutoHyphens/>
        <w:rPr>
          <w:rFonts w:ascii="Trebuchet MS" w:eastAsia="Calibri" w:hAnsi="Trebuchet MS"/>
          <w:b/>
          <w:bCs/>
          <w:color w:val="303030"/>
          <w:spacing w:val="0"/>
          <w:sz w:val="22"/>
          <w:szCs w:val="22"/>
          <w:lang w:val="en-US" w:eastAsia="en-US"/>
        </w:rPr>
      </w:pPr>
    </w:p>
    <w:p w14:paraId="4FAB8A32"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Question 6: Are there any other practices that should be considered by the EBA?</w:t>
      </w:r>
    </w:p>
    <w:tbl>
      <w:tblPr>
        <w:tblStyle w:val="Tabellenraster1"/>
        <w:tblW w:w="0" w:type="auto"/>
        <w:tblInd w:w="0" w:type="dxa"/>
        <w:tblLook w:val="04A0" w:firstRow="1" w:lastRow="0" w:firstColumn="1" w:lastColumn="0" w:noHBand="0" w:noVBand="1"/>
      </w:tblPr>
      <w:tblGrid>
        <w:gridCol w:w="9062"/>
      </w:tblGrid>
      <w:tr w:rsidR="00692526" w:rsidRPr="006D6199" w14:paraId="522C94B5" w14:textId="77777777" w:rsidTr="00F17AD7">
        <w:tc>
          <w:tcPr>
            <w:tcW w:w="9346" w:type="dxa"/>
          </w:tcPr>
          <w:p w14:paraId="2123323E" w14:textId="77777777" w:rsidR="00692526" w:rsidRPr="00B906B1" w:rsidRDefault="00692526" w:rsidP="00692526">
            <w:pPr>
              <w:suppressAutoHyphens/>
              <w:rPr>
                <w:rFonts w:ascii="Trebuchet MS" w:eastAsia="Calibri" w:hAnsi="Trebuchet MS"/>
                <w:color w:val="4472C4"/>
                <w:spacing w:val="0"/>
                <w:sz w:val="22"/>
                <w:szCs w:val="22"/>
                <w:lang w:val="en-US" w:eastAsia="zh-CN"/>
              </w:rPr>
            </w:pPr>
          </w:p>
          <w:p w14:paraId="5E4B308B" w14:textId="35AAD6E7" w:rsidR="00692526" w:rsidRPr="001C13A9" w:rsidRDefault="00692526" w:rsidP="00692526">
            <w:pPr>
              <w:rPr>
                <w:rFonts w:ascii="Trebuchet MS" w:eastAsia="Arial" w:hAnsi="Trebuchet MS" w:cs="Calibri"/>
                <w:spacing w:val="0"/>
                <w:sz w:val="22"/>
                <w:szCs w:val="22"/>
                <w:lang w:val="en-US" w:eastAsia="zh-CN"/>
              </w:rPr>
            </w:pPr>
            <w:r w:rsidRPr="001C13A9">
              <w:rPr>
                <w:rFonts w:ascii="Trebuchet MS" w:eastAsia="Arial" w:hAnsi="Trebuchet MS" w:cs="Calibri"/>
                <w:spacing w:val="0"/>
                <w:sz w:val="22"/>
                <w:szCs w:val="22"/>
                <w:lang w:val="en-US" w:eastAsia="zh-CN"/>
              </w:rPr>
              <w:t xml:space="preserve">In non-profit housing, only the expected rent can be quoted at the time the pre-letting agreement is concluded, as non-profit </w:t>
            </w:r>
            <w:proofErr w:type="spellStart"/>
            <w:r w:rsidRPr="001C13A9">
              <w:rPr>
                <w:rFonts w:ascii="Trebuchet MS" w:eastAsia="Arial" w:hAnsi="Trebuchet MS" w:cs="Calibri"/>
                <w:spacing w:val="0"/>
                <w:sz w:val="22"/>
                <w:szCs w:val="22"/>
                <w:lang w:val="en-US" w:eastAsia="zh-CN"/>
              </w:rPr>
              <w:t>organisations</w:t>
            </w:r>
            <w:proofErr w:type="spellEnd"/>
            <w:r w:rsidRPr="001C13A9">
              <w:rPr>
                <w:rFonts w:ascii="Trebuchet MS" w:eastAsia="Arial" w:hAnsi="Trebuchet MS" w:cs="Calibri"/>
                <w:spacing w:val="0"/>
                <w:sz w:val="22"/>
                <w:szCs w:val="22"/>
                <w:lang w:val="en-US" w:eastAsia="zh-CN"/>
              </w:rPr>
              <w:t xml:space="preserve"> operate on a cost-covering </w:t>
            </w:r>
            <w:proofErr w:type="gramStart"/>
            <w:r w:rsidRPr="001C13A9">
              <w:rPr>
                <w:rFonts w:ascii="Trebuchet MS" w:eastAsia="Arial" w:hAnsi="Trebuchet MS" w:cs="Calibri"/>
                <w:spacing w:val="0"/>
                <w:sz w:val="22"/>
                <w:szCs w:val="22"/>
                <w:lang w:val="en-US" w:eastAsia="zh-CN"/>
              </w:rPr>
              <w:t>basis</w:t>
            </w:r>
            <w:proofErr w:type="gramEnd"/>
            <w:r w:rsidRPr="001C13A9">
              <w:rPr>
                <w:rFonts w:ascii="Trebuchet MS" w:eastAsia="Arial" w:hAnsi="Trebuchet MS" w:cs="Calibri"/>
                <w:spacing w:val="0"/>
                <w:sz w:val="22"/>
                <w:szCs w:val="22"/>
                <w:lang w:val="en-US" w:eastAsia="zh-CN"/>
              </w:rPr>
              <w:t xml:space="preserve"> and it is not yet possible to definitively define how high the final construction costs will be during the construction phase. </w:t>
            </w:r>
            <w:r w:rsidR="00940749">
              <w:rPr>
                <w:rFonts w:ascii="Trebuchet MS" w:eastAsia="Arial" w:hAnsi="Trebuchet MS" w:cs="Calibri"/>
                <w:spacing w:val="0"/>
                <w:sz w:val="22"/>
                <w:szCs w:val="22"/>
                <w:lang w:val="en-US" w:eastAsia="zh-CN"/>
              </w:rPr>
              <w:t>EBA should confirm (systematically in the part covering non-profit housing) that</w:t>
            </w:r>
            <w:r w:rsidR="00940749" w:rsidRPr="001C13A9">
              <w:rPr>
                <w:rFonts w:ascii="Trebuchet MS" w:eastAsia="Arial" w:hAnsi="Trebuchet MS" w:cs="Calibri"/>
                <w:spacing w:val="0"/>
                <w:sz w:val="22"/>
                <w:szCs w:val="22"/>
                <w:lang w:val="en-US" w:eastAsia="zh-CN"/>
              </w:rPr>
              <w:t xml:space="preserve"> </w:t>
            </w:r>
            <w:r w:rsidRPr="001C13A9">
              <w:rPr>
                <w:rFonts w:ascii="Trebuchet MS" w:eastAsia="Arial" w:hAnsi="Trebuchet MS" w:cs="Calibri"/>
                <w:spacing w:val="0"/>
                <w:sz w:val="22"/>
                <w:szCs w:val="22"/>
                <w:lang w:val="en-US" w:eastAsia="zh-CN"/>
              </w:rPr>
              <w:t xml:space="preserve">the expected rent </w:t>
            </w:r>
            <w:r w:rsidR="00940749">
              <w:rPr>
                <w:rFonts w:ascii="Trebuchet MS" w:eastAsia="Arial" w:hAnsi="Trebuchet MS" w:cs="Calibri"/>
                <w:spacing w:val="0"/>
                <w:sz w:val="22"/>
                <w:szCs w:val="22"/>
                <w:lang w:val="en-US" w:eastAsia="zh-CN"/>
              </w:rPr>
              <w:t xml:space="preserve">can </w:t>
            </w:r>
            <w:r w:rsidRPr="001C13A9">
              <w:rPr>
                <w:rFonts w:ascii="Trebuchet MS" w:eastAsia="Arial" w:hAnsi="Trebuchet MS" w:cs="Calibri"/>
                <w:spacing w:val="0"/>
                <w:sz w:val="22"/>
                <w:szCs w:val="22"/>
                <w:lang w:val="en-US" w:eastAsia="zh-CN"/>
              </w:rPr>
              <w:t>be used as a parameter for determining the quota</w:t>
            </w:r>
            <w:r w:rsidR="00940749">
              <w:rPr>
                <w:rFonts w:ascii="Trebuchet MS" w:eastAsia="Arial" w:hAnsi="Trebuchet MS" w:cs="Calibri"/>
                <w:spacing w:val="0"/>
                <w:sz w:val="22"/>
                <w:szCs w:val="22"/>
                <w:lang w:val="en-US" w:eastAsia="zh-CN"/>
              </w:rPr>
              <w:t>.</w:t>
            </w:r>
          </w:p>
          <w:p w14:paraId="059221F0" w14:textId="77777777" w:rsidR="00692526" w:rsidRPr="00B906B1" w:rsidRDefault="00692526" w:rsidP="00692526">
            <w:pPr>
              <w:suppressAutoHyphens/>
              <w:rPr>
                <w:rFonts w:ascii="Trebuchet MS" w:eastAsia="Calibri" w:hAnsi="Trebuchet MS"/>
                <w:color w:val="4472C4"/>
                <w:spacing w:val="0"/>
                <w:sz w:val="22"/>
                <w:szCs w:val="22"/>
                <w:lang w:val="en-US" w:eastAsia="zh-CN"/>
              </w:rPr>
            </w:pPr>
          </w:p>
        </w:tc>
      </w:tr>
    </w:tbl>
    <w:p w14:paraId="1351B727" w14:textId="77777777" w:rsidR="00692526" w:rsidRPr="00B906B1" w:rsidRDefault="00692526" w:rsidP="00692526">
      <w:pPr>
        <w:suppressAutoHyphens/>
        <w:rPr>
          <w:rFonts w:ascii="Trebuchet MS" w:eastAsia="Calibri" w:hAnsi="Trebuchet MS"/>
          <w:color w:val="303030"/>
          <w:spacing w:val="0"/>
          <w:sz w:val="22"/>
          <w:szCs w:val="22"/>
          <w:lang w:val="en-US" w:eastAsia="en-US"/>
        </w:rPr>
      </w:pPr>
    </w:p>
    <w:p w14:paraId="40EC0D03" w14:textId="77777777" w:rsidR="00692526" w:rsidRPr="00B906B1" w:rsidRDefault="00692526" w:rsidP="00692526">
      <w:pPr>
        <w:suppressAutoHyphens/>
        <w:rPr>
          <w:rFonts w:ascii="Trebuchet MS" w:eastAsia="Calibri" w:hAnsi="Trebuchet MS"/>
          <w:b/>
          <w:bCs/>
          <w:color w:val="303030"/>
          <w:spacing w:val="0"/>
          <w:sz w:val="22"/>
          <w:szCs w:val="22"/>
          <w:lang w:val="de-AT" w:eastAsia="en-US"/>
        </w:rPr>
      </w:pPr>
      <w:r w:rsidRPr="00B906B1">
        <w:rPr>
          <w:rFonts w:ascii="Trebuchet MS" w:eastAsia="Calibri" w:hAnsi="Trebuchet MS"/>
          <w:b/>
          <w:bCs/>
          <w:color w:val="303030"/>
          <w:spacing w:val="0"/>
          <w:sz w:val="22"/>
          <w:szCs w:val="22"/>
          <w:lang w:val="en-GB" w:eastAsia="en-US"/>
        </w:rPr>
        <w:t xml:space="preserve">Question 7: Do you have any concerns with applying a single threshold to all ADC projects? Are there any practical options the EBA should consider setting the threshold in a more granular way, keeping in mind the simplicity of the Standardised Approach and the level playing field across institutions? </w:t>
      </w:r>
      <w:proofErr w:type="spellStart"/>
      <w:r w:rsidRPr="00B906B1">
        <w:rPr>
          <w:rFonts w:ascii="Trebuchet MS" w:eastAsia="Calibri" w:hAnsi="Trebuchet MS"/>
          <w:b/>
          <w:bCs/>
          <w:color w:val="303030"/>
          <w:spacing w:val="0"/>
          <w:sz w:val="22"/>
          <w:szCs w:val="22"/>
          <w:lang w:val="de-AT" w:eastAsia="en-US"/>
        </w:rPr>
        <w:t>If</w:t>
      </w:r>
      <w:proofErr w:type="spellEnd"/>
      <w:r w:rsidRPr="00B906B1">
        <w:rPr>
          <w:rFonts w:ascii="Trebuchet MS" w:eastAsia="Calibri" w:hAnsi="Trebuchet MS"/>
          <w:b/>
          <w:bCs/>
          <w:color w:val="303030"/>
          <w:spacing w:val="0"/>
          <w:sz w:val="22"/>
          <w:szCs w:val="22"/>
          <w:lang w:val="de-AT" w:eastAsia="en-US"/>
        </w:rPr>
        <w:t xml:space="preserve"> </w:t>
      </w:r>
      <w:proofErr w:type="spellStart"/>
      <w:r w:rsidRPr="00B906B1">
        <w:rPr>
          <w:rFonts w:ascii="Trebuchet MS" w:eastAsia="Calibri" w:hAnsi="Trebuchet MS"/>
          <w:b/>
          <w:bCs/>
          <w:color w:val="303030"/>
          <w:spacing w:val="0"/>
          <w:sz w:val="22"/>
          <w:szCs w:val="22"/>
          <w:lang w:val="de-AT" w:eastAsia="en-US"/>
        </w:rPr>
        <w:t>yes</w:t>
      </w:r>
      <w:proofErr w:type="spellEnd"/>
      <w:r w:rsidRPr="00B906B1">
        <w:rPr>
          <w:rFonts w:ascii="Trebuchet MS" w:eastAsia="Calibri" w:hAnsi="Trebuchet MS"/>
          <w:b/>
          <w:bCs/>
          <w:color w:val="303030"/>
          <w:spacing w:val="0"/>
          <w:sz w:val="22"/>
          <w:szCs w:val="22"/>
          <w:lang w:val="de-AT" w:eastAsia="en-US"/>
        </w:rPr>
        <w:t xml:space="preserve">, </w:t>
      </w:r>
      <w:proofErr w:type="spellStart"/>
      <w:r w:rsidRPr="00B906B1">
        <w:rPr>
          <w:rFonts w:ascii="Trebuchet MS" w:eastAsia="Calibri" w:hAnsi="Trebuchet MS"/>
          <w:b/>
          <w:bCs/>
          <w:color w:val="303030"/>
          <w:spacing w:val="0"/>
          <w:sz w:val="22"/>
          <w:szCs w:val="22"/>
          <w:lang w:val="de-AT" w:eastAsia="en-US"/>
        </w:rPr>
        <w:t>please</w:t>
      </w:r>
      <w:proofErr w:type="spellEnd"/>
      <w:r w:rsidRPr="00B906B1">
        <w:rPr>
          <w:rFonts w:ascii="Trebuchet MS" w:eastAsia="Calibri" w:hAnsi="Trebuchet MS"/>
          <w:b/>
          <w:bCs/>
          <w:color w:val="303030"/>
          <w:spacing w:val="0"/>
          <w:sz w:val="22"/>
          <w:szCs w:val="22"/>
          <w:lang w:val="de-AT" w:eastAsia="en-US"/>
        </w:rPr>
        <w:t xml:space="preserve"> </w:t>
      </w:r>
      <w:proofErr w:type="spellStart"/>
      <w:r w:rsidRPr="00B906B1">
        <w:rPr>
          <w:rFonts w:ascii="Trebuchet MS" w:eastAsia="Calibri" w:hAnsi="Trebuchet MS"/>
          <w:b/>
          <w:bCs/>
          <w:color w:val="303030"/>
          <w:spacing w:val="0"/>
          <w:sz w:val="22"/>
          <w:szCs w:val="22"/>
          <w:lang w:val="de-AT" w:eastAsia="en-US"/>
        </w:rPr>
        <w:t>elaborate</w:t>
      </w:r>
      <w:proofErr w:type="spellEnd"/>
      <w:r w:rsidRPr="00B906B1">
        <w:rPr>
          <w:rFonts w:ascii="Trebuchet MS" w:eastAsia="Calibri" w:hAnsi="Trebuchet MS"/>
          <w:b/>
          <w:bCs/>
          <w:color w:val="303030"/>
          <w:spacing w:val="0"/>
          <w:sz w:val="22"/>
          <w:szCs w:val="22"/>
          <w:lang w:val="de-AT" w:eastAsia="en-US"/>
        </w:rPr>
        <w:t xml:space="preserve"> </w:t>
      </w:r>
      <w:proofErr w:type="spellStart"/>
      <w:r w:rsidRPr="00B906B1">
        <w:rPr>
          <w:rFonts w:ascii="Trebuchet MS" w:eastAsia="Calibri" w:hAnsi="Trebuchet MS"/>
          <w:b/>
          <w:bCs/>
          <w:color w:val="303030"/>
          <w:spacing w:val="0"/>
          <w:sz w:val="22"/>
          <w:szCs w:val="22"/>
          <w:lang w:val="de-AT" w:eastAsia="en-US"/>
        </w:rPr>
        <w:t>these</w:t>
      </w:r>
      <w:proofErr w:type="spellEnd"/>
      <w:r w:rsidRPr="00B906B1">
        <w:rPr>
          <w:rFonts w:ascii="Trebuchet MS" w:eastAsia="Calibri" w:hAnsi="Trebuchet MS"/>
          <w:b/>
          <w:bCs/>
          <w:color w:val="303030"/>
          <w:spacing w:val="0"/>
          <w:sz w:val="22"/>
          <w:szCs w:val="22"/>
          <w:lang w:val="de-AT" w:eastAsia="en-US"/>
        </w:rPr>
        <w:t xml:space="preserve"> </w:t>
      </w:r>
      <w:proofErr w:type="spellStart"/>
      <w:r w:rsidRPr="00B906B1">
        <w:rPr>
          <w:rFonts w:ascii="Trebuchet MS" w:eastAsia="Calibri" w:hAnsi="Trebuchet MS"/>
          <w:b/>
          <w:bCs/>
          <w:color w:val="303030"/>
          <w:spacing w:val="0"/>
          <w:sz w:val="22"/>
          <w:szCs w:val="22"/>
          <w:lang w:val="de-AT" w:eastAsia="en-US"/>
        </w:rPr>
        <w:t>options</w:t>
      </w:r>
      <w:proofErr w:type="spellEnd"/>
      <w:r w:rsidRPr="00B906B1">
        <w:rPr>
          <w:rFonts w:ascii="Trebuchet MS" w:eastAsia="Calibri" w:hAnsi="Trebuchet MS"/>
          <w:b/>
          <w:bCs/>
          <w:color w:val="303030"/>
          <w:spacing w:val="0"/>
          <w:sz w:val="22"/>
          <w:szCs w:val="22"/>
          <w:lang w:val="de-AT" w:eastAsia="en-US"/>
        </w:rPr>
        <w:t xml:space="preserve"> in </w:t>
      </w:r>
      <w:proofErr w:type="spellStart"/>
      <w:r w:rsidRPr="00B906B1">
        <w:rPr>
          <w:rFonts w:ascii="Trebuchet MS" w:eastAsia="Calibri" w:hAnsi="Trebuchet MS"/>
          <w:b/>
          <w:bCs/>
          <w:color w:val="303030"/>
          <w:spacing w:val="0"/>
          <w:sz w:val="22"/>
          <w:szCs w:val="22"/>
          <w:lang w:val="de-AT" w:eastAsia="en-US"/>
        </w:rPr>
        <w:t>detail</w:t>
      </w:r>
      <w:proofErr w:type="spellEnd"/>
      <w:r w:rsidRPr="00B906B1">
        <w:rPr>
          <w:rFonts w:ascii="Trebuchet MS" w:eastAsia="Calibri" w:hAnsi="Trebuchet MS"/>
          <w:b/>
          <w:bCs/>
          <w:color w:val="303030"/>
          <w:spacing w:val="0"/>
          <w:sz w:val="22"/>
          <w:szCs w:val="22"/>
          <w:lang w:val="de-AT" w:eastAsia="en-US"/>
        </w:rPr>
        <w:t>.</w:t>
      </w:r>
    </w:p>
    <w:tbl>
      <w:tblPr>
        <w:tblStyle w:val="Tabellenraster1"/>
        <w:tblW w:w="0" w:type="auto"/>
        <w:tblInd w:w="0" w:type="dxa"/>
        <w:tblLook w:val="04A0" w:firstRow="1" w:lastRow="0" w:firstColumn="1" w:lastColumn="0" w:noHBand="0" w:noVBand="1"/>
      </w:tblPr>
      <w:tblGrid>
        <w:gridCol w:w="9062"/>
      </w:tblGrid>
      <w:tr w:rsidR="00692526" w:rsidRPr="00B906B1" w14:paraId="4E4FE60F" w14:textId="77777777" w:rsidTr="00F17AD7">
        <w:tc>
          <w:tcPr>
            <w:tcW w:w="9346" w:type="dxa"/>
          </w:tcPr>
          <w:p w14:paraId="24080807" w14:textId="77777777" w:rsidR="006D6199" w:rsidRDefault="006D6199" w:rsidP="00692526">
            <w:pPr>
              <w:suppressAutoHyphens/>
              <w:rPr>
                <w:rFonts w:ascii="Trebuchet MS" w:eastAsia="Arial" w:hAnsi="Trebuchet MS" w:cs="Calibri"/>
                <w:spacing w:val="0"/>
                <w:sz w:val="22"/>
                <w:szCs w:val="22"/>
                <w:lang w:val="en-US" w:eastAsia="zh-CN"/>
              </w:rPr>
            </w:pPr>
          </w:p>
          <w:p w14:paraId="3ABC0E9F" w14:textId="58147637" w:rsidR="00692526" w:rsidRPr="00CB12C8" w:rsidRDefault="00692526" w:rsidP="00692526">
            <w:pPr>
              <w:suppressAutoHyphens/>
              <w:rPr>
                <w:rFonts w:ascii="Trebuchet MS" w:eastAsia="Arial" w:hAnsi="Trebuchet MS" w:cs="Calibri"/>
                <w:spacing w:val="0"/>
                <w:sz w:val="22"/>
                <w:szCs w:val="22"/>
                <w:lang w:val="en-US" w:eastAsia="zh-CN"/>
              </w:rPr>
            </w:pPr>
            <w:r w:rsidRPr="00CB12C8">
              <w:rPr>
                <w:rFonts w:ascii="Trebuchet MS" w:eastAsia="Arial" w:hAnsi="Trebuchet MS" w:cs="Calibri"/>
                <w:spacing w:val="0"/>
                <w:sz w:val="22"/>
                <w:szCs w:val="22"/>
                <w:lang w:val="en-US" w:eastAsia="zh-CN"/>
              </w:rPr>
              <w:t>OK</w:t>
            </w:r>
          </w:p>
          <w:p w14:paraId="5B89BE21" w14:textId="77777777" w:rsidR="00692526" w:rsidRPr="00B906B1" w:rsidRDefault="00692526" w:rsidP="00692526">
            <w:pPr>
              <w:suppressAutoHyphens/>
              <w:rPr>
                <w:rFonts w:ascii="Trebuchet MS" w:eastAsia="Calibri" w:hAnsi="Trebuchet MS"/>
                <w:color w:val="303030"/>
                <w:spacing w:val="0"/>
                <w:sz w:val="22"/>
                <w:szCs w:val="22"/>
                <w:lang w:val="de-AT" w:eastAsia="zh-CN"/>
              </w:rPr>
            </w:pPr>
          </w:p>
        </w:tc>
      </w:tr>
    </w:tbl>
    <w:p w14:paraId="6A39A0C4" w14:textId="77777777" w:rsidR="00692526" w:rsidRPr="00B906B1" w:rsidRDefault="00692526" w:rsidP="00692526">
      <w:pPr>
        <w:suppressAutoHyphens/>
        <w:rPr>
          <w:rFonts w:ascii="Trebuchet MS" w:eastAsia="Calibri" w:hAnsi="Trebuchet MS"/>
          <w:color w:val="303030"/>
          <w:spacing w:val="0"/>
          <w:sz w:val="22"/>
          <w:szCs w:val="22"/>
          <w:lang w:val="de-AT" w:eastAsia="en-US"/>
        </w:rPr>
      </w:pPr>
    </w:p>
    <w:p w14:paraId="3FD97ECE" w14:textId="77777777" w:rsidR="00692526" w:rsidRPr="00B906B1" w:rsidRDefault="00692526" w:rsidP="00692526">
      <w:pPr>
        <w:suppressAutoHyphens/>
        <w:rPr>
          <w:rFonts w:ascii="Trebuchet MS" w:eastAsia="Calibri" w:hAnsi="Trebuchet MS"/>
          <w:b/>
          <w:bCs/>
          <w:color w:val="303030"/>
          <w:spacing w:val="0"/>
          <w:sz w:val="22"/>
          <w:szCs w:val="22"/>
          <w:lang w:val="de-AT" w:eastAsia="en-US"/>
        </w:rPr>
      </w:pPr>
    </w:p>
    <w:p w14:paraId="15E28B7E"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Question 8: Is the relation between the “substantial” cash deposit required for a pre-sale contract and the “substantial” cash deposit required for a pre-lease contract appropriate from your perspective? If, not, please explain why and how this relationship should be adjusted.</w:t>
      </w:r>
    </w:p>
    <w:tbl>
      <w:tblPr>
        <w:tblStyle w:val="Tabellenraster1"/>
        <w:tblW w:w="0" w:type="auto"/>
        <w:tblInd w:w="0" w:type="dxa"/>
        <w:tblLook w:val="04A0" w:firstRow="1" w:lastRow="0" w:firstColumn="1" w:lastColumn="0" w:noHBand="0" w:noVBand="1"/>
      </w:tblPr>
      <w:tblGrid>
        <w:gridCol w:w="9062"/>
      </w:tblGrid>
      <w:tr w:rsidR="00692526" w:rsidRPr="00B906B1" w14:paraId="6F216FA6" w14:textId="77777777" w:rsidTr="00F17AD7">
        <w:tc>
          <w:tcPr>
            <w:tcW w:w="9346" w:type="dxa"/>
          </w:tcPr>
          <w:p w14:paraId="2F151C30" w14:textId="77777777" w:rsidR="006D6199" w:rsidRDefault="006D6199" w:rsidP="00692526">
            <w:pPr>
              <w:suppressAutoHyphens/>
              <w:rPr>
                <w:rFonts w:ascii="Trebuchet MS" w:eastAsia="Arial" w:hAnsi="Trebuchet MS" w:cs="Calibri"/>
                <w:spacing w:val="0"/>
                <w:sz w:val="22"/>
                <w:szCs w:val="22"/>
                <w:lang w:val="en-US" w:eastAsia="zh-CN"/>
              </w:rPr>
            </w:pPr>
          </w:p>
          <w:p w14:paraId="2F0E0E68" w14:textId="6328CB88" w:rsidR="00692526" w:rsidRPr="00CB12C8" w:rsidRDefault="00692526" w:rsidP="00692526">
            <w:pPr>
              <w:suppressAutoHyphens/>
              <w:rPr>
                <w:rFonts w:ascii="Trebuchet MS" w:eastAsia="Arial" w:hAnsi="Trebuchet MS" w:cs="Calibri"/>
                <w:spacing w:val="0"/>
                <w:sz w:val="22"/>
                <w:szCs w:val="22"/>
                <w:lang w:val="en-US" w:eastAsia="zh-CN"/>
              </w:rPr>
            </w:pPr>
            <w:r w:rsidRPr="00CB12C8">
              <w:rPr>
                <w:rFonts w:ascii="Trebuchet MS" w:eastAsia="Arial" w:hAnsi="Trebuchet MS" w:cs="Calibri"/>
                <w:spacing w:val="0"/>
                <w:sz w:val="22"/>
                <w:szCs w:val="22"/>
                <w:lang w:val="en-US" w:eastAsia="zh-CN"/>
              </w:rPr>
              <w:t>OK</w:t>
            </w:r>
          </w:p>
          <w:p w14:paraId="494B7702" w14:textId="77777777" w:rsidR="00692526" w:rsidRPr="00B906B1" w:rsidRDefault="00692526" w:rsidP="00692526">
            <w:pPr>
              <w:suppressAutoHyphens/>
              <w:rPr>
                <w:rFonts w:ascii="Trebuchet MS" w:eastAsia="Calibri" w:hAnsi="Trebuchet MS"/>
                <w:color w:val="303030"/>
                <w:spacing w:val="0"/>
                <w:sz w:val="22"/>
                <w:szCs w:val="22"/>
                <w:lang w:val="de-AT" w:eastAsia="zh-CN"/>
              </w:rPr>
            </w:pPr>
          </w:p>
        </w:tc>
      </w:tr>
    </w:tbl>
    <w:p w14:paraId="70C53108" w14:textId="77777777" w:rsidR="00692526" w:rsidRPr="00B906B1" w:rsidRDefault="00692526" w:rsidP="00692526">
      <w:pPr>
        <w:suppressAutoHyphens/>
        <w:rPr>
          <w:rFonts w:ascii="Trebuchet MS" w:eastAsia="Calibri" w:hAnsi="Trebuchet MS"/>
          <w:color w:val="303030"/>
          <w:spacing w:val="0"/>
          <w:sz w:val="22"/>
          <w:szCs w:val="22"/>
          <w:lang w:val="de-AT" w:eastAsia="en-US"/>
        </w:rPr>
      </w:pPr>
    </w:p>
    <w:p w14:paraId="57F6F851" w14:textId="77777777" w:rsidR="00692526" w:rsidRPr="00B906B1" w:rsidRDefault="00692526" w:rsidP="00692526">
      <w:pPr>
        <w:suppressAutoHyphens/>
        <w:rPr>
          <w:rFonts w:ascii="Trebuchet MS" w:eastAsia="Calibri" w:hAnsi="Trebuchet MS"/>
          <w:b/>
          <w:bCs/>
          <w:color w:val="303030"/>
          <w:spacing w:val="0"/>
          <w:sz w:val="22"/>
          <w:szCs w:val="22"/>
          <w:lang w:val="de-AT" w:eastAsia="en-US"/>
        </w:rPr>
      </w:pPr>
    </w:p>
    <w:p w14:paraId="38A1115F" w14:textId="77777777" w:rsidR="00692526" w:rsidRPr="00B906B1" w:rsidRDefault="00692526" w:rsidP="00692526">
      <w:pPr>
        <w:suppressAutoHyphens/>
        <w:rPr>
          <w:rFonts w:ascii="Trebuchet MS" w:eastAsia="Calibri" w:hAnsi="Trebuchet MS"/>
          <w:b/>
          <w:bCs/>
          <w:color w:val="303030"/>
          <w:spacing w:val="0"/>
          <w:sz w:val="22"/>
          <w:szCs w:val="22"/>
          <w:lang w:val="de-AT" w:eastAsia="en-US"/>
        </w:rPr>
      </w:pPr>
      <w:r w:rsidRPr="00B906B1">
        <w:rPr>
          <w:rFonts w:ascii="Trebuchet MS" w:eastAsia="Calibri" w:hAnsi="Trebuchet MS"/>
          <w:b/>
          <w:bCs/>
          <w:color w:val="303030"/>
          <w:spacing w:val="0"/>
          <w:sz w:val="22"/>
          <w:szCs w:val="22"/>
          <w:lang w:val="en-GB" w:eastAsia="en-US"/>
        </w:rPr>
        <w:t xml:space="preserve">Question 9: Do you agree with the approach of strict equivalence with respect to cash deposit proposed? Do you deem other forms equivalent to the cash deposit from a risk perspective? </w:t>
      </w:r>
      <w:proofErr w:type="spellStart"/>
      <w:r w:rsidRPr="00B906B1">
        <w:rPr>
          <w:rFonts w:ascii="Trebuchet MS" w:eastAsia="Calibri" w:hAnsi="Trebuchet MS"/>
          <w:b/>
          <w:bCs/>
          <w:color w:val="303030"/>
          <w:spacing w:val="0"/>
          <w:sz w:val="22"/>
          <w:szCs w:val="22"/>
          <w:lang w:val="de-AT" w:eastAsia="en-US"/>
        </w:rPr>
        <w:t>If</w:t>
      </w:r>
      <w:proofErr w:type="spellEnd"/>
      <w:r w:rsidRPr="00B906B1">
        <w:rPr>
          <w:rFonts w:ascii="Trebuchet MS" w:eastAsia="Calibri" w:hAnsi="Trebuchet MS"/>
          <w:b/>
          <w:bCs/>
          <w:color w:val="303030"/>
          <w:spacing w:val="0"/>
          <w:sz w:val="22"/>
          <w:szCs w:val="22"/>
          <w:lang w:val="de-AT" w:eastAsia="en-US"/>
        </w:rPr>
        <w:t xml:space="preserve"> </w:t>
      </w:r>
      <w:proofErr w:type="spellStart"/>
      <w:r w:rsidRPr="00B906B1">
        <w:rPr>
          <w:rFonts w:ascii="Trebuchet MS" w:eastAsia="Calibri" w:hAnsi="Trebuchet MS"/>
          <w:b/>
          <w:bCs/>
          <w:color w:val="303030"/>
          <w:spacing w:val="0"/>
          <w:sz w:val="22"/>
          <w:szCs w:val="22"/>
          <w:lang w:val="de-AT" w:eastAsia="en-US"/>
        </w:rPr>
        <w:t>yes</w:t>
      </w:r>
      <w:proofErr w:type="spellEnd"/>
      <w:r w:rsidRPr="00B906B1">
        <w:rPr>
          <w:rFonts w:ascii="Trebuchet MS" w:eastAsia="Calibri" w:hAnsi="Trebuchet MS"/>
          <w:b/>
          <w:bCs/>
          <w:color w:val="303030"/>
          <w:spacing w:val="0"/>
          <w:sz w:val="22"/>
          <w:szCs w:val="22"/>
          <w:lang w:val="de-AT" w:eastAsia="en-US"/>
        </w:rPr>
        <w:t xml:space="preserve">, </w:t>
      </w:r>
      <w:proofErr w:type="spellStart"/>
      <w:r w:rsidRPr="00B906B1">
        <w:rPr>
          <w:rFonts w:ascii="Trebuchet MS" w:eastAsia="Calibri" w:hAnsi="Trebuchet MS"/>
          <w:b/>
          <w:bCs/>
          <w:color w:val="303030"/>
          <w:spacing w:val="0"/>
          <w:sz w:val="22"/>
          <w:szCs w:val="22"/>
          <w:lang w:val="de-AT" w:eastAsia="en-US"/>
        </w:rPr>
        <w:t>please</w:t>
      </w:r>
      <w:proofErr w:type="spellEnd"/>
      <w:r w:rsidRPr="00B906B1">
        <w:rPr>
          <w:rFonts w:ascii="Trebuchet MS" w:eastAsia="Calibri" w:hAnsi="Trebuchet MS"/>
          <w:b/>
          <w:bCs/>
          <w:color w:val="303030"/>
          <w:spacing w:val="0"/>
          <w:sz w:val="22"/>
          <w:szCs w:val="22"/>
          <w:lang w:val="de-AT" w:eastAsia="en-US"/>
        </w:rPr>
        <w:t xml:space="preserve"> </w:t>
      </w:r>
      <w:proofErr w:type="spellStart"/>
      <w:r w:rsidRPr="00B906B1">
        <w:rPr>
          <w:rFonts w:ascii="Trebuchet MS" w:eastAsia="Calibri" w:hAnsi="Trebuchet MS"/>
          <w:b/>
          <w:bCs/>
          <w:color w:val="303030"/>
          <w:spacing w:val="0"/>
          <w:sz w:val="22"/>
          <w:szCs w:val="22"/>
          <w:lang w:val="de-AT" w:eastAsia="en-US"/>
        </w:rPr>
        <w:t>explain</w:t>
      </w:r>
      <w:proofErr w:type="spellEnd"/>
      <w:r w:rsidRPr="00B906B1">
        <w:rPr>
          <w:rFonts w:ascii="Trebuchet MS" w:eastAsia="Calibri" w:hAnsi="Trebuchet MS"/>
          <w:b/>
          <w:bCs/>
          <w:color w:val="303030"/>
          <w:spacing w:val="0"/>
          <w:sz w:val="22"/>
          <w:szCs w:val="22"/>
          <w:lang w:val="de-AT" w:eastAsia="en-US"/>
        </w:rPr>
        <w:t>.</w:t>
      </w:r>
    </w:p>
    <w:tbl>
      <w:tblPr>
        <w:tblStyle w:val="Tabellenraster1"/>
        <w:tblW w:w="0" w:type="auto"/>
        <w:tblInd w:w="0" w:type="dxa"/>
        <w:tblLook w:val="04A0" w:firstRow="1" w:lastRow="0" w:firstColumn="1" w:lastColumn="0" w:noHBand="0" w:noVBand="1"/>
      </w:tblPr>
      <w:tblGrid>
        <w:gridCol w:w="9062"/>
      </w:tblGrid>
      <w:tr w:rsidR="00692526" w:rsidRPr="006D6199" w14:paraId="198CFDD3" w14:textId="77777777" w:rsidTr="00F17AD7">
        <w:tc>
          <w:tcPr>
            <w:tcW w:w="9346" w:type="dxa"/>
          </w:tcPr>
          <w:p w14:paraId="00FC1A28" w14:textId="77777777" w:rsidR="00CB12C8" w:rsidRDefault="00CB12C8" w:rsidP="00692526">
            <w:pPr>
              <w:suppressAutoHyphens/>
              <w:rPr>
                <w:rFonts w:ascii="Trebuchet MS" w:eastAsia="Calibri" w:hAnsi="Trebuchet MS"/>
                <w:spacing w:val="0"/>
                <w:sz w:val="22"/>
                <w:szCs w:val="22"/>
                <w:lang w:val="en-GB" w:eastAsia="zh-CN"/>
              </w:rPr>
            </w:pPr>
          </w:p>
          <w:p w14:paraId="16242A1A" w14:textId="68BEF64F" w:rsidR="00692526" w:rsidRPr="00CB12C8" w:rsidRDefault="00692526" w:rsidP="00692526">
            <w:pPr>
              <w:suppressAutoHyphens/>
              <w:rPr>
                <w:rFonts w:ascii="Trebuchet MS" w:eastAsia="Calibri" w:hAnsi="Trebuchet MS"/>
                <w:spacing w:val="0"/>
                <w:sz w:val="22"/>
                <w:szCs w:val="22"/>
                <w:lang w:val="en-GB" w:eastAsia="zh-CN"/>
              </w:rPr>
            </w:pPr>
            <w:r w:rsidRPr="00CB12C8">
              <w:rPr>
                <w:rFonts w:ascii="Trebuchet MS" w:eastAsia="Calibri" w:hAnsi="Trebuchet MS"/>
                <w:spacing w:val="0"/>
                <w:sz w:val="22"/>
                <w:szCs w:val="22"/>
                <w:lang w:val="en-GB" w:eastAsia="zh-CN"/>
              </w:rPr>
              <w:t xml:space="preserve">Art 126a para 3 regulates that EBA should specify, inter alia, the term “financing ensured in an equivalent manner”. In the draft guidelines, every single possibility of an equivalent to cash is excluded, thus making it impossible to use any other means of security. </w:t>
            </w:r>
          </w:p>
          <w:p w14:paraId="046FF0F4" w14:textId="628421C2" w:rsidR="00692526" w:rsidRPr="00CB12C8" w:rsidRDefault="00692526" w:rsidP="00692526">
            <w:pPr>
              <w:numPr>
                <w:ilvl w:val="0"/>
                <w:numId w:val="18"/>
              </w:numPr>
              <w:suppressAutoHyphens/>
              <w:contextualSpacing/>
              <w:rPr>
                <w:rFonts w:ascii="Trebuchet MS" w:eastAsia="Calibri" w:hAnsi="Trebuchet MS"/>
                <w:spacing w:val="0"/>
                <w:sz w:val="22"/>
                <w:szCs w:val="22"/>
                <w:lang w:val="en-GB" w:eastAsia="zh-CN"/>
              </w:rPr>
            </w:pPr>
            <w:r w:rsidRPr="00CB12C8">
              <w:rPr>
                <w:rFonts w:ascii="Trebuchet MS" w:eastAsia="Calibri" w:hAnsi="Trebuchet MS"/>
                <w:spacing w:val="0"/>
                <w:sz w:val="22"/>
                <w:szCs w:val="22"/>
                <w:lang w:val="en-GB" w:eastAsia="zh-CN"/>
              </w:rPr>
              <w:t>At least guarantees issued by banks and other institutions that have a certain credit rating (e.g. investment grade) should be admitted</w:t>
            </w:r>
            <w:r w:rsidR="00CB12C8">
              <w:rPr>
                <w:rFonts w:ascii="Trebuchet MS" w:eastAsia="Calibri" w:hAnsi="Trebuchet MS"/>
                <w:spacing w:val="0"/>
                <w:sz w:val="22"/>
                <w:szCs w:val="22"/>
                <w:lang w:val="en-GB" w:eastAsia="zh-CN"/>
              </w:rPr>
              <w:t>.</w:t>
            </w:r>
          </w:p>
          <w:p w14:paraId="557B7B62" w14:textId="77777777" w:rsidR="00692526" w:rsidRPr="00B906B1" w:rsidRDefault="00692526" w:rsidP="00692526">
            <w:pPr>
              <w:suppressAutoHyphens/>
              <w:rPr>
                <w:rFonts w:ascii="Trebuchet MS" w:eastAsia="Calibri" w:hAnsi="Trebuchet MS"/>
                <w:color w:val="4472C4"/>
                <w:spacing w:val="0"/>
                <w:sz w:val="22"/>
                <w:szCs w:val="22"/>
                <w:lang w:val="en-GB" w:eastAsia="zh-CN"/>
              </w:rPr>
            </w:pPr>
          </w:p>
          <w:p w14:paraId="7D394806" w14:textId="77777777" w:rsidR="00692526" w:rsidRPr="00B906B1" w:rsidRDefault="00692526" w:rsidP="00692526">
            <w:pPr>
              <w:suppressAutoHyphens/>
              <w:rPr>
                <w:rFonts w:ascii="Trebuchet MS" w:eastAsia="Calibri" w:hAnsi="Trebuchet MS"/>
                <w:color w:val="4472C4"/>
                <w:spacing w:val="0"/>
                <w:sz w:val="22"/>
                <w:szCs w:val="22"/>
                <w:lang w:val="en-GB" w:eastAsia="zh-CN"/>
              </w:rPr>
            </w:pPr>
          </w:p>
        </w:tc>
      </w:tr>
    </w:tbl>
    <w:p w14:paraId="50F25401" w14:textId="77777777" w:rsidR="00692526" w:rsidRPr="00B906B1" w:rsidRDefault="00692526" w:rsidP="00692526">
      <w:pPr>
        <w:suppressAutoHyphens/>
        <w:rPr>
          <w:rFonts w:ascii="Trebuchet MS" w:eastAsia="Calibri" w:hAnsi="Trebuchet MS"/>
          <w:color w:val="303030"/>
          <w:spacing w:val="0"/>
          <w:sz w:val="22"/>
          <w:szCs w:val="22"/>
          <w:lang w:val="en-GB" w:eastAsia="en-US"/>
        </w:rPr>
      </w:pPr>
    </w:p>
    <w:p w14:paraId="7B8D87B8" w14:textId="77777777" w:rsidR="00692526" w:rsidRPr="00B906B1" w:rsidRDefault="00692526" w:rsidP="00692526">
      <w:pPr>
        <w:suppressAutoHyphens/>
        <w:rPr>
          <w:rFonts w:ascii="Trebuchet MS" w:eastAsia="Calibri" w:hAnsi="Trebuchet MS"/>
          <w:color w:val="303030"/>
          <w:spacing w:val="0"/>
          <w:sz w:val="22"/>
          <w:szCs w:val="22"/>
          <w:lang w:val="en-GB" w:eastAsia="en-US"/>
        </w:rPr>
      </w:pPr>
    </w:p>
    <w:p w14:paraId="7F9CAA7B"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Question 10: Do you agree in using two different options for pre-sale/sale and pre-lease/lease contracts?</w:t>
      </w:r>
    </w:p>
    <w:p w14:paraId="38452EA4" w14:textId="77777777" w:rsidR="00692526" w:rsidRPr="00B906B1" w:rsidRDefault="00692526" w:rsidP="00692526">
      <w:pPr>
        <w:suppressAutoHyphens/>
        <w:ind w:left="720"/>
        <w:contextualSpacing/>
        <w:rPr>
          <w:rFonts w:ascii="Trebuchet MS" w:eastAsia="Calibri" w:hAnsi="Trebuchet MS"/>
          <w:b/>
          <w:bCs/>
          <w:color w:val="303030"/>
          <w:spacing w:val="0"/>
          <w:sz w:val="22"/>
          <w:szCs w:val="22"/>
          <w:lang w:val="en-GB" w:eastAsia="en-US"/>
        </w:rPr>
      </w:pPr>
    </w:p>
    <w:tbl>
      <w:tblPr>
        <w:tblStyle w:val="Tabellenraster1"/>
        <w:tblW w:w="0" w:type="auto"/>
        <w:tblInd w:w="0" w:type="dxa"/>
        <w:tblLook w:val="04A0" w:firstRow="1" w:lastRow="0" w:firstColumn="1" w:lastColumn="0" w:noHBand="0" w:noVBand="1"/>
      </w:tblPr>
      <w:tblGrid>
        <w:gridCol w:w="9062"/>
      </w:tblGrid>
      <w:tr w:rsidR="00692526" w:rsidRPr="0021271F" w14:paraId="2D3FEB7C" w14:textId="77777777" w:rsidTr="00F17AD7">
        <w:tc>
          <w:tcPr>
            <w:tcW w:w="9346" w:type="dxa"/>
          </w:tcPr>
          <w:p w14:paraId="5CA7EBCF" w14:textId="77777777" w:rsidR="006D6199" w:rsidRDefault="006D6199" w:rsidP="00692526">
            <w:pPr>
              <w:suppressAutoHyphens/>
              <w:rPr>
                <w:rFonts w:ascii="Trebuchet MS" w:eastAsia="Calibri" w:hAnsi="Trebuchet MS"/>
                <w:spacing w:val="0"/>
                <w:sz w:val="22"/>
                <w:szCs w:val="22"/>
                <w:lang w:val="en-US" w:eastAsia="zh-CN"/>
              </w:rPr>
            </w:pPr>
          </w:p>
          <w:p w14:paraId="511B0A17" w14:textId="57E739F9" w:rsidR="00692526" w:rsidRPr="00CB12C8" w:rsidRDefault="00692526" w:rsidP="00692526">
            <w:pPr>
              <w:suppressAutoHyphens/>
              <w:rPr>
                <w:rFonts w:ascii="Trebuchet MS" w:eastAsia="Calibri" w:hAnsi="Trebuchet MS"/>
                <w:spacing w:val="0"/>
                <w:sz w:val="22"/>
                <w:szCs w:val="22"/>
                <w:lang w:val="en-US" w:eastAsia="zh-CN"/>
              </w:rPr>
            </w:pPr>
            <w:r w:rsidRPr="00CB12C8">
              <w:rPr>
                <w:rFonts w:ascii="Trebuchet MS" w:eastAsia="Calibri" w:hAnsi="Trebuchet MS"/>
                <w:spacing w:val="0"/>
                <w:sz w:val="22"/>
                <w:szCs w:val="22"/>
                <w:lang w:val="en-US" w:eastAsia="zh-CN"/>
              </w:rPr>
              <w:t>OK</w:t>
            </w:r>
          </w:p>
          <w:p w14:paraId="79CFA027" w14:textId="77777777" w:rsidR="00692526" w:rsidRPr="00B906B1" w:rsidRDefault="00692526" w:rsidP="00CB12C8">
            <w:pPr>
              <w:suppressAutoHyphens/>
              <w:rPr>
                <w:rFonts w:ascii="Trebuchet MS" w:eastAsia="Calibri" w:hAnsi="Trebuchet MS"/>
                <w:color w:val="303030"/>
                <w:spacing w:val="0"/>
                <w:sz w:val="22"/>
                <w:szCs w:val="22"/>
                <w:lang w:val="en-US" w:eastAsia="zh-CN"/>
              </w:rPr>
            </w:pPr>
          </w:p>
        </w:tc>
      </w:tr>
    </w:tbl>
    <w:p w14:paraId="0839BC82" w14:textId="77777777" w:rsidR="00692526" w:rsidRPr="00B906B1" w:rsidRDefault="00692526" w:rsidP="00692526">
      <w:pPr>
        <w:suppressAutoHyphens/>
        <w:rPr>
          <w:rFonts w:ascii="Trebuchet MS" w:eastAsia="Calibri" w:hAnsi="Trebuchet MS"/>
          <w:color w:val="303030"/>
          <w:spacing w:val="0"/>
          <w:sz w:val="22"/>
          <w:szCs w:val="22"/>
          <w:lang w:val="en-US" w:eastAsia="en-US"/>
        </w:rPr>
      </w:pPr>
    </w:p>
    <w:p w14:paraId="2A016D24" w14:textId="55ACFCD0"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Question 11: Do you see any drawbacks related to the proposed options under paragraphs 14</w:t>
      </w:r>
      <w:r w:rsidR="00CB12C8">
        <w:rPr>
          <w:rFonts w:ascii="Trebuchet MS" w:eastAsia="Calibri" w:hAnsi="Trebuchet MS"/>
          <w:b/>
          <w:bCs/>
          <w:color w:val="303030"/>
          <w:spacing w:val="0"/>
          <w:sz w:val="22"/>
          <w:szCs w:val="22"/>
          <w:lang w:val="en-GB" w:eastAsia="en-US"/>
        </w:rPr>
        <w:t xml:space="preserve"> </w:t>
      </w:r>
      <w:r w:rsidRPr="00B906B1">
        <w:rPr>
          <w:rFonts w:ascii="Trebuchet MS" w:eastAsia="Calibri" w:hAnsi="Trebuchet MS"/>
          <w:b/>
          <w:bCs/>
          <w:color w:val="303030"/>
          <w:spacing w:val="0"/>
          <w:sz w:val="22"/>
          <w:szCs w:val="22"/>
          <w:lang w:val="en-GB" w:eastAsia="en-US"/>
        </w:rPr>
        <w:t>to 16 of these Guidelines?</w:t>
      </w:r>
    </w:p>
    <w:p w14:paraId="13C4D479" w14:textId="77777777" w:rsidR="00692526" w:rsidRPr="00B906B1" w:rsidRDefault="00692526" w:rsidP="00692526">
      <w:pPr>
        <w:suppressAutoHyphens/>
        <w:ind w:left="720"/>
        <w:contextualSpacing/>
        <w:rPr>
          <w:rFonts w:ascii="Trebuchet MS" w:eastAsia="Calibri" w:hAnsi="Trebuchet MS"/>
          <w:b/>
          <w:bCs/>
          <w:color w:val="303030"/>
          <w:spacing w:val="0"/>
          <w:sz w:val="22"/>
          <w:szCs w:val="22"/>
          <w:lang w:val="en-GB" w:eastAsia="en-US"/>
        </w:rPr>
      </w:pPr>
    </w:p>
    <w:tbl>
      <w:tblPr>
        <w:tblStyle w:val="Tabellenraster1"/>
        <w:tblW w:w="0" w:type="auto"/>
        <w:tblInd w:w="0" w:type="dxa"/>
        <w:tblLook w:val="04A0" w:firstRow="1" w:lastRow="0" w:firstColumn="1" w:lastColumn="0" w:noHBand="0" w:noVBand="1"/>
      </w:tblPr>
      <w:tblGrid>
        <w:gridCol w:w="9062"/>
      </w:tblGrid>
      <w:tr w:rsidR="00692526" w:rsidRPr="006D6199" w14:paraId="126B4FAE" w14:textId="77777777" w:rsidTr="00F17AD7">
        <w:tc>
          <w:tcPr>
            <w:tcW w:w="9346" w:type="dxa"/>
          </w:tcPr>
          <w:p w14:paraId="0117E9FF" w14:textId="76AFA6CF" w:rsidR="00692526" w:rsidRPr="00CB12C8" w:rsidRDefault="00692526" w:rsidP="00692526">
            <w:pPr>
              <w:suppressAutoHyphens/>
              <w:rPr>
                <w:rFonts w:ascii="Trebuchet MS" w:eastAsia="Calibri" w:hAnsi="Trebuchet MS"/>
                <w:spacing w:val="0"/>
                <w:sz w:val="22"/>
                <w:szCs w:val="22"/>
                <w:lang w:val="en-GB" w:eastAsia="zh-CN"/>
              </w:rPr>
            </w:pPr>
            <w:r w:rsidRPr="00CB12C8">
              <w:rPr>
                <w:rFonts w:ascii="Trebuchet MS" w:eastAsia="Calibri" w:hAnsi="Trebuchet MS"/>
                <w:spacing w:val="0"/>
                <w:sz w:val="22"/>
                <w:szCs w:val="22"/>
                <w:lang w:val="en-GB" w:eastAsia="zh-CN"/>
              </w:rPr>
              <w:t>The pre-sales resp. pre-rent quota of 50% is far above actual market standards and policies as adopted by the respective supervisory authorities. In A</w:t>
            </w:r>
            <w:r w:rsidR="00CB12C8" w:rsidRPr="00CB12C8">
              <w:rPr>
                <w:rFonts w:ascii="Trebuchet MS" w:eastAsia="Calibri" w:hAnsi="Trebuchet MS"/>
                <w:spacing w:val="0"/>
                <w:sz w:val="22"/>
                <w:szCs w:val="22"/>
                <w:lang w:val="en-GB" w:eastAsia="zh-CN"/>
              </w:rPr>
              <w:t>ustria</w:t>
            </w:r>
            <w:r w:rsidRPr="00CB12C8">
              <w:rPr>
                <w:rFonts w:ascii="Trebuchet MS" w:eastAsia="Calibri" w:hAnsi="Trebuchet MS"/>
                <w:spacing w:val="0"/>
                <w:sz w:val="22"/>
                <w:szCs w:val="22"/>
                <w:lang w:val="en-GB" w:eastAsia="zh-CN"/>
              </w:rPr>
              <w:t>, a quota of 30% is the market standard.</w:t>
            </w:r>
          </w:p>
          <w:p w14:paraId="0D788C6B" w14:textId="77777777" w:rsidR="00692526" w:rsidRPr="00CB12C8" w:rsidRDefault="00692526" w:rsidP="00692526">
            <w:pPr>
              <w:suppressAutoHyphens/>
              <w:rPr>
                <w:rFonts w:ascii="Trebuchet MS" w:eastAsia="Calibri" w:hAnsi="Trebuchet MS"/>
                <w:spacing w:val="0"/>
                <w:sz w:val="22"/>
                <w:szCs w:val="22"/>
                <w:lang w:val="en-GB" w:eastAsia="zh-CN"/>
              </w:rPr>
            </w:pPr>
          </w:p>
          <w:p w14:paraId="64AFA1DD" w14:textId="77777777" w:rsidR="00692526" w:rsidRPr="00CB12C8" w:rsidRDefault="00692526" w:rsidP="00692526">
            <w:pPr>
              <w:suppressAutoHyphens/>
              <w:rPr>
                <w:rFonts w:ascii="Trebuchet MS" w:eastAsia="Calibri" w:hAnsi="Trebuchet MS"/>
                <w:spacing w:val="0"/>
                <w:sz w:val="22"/>
                <w:szCs w:val="22"/>
                <w:lang w:val="en-GB" w:eastAsia="zh-CN"/>
              </w:rPr>
            </w:pPr>
            <w:r w:rsidRPr="00CB12C8">
              <w:rPr>
                <w:rFonts w:ascii="Trebuchet MS" w:eastAsia="Calibri" w:hAnsi="Trebuchet MS"/>
                <w:spacing w:val="0"/>
                <w:sz w:val="22"/>
                <w:szCs w:val="22"/>
                <w:lang w:val="en-GB" w:eastAsia="zh-CN"/>
              </w:rPr>
              <w:t>According to the current proposal, residential units of different sizes that are rented out are considered of equal value. This means that a 50m² and a 150m² flat are to be considered to the same extent, although their values (and rents) differ significantly. If the quota were based, for example, on the ratio of rented living space to rentable living space, the quota could be more balanced.</w:t>
            </w:r>
          </w:p>
          <w:p w14:paraId="40E17B15" w14:textId="77777777" w:rsidR="00692526" w:rsidRPr="00B906B1" w:rsidRDefault="00692526" w:rsidP="00692526">
            <w:pPr>
              <w:suppressAutoHyphens/>
              <w:rPr>
                <w:rFonts w:ascii="Trebuchet MS" w:eastAsia="Calibri" w:hAnsi="Trebuchet MS"/>
                <w:color w:val="4472C4"/>
                <w:spacing w:val="0"/>
                <w:sz w:val="22"/>
                <w:szCs w:val="22"/>
                <w:lang w:val="en-US" w:eastAsia="zh-CN"/>
              </w:rPr>
            </w:pPr>
          </w:p>
          <w:p w14:paraId="253BA40E" w14:textId="77777777" w:rsidR="00692526" w:rsidRPr="00CB12C8" w:rsidRDefault="00692526" w:rsidP="00692526">
            <w:pPr>
              <w:suppressAutoHyphens/>
              <w:rPr>
                <w:rFonts w:ascii="Trebuchet MS" w:eastAsia="Calibri" w:hAnsi="Trebuchet MS"/>
                <w:spacing w:val="0"/>
                <w:sz w:val="22"/>
                <w:szCs w:val="22"/>
                <w:lang w:val="en-GB" w:eastAsia="zh-CN"/>
              </w:rPr>
            </w:pPr>
            <w:r w:rsidRPr="00CB12C8">
              <w:rPr>
                <w:rFonts w:ascii="Trebuchet MS" w:eastAsia="Calibri" w:hAnsi="Trebuchet MS"/>
                <w:spacing w:val="0"/>
                <w:sz w:val="22"/>
                <w:szCs w:val="22"/>
                <w:lang w:val="en-GB" w:eastAsia="zh-CN"/>
              </w:rPr>
              <w:t xml:space="preserve">In relation to the significant portion of total contracts under Article 126a(2)(a) CRR: legally binding pre-sale and sale contracts and legally binding pre-lease and lease contracts will be considered a significant portion of total contracts if they represent a percentage of 50% or more of total contracts. </w:t>
            </w:r>
          </w:p>
          <w:p w14:paraId="7C11753D" w14:textId="77777777" w:rsidR="00692526" w:rsidRPr="00CB12C8" w:rsidRDefault="00692526" w:rsidP="00692526">
            <w:pPr>
              <w:suppressAutoHyphens/>
              <w:rPr>
                <w:rFonts w:ascii="Trebuchet MS" w:eastAsia="Calibri" w:hAnsi="Trebuchet MS"/>
                <w:spacing w:val="0"/>
                <w:sz w:val="22"/>
                <w:szCs w:val="22"/>
                <w:lang w:val="en-GB" w:eastAsia="zh-CN"/>
              </w:rPr>
            </w:pPr>
          </w:p>
          <w:p w14:paraId="44CBA24A" w14:textId="77777777" w:rsidR="00692526" w:rsidRPr="00CB12C8" w:rsidRDefault="00692526" w:rsidP="00692526">
            <w:pPr>
              <w:suppressAutoHyphens/>
              <w:rPr>
                <w:rFonts w:ascii="Trebuchet MS" w:eastAsia="Calibri" w:hAnsi="Trebuchet MS"/>
                <w:spacing w:val="0"/>
                <w:sz w:val="22"/>
                <w:szCs w:val="22"/>
                <w:lang w:val="en-GB" w:eastAsia="zh-CN"/>
              </w:rPr>
            </w:pPr>
            <w:r w:rsidRPr="00CB12C8">
              <w:rPr>
                <w:rFonts w:ascii="Trebuchet MS" w:eastAsia="Calibri" w:hAnsi="Trebuchet MS"/>
                <w:spacing w:val="0"/>
                <w:sz w:val="22"/>
                <w:szCs w:val="22"/>
                <w:lang w:val="en-GB" w:eastAsia="zh-CN"/>
              </w:rPr>
              <w:t>According to the EBA GL draft, the percentage of 50% for purchase contracts should be calculated as the sum of the sales prices divided by the total amount of the credit facility, including the drawn and undrawn amount. This is generally understandable for us.</w:t>
            </w:r>
          </w:p>
          <w:p w14:paraId="531DD7E9" w14:textId="77777777" w:rsidR="00692526" w:rsidRPr="00CB12C8" w:rsidRDefault="00692526" w:rsidP="00692526">
            <w:pPr>
              <w:suppressAutoHyphens/>
              <w:rPr>
                <w:rFonts w:ascii="Trebuchet MS" w:eastAsia="Calibri" w:hAnsi="Trebuchet MS"/>
                <w:spacing w:val="0"/>
                <w:sz w:val="22"/>
                <w:szCs w:val="22"/>
                <w:lang w:val="en-GB" w:eastAsia="zh-CN"/>
              </w:rPr>
            </w:pPr>
          </w:p>
          <w:p w14:paraId="3AF0D61E" w14:textId="77777777" w:rsidR="00692526" w:rsidRPr="00CB12C8" w:rsidRDefault="00692526" w:rsidP="00692526">
            <w:pPr>
              <w:suppressAutoHyphens/>
              <w:rPr>
                <w:rFonts w:ascii="Trebuchet MS" w:eastAsia="Calibri" w:hAnsi="Trebuchet MS"/>
                <w:spacing w:val="0"/>
                <w:sz w:val="22"/>
                <w:szCs w:val="22"/>
                <w:lang w:val="en-GB" w:eastAsia="zh-CN"/>
              </w:rPr>
            </w:pPr>
            <w:r w:rsidRPr="00CB12C8">
              <w:rPr>
                <w:rFonts w:ascii="Trebuchet MS" w:eastAsia="Calibri" w:hAnsi="Trebuchet MS"/>
                <w:spacing w:val="0"/>
                <w:sz w:val="22"/>
                <w:szCs w:val="22"/>
                <w:lang w:val="en-GB" w:eastAsia="zh-CN"/>
              </w:rPr>
              <w:t>In the case of rental agreements, however, we would like to propose an amendment (regarding the calculation of the significant proportion of total agreements): according to the EBA GL draft, the percentage of 50% for rental agreements should be calculated as the sum of the number of legally binding rental agreements divided by the total number of units that are part of the ADC project related to the residential property. We consider it appropriate for the percentage to be calculated by dividing the area already let (</w:t>
            </w:r>
            <w:proofErr w:type="gramStart"/>
            <w:r w:rsidRPr="00CB12C8">
              <w:rPr>
                <w:rFonts w:ascii="Trebuchet MS" w:eastAsia="Calibri" w:hAnsi="Trebuchet MS"/>
                <w:spacing w:val="0"/>
                <w:sz w:val="22"/>
                <w:szCs w:val="22"/>
                <w:lang w:val="en-GB" w:eastAsia="zh-CN"/>
              </w:rPr>
              <w:t>on the basis of</w:t>
            </w:r>
            <w:proofErr w:type="gramEnd"/>
            <w:r w:rsidRPr="00CB12C8">
              <w:rPr>
                <w:rFonts w:ascii="Trebuchet MS" w:eastAsia="Calibri" w:hAnsi="Trebuchet MS"/>
                <w:spacing w:val="0"/>
                <w:sz w:val="22"/>
                <w:szCs w:val="22"/>
                <w:lang w:val="en-GB" w:eastAsia="zh-CN"/>
              </w:rPr>
              <w:t xml:space="preserve"> legally binding rental agreements) by the total lettable area of the residential property.</w:t>
            </w:r>
          </w:p>
          <w:p w14:paraId="4314DCE7" w14:textId="77777777" w:rsidR="00692526" w:rsidRPr="00B906B1" w:rsidRDefault="00692526" w:rsidP="00692526">
            <w:pPr>
              <w:suppressAutoHyphens/>
              <w:rPr>
                <w:rFonts w:ascii="Trebuchet MS" w:eastAsia="Calibri" w:hAnsi="Trebuchet MS"/>
                <w:color w:val="4472C4"/>
                <w:spacing w:val="0"/>
                <w:sz w:val="22"/>
                <w:szCs w:val="22"/>
                <w:lang w:val="en-US" w:eastAsia="zh-CN"/>
              </w:rPr>
            </w:pPr>
          </w:p>
        </w:tc>
      </w:tr>
    </w:tbl>
    <w:p w14:paraId="39DC7DCF" w14:textId="77777777" w:rsidR="00692526" w:rsidRPr="00B906B1" w:rsidRDefault="00692526" w:rsidP="00692526">
      <w:pPr>
        <w:suppressAutoHyphens/>
        <w:rPr>
          <w:rFonts w:ascii="Trebuchet MS" w:eastAsia="Calibri" w:hAnsi="Trebuchet MS"/>
          <w:b/>
          <w:bCs/>
          <w:color w:val="303030"/>
          <w:spacing w:val="0"/>
          <w:sz w:val="22"/>
          <w:szCs w:val="22"/>
          <w:lang w:val="en-US" w:eastAsia="en-US"/>
        </w:rPr>
      </w:pPr>
    </w:p>
    <w:p w14:paraId="5AD33F7F"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 xml:space="preserve">Question 12: What is the materiality of ADC projects with mixed use foreseen? How are these projects structured and whether the proposed options raise any </w:t>
      </w:r>
      <w:proofErr w:type="gramStart"/>
      <w:r w:rsidRPr="00B906B1">
        <w:rPr>
          <w:rFonts w:ascii="Trebuchet MS" w:eastAsia="Calibri" w:hAnsi="Trebuchet MS"/>
          <w:b/>
          <w:bCs/>
          <w:color w:val="303030"/>
          <w:spacing w:val="0"/>
          <w:sz w:val="22"/>
          <w:szCs w:val="22"/>
          <w:lang w:val="en-GB" w:eastAsia="en-US"/>
        </w:rPr>
        <w:t>particular issues</w:t>
      </w:r>
      <w:proofErr w:type="gramEnd"/>
      <w:r w:rsidRPr="00B906B1">
        <w:rPr>
          <w:rFonts w:ascii="Trebuchet MS" w:eastAsia="Calibri" w:hAnsi="Trebuchet MS"/>
          <w:b/>
          <w:bCs/>
          <w:color w:val="303030"/>
          <w:spacing w:val="0"/>
          <w:sz w:val="22"/>
          <w:szCs w:val="22"/>
          <w:lang w:val="en-GB" w:eastAsia="en-US"/>
        </w:rPr>
        <w:t xml:space="preserve"> to be applied in practice?</w:t>
      </w:r>
    </w:p>
    <w:p w14:paraId="7537C80B" w14:textId="77777777" w:rsidR="00692526" w:rsidRPr="00B906B1" w:rsidRDefault="00692526" w:rsidP="00692526">
      <w:pPr>
        <w:suppressAutoHyphens/>
        <w:ind w:left="720"/>
        <w:contextualSpacing/>
        <w:rPr>
          <w:rFonts w:ascii="Trebuchet MS" w:eastAsia="Calibri" w:hAnsi="Trebuchet MS"/>
          <w:b/>
          <w:bCs/>
          <w:color w:val="303030"/>
          <w:spacing w:val="0"/>
          <w:sz w:val="22"/>
          <w:szCs w:val="22"/>
          <w:lang w:val="en-GB" w:eastAsia="en-US"/>
        </w:rPr>
      </w:pPr>
    </w:p>
    <w:tbl>
      <w:tblPr>
        <w:tblStyle w:val="Tabellenraster1"/>
        <w:tblW w:w="0" w:type="auto"/>
        <w:tblInd w:w="0" w:type="dxa"/>
        <w:tblLook w:val="04A0" w:firstRow="1" w:lastRow="0" w:firstColumn="1" w:lastColumn="0" w:noHBand="0" w:noVBand="1"/>
      </w:tblPr>
      <w:tblGrid>
        <w:gridCol w:w="9062"/>
      </w:tblGrid>
      <w:tr w:rsidR="00692526" w:rsidRPr="006D6199" w14:paraId="0CD7BCC2" w14:textId="77777777" w:rsidTr="00F17AD7">
        <w:tc>
          <w:tcPr>
            <w:tcW w:w="9346" w:type="dxa"/>
          </w:tcPr>
          <w:p w14:paraId="78025730" w14:textId="77777777" w:rsidR="00692526" w:rsidRPr="00B906B1" w:rsidRDefault="00692526" w:rsidP="00692526">
            <w:pPr>
              <w:suppressAutoHyphens/>
              <w:rPr>
                <w:rFonts w:ascii="Trebuchet MS" w:eastAsia="Calibri" w:hAnsi="Trebuchet MS"/>
                <w:color w:val="4472C4"/>
                <w:spacing w:val="0"/>
                <w:sz w:val="22"/>
                <w:szCs w:val="22"/>
                <w:lang w:val="en-GB" w:eastAsia="zh-CN"/>
              </w:rPr>
            </w:pPr>
            <w:r w:rsidRPr="00CB12C8">
              <w:rPr>
                <w:rFonts w:ascii="Trebuchet MS" w:eastAsia="Calibri" w:hAnsi="Trebuchet MS"/>
                <w:spacing w:val="0"/>
                <w:sz w:val="22"/>
                <w:szCs w:val="22"/>
                <w:lang w:val="en-GB" w:eastAsia="zh-CN"/>
              </w:rPr>
              <w:t>Normally, there is 1 credit contract for the sales part (term: 3-5 years), and another credit contract for the leasing part (term: up to 30 years), therefore the 2 areas can be treated separately.</w:t>
            </w:r>
          </w:p>
        </w:tc>
      </w:tr>
    </w:tbl>
    <w:p w14:paraId="4B711CBE" w14:textId="77777777" w:rsidR="00692526" w:rsidRPr="00B906B1" w:rsidRDefault="00692526" w:rsidP="00692526">
      <w:pPr>
        <w:suppressAutoHyphens/>
        <w:rPr>
          <w:rFonts w:ascii="Trebuchet MS" w:eastAsia="Calibri" w:hAnsi="Trebuchet MS"/>
          <w:color w:val="303030"/>
          <w:spacing w:val="0"/>
          <w:sz w:val="22"/>
          <w:szCs w:val="22"/>
          <w:lang w:val="en-GB" w:eastAsia="en-US"/>
        </w:rPr>
      </w:pPr>
    </w:p>
    <w:p w14:paraId="4D687CB0" w14:textId="77777777" w:rsidR="00692526" w:rsidRPr="00B906B1" w:rsidRDefault="00692526" w:rsidP="00692526">
      <w:pPr>
        <w:suppressAutoHyphens/>
        <w:rPr>
          <w:rFonts w:ascii="Trebuchet MS" w:eastAsia="Calibri" w:hAnsi="Trebuchet MS"/>
          <w:color w:val="303030"/>
          <w:spacing w:val="0"/>
          <w:sz w:val="22"/>
          <w:szCs w:val="22"/>
          <w:lang w:val="en-GB" w:eastAsia="en-US"/>
        </w:rPr>
      </w:pPr>
    </w:p>
    <w:p w14:paraId="3C8459B5"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Question 13: Do you agree with the pros and cons on the different methods explained above? Are there any further issues that the EBA should consider?</w:t>
      </w:r>
    </w:p>
    <w:p w14:paraId="3C725291" w14:textId="77777777" w:rsidR="00692526" w:rsidRPr="00B906B1" w:rsidRDefault="00692526" w:rsidP="00692526">
      <w:pPr>
        <w:suppressAutoHyphens/>
        <w:ind w:left="720"/>
        <w:contextualSpacing/>
        <w:rPr>
          <w:rFonts w:ascii="Trebuchet MS" w:eastAsia="Calibri" w:hAnsi="Trebuchet MS"/>
          <w:b/>
          <w:bCs/>
          <w:color w:val="303030"/>
          <w:spacing w:val="0"/>
          <w:sz w:val="22"/>
          <w:szCs w:val="22"/>
          <w:lang w:val="en-GB" w:eastAsia="en-US"/>
        </w:rPr>
      </w:pPr>
    </w:p>
    <w:tbl>
      <w:tblPr>
        <w:tblStyle w:val="Tabellenraster1"/>
        <w:tblW w:w="0" w:type="auto"/>
        <w:tblInd w:w="0" w:type="dxa"/>
        <w:tblLook w:val="04A0" w:firstRow="1" w:lastRow="0" w:firstColumn="1" w:lastColumn="0" w:noHBand="0" w:noVBand="1"/>
      </w:tblPr>
      <w:tblGrid>
        <w:gridCol w:w="9062"/>
      </w:tblGrid>
      <w:tr w:rsidR="00692526" w:rsidRPr="006D6199" w14:paraId="631BFD46" w14:textId="77777777" w:rsidTr="00F17AD7">
        <w:tc>
          <w:tcPr>
            <w:tcW w:w="9346" w:type="dxa"/>
          </w:tcPr>
          <w:p w14:paraId="08D6480A" w14:textId="77777777" w:rsidR="00692526" w:rsidRPr="00CB12C8" w:rsidRDefault="00692526" w:rsidP="00692526">
            <w:pPr>
              <w:suppressAutoHyphens/>
              <w:rPr>
                <w:rFonts w:ascii="Trebuchet MS" w:eastAsia="Calibri" w:hAnsi="Trebuchet MS"/>
                <w:spacing w:val="0"/>
                <w:sz w:val="22"/>
                <w:szCs w:val="22"/>
                <w:lang w:val="en-US" w:eastAsia="zh-CN"/>
              </w:rPr>
            </w:pPr>
            <w:r w:rsidRPr="00CB12C8">
              <w:rPr>
                <w:rFonts w:ascii="Trebuchet MS" w:eastAsia="Calibri" w:hAnsi="Trebuchet MS"/>
                <w:spacing w:val="0"/>
                <w:sz w:val="22"/>
                <w:szCs w:val="22"/>
                <w:lang w:val="en-US" w:eastAsia="zh-CN"/>
              </w:rPr>
              <w:t xml:space="preserve">See answer to question </w:t>
            </w:r>
            <w:proofErr w:type="gramStart"/>
            <w:r w:rsidRPr="00CB12C8">
              <w:rPr>
                <w:rFonts w:ascii="Trebuchet MS" w:eastAsia="Calibri" w:hAnsi="Trebuchet MS"/>
                <w:spacing w:val="0"/>
                <w:sz w:val="22"/>
                <w:szCs w:val="22"/>
                <w:lang w:val="en-US" w:eastAsia="zh-CN"/>
              </w:rPr>
              <w:t>12</w:t>
            </w:r>
            <w:proofErr w:type="gramEnd"/>
          </w:p>
          <w:p w14:paraId="1F96666D" w14:textId="77777777" w:rsidR="00692526" w:rsidRPr="00CB12C8" w:rsidRDefault="00692526" w:rsidP="00692526">
            <w:pPr>
              <w:suppressAutoHyphens/>
              <w:rPr>
                <w:rFonts w:ascii="Trebuchet MS" w:eastAsia="Calibri" w:hAnsi="Trebuchet MS"/>
                <w:spacing w:val="0"/>
                <w:sz w:val="22"/>
                <w:szCs w:val="22"/>
                <w:lang w:val="en-US" w:eastAsia="zh-CN"/>
              </w:rPr>
            </w:pPr>
          </w:p>
          <w:p w14:paraId="35923759" w14:textId="40C707F1" w:rsidR="00692526" w:rsidRPr="00CB12C8" w:rsidRDefault="00CB12C8" w:rsidP="00692526">
            <w:pPr>
              <w:suppressAutoHyphens/>
              <w:rPr>
                <w:rFonts w:ascii="Trebuchet MS" w:eastAsia="Calibri" w:hAnsi="Trebuchet MS"/>
                <w:spacing w:val="0"/>
                <w:sz w:val="22"/>
                <w:szCs w:val="22"/>
                <w:lang w:val="en-US" w:eastAsia="zh-CN"/>
              </w:rPr>
            </w:pPr>
            <w:r w:rsidRPr="00CB12C8">
              <w:rPr>
                <w:rFonts w:ascii="Trebuchet MS" w:eastAsia="Calibri" w:hAnsi="Trebuchet MS"/>
                <w:spacing w:val="0"/>
                <w:sz w:val="22"/>
                <w:szCs w:val="22"/>
                <w:lang w:val="en-US" w:eastAsia="zh-CN"/>
              </w:rPr>
              <w:t xml:space="preserve">In addition: </w:t>
            </w:r>
            <w:r w:rsidR="00692526" w:rsidRPr="00CB12C8">
              <w:rPr>
                <w:rFonts w:ascii="Trebuchet MS" w:eastAsia="Calibri" w:hAnsi="Trebuchet MS"/>
                <w:spacing w:val="0"/>
                <w:sz w:val="22"/>
                <w:szCs w:val="22"/>
                <w:lang w:val="en-US" w:eastAsia="zh-CN"/>
              </w:rPr>
              <w:t xml:space="preserve">Based on your example of method B1, it can be concluded that a worse position is achieved if a mixed </w:t>
            </w:r>
            <w:proofErr w:type="spellStart"/>
            <w:r w:rsidR="00692526" w:rsidRPr="00CB12C8">
              <w:rPr>
                <w:rFonts w:ascii="Trebuchet MS" w:eastAsia="Calibri" w:hAnsi="Trebuchet MS"/>
                <w:spacing w:val="0"/>
                <w:sz w:val="22"/>
                <w:szCs w:val="22"/>
                <w:lang w:val="en-US" w:eastAsia="zh-CN"/>
              </w:rPr>
              <w:t>realisation</w:t>
            </w:r>
            <w:proofErr w:type="spellEnd"/>
            <w:r w:rsidR="00692526" w:rsidRPr="00CB12C8">
              <w:rPr>
                <w:rFonts w:ascii="Trebuchet MS" w:eastAsia="Calibri" w:hAnsi="Trebuchet MS"/>
                <w:spacing w:val="0"/>
                <w:sz w:val="22"/>
                <w:szCs w:val="22"/>
                <w:lang w:val="en-US" w:eastAsia="zh-CN"/>
              </w:rPr>
              <w:t xml:space="preserve"> of the property is sought (sale and lease), as in these cases both key figures must reach the ratio of 50%. According to the example, the risk weighting of 100% should only be applied if a tenant is found for the only flat to be let, although all other flats have already been sold. We therefore recommend that the quotas should continue to be determined separately, but that they should be aggregated so that they are </w:t>
            </w:r>
            <w:proofErr w:type="spellStart"/>
            <w:r w:rsidR="00692526" w:rsidRPr="00CB12C8">
              <w:rPr>
                <w:rFonts w:ascii="Trebuchet MS" w:eastAsia="Calibri" w:hAnsi="Trebuchet MS"/>
                <w:spacing w:val="0"/>
                <w:sz w:val="22"/>
                <w:szCs w:val="22"/>
                <w:lang w:val="en-US" w:eastAsia="zh-CN"/>
              </w:rPr>
              <w:t>equalised</w:t>
            </w:r>
            <w:proofErr w:type="spellEnd"/>
            <w:r w:rsidR="00692526" w:rsidRPr="00CB12C8">
              <w:rPr>
                <w:rFonts w:ascii="Trebuchet MS" w:eastAsia="Calibri" w:hAnsi="Trebuchet MS"/>
                <w:spacing w:val="0"/>
                <w:sz w:val="22"/>
                <w:szCs w:val="22"/>
                <w:lang w:val="en-US" w:eastAsia="zh-CN"/>
              </w:rPr>
              <w:t xml:space="preserve"> with projects that are either sold or rented out. This approach would also simplify the calculation of the quota and thus make it less prone to errors.</w:t>
            </w:r>
          </w:p>
          <w:p w14:paraId="456231C4" w14:textId="77777777" w:rsidR="00692526" w:rsidRPr="00B906B1" w:rsidRDefault="00692526" w:rsidP="00692526">
            <w:pPr>
              <w:suppressAutoHyphens/>
              <w:rPr>
                <w:rFonts w:ascii="Trebuchet MS" w:eastAsia="Calibri" w:hAnsi="Trebuchet MS"/>
                <w:color w:val="4472C4"/>
                <w:spacing w:val="0"/>
                <w:sz w:val="22"/>
                <w:szCs w:val="22"/>
                <w:lang w:val="en-US" w:eastAsia="zh-CN"/>
              </w:rPr>
            </w:pPr>
          </w:p>
        </w:tc>
      </w:tr>
    </w:tbl>
    <w:p w14:paraId="43D054CD" w14:textId="77777777" w:rsidR="00692526" w:rsidRPr="00B906B1" w:rsidRDefault="00692526" w:rsidP="00692526">
      <w:pPr>
        <w:suppressAutoHyphens/>
        <w:rPr>
          <w:rFonts w:ascii="Trebuchet MS" w:eastAsia="Calibri" w:hAnsi="Trebuchet MS"/>
          <w:color w:val="303030"/>
          <w:spacing w:val="0"/>
          <w:sz w:val="22"/>
          <w:szCs w:val="22"/>
          <w:lang w:val="en-US" w:eastAsia="en-US"/>
        </w:rPr>
      </w:pPr>
    </w:p>
    <w:p w14:paraId="2A52054E" w14:textId="77777777" w:rsidR="00692526" w:rsidRPr="00B906B1" w:rsidRDefault="00692526" w:rsidP="00692526">
      <w:pPr>
        <w:suppressAutoHyphens/>
        <w:rPr>
          <w:rFonts w:ascii="Trebuchet MS" w:eastAsia="Calibri" w:hAnsi="Trebuchet MS"/>
          <w:color w:val="303030"/>
          <w:spacing w:val="0"/>
          <w:sz w:val="22"/>
          <w:szCs w:val="22"/>
          <w:lang w:val="en-US" w:eastAsia="en-US"/>
        </w:rPr>
      </w:pPr>
    </w:p>
    <w:p w14:paraId="27A24A18"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 xml:space="preserve">Question 14: Do you agree with the use of method B1 for the aggregation of pre-sale/sale contracts with pre-lease/lease contracts? Can method B1 be applied in practice using option 1 for pre-sale/sale contracts and option 3 for pre-lease/lease contracts? Is it possible to separately identify the amount of the ADC exposure used for financing housing units for sale or for </w:t>
      </w:r>
      <w:proofErr w:type="gramStart"/>
      <w:r w:rsidRPr="00B906B1">
        <w:rPr>
          <w:rFonts w:ascii="Trebuchet MS" w:eastAsia="Calibri" w:hAnsi="Trebuchet MS"/>
          <w:b/>
          <w:bCs/>
          <w:color w:val="303030"/>
          <w:spacing w:val="0"/>
          <w:sz w:val="22"/>
          <w:szCs w:val="22"/>
          <w:lang w:val="en-GB" w:eastAsia="en-US"/>
        </w:rPr>
        <w:t>lease ?</w:t>
      </w:r>
      <w:proofErr w:type="gramEnd"/>
    </w:p>
    <w:p w14:paraId="18013C82" w14:textId="77777777" w:rsidR="00692526" w:rsidRPr="00B906B1" w:rsidRDefault="00692526" w:rsidP="00692526">
      <w:pPr>
        <w:suppressAutoHyphens/>
        <w:ind w:left="720"/>
        <w:contextualSpacing/>
        <w:rPr>
          <w:rFonts w:ascii="Trebuchet MS" w:eastAsia="Calibri" w:hAnsi="Trebuchet MS"/>
          <w:b/>
          <w:bCs/>
          <w:color w:val="303030"/>
          <w:spacing w:val="0"/>
          <w:sz w:val="22"/>
          <w:szCs w:val="22"/>
          <w:lang w:val="en-GB" w:eastAsia="en-US"/>
        </w:rPr>
      </w:pPr>
    </w:p>
    <w:tbl>
      <w:tblPr>
        <w:tblStyle w:val="Tabellenraster1"/>
        <w:tblW w:w="0" w:type="auto"/>
        <w:tblInd w:w="0" w:type="dxa"/>
        <w:tblLook w:val="04A0" w:firstRow="1" w:lastRow="0" w:firstColumn="1" w:lastColumn="0" w:noHBand="0" w:noVBand="1"/>
      </w:tblPr>
      <w:tblGrid>
        <w:gridCol w:w="9062"/>
      </w:tblGrid>
      <w:tr w:rsidR="00692526" w:rsidRPr="006D6199" w14:paraId="3F809812" w14:textId="77777777" w:rsidTr="00F17AD7">
        <w:tc>
          <w:tcPr>
            <w:tcW w:w="9346" w:type="dxa"/>
          </w:tcPr>
          <w:p w14:paraId="027B0D24" w14:textId="77777777" w:rsidR="00692526" w:rsidRPr="00CB12C8" w:rsidRDefault="00692526" w:rsidP="00692526">
            <w:pPr>
              <w:suppressAutoHyphens/>
              <w:rPr>
                <w:rFonts w:ascii="Trebuchet MS" w:eastAsia="Calibri" w:hAnsi="Trebuchet MS"/>
                <w:spacing w:val="0"/>
                <w:sz w:val="22"/>
                <w:szCs w:val="22"/>
                <w:lang w:val="en-US" w:eastAsia="zh-CN"/>
              </w:rPr>
            </w:pPr>
            <w:r w:rsidRPr="00CB12C8">
              <w:rPr>
                <w:rFonts w:ascii="Trebuchet MS" w:eastAsia="Calibri" w:hAnsi="Trebuchet MS"/>
                <w:spacing w:val="0"/>
                <w:sz w:val="22"/>
                <w:szCs w:val="22"/>
                <w:lang w:val="en-US" w:eastAsia="zh-CN"/>
              </w:rPr>
              <w:t xml:space="preserve">See answer to question </w:t>
            </w:r>
            <w:proofErr w:type="gramStart"/>
            <w:r w:rsidRPr="00CB12C8">
              <w:rPr>
                <w:rFonts w:ascii="Trebuchet MS" w:eastAsia="Calibri" w:hAnsi="Trebuchet MS"/>
                <w:spacing w:val="0"/>
                <w:sz w:val="22"/>
                <w:szCs w:val="22"/>
                <w:lang w:val="en-US" w:eastAsia="zh-CN"/>
              </w:rPr>
              <w:t>12</w:t>
            </w:r>
            <w:proofErr w:type="gramEnd"/>
          </w:p>
          <w:p w14:paraId="45B3BD40" w14:textId="77777777" w:rsidR="00692526" w:rsidRPr="00B906B1" w:rsidRDefault="00692526" w:rsidP="00692526">
            <w:pPr>
              <w:suppressAutoHyphens/>
              <w:rPr>
                <w:rFonts w:ascii="Trebuchet MS" w:eastAsia="Calibri" w:hAnsi="Trebuchet MS"/>
                <w:color w:val="4472C4"/>
                <w:spacing w:val="0"/>
                <w:sz w:val="22"/>
                <w:szCs w:val="22"/>
                <w:lang w:val="en-US" w:eastAsia="zh-CN"/>
              </w:rPr>
            </w:pPr>
          </w:p>
          <w:p w14:paraId="141AD4B9" w14:textId="310E42AF" w:rsidR="00692526" w:rsidRPr="006D6199" w:rsidRDefault="00692526" w:rsidP="00692526">
            <w:pPr>
              <w:suppressAutoHyphens/>
              <w:rPr>
                <w:rFonts w:ascii="Trebuchet MS" w:eastAsia="Calibri" w:hAnsi="Trebuchet MS"/>
                <w:spacing w:val="0"/>
                <w:sz w:val="22"/>
                <w:szCs w:val="22"/>
                <w:lang w:val="en-US" w:eastAsia="zh-CN"/>
              </w:rPr>
            </w:pPr>
            <w:r w:rsidRPr="00CB12C8">
              <w:rPr>
                <w:rFonts w:ascii="Trebuchet MS" w:eastAsia="Calibri" w:hAnsi="Trebuchet MS"/>
                <w:spacing w:val="0"/>
                <w:sz w:val="22"/>
                <w:szCs w:val="22"/>
                <w:lang w:val="en-US" w:eastAsia="zh-CN"/>
              </w:rPr>
              <w:t>In addition: Can method B1 be applied in practice using option 1 for pre-sale/sale contracts and option 3 for pre-letting/letting contracts? Is it possible to separately determine the amount of ADC receivable used to finance residential units intended for sale or for rent?</w:t>
            </w:r>
          </w:p>
          <w:p w14:paraId="645F8510" w14:textId="77777777" w:rsidR="00692526" w:rsidRPr="00B906B1" w:rsidRDefault="00692526" w:rsidP="00692526">
            <w:pPr>
              <w:suppressAutoHyphens/>
              <w:rPr>
                <w:rFonts w:ascii="Trebuchet MS" w:eastAsia="Calibri" w:hAnsi="Trebuchet MS"/>
                <w:color w:val="4472C4"/>
                <w:spacing w:val="0"/>
                <w:sz w:val="22"/>
                <w:szCs w:val="22"/>
                <w:lang w:val="en-US" w:eastAsia="zh-CN"/>
              </w:rPr>
            </w:pPr>
          </w:p>
        </w:tc>
      </w:tr>
    </w:tbl>
    <w:p w14:paraId="4356BB89" w14:textId="77777777" w:rsidR="00692526" w:rsidRPr="00B906B1" w:rsidRDefault="00692526" w:rsidP="00692526">
      <w:pPr>
        <w:suppressAutoHyphens/>
        <w:rPr>
          <w:rFonts w:ascii="Trebuchet MS" w:eastAsia="Calibri" w:hAnsi="Trebuchet MS"/>
          <w:color w:val="303030"/>
          <w:spacing w:val="0"/>
          <w:sz w:val="22"/>
          <w:szCs w:val="22"/>
          <w:lang w:val="en-US" w:eastAsia="en-US"/>
        </w:rPr>
      </w:pPr>
    </w:p>
    <w:p w14:paraId="71655E2B" w14:textId="77777777" w:rsidR="00692526" w:rsidRPr="00B906B1" w:rsidRDefault="00692526" w:rsidP="00692526">
      <w:pPr>
        <w:suppressAutoHyphens/>
        <w:rPr>
          <w:rFonts w:ascii="Trebuchet MS" w:eastAsia="Calibri" w:hAnsi="Trebuchet MS"/>
          <w:color w:val="303030"/>
          <w:spacing w:val="0"/>
          <w:sz w:val="22"/>
          <w:szCs w:val="22"/>
          <w:lang w:val="en-US" w:eastAsia="en-US"/>
        </w:rPr>
      </w:pPr>
    </w:p>
    <w:p w14:paraId="58DA8AEF"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Question 15: Are there any other combinations of the options and methods considered by the EBA for aggregating pre-sale/sale contracts and/or pre-lease/lease contracts that are preferable?</w:t>
      </w:r>
    </w:p>
    <w:p w14:paraId="5310E1A4" w14:textId="77777777" w:rsidR="00692526" w:rsidRPr="00B906B1" w:rsidRDefault="00692526" w:rsidP="00692526">
      <w:pPr>
        <w:suppressAutoHyphens/>
        <w:ind w:left="720"/>
        <w:contextualSpacing/>
        <w:rPr>
          <w:rFonts w:ascii="Trebuchet MS" w:eastAsia="Calibri" w:hAnsi="Trebuchet MS"/>
          <w:b/>
          <w:bCs/>
          <w:color w:val="303030"/>
          <w:spacing w:val="0"/>
          <w:sz w:val="22"/>
          <w:szCs w:val="22"/>
          <w:lang w:val="en-GB" w:eastAsia="en-US"/>
        </w:rPr>
      </w:pPr>
    </w:p>
    <w:tbl>
      <w:tblPr>
        <w:tblStyle w:val="Tabellenraster1"/>
        <w:tblW w:w="0" w:type="auto"/>
        <w:tblInd w:w="0" w:type="dxa"/>
        <w:tblLook w:val="04A0" w:firstRow="1" w:lastRow="0" w:firstColumn="1" w:lastColumn="0" w:noHBand="0" w:noVBand="1"/>
      </w:tblPr>
      <w:tblGrid>
        <w:gridCol w:w="9062"/>
      </w:tblGrid>
      <w:tr w:rsidR="00692526" w:rsidRPr="00B906B1" w14:paraId="58FBC3B2" w14:textId="77777777" w:rsidTr="00F17AD7">
        <w:tc>
          <w:tcPr>
            <w:tcW w:w="9346" w:type="dxa"/>
          </w:tcPr>
          <w:p w14:paraId="49AD4338" w14:textId="77777777" w:rsidR="00692526" w:rsidRPr="00CB12C8" w:rsidRDefault="00692526" w:rsidP="00692526">
            <w:pPr>
              <w:suppressAutoHyphens/>
              <w:rPr>
                <w:rFonts w:ascii="Trebuchet MS" w:eastAsia="Calibri" w:hAnsi="Trebuchet MS"/>
                <w:spacing w:val="0"/>
                <w:sz w:val="22"/>
                <w:szCs w:val="22"/>
                <w:lang w:val="de-AT" w:eastAsia="zh-CN"/>
              </w:rPr>
            </w:pPr>
            <w:r w:rsidRPr="00CB12C8">
              <w:rPr>
                <w:rFonts w:ascii="Trebuchet MS" w:eastAsia="Calibri" w:hAnsi="Trebuchet MS"/>
                <w:spacing w:val="0"/>
                <w:sz w:val="22"/>
                <w:szCs w:val="22"/>
                <w:lang w:val="de-AT" w:eastAsia="zh-CN"/>
              </w:rPr>
              <w:t xml:space="preserve">See </w:t>
            </w:r>
            <w:proofErr w:type="spellStart"/>
            <w:r w:rsidRPr="00CB12C8">
              <w:rPr>
                <w:rFonts w:ascii="Trebuchet MS" w:eastAsia="Calibri" w:hAnsi="Trebuchet MS"/>
                <w:spacing w:val="0"/>
                <w:sz w:val="22"/>
                <w:szCs w:val="22"/>
                <w:lang w:val="de-AT" w:eastAsia="zh-CN"/>
              </w:rPr>
              <w:t>answer</w:t>
            </w:r>
            <w:proofErr w:type="spellEnd"/>
            <w:r w:rsidRPr="00CB12C8">
              <w:rPr>
                <w:rFonts w:ascii="Trebuchet MS" w:eastAsia="Calibri" w:hAnsi="Trebuchet MS"/>
                <w:spacing w:val="0"/>
                <w:sz w:val="22"/>
                <w:szCs w:val="22"/>
                <w:lang w:val="de-AT" w:eastAsia="zh-CN"/>
              </w:rPr>
              <w:t xml:space="preserve"> </w:t>
            </w:r>
            <w:proofErr w:type="spellStart"/>
            <w:r w:rsidRPr="00CB12C8">
              <w:rPr>
                <w:rFonts w:ascii="Trebuchet MS" w:eastAsia="Calibri" w:hAnsi="Trebuchet MS"/>
                <w:spacing w:val="0"/>
                <w:sz w:val="22"/>
                <w:szCs w:val="22"/>
                <w:lang w:val="de-AT" w:eastAsia="zh-CN"/>
              </w:rPr>
              <w:t>to</w:t>
            </w:r>
            <w:proofErr w:type="spellEnd"/>
            <w:r w:rsidRPr="00CB12C8">
              <w:rPr>
                <w:rFonts w:ascii="Trebuchet MS" w:eastAsia="Calibri" w:hAnsi="Trebuchet MS"/>
                <w:spacing w:val="0"/>
                <w:sz w:val="22"/>
                <w:szCs w:val="22"/>
                <w:lang w:val="de-AT" w:eastAsia="zh-CN"/>
              </w:rPr>
              <w:t xml:space="preserve"> </w:t>
            </w:r>
            <w:proofErr w:type="spellStart"/>
            <w:r w:rsidRPr="00CB12C8">
              <w:rPr>
                <w:rFonts w:ascii="Trebuchet MS" w:eastAsia="Calibri" w:hAnsi="Trebuchet MS"/>
                <w:spacing w:val="0"/>
                <w:sz w:val="22"/>
                <w:szCs w:val="22"/>
                <w:lang w:val="de-AT" w:eastAsia="zh-CN"/>
              </w:rPr>
              <w:t>question</w:t>
            </w:r>
            <w:proofErr w:type="spellEnd"/>
            <w:r w:rsidRPr="00CB12C8">
              <w:rPr>
                <w:rFonts w:ascii="Trebuchet MS" w:eastAsia="Calibri" w:hAnsi="Trebuchet MS"/>
                <w:spacing w:val="0"/>
                <w:sz w:val="22"/>
                <w:szCs w:val="22"/>
                <w:lang w:val="de-AT" w:eastAsia="zh-CN"/>
              </w:rPr>
              <w:t xml:space="preserve"> 12</w:t>
            </w:r>
          </w:p>
          <w:p w14:paraId="16F891BD" w14:textId="77777777" w:rsidR="00692526" w:rsidRPr="00B906B1" w:rsidRDefault="00692526" w:rsidP="00692526">
            <w:pPr>
              <w:suppressAutoHyphens/>
              <w:rPr>
                <w:rFonts w:ascii="Trebuchet MS" w:eastAsia="Calibri" w:hAnsi="Trebuchet MS"/>
                <w:color w:val="4472C4"/>
                <w:spacing w:val="0"/>
                <w:sz w:val="22"/>
                <w:szCs w:val="22"/>
                <w:lang w:val="de-AT" w:eastAsia="zh-CN"/>
              </w:rPr>
            </w:pPr>
          </w:p>
        </w:tc>
      </w:tr>
    </w:tbl>
    <w:p w14:paraId="4D8F5ACE" w14:textId="77777777" w:rsidR="00692526" w:rsidRPr="00B906B1" w:rsidRDefault="00692526" w:rsidP="00692526">
      <w:pPr>
        <w:suppressAutoHyphens/>
        <w:rPr>
          <w:rFonts w:ascii="Trebuchet MS" w:eastAsia="Calibri" w:hAnsi="Trebuchet MS"/>
          <w:color w:val="303030"/>
          <w:spacing w:val="0"/>
          <w:sz w:val="22"/>
          <w:szCs w:val="22"/>
          <w:lang w:val="de-AT" w:eastAsia="en-US"/>
        </w:rPr>
      </w:pPr>
    </w:p>
    <w:p w14:paraId="0F9B7432"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Question 16: Which alternative should be considered for assessing whether, for a project where a mixed use is foreseen, the eligible pre-sale/sale and pre-lease/lease contracts are a significant portion of total contracts?</w:t>
      </w:r>
    </w:p>
    <w:p w14:paraId="59C55018" w14:textId="77777777" w:rsidR="00692526" w:rsidRPr="00B906B1" w:rsidRDefault="00692526" w:rsidP="00692526">
      <w:pPr>
        <w:suppressAutoHyphens/>
        <w:ind w:left="720"/>
        <w:contextualSpacing/>
        <w:rPr>
          <w:rFonts w:ascii="Trebuchet MS" w:eastAsia="Calibri" w:hAnsi="Trebuchet MS"/>
          <w:b/>
          <w:bCs/>
          <w:color w:val="303030"/>
          <w:spacing w:val="0"/>
          <w:sz w:val="22"/>
          <w:szCs w:val="22"/>
          <w:lang w:val="en-GB" w:eastAsia="en-US"/>
        </w:rPr>
      </w:pPr>
    </w:p>
    <w:tbl>
      <w:tblPr>
        <w:tblStyle w:val="Tabellenraster1"/>
        <w:tblW w:w="0" w:type="auto"/>
        <w:tblInd w:w="0" w:type="dxa"/>
        <w:tblLook w:val="04A0" w:firstRow="1" w:lastRow="0" w:firstColumn="1" w:lastColumn="0" w:noHBand="0" w:noVBand="1"/>
      </w:tblPr>
      <w:tblGrid>
        <w:gridCol w:w="9062"/>
      </w:tblGrid>
      <w:tr w:rsidR="00692526" w:rsidRPr="00B906B1" w14:paraId="140CD8CD" w14:textId="77777777" w:rsidTr="00F17AD7">
        <w:tc>
          <w:tcPr>
            <w:tcW w:w="9346" w:type="dxa"/>
          </w:tcPr>
          <w:p w14:paraId="019E8FD3" w14:textId="77777777" w:rsidR="00692526" w:rsidRPr="00CB12C8" w:rsidRDefault="00692526" w:rsidP="00692526">
            <w:pPr>
              <w:suppressAutoHyphens/>
              <w:rPr>
                <w:rFonts w:ascii="Trebuchet MS" w:eastAsia="Calibri" w:hAnsi="Trebuchet MS"/>
                <w:spacing w:val="0"/>
                <w:sz w:val="22"/>
                <w:szCs w:val="22"/>
                <w:lang w:val="de-AT" w:eastAsia="zh-CN"/>
              </w:rPr>
            </w:pPr>
            <w:r w:rsidRPr="00CB12C8">
              <w:rPr>
                <w:rFonts w:ascii="Trebuchet MS" w:eastAsia="Calibri" w:hAnsi="Trebuchet MS"/>
                <w:spacing w:val="0"/>
                <w:sz w:val="22"/>
                <w:szCs w:val="22"/>
                <w:lang w:val="de-AT" w:eastAsia="zh-CN"/>
              </w:rPr>
              <w:t xml:space="preserve">See </w:t>
            </w:r>
            <w:proofErr w:type="spellStart"/>
            <w:r w:rsidRPr="00CB12C8">
              <w:rPr>
                <w:rFonts w:ascii="Trebuchet MS" w:eastAsia="Calibri" w:hAnsi="Trebuchet MS"/>
                <w:spacing w:val="0"/>
                <w:sz w:val="22"/>
                <w:szCs w:val="22"/>
                <w:lang w:val="de-AT" w:eastAsia="zh-CN"/>
              </w:rPr>
              <w:t>answer</w:t>
            </w:r>
            <w:proofErr w:type="spellEnd"/>
            <w:r w:rsidRPr="00CB12C8">
              <w:rPr>
                <w:rFonts w:ascii="Trebuchet MS" w:eastAsia="Calibri" w:hAnsi="Trebuchet MS"/>
                <w:spacing w:val="0"/>
                <w:sz w:val="22"/>
                <w:szCs w:val="22"/>
                <w:lang w:val="de-AT" w:eastAsia="zh-CN"/>
              </w:rPr>
              <w:t xml:space="preserve"> </w:t>
            </w:r>
            <w:proofErr w:type="spellStart"/>
            <w:r w:rsidRPr="00CB12C8">
              <w:rPr>
                <w:rFonts w:ascii="Trebuchet MS" w:eastAsia="Calibri" w:hAnsi="Trebuchet MS"/>
                <w:spacing w:val="0"/>
                <w:sz w:val="22"/>
                <w:szCs w:val="22"/>
                <w:lang w:val="de-AT" w:eastAsia="zh-CN"/>
              </w:rPr>
              <w:t>to</w:t>
            </w:r>
            <w:proofErr w:type="spellEnd"/>
            <w:r w:rsidRPr="00CB12C8">
              <w:rPr>
                <w:rFonts w:ascii="Trebuchet MS" w:eastAsia="Calibri" w:hAnsi="Trebuchet MS"/>
                <w:spacing w:val="0"/>
                <w:sz w:val="22"/>
                <w:szCs w:val="22"/>
                <w:lang w:val="de-AT" w:eastAsia="zh-CN"/>
              </w:rPr>
              <w:t xml:space="preserve"> </w:t>
            </w:r>
            <w:proofErr w:type="spellStart"/>
            <w:r w:rsidRPr="00CB12C8">
              <w:rPr>
                <w:rFonts w:ascii="Trebuchet MS" w:eastAsia="Calibri" w:hAnsi="Trebuchet MS"/>
                <w:spacing w:val="0"/>
                <w:sz w:val="22"/>
                <w:szCs w:val="22"/>
                <w:lang w:val="de-AT" w:eastAsia="zh-CN"/>
              </w:rPr>
              <w:t>question</w:t>
            </w:r>
            <w:proofErr w:type="spellEnd"/>
            <w:r w:rsidRPr="00CB12C8">
              <w:rPr>
                <w:rFonts w:ascii="Trebuchet MS" w:eastAsia="Calibri" w:hAnsi="Trebuchet MS"/>
                <w:spacing w:val="0"/>
                <w:sz w:val="22"/>
                <w:szCs w:val="22"/>
                <w:lang w:val="de-AT" w:eastAsia="zh-CN"/>
              </w:rPr>
              <w:t xml:space="preserve"> 12</w:t>
            </w:r>
          </w:p>
          <w:p w14:paraId="3B0042BB" w14:textId="77777777" w:rsidR="00692526" w:rsidRPr="00B906B1" w:rsidRDefault="00692526" w:rsidP="00692526">
            <w:pPr>
              <w:suppressAutoHyphens/>
              <w:rPr>
                <w:rFonts w:ascii="Trebuchet MS" w:eastAsia="Calibri" w:hAnsi="Trebuchet MS"/>
                <w:color w:val="4472C4"/>
                <w:spacing w:val="0"/>
                <w:sz w:val="22"/>
                <w:szCs w:val="22"/>
                <w:lang w:val="de-AT" w:eastAsia="zh-CN"/>
              </w:rPr>
            </w:pPr>
          </w:p>
        </w:tc>
      </w:tr>
    </w:tbl>
    <w:p w14:paraId="4BE5FFBF" w14:textId="77777777" w:rsidR="00692526" w:rsidRPr="00B906B1" w:rsidRDefault="00692526" w:rsidP="00692526">
      <w:pPr>
        <w:suppressAutoHyphens/>
        <w:rPr>
          <w:rFonts w:ascii="Trebuchet MS" w:eastAsia="Calibri" w:hAnsi="Trebuchet MS"/>
          <w:color w:val="303030"/>
          <w:spacing w:val="0"/>
          <w:sz w:val="22"/>
          <w:szCs w:val="22"/>
          <w:lang w:val="de-AT" w:eastAsia="en-US"/>
        </w:rPr>
      </w:pPr>
    </w:p>
    <w:p w14:paraId="519122F8" w14:textId="77777777" w:rsidR="00692526" w:rsidRPr="00B906B1" w:rsidRDefault="00692526" w:rsidP="00692526">
      <w:pPr>
        <w:suppressAutoHyphens/>
        <w:rPr>
          <w:rFonts w:ascii="Trebuchet MS" w:eastAsia="Calibri" w:hAnsi="Trebuchet MS"/>
          <w:color w:val="303030"/>
          <w:spacing w:val="0"/>
          <w:sz w:val="22"/>
          <w:szCs w:val="22"/>
          <w:lang w:val="de-AT" w:eastAsia="en-US"/>
        </w:rPr>
      </w:pPr>
    </w:p>
    <w:p w14:paraId="47F7631A"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 xml:space="preserve">Question 17: Do you foresee any practical impediments to include the verification that the developer only has a residual claim on the property in the underwriting standards? How could this “residual claim” feature be ensured in practice in your jurisdiction (e.g., SPV, pledge, mortgages, …)? Please provide reasoning, </w:t>
      </w:r>
      <w:proofErr w:type="gramStart"/>
      <w:r w:rsidRPr="00B906B1">
        <w:rPr>
          <w:rFonts w:ascii="Trebuchet MS" w:eastAsia="Calibri" w:hAnsi="Trebuchet MS"/>
          <w:b/>
          <w:bCs/>
          <w:color w:val="303030"/>
          <w:spacing w:val="0"/>
          <w:sz w:val="22"/>
          <w:szCs w:val="22"/>
          <w:lang w:val="en-GB" w:eastAsia="en-US"/>
        </w:rPr>
        <w:t>taking into account</w:t>
      </w:r>
      <w:proofErr w:type="gramEnd"/>
      <w:r w:rsidRPr="00B906B1">
        <w:rPr>
          <w:rFonts w:ascii="Trebuchet MS" w:eastAsia="Calibri" w:hAnsi="Trebuchet MS"/>
          <w:b/>
          <w:bCs/>
          <w:color w:val="303030"/>
          <w:spacing w:val="0"/>
          <w:sz w:val="22"/>
          <w:szCs w:val="22"/>
          <w:lang w:val="en-GB" w:eastAsia="en-US"/>
        </w:rPr>
        <w:t xml:space="preserve"> market practices and underwriting standards if you think that an adjustment of the EBA’s definition of obligor contributed equity is necessary.</w:t>
      </w:r>
    </w:p>
    <w:tbl>
      <w:tblPr>
        <w:tblStyle w:val="Tabellenraster1"/>
        <w:tblW w:w="0" w:type="auto"/>
        <w:tblInd w:w="0" w:type="dxa"/>
        <w:tblLook w:val="04A0" w:firstRow="1" w:lastRow="0" w:firstColumn="1" w:lastColumn="0" w:noHBand="0" w:noVBand="1"/>
      </w:tblPr>
      <w:tblGrid>
        <w:gridCol w:w="9062"/>
      </w:tblGrid>
      <w:tr w:rsidR="00692526" w:rsidRPr="006D6199" w14:paraId="02F3676A" w14:textId="77777777" w:rsidTr="00F17AD7">
        <w:tc>
          <w:tcPr>
            <w:tcW w:w="9346" w:type="dxa"/>
          </w:tcPr>
          <w:p w14:paraId="78A1C292" w14:textId="0B210F4A" w:rsidR="00692526" w:rsidRPr="00CB12C8" w:rsidRDefault="00692526" w:rsidP="00692526">
            <w:pPr>
              <w:suppressAutoHyphens/>
              <w:rPr>
                <w:rFonts w:ascii="Trebuchet MS" w:eastAsia="Calibri" w:hAnsi="Trebuchet MS"/>
                <w:spacing w:val="0"/>
                <w:sz w:val="22"/>
                <w:szCs w:val="22"/>
                <w:lang w:val="en-GB" w:eastAsia="zh-CN"/>
              </w:rPr>
            </w:pPr>
            <w:r w:rsidRPr="00CB12C8">
              <w:rPr>
                <w:rFonts w:ascii="Trebuchet MS" w:eastAsia="Calibri" w:hAnsi="Trebuchet MS"/>
                <w:spacing w:val="0"/>
                <w:sz w:val="22"/>
                <w:szCs w:val="22"/>
                <w:lang w:val="en-GB" w:eastAsia="zh-CN"/>
              </w:rPr>
              <w:t>One of the possibilities of “obligor contributes equity” is subsidies. At the time of granting a loan, often these subsidies are not paid out (because they depend on the construction progress), but the</w:t>
            </w:r>
            <w:r w:rsidR="006D6199">
              <w:rPr>
                <w:rFonts w:ascii="Trebuchet MS" w:eastAsia="Calibri" w:hAnsi="Trebuchet MS"/>
                <w:spacing w:val="0"/>
                <w:sz w:val="22"/>
                <w:szCs w:val="22"/>
                <w:lang w:val="en-GB" w:eastAsia="zh-CN"/>
              </w:rPr>
              <w:t>y</w:t>
            </w:r>
            <w:r w:rsidRPr="00CB12C8">
              <w:rPr>
                <w:rFonts w:ascii="Trebuchet MS" w:eastAsia="Calibri" w:hAnsi="Trebuchet MS"/>
                <w:spacing w:val="0"/>
                <w:sz w:val="22"/>
                <w:szCs w:val="22"/>
                <w:lang w:val="en-GB" w:eastAsia="zh-CN"/>
              </w:rPr>
              <w:t xml:space="preserve"> are granted by the subsidy authority.</w:t>
            </w:r>
          </w:p>
          <w:p w14:paraId="70B24AFB" w14:textId="77777777" w:rsidR="00692526" w:rsidRPr="00B906B1" w:rsidRDefault="00692526" w:rsidP="00692526">
            <w:pPr>
              <w:numPr>
                <w:ilvl w:val="0"/>
                <w:numId w:val="18"/>
              </w:numPr>
              <w:suppressAutoHyphens/>
              <w:contextualSpacing/>
              <w:rPr>
                <w:rFonts w:ascii="Trebuchet MS" w:eastAsia="Calibri" w:hAnsi="Trebuchet MS"/>
                <w:color w:val="4472C4"/>
                <w:spacing w:val="0"/>
                <w:sz w:val="22"/>
                <w:szCs w:val="22"/>
                <w:lang w:val="en-GB" w:eastAsia="zh-CN"/>
              </w:rPr>
            </w:pPr>
            <w:r w:rsidRPr="00CB12C8">
              <w:rPr>
                <w:rFonts w:ascii="Trebuchet MS" w:eastAsia="Calibri" w:hAnsi="Trebuchet MS"/>
                <w:spacing w:val="0"/>
                <w:sz w:val="22"/>
                <w:szCs w:val="22"/>
                <w:lang w:val="en-GB" w:eastAsia="zh-CN"/>
              </w:rPr>
              <w:t>Therefore, the legally binding granting act of the respective authority should be sufficient to be accepted as equity.</w:t>
            </w:r>
          </w:p>
        </w:tc>
      </w:tr>
    </w:tbl>
    <w:p w14:paraId="4ED2F418" w14:textId="77777777" w:rsidR="00692526" w:rsidRPr="00B906B1" w:rsidRDefault="00692526" w:rsidP="00692526">
      <w:pPr>
        <w:suppressAutoHyphens/>
        <w:rPr>
          <w:rFonts w:ascii="Trebuchet MS" w:eastAsia="Calibri" w:hAnsi="Trebuchet MS"/>
          <w:color w:val="303030"/>
          <w:spacing w:val="0"/>
          <w:sz w:val="22"/>
          <w:szCs w:val="22"/>
          <w:lang w:val="en-GB" w:eastAsia="en-US"/>
        </w:rPr>
      </w:pPr>
    </w:p>
    <w:p w14:paraId="0DEB2B78"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p>
    <w:p w14:paraId="11EF508C"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 xml:space="preserve">Question 18: What are your views on the proposed threshold for determining the appropriateness of the amount of obligor-contributed equity? Please provide reasoning, </w:t>
      </w:r>
      <w:proofErr w:type="gramStart"/>
      <w:r w:rsidRPr="00B906B1">
        <w:rPr>
          <w:rFonts w:ascii="Trebuchet MS" w:eastAsia="Calibri" w:hAnsi="Trebuchet MS"/>
          <w:b/>
          <w:bCs/>
          <w:color w:val="303030"/>
          <w:spacing w:val="0"/>
          <w:sz w:val="22"/>
          <w:szCs w:val="22"/>
          <w:lang w:val="en-GB" w:eastAsia="en-US"/>
        </w:rPr>
        <w:t>taking into account</w:t>
      </w:r>
      <w:proofErr w:type="gramEnd"/>
      <w:r w:rsidRPr="00B906B1">
        <w:rPr>
          <w:rFonts w:ascii="Trebuchet MS" w:eastAsia="Calibri" w:hAnsi="Trebuchet MS"/>
          <w:b/>
          <w:bCs/>
          <w:color w:val="303030"/>
          <w:spacing w:val="0"/>
          <w:sz w:val="22"/>
          <w:szCs w:val="22"/>
          <w:lang w:val="en-GB" w:eastAsia="en-US"/>
        </w:rPr>
        <w:t xml:space="preserve"> market practices and underwriting standards if you think that an adjustment of the EBA’s proposal is necessary.</w:t>
      </w:r>
    </w:p>
    <w:p w14:paraId="24F1B5F2" w14:textId="77777777" w:rsidR="00692526" w:rsidRPr="00B906B1" w:rsidRDefault="00692526" w:rsidP="00692526">
      <w:pPr>
        <w:suppressAutoHyphens/>
        <w:ind w:left="720"/>
        <w:contextualSpacing/>
        <w:rPr>
          <w:rFonts w:ascii="Trebuchet MS" w:eastAsia="Calibri" w:hAnsi="Trebuchet MS"/>
          <w:b/>
          <w:bCs/>
          <w:color w:val="303030"/>
          <w:spacing w:val="0"/>
          <w:sz w:val="22"/>
          <w:szCs w:val="22"/>
          <w:lang w:val="en-GB" w:eastAsia="en-US"/>
        </w:rPr>
      </w:pPr>
    </w:p>
    <w:tbl>
      <w:tblPr>
        <w:tblStyle w:val="Tabellenraster1"/>
        <w:tblW w:w="0" w:type="auto"/>
        <w:tblInd w:w="0" w:type="dxa"/>
        <w:tblLook w:val="04A0" w:firstRow="1" w:lastRow="0" w:firstColumn="1" w:lastColumn="0" w:noHBand="0" w:noVBand="1"/>
      </w:tblPr>
      <w:tblGrid>
        <w:gridCol w:w="9062"/>
      </w:tblGrid>
      <w:tr w:rsidR="00692526" w:rsidRPr="006D6199" w14:paraId="549F306A" w14:textId="77777777" w:rsidTr="00F17AD7">
        <w:tc>
          <w:tcPr>
            <w:tcW w:w="9346" w:type="dxa"/>
          </w:tcPr>
          <w:p w14:paraId="428428A5" w14:textId="77777777" w:rsidR="00692526" w:rsidRPr="00B906B1" w:rsidRDefault="00692526" w:rsidP="00692526">
            <w:pPr>
              <w:suppressAutoHyphens/>
              <w:rPr>
                <w:rFonts w:ascii="Trebuchet MS" w:eastAsia="Calibri" w:hAnsi="Trebuchet MS"/>
                <w:color w:val="4472C4"/>
                <w:spacing w:val="0"/>
                <w:sz w:val="22"/>
                <w:szCs w:val="22"/>
                <w:lang w:val="en-GB" w:eastAsia="zh-CN"/>
              </w:rPr>
            </w:pPr>
          </w:p>
          <w:p w14:paraId="5D5526FF" w14:textId="77777777" w:rsidR="00961A39" w:rsidRPr="00961A39" w:rsidRDefault="00961A39" w:rsidP="00961A39">
            <w:pPr>
              <w:rPr>
                <w:rFonts w:ascii="Trebuchet MS" w:eastAsia="Calibri" w:hAnsi="Trebuchet MS" w:cs="Calibri"/>
                <w:spacing w:val="0"/>
                <w:sz w:val="22"/>
                <w:szCs w:val="22"/>
                <w:lang w:val="en-US" w:eastAsia="zh-CN"/>
              </w:rPr>
            </w:pPr>
            <w:r w:rsidRPr="00961A39">
              <w:rPr>
                <w:rFonts w:ascii="Trebuchet MS" w:eastAsia="Calibri" w:hAnsi="Trebuchet MS" w:cs="Calibri"/>
                <w:spacing w:val="0"/>
                <w:sz w:val="22"/>
                <w:szCs w:val="22"/>
                <w:lang w:val="en-US" w:eastAsia="zh-CN"/>
              </w:rPr>
              <w:t xml:space="preserve">The proposed thresholds are generally overly cautious in view of the low default rates for residential real estate projects. The EBA's approach of setting the criteria of Art 126a in such a way that they are not reached by current market practice (cf. e.g. openly stated in the explanatory text to paragraph 16: ‘With respect to the 50% threshold level, it has been calibrated such that it exceeds the current market practices, in order to justify the significant lowering of the own funds requirements.’) is to be rejected. This justification reads as if it were a special concession that a residential construction financing secured by real estate receives a risk weighting of 100%. The opposite is the case. Reputable residential construction financing must continuously be </w:t>
            </w:r>
            <w:proofErr w:type="gramStart"/>
            <w:r w:rsidRPr="00961A39">
              <w:rPr>
                <w:rFonts w:ascii="Trebuchet MS" w:eastAsia="Calibri" w:hAnsi="Trebuchet MS" w:cs="Calibri"/>
                <w:spacing w:val="0"/>
                <w:sz w:val="22"/>
                <w:szCs w:val="22"/>
                <w:lang w:val="en-US" w:eastAsia="zh-CN"/>
              </w:rPr>
              <w:t>possible</w:t>
            </w:r>
            <w:proofErr w:type="gramEnd"/>
            <w:r w:rsidRPr="00961A39">
              <w:rPr>
                <w:rFonts w:ascii="Trebuchet MS" w:eastAsia="Calibri" w:hAnsi="Trebuchet MS" w:cs="Calibri"/>
                <w:spacing w:val="0"/>
                <w:sz w:val="22"/>
                <w:szCs w:val="22"/>
                <w:lang w:val="en-US" w:eastAsia="zh-CN"/>
              </w:rPr>
              <w:t xml:space="preserve"> and the market standard is reputable. In contrast, the approach in the consultation paper would make lending </w:t>
            </w:r>
            <w:r w:rsidRPr="00961A39">
              <w:rPr>
                <w:rFonts w:ascii="Trebuchet MS" w:eastAsia="Calibri" w:hAnsi="Trebuchet MS" w:cs="Calibri"/>
                <w:spacing w:val="0"/>
                <w:sz w:val="22"/>
                <w:szCs w:val="22"/>
                <w:lang w:val="en-US" w:eastAsia="zh-CN"/>
              </w:rPr>
              <w:lastRenderedPageBreak/>
              <w:t>unnecessarily more expensive and further stifle the already sluggish construction sector. It would be quite sufficient to require only 25% equity instead of the 35%, as projects are usually calculated with a profit margin of around 10%, so that a buffer of 35% of the value of the property is available for loan repayment after completion anyway.</w:t>
            </w:r>
          </w:p>
          <w:p w14:paraId="26C5ED17" w14:textId="77777777" w:rsidR="00961A39" w:rsidRPr="00961A39" w:rsidRDefault="00961A39" w:rsidP="00961A39">
            <w:pPr>
              <w:rPr>
                <w:rFonts w:ascii="Trebuchet MS" w:eastAsia="Calibri" w:hAnsi="Trebuchet MS" w:cs="Calibri"/>
                <w:spacing w:val="0"/>
                <w:sz w:val="22"/>
                <w:szCs w:val="22"/>
                <w:lang w:val="en-US" w:eastAsia="zh-CN"/>
              </w:rPr>
            </w:pPr>
          </w:p>
          <w:p w14:paraId="63C37B11" w14:textId="4788FB86" w:rsidR="00961A39" w:rsidRPr="00961A39" w:rsidRDefault="00961A39" w:rsidP="00961A39">
            <w:pPr>
              <w:rPr>
                <w:rFonts w:ascii="Trebuchet MS" w:eastAsia="Calibri" w:hAnsi="Trebuchet MS" w:cs="Calibri"/>
                <w:spacing w:val="0"/>
                <w:sz w:val="22"/>
                <w:szCs w:val="22"/>
                <w:lang w:val="en-US" w:eastAsia="zh-CN"/>
              </w:rPr>
            </w:pPr>
            <w:r w:rsidRPr="00961A39">
              <w:rPr>
                <w:rFonts w:ascii="Trebuchet MS" w:eastAsia="Calibri" w:hAnsi="Trebuchet MS" w:cs="Calibri"/>
                <w:spacing w:val="0"/>
                <w:sz w:val="22"/>
                <w:szCs w:val="22"/>
                <w:lang w:val="en-US" w:eastAsia="zh-CN"/>
              </w:rPr>
              <w:t>What is also missing is a consideration of the fact that an appropriate equity share, which would not be sufficient on its own to justify a risk weighting of 100%, can very well justify such a lower risk weighting in combination with an acceptable degree of pre-utilization. A risk weighting of 100% should also be possible with an equity ratio of more than 20% and a pre-realization ratio of more than 40%.</w:t>
            </w:r>
          </w:p>
          <w:p w14:paraId="2CA71395" w14:textId="77777777" w:rsidR="00692526" w:rsidRPr="00961A39" w:rsidRDefault="00692526" w:rsidP="00692526">
            <w:pPr>
              <w:suppressAutoHyphens/>
              <w:rPr>
                <w:rFonts w:ascii="Trebuchet MS" w:eastAsia="Calibri" w:hAnsi="Trebuchet MS"/>
                <w:color w:val="303030"/>
                <w:spacing w:val="0"/>
                <w:sz w:val="22"/>
                <w:szCs w:val="22"/>
                <w:lang w:val="en-US" w:eastAsia="zh-CN"/>
              </w:rPr>
            </w:pPr>
          </w:p>
          <w:p w14:paraId="20A70D1A" w14:textId="77777777" w:rsidR="00692526" w:rsidRPr="00961A39" w:rsidRDefault="00692526" w:rsidP="00692526">
            <w:pPr>
              <w:suppressAutoHyphens/>
              <w:rPr>
                <w:rFonts w:ascii="Trebuchet MS" w:eastAsia="Calibri" w:hAnsi="Trebuchet MS"/>
                <w:color w:val="303030"/>
                <w:spacing w:val="0"/>
                <w:sz w:val="22"/>
                <w:szCs w:val="22"/>
                <w:lang w:val="en-US" w:eastAsia="zh-CN"/>
              </w:rPr>
            </w:pPr>
            <w:r w:rsidRPr="00961A39">
              <w:rPr>
                <w:rFonts w:ascii="Trebuchet MS" w:eastAsia="Calibri" w:hAnsi="Trebuchet MS"/>
                <w:color w:val="303030"/>
                <w:spacing w:val="0"/>
                <w:sz w:val="22"/>
                <w:szCs w:val="22"/>
                <w:lang w:val="en-US" w:eastAsia="zh-CN"/>
              </w:rPr>
              <w:t>In addition, the amount of the quota also depends on which components may be used. According to paragraphs 18 and 19, this includes various components. We request clarification of the following questions:</w:t>
            </w:r>
          </w:p>
          <w:p w14:paraId="43AE6D58" w14:textId="13DA5713" w:rsidR="00692526" w:rsidRPr="00961A39" w:rsidRDefault="00692526" w:rsidP="00692526">
            <w:pPr>
              <w:suppressAutoHyphens/>
              <w:rPr>
                <w:rFonts w:ascii="Trebuchet MS" w:eastAsia="Calibri" w:hAnsi="Trebuchet MS"/>
                <w:color w:val="303030"/>
                <w:spacing w:val="0"/>
                <w:sz w:val="22"/>
                <w:szCs w:val="22"/>
                <w:lang w:val="en-US" w:eastAsia="zh-CN"/>
              </w:rPr>
            </w:pPr>
            <w:r w:rsidRPr="00961A39">
              <w:rPr>
                <w:rFonts w:ascii="Trebuchet MS" w:eastAsia="Calibri" w:hAnsi="Trebuchet MS"/>
                <w:color w:val="303030"/>
                <w:spacing w:val="0"/>
                <w:sz w:val="22"/>
                <w:szCs w:val="22"/>
                <w:lang w:val="en-US" w:eastAsia="zh-CN"/>
              </w:rPr>
              <w:t xml:space="preserve">- How is evidence to be </w:t>
            </w:r>
            <w:proofErr w:type="gramStart"/>
            <w:r w:rsidRPr="00961A39">
              <w:rPr>
                <w:rFonts w:ascii="Trebuchet MS" w:eastAsia="Calibri" w:hAnsi="Trebuchet MS"/>
                <w:color w:val="303030"/>
                <w:spacing w:val="0"/>
                <w:sz w:val="22"/>
                <w:szCs w:val="22"/>
                <w:lang w:val="en-US" w:eastAsia="zh-CN"/>
              </w:rPr>
              <w:t>provided that</w:t>
            </w:r>
            <w:proofErr w:type="gramEnd"/>
            <w:r w:rsidRPr="00961A39">
              <w:rPr>
                <w:rFonts w:ascii="Trebuchet MS" w:eastAsia="Calibri" w:hAnsi="Trebuchet MS"/>
                <w:color w:val="303030"/>
                <w:spacing w:val="0"/>
                <w:sz w:val="22"/>
                <w:szCs w:val="22"/>
                <w:lang w:val="en-US" w:eastAsia="zh-CN"/>
              </w:rPr>
              <w:t xml:space="preserve"> </w:t>
            </w:r>
            <w:r w:rsidR="00961A39" w:rsidRPr="00961A39">
              <w:rPr>
                <w:rFonts w:ascii="Trebuchet MS" w:eastAsia="Calibri" w:hAnsi="Trebuchet MS"/>
                <w:color w:val="303030"/>
                <w:spacing w:val="0"/>
                <w:sz w:val="22"/>
                <w:szCs w:val="22"/>
                <w:lang w:val="en-US" w:eastAsia="zh-CN"/>
              </w:rPr>
              <w:t>give</w:t>
            </w:r>
            <w:r w:rsidRPr="00961A39">
              <w:rPr>
                <w:rFonts w:ascii="Trebuchet MS" w:eastAsia="Calibri" w:hAnsi="Trebuchet MS"/>
                <w:color w:val="303030"/>
                <w:spacing w:val="0"/>
                <w:sz w:val="22"/>
                <w:szCs w:val="22"/>
                <w:lang w:val="en-US" w:eastAsia="zh-CN"/>
              </w:rPr>
              <w:t xml:space="preserve">s information on subsidies already invested? </w:t>
            </w:r>
          </w:p>
          <w:p w14:paraId="15A5AD13" w14:textId="77777777" w:rsidR="00692526" w:rsidRPr="00961A39" w:rsidRDefault="00692526" w:rsidP="00692526">
            <w:pPr>
              <w:suppressAutoHyphens/>
              <w:rPr>
                <w:rFonts w:ascii="Trebuchet MS" w:eastAsia="Calibri" w:hAnsi="Trebuchet MS"/>
                <w:color w:val="303030"/>
                <w:spacing w:val="0"/>
                <w:sz w:val="22"/>
                <w:szCs w:val="22"/>
                <w:lang w:val="en-US" w:eastAsia="zh-CN"/>
              </w:rPr>
            </w:pPr>
            <w:r w:rsidRPr="00961A39">
              <w:rPr>
                <w:rFonts w:ascii="Trebuchet MS" w:eastAsia="Calibri" w:hAnsi="Trebuchet MS"/>
                <w:color w:val="303030"/>
                <w:spacing w:val="0"/>
                <w:sz w:val="22"/>
                <w:szCs w:val="22"/>
                <w:lang w:val="en-US" w:eastAsia="zh-CN"/>
              </w:rPr>
              <w:t>- Are subsidies exclusively subsidies that do not need to be repaid, or can interest-</w:t>
            </w:r>
            <w:proofErr w:type="spellStart"/>
            <w:r w:rsidRPr="00961A39">
              <w:rPr>
                <w:rFonts w:ascii="Trebuchet MS" w:eastAsia="Calibri" w:hAnsi="Trebuchet MS"/>
                <w:color w:val="303030"/>
                <w:spacing w:val="0"/>
                <w:sz w:val="22"/>
                <w:szCs w:val="22"/>
                <w:lang w:val="en-US" w:eastAsia="zh-CN"/>
              </w:rPr>
              <w:t>subsidised</w:t>
            </w:r>
            <w:proofErr w:type="spellEnd"/>
            <w:r w:rsidRPr="00961A39">
              <w:rPr>
                <w:rFonts w:ascii="Trebuchet MS" w:eastAsia="Calibri" w:hAnsi="Trebuchet MS"/>
                <w:color w:val="303030"/>
                <w:spacing w:val="0"/>
                <w:sz w:val="22"/>
                <w:szCs w:val="22"/>
                <w:lang w:val="en-US" w:eastAsia="zh-CN"/>
              </w:rPr>
              <w:t xml:space="preserve"> loans from the state and local authorities also be included? </w:t>
            </w:r>
          </w:p>
          <w:p w14:paraId="0FED7F28" w14:textId="77777777" w:rsidR="00692526" w:rsidRPr="00961A39" w:rsidRDefault="00692526" w:rsidP="00692526">
            <w:pPr>
              <w:suppressAutoHyphens/>
              <w:rPr>
                <w:rFonts w:ascii="Trebuchet MS" w:eastAsia="Calibri" w:hAnsi="Trebuchet MS"/>
                <w:color w:val="303030"/>
                <w:spacing w:val="0"/>
                <w:sz w:val="22"/>
                <w:szCs w:val="22"/>
                <w:lang w:val="en-US" w:eastAsia="zh-CN"/>
              </w:rPr>
            </w:pPr>
            <w:r w:rsidRPr="00961A39">
              <w:rPr>
                <w:rFonts w:ascii="Trebuchet MS" w:eastAsia="Calibri" w:hAnsi="Trebuchet MS"/>
                <w:color w:val="303030"/>
                <w:spacing w:val="0"/>
                <w:sz w:val="22"/>
                <w:szCs w:val="22"/>
                <w:lang w:val="en-US" w:eastAsia="zh-CN"/>
              </w:rPr>
              <w:t xml:space="preserve">- What requirements must readily marketable assets fulfil for an asset to be considered directly related to the project and readily marketable? </w:t>
            </w:r>
          </w:p>
          <w:p w14:paraId="2533DF6D" w14:textId="77777777" w:rsidR="00692526" w:rsidRPr="00961A39" w:rsidRDefault="00692526" w:rsidP="00692526">
            <w:pPr>
              <w:suppressAutoHyphens/>
              <w:rPr>
                <w:rFonts w:ascii="Trebuchet MS" w:eastAsia="Calibri" w:hAnsi="Trebuchet MS"/>
                <w:color w:val="303030"/>
                <w:spacing w:val="0"/>
                <w:sz w:val="22"/>
                <w:szCs w:val="22"/>
                <w:lang w:val="en-US" w:eastAsia="zh-CN"/>
              </w:rPr>
            </w:pPr>
            <w:r w:rsidRPr="00961A39">
              <w:rPr>
                <w:rFonts w:ascii="Trebuchet MS" w:eastAsia="Calibri" w:hAnsi="Trebuchet MS"/>
                <w:color w:val="303030"/>
                <w:spacing w:val="0"/>
                <w:sz w:val="22"/>
                <w:szCs w:val="22"/>
                <w:lang w:val="en-US" w:eastAsia="zh-CN"/>
              </w:rPr>
              <w:t>- According to our interpretation, ‘land’ owned by the debtor can be included. Can other real estate provided by the debtor as collateral also be included in the calculation of the debtor's contributed equity if it is unencumbered?</w:t>
            </w:r>
          </w:p>
          <w:p w14:paraId="53F40CE3" w14:textId="77777777" w:rsidR="00692526" w:rsidRPr="00B906B1" w:rsidRDefault="00692526" w:rsidP="00961A39">
            <w:pPr>
              <w:suppressAutoHyphens/>
              <w:rPr>
                <w:rFonts w:ascii="Trebuchet MS" w:eastAsia="Calibri" w:hAnsi="Trebuchet MS"/>
                <w:color w:val="4472C4"/>
                <w:spacing w:val="0"/>
                <w:sz w:val="22"/>
                <w:szCs w:val="22"/>
                <w:lang w:val="en-GB" w:eastAsia="zh-CN"/>
              </w:rPr>
            </w:pPr>
          </w:p>
        </w:tc>
      </w:tr>
    </w:tbl>
    <w:p w14:paraId="7EC8508C"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p>
    <w:p w14:paraId="65C6F46E" w14:textId="77777777" w:rsidR="00692526" w:rsidRPr="006D6199" w:rsidRDefault="00692526" w:rsidP="00692526">
      <w:pPr>
        <w:suppressAutoHyphens/>
        <w:rPr>
          <w:rFonts w:ascii="Trebuchet MS" w:eastAsia="Calibri" w:hAnsi="Trebuchet MS"/>
          <w:b/>
          <w:bCs/>
          <w:color w:val="303030"/>
          <w:spacing w:val="0"/>
          <w:sz w:val="22"/>
          <w:szCs w:val="22"/>
          <w:lang w:val="en-US" w:eastAsia="en-US"/>
        </w:rPr>
      </w:pPr>
      <w:r w:rsidRPr="00B906B1">
        <w:rPr>
          <w:rFonts w:ascii="Trebuchet MS" w:eastAsia="Calibri" w:hAnsi="Trebuchet MS"/>
          <w:b/>
          <w:bCs/>
          <w:color w:val="303030"/>
          <w:spacing w:val="0"/>
          <w:sz w:val="22"/>
          <w:szCs w:val="22"/>
          <w:lang w:val="en-GB" w:eastAsia="en-US"/>
        </w:rPr>
        <w:t xml:space="preserve">Question 19: Do you agree to use Approach 4 for identifying the appropriate amount of obligor-contributed equity? </w:t>
      </w:r>
      <w:r w:rsidRPr="006D6199">
        <w:rPr>
          <w:rFonts w:ascii="Trebuchet MS" w:eastAsia="Calibri" w:hAnsi="Trebuchet MS"/>
          <w:b/>
          <w:bCs/>
          <w:color w:val="303030"/>
          <w:spacing w:val="0"/>
          <w:sz w:val="22"/>
          <w:szCs w:val="22"/>
          <w:lang w:val="en-US" w:eastAsia="en-US"/>
        </w:rPr>
        <w:t>If not, what alternative options should the EBA consider?</w:t>
      </w:r>
    </w:p>
    <w:p w14:paraId="1C9C1D9E" w14:textId="77777777" w:rsidR="00692526" w:rsidRPr="006D6199" w:rsidRDefault="00692526" w:rsidP="00692526">
      <w:pPr>
        <w:suppressAutoHyphens/>
        <w:ind w:left="720"/>
        <w:contextualSpacing/>
        <w:rPr>
          <w:rFonts w:ascii="Trebuchet MS" w:eastAsia="Calibri" w:hAnsi="Trebuchet MS"/>
          <w:b/>
          <w:bCs/>
          <w:color w:val="303030"/>
          <w:spacing w:val="0"/>
          <w:sz w:val="22"/>
          <w:szCs w:val="22"/>
          <w:lang w:val="en-US" w:eastAsia="en-US"/>
        </w:rPr>
      </w:pPr>
    </w:p>
    <w:tbl>
      <w:tblPr>
        <w:tblStyle w:val="Tabellenraster1"/>
        <w:tblW w:w="0" w:type="auto"/>
        <w:tblInd w:w="0" w:type="dxa"/>
        <w:tblLook w:val="04A0" w:firstRow="1" w:lastRow="0" w:firstColumn="1" w:lastColumn="0" w:noHBand="0" w:noVBand="1"/>
      </w:tblPr>
      <w:tblGrid>
        <w:gridCol w:w="9062"/>
      </w:tblGrid>
      <w:tr w:rsidR="00692526" w:rsidRPr="00B906B1" w14:paraId="68D60586" w14:textId="77777777" w:rsidTr="00F17AD7">
        <w:tc>
          <w:tcPr>
            <w:tcW w:w="9346" w:type="dxa"/>
          </w:tcPr>
          <w:p w14:paraId="52A5AE5E" w14:textId="77777777" w:rsidR="006D6199" w:rsidRPr="006D6199" w:rsidRDefault="006D6199" w:rsidP="00692526">
            <w:pPr>
              <w:suppressAutoHyphens/>
              <w:rPr>
                <w:rFonts w:ascii="Trebuchet MS" w:eastAsia="Calibri" w:hAnsi="Trebuchet MS"/>
                <w:spacing w:val="0"/>
                <w:sz w:val="22"/>
                <w:szCs w:val="22"/>
                <w:lang w:val="en-US" w:eastAsia="zh-CN"/>
              </w:rPr>
            </w:pPr>
          </w:p>
          <w:p w14:paraId="2C290154" w14:textId="0E5449F3" w:rsidR="00692526" w:rsidRPr="00961A39" w:rsidRDefault="00692526" w:rsidP="00692526">
            <w:pPr>
              <w:suppressAutoHyphens/>
              <w:rPr>
                <w:rFonts w:ascii="Trebuchet MS" w:eastAsia="Calibri" w:hAnsi="Trebuchet MS"/>
                <w:spacing w:val="0"/>
                <w:sz w:val="22"/>
                <w:szCs w:val="22"/>
                <w:lang w:val="de-AT" w:eastAsia="zh-CN"/>
              </w:rPr>
            </w:pPr>
            <w:r w:rsidRPr="00961A39">
              <w:rPr>
                <w:rFonts w:ascii="Trebuchet MS" w:eastAsia="Calibri" w:hAnsi="Trebuchet MS"/>
                <w:spacing w:val="0"/>
                <w:sz w:val="22"/>
                <w:szCs w:val="22"/>
                <w:lang w:val="de-AT" w:eastAsia="zh-CN"/>
              </w:rPr>
              <w:t>OK</w:t>
            </w:r>
          </w:p>
          <w:p w14:paraId="3C24BF92" w14:textId="77777777" w:rsidR="00692526" w:rsidRPr="00B906B1" w:rsidRDefault="00692526" w:rsidP="00692526">
            <w:pPr>
              <w:suppressAutoHyphens/>
              <w:rPr>
                <w:rFonts w:ascii="Trebuchet MS" w:eastAsia="Calibri" w:hAnsi="Trebuchet MS"/>
                <w:color w:val="4472C4"/>
                <w:spacing w:val="0"/>
                <w:sz w:val="22"/>
                <w:szCs w:val="22"/>
                <w:lang w:val="de-AT" w:eastAsia="zh-CN"/>
              </w:rPr>
            </w:pPr>
          </w:p>
        </w:tc>
      </w:tr>
    </w:tbl>
    <w:p w14:paraId="6A7BB111" w14:textId="77777777" w:rsidR="00692526" w:rsidRPr="00B906B1" w:rsidRDefault="00692526" w:rsidP="00692526">
      <w:pPr>
        <w:suppressAutoHyphens/>
        <w:rPr>
          <w:rFonts w:ascii="Trebuchet MS" w:eastAsia="Calibri" w:hAnsi="Trebuchet MS"/>
          <w:b/>
          <w:bCs/>
          <w:color w:val="303030"/>
          <w:spacing w:val="0"/>
          <w:sz w:val="22"/>
          <w:szCs w:val="22"/>
          <w:lang w:val="de-AT" w:eastAsia="en-US"/>
        </w:rPr>
      </w:pPr>
    </w:p>
    <w:p w14:paraId="2644C719"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Question 20: Do you see any rationale for setting different threshold levels?</w:t>
      </w:r>
    </w:p>
    <w:p w14:paraId="3796CF77" w14:textId="77777777" w:rsidR="00692526" w:rsidRPr="00B906B1" w:rsidRDefault="00692526" w:rsidP="00692526">
      <w:pPr>
        <w:suppressAutoHyphens/>
        <w:ind w:left="720"/>
        <w:contextualSpacing/>
        <w:rPr>
          <w:rFonts w:ascii="Trebuchet MS" w:eastAsia="Calibri" w:hAnsi="Trebuchet MS"/>
          <w:b/>
          <w:bCs/>
          <w:color w:val="303030"/>
          <w:spacing w:val="0"/>
          <w:sz w:val="22"/>
          <w:szCs w:val="22"/>
          <w:lang w:val="en-GB" w:eastAsia="en-US"/>
        </w:rPr>
      </w:pPr>
    </w:p>
    <w:tbl>
      <w:tblPr>
        <w:tblStyle w:val="Tabellenraster1"/>
        <w:tblW w:w="0" w:type="auto"/>
        <w:tblInd w:w="0" w:type="dxa"/>
        <w:tblLook w:val="04A0" w:firstRow="1" w:lastRow="0" w:firstColumn="1" w:lastColumn="0" w:noHBand="0" w:noVBand="1"/>
      </w:tblPr>
      <w:tblGrid>
        <w:gridCol w:w="9062"/>
      </w:tblGrid>
      <w:tr w:rsidR="00692526" w:rsidRPr="006D6199" w14:paraId="59808A04" w14:textId="77777777" w:rsidTr="00F17AD7">
        <w:tc>
          <w:tcPr>
            <w:tcW w:w="9346" w:type="dxa"/>
          </w:tcPr>
          <w:p w14:paraId="2FA1E9B7" w14:textId="6D261340" w:rsidR="00692526" w:rsidRDefault="00692526" w:rsidP="00692526">
            <w:pPr>
              <w:suppressAutoHyphens/>
              <w:rPr>
                <w:rFonts w:ascii="Trebuchet MS" w:eastAsia="Calibri" w:hAnsi="Trebuchet MS"/>
                <w:spacing w:val="0"/>
                <w:sz w:val="22"/>
                <w:szCs w:val="22"/>
                <w:lang w:val="en-GB" w:eastAsia="zh-CN"/>
              </w:rPr>
            </w:pPr>
            <w:r w:rsidRPr="00961A39">
              <w:rPr>
                <w:rFonts w:ascii="Trebuchet MS" w:eastAsia="Calibri" w:hAnsi="Trebuchet MS"/>
                <w:spacing w:val="0"/>
                <w:sz w:val="22"/>
                <w:szCs w:val="22"/>
                <w:lang w:val="en-GB" w:eastAsia="zh-CN"/>
              </w:rPr>
              <w:t>The proposed regulation that the privileged RWA of 100% can be applied also subsequently according to the number of (pre)-sales contracts should be applied also to a possible increase of (pre-)rent contracts and contributed equity as well.</w:t>
            </w:r>
          </w:p>
          <w:p w14:paraId="400DA311" w14:textId="77777777" w:rsidR="00961A39" w:rsidRDefault="00961A39" w:rsidP="00692526">
            <w:pPr>
              <w:suppressAutoHyphens/>
              <w:rPr>
                <w:rFonts w:ascii="Trebuchet MS" w:eastAsia="Calibri" w:hAnsi="Trebuchet MS"/>
                <w:spacing w:val="0"/>
                <w:sz w:val="22"/>
                <w:szCs w:val="22"/>
                <w:lang w:val="en-GB" w:eastAsia="zh-CN"/>
              </w:rPr>
            </w:pPr>
          </w:p>
          <w:p w14:paraId="3A32AAB6" w14:textId="4791BD20" w:rsidR="00692526" w:rsidRPr="00961A39" w:rsidRDefault="00961A39" w:rsidP="00692526">
            <w:pPr>
              <w:suppressAutoHyphens/>
              <w:rPr>
                <w:rFonts w:ascii="Trebuchet MS" w:eastAsia="Calibri" w:hAnsi="Trebuchet MS"/>
                <w:spacing w:val="0"/>
                <w:sz w:val="22"/>
                <w:szCs w:val="22"/>
                <w:lang w:val="en-GB" w:eastAsia="zh-CN"/>
              </w:rPr>
            </w:pPr>
            <w:r>
              <w:rPr>
                <w:rFonts w:ascii="Trebuchet MS" w:eastAsia="Calibri" w:hAnsi="Trebuchet MS"/>
                <w:spacing w:val="0"/>
                <w:sz w:val="22"/>
                <w:szCs w:val="22"/>
                <w:lang w:val="en-GB" w:eastAsia="zh-CN"/>
              </w:rPr>
              <w:t xml:space="preserve">Also please see answer to question 18. </w:t>
            </w:r>
          </w:p>
          <w:p w14:paraId="44CBCCE7" w14:textId="77777777" w:rsidR="00692526" w:rsidRPr="00B906B1" w:rsidRDefault="00692526" w:rsidP="00692526">
            <w:pPr>
              <w:suppressAutoHyphens/>
              <w:rPr>
                <w:rFonts w:ascii="Trebuchet MS" w:eastAsia="Calibri" w:hAnsi="Trebuchet MS"/>
                <w:color w:val="4472C4"/>
                <w:spacing w:val="0"/>
                <w:sz w:val="22"/>
                <w:szCs w:val="22"/>
                <w:lang w:val="en-GB" w:eastAsia="zh-CN"/>
              </w:rPr>
            </w:pPr>
          </w:p>
        </w:tc>
      </w:tr>
    </w:tbl>
    <w:p w14:paraId="333B9BF6" w14:textId="77777777" w:rsidR="00692526" w:rsidRPr="00B906B1" w:rsidRDefault="00692526" w:rsidP="00692526">
      <w:pPr>
        <w:suppressAutoHyphens/>
        <w:rPr>
          <w:rFonts w:ascii="Trebuchet MS" w:eastAsia="Calibri" w:hAnsi="Trebuchet MS"/>
          <w:color w:val="303030"/>
          <w:spacing w:val="0"/>
          <w:sz w:val="22"/>
          <w:szCs w:val="22"/>
          <w:lang w:val="en-GB" w:eastAsia="en-US"/>
        </w:rPr>
      </w:pPr>
    </w:p>
    <w:p w14:paraId="3D44F408" w14:textId="77777777" w:rsidR="00692526" w:rsidRPr="00B906B1" w:rsidRDefault="00692526" w:rsidP="00692526">
      <w:pPr>
        <w:suppressAutoHyphens/>
        <w:rPr>
          <w:rFonts w:ascii="Trebuchet MS" w:eastAsia="Calibri" w:hAnsi="Trebuchet MS"/>
          <w:b/>
          <w:bCs/>
          <w:color w:val="303030"/>
          <w:spacing w:val="0"/>
          <w:sz w:val="22"/>
          <w:szCs w:val="22"/>
          <w:lang w:val="en-GB" w:eastAsia="en-US"/>
        </w:rPr>
      </w:pPr>
      <w:r w:rsidRPr="00B906B1">
        <w:rPr>
          <w:rFonts w:ascii="Trebuchet MS" w:eastAsia="Calibri" w:hAnsi="Trebuchet MS"/>
          <w:b/>
          <w:bCs/>
          <w:color w:val="303030"/>
          <w:spacing w:val="0"/>
          <w:sz w:val="22"/>
          <w:szCs w:val="22"/>
          <w:lang w:val="en-GB" w:eastAsia="en-US"/>
        </w:rPr>
        <w:t>Question 21: Do you agree with the adjusted criteria for public housing or not-for-profit entities?</w:t>
      </w:r>
    </w:p>
    <w:p w14:paraId="1952A01D" w14:textId="77777777" w:rsidR="00692526" w:rsidRPr="00B906B1" w:rsidRDefault="00692526" w:rsidP="00692526">
      <w:pPr>
        <w:suppressAutoHyphens/>
        <w:ind w:left="720"/>
        <w:contextualSpacing/>
        <w:rPr>
          <w:rFonts w:ascii="Trebuchet MS" w:eastAsia="Calibri" w:hAnsi="Trebuchet MS"/>
          <w:b/>
          <w:bCs/>
          <w:color w:val="303030"/>
          <w:spacing w:val="0"/>
          <w:sz w:val="22"/>
          <w:szCs w:val="22"/>
          <w:lang w:val="en-GB" w:eastAsia="en-US"/>
        </w:rPr>
      </w:pPr>
    </w:p>
    <w:tbl>
      <w:tblPr>
        <w:tblStyle w:val="Tabellenraster1"/>
        <w:tblW w:w="0" w:type="auto"/>
        <w:tblInd w:w="0" w:type="dxa"/>
        <w:tblLook w:val="04A0" w:firstRow="1" w:lastRow="0" w:firstColumn="1" w:lastColumn="0" w:noHBand="0" w:noVBand="1"/>
      </w:tblPr>
      <w:tblGrid>
        <w:gridCol w:w="9062"/>
      </w:tblGrid>
      <w:tr w:rsidR="00692526" w:rsidRPr="006D6199" w14:paraId="0B11BCA5" w14:textId="77777777" w:rsidTr="00F17AD7">
        <w:tc>
          <w:tcPr>
            <w:tcW w:w="9346" w:type="dxa"/>
          </w:tcPr>
          <w:p w14:paraId="11D53DC6" w14:textId="5D7A4BB3" w:rsidR="00692526" w:rsidRPr="00961A39" w:rsidRDefault="00692526" w:rsidP="00692526">
            <w:pPr>
              <w:suppressAutoHyphens/>
              <w:rPr>
                <w:rFonts w:ascii="Trebuchet MS" w:eastAsia="Calibri" w:hAnsi="Trebuchet MS"/>
                <w:spacing w:val="0"/>
                <w:sz w:val="22"/>
                <w:szCs w:val="22"/>
                <w:lang w:val="en-GB" w:eastAsia="zh-CN"/>
              </w:rPr>
            </w:pPr>
            <w:r w:rsidRPr="00961A39">
              <w:rPr>
                <w:rFonts w:ascii="Trebuchet MS" w:eastAsia="Calibri" w:hAnsi="Trebuchet MS"/>
                <w:spacing w:val="0"/>
                <w:sz w:val="22"/>
                <w:szCs w:val="22"/>
                <w:lang w:val="en-GB" w:eastAsia="zh-CN"/>
              </w:rPr>
              <w:t xml:space="preserve">Art 126a para 3 provides for “taking into account the </w:t>
            </w:r>
            <w:proofErr w:type="gramStart"/>
            <w:r w:rsidRPr="00961A39">
              <w:rPr>
                <w:rFonts w:ascii="Trebuchet MS" w:eastAsia="Calibri" w:hAnsi="Trebuchet MS"/>
                <w:spacing w:val="0"/>
                <w:sz w:val="22"/>
                <w:szCs w:val="22"/>
                <w:lang w:val="en-GB" w:eastAsia="zh-CN"/>
              </w:rPr>
              <w:t>specificities“</w:t>
            </w:r>
            <w:r w:rsidR="00961A39">
              <w:rPr>
                <w:rFonts w:ascii="Trebuchet MS" w:eastAsia="Calibri" w:hAnsi="Trebuchet MS"/>
                <w:spacing w:val="0"/>
                <w:sz w:val="22"/>
                <w:szCs w:val="22"/>
                <w:lang w:val="en-GB" w:eastAsia="zh-CN"/>
              </w:rPr>
              <w:t xml:space="preserve"> </w:t>
            </w:r>
            <w:r w:rsidRPr="00961A39">
              <w:rPr>
                <w:rFonts w:ascii="Trebuchet MS" w:eastAsia="Calibri" w:hAnsi="Trebuchet MS"/>
                <w:spacing w:val="0"/>
                <w:sz w:val="22"/>
                <w:szCs w:val="22"/>
                <w:lang w:val="en-GB" w:eastAsia="zh-CN"/>
              </w:rPr>
              <w:t>of</w:t>
            </w:r>
            <w:proofErr w:type="gramEnd"/>
            <w:r w:rsidRPr="00961A39">
              <w:rPr>
                <w:rFonts w:ascii="Trebuchet MS" w:eastAsia="Calibri" w:hAnsi="Trebuchet MS"/>
                <w:spacing w:val="0"/>
                <w:sz w:val="22"/>
                <w:szCs w:val="22"/>
                <w:lang w:val="en-GB" w:eastAsia="zh-CN"/>
              </w:rPr>
              <w:t xml:space="preserve"> the mentioned entities, referring to all of the terms that are specified in these draft guidelines. </w:t>
            </w:r>
          </w:p>
          <w:p w14:paraId="3CAF821D" w14:textId="77777777" w:rsidR="00692526" w:rsidRPr="00961A39" w:rsidRDefault="00692526" w:rsidP="00692526">
            <w:pPr>
              <w:suppressAutoHyphens/>
              <w:rPr>
                <w:rFonts w:ascii="Trebuchet MS" w:eastAsia="Calibri" w:hAnsi="Trebuchet MS"/>
                <w:spacing w:val="0"/>
                <w:sz w:val="22"/>
                <w:szCs w:val="22"/>
                <w:lang w:val="en-GB" w:eastAsia="zh-CN"/>
              </w:rPr>
            </w:pPr>
            <w:r w:rsidRPr="00961A39">
              <w:rPr>
                <w:rFonts w:ascii="Trebuchet MS" w:eastAsia="Calibri" w:hAnsi="Trebuchet MS"/>
                <w:spacing w:val="0"/>
                <w:sz w:val="22"/>
                <w:szCs w:val="22"/>
                <w:lang w:val="en-GB" w:eastAsia="zh-CN"/>
              </w:rPr>
              <w:t>In the draft, however, only the terms regarding (pre-)rental contracts are specified, leaving unspecified the term “appropriate amount of obligor-contributed equity” which is a clear task assigned by the legislator.</w:t>
            </w:r>
          </w:p>
          <w:p w14:paraId="341F5A51" w14:textId="77777777" w:rsidR="00692526" w:rsidRPr="00961A39" w:rsidRDefault="00692526" w:rsidP="00692526">
            <w:pPr>
              <w:numPr>
                <w:ilvl w:val="0"/>
                <w:numId w:val="18"/>
              </w:numPr>
              <w:suppressAutoHyphens/>
              <w:contextualSpacing/>
              <w:rPr>
                <w:rFonts w:ascii="Trebuchet MS" w:eastAsia="Calibri" w:hAnsi="Trebuchet MS"/>
                <w:spacing w:val="0"/>
                <w:sz w:val="22"/>
                <w:szCs w:val="22"/>
                <w:lang w:val="en-GB" w:eastAsia="zh-CN"/>
              </w:rPr>
            </w:pPr>
            <w:r w:rsidRPr="00961A39">
              <w:rPr>
                <w:rFonts w:ascii="Trebuchet MS" w:eastAsia="Calibri" w:hAnsi="Trebuchet MS"/>
                <w:spacing w:val="0"/>
                <w:sz w:val="22"/>
                <w:szCs w:val="22"/>
                <w:lang w:val="en-GB" w:eastAsia="zh-CN"/>
              </w:rPr>
              <w:t xml:space="preserve">Therefore, we urge to </w:t>
            </w:r>
            <w:proofErr w:type="gramStart"/>
            <w:r w:rsidRPr="00961A39">
              <w:rPr>
                <w:rFonts w:ascii="Trebuchet MS" w:eastAsia="Calibri" w:hAnsi="Trebuchet MS"/>
                <w:spacing w:val="0"/>
                <w:sz w:val="22"/>
                <w:szCs w:val="22"/>
                <w:lang w:val="en-GB" w:eastAsia="zh-CN"/>
              </w:rPr>
              <w:t>specify also</w:t>
            </w:r>
            <w:proofErr w:type="gramEnd"/>
            <w:r w:rsidRPr="00961A39">
              <w:rPr>
                <w:rFonts w:ascii="Trebuchet MS" w:eastAsia="Calibri" w:hAnsi="Trebuchet MS"/>
                <w:spacing w:val="0"/>
                <w:sz w:val="22"/>
                <w:szCs w:val="22"/>
                <w:lang w:val="en-GB" w:eastAsia="zh-CN"/>
              </w:rPr>
              <w:t xml:space="preserve"> the term “appropriate amount of obligor-contributed equity” for public housing resp. not-for-profit entities. </w:t>
            </w:r>
          </w:p>
          <w:p w14:paraId="31D8AFB7" w14:textId="77777777" w:rsidR="00692526" w:rsidRPr="00961A39" w:rsidRDefault="00692526" w:rsidP="00692526">
            <w:pPr>
              <w:numPr>
                <w:ilvl w:val="0"/>
                <w:numId w:val="18"/>
              </w:numPr>
              <w:suppressAutoHyphens/>
              <w:contextualSpacing/>
              <w:rPr>
                <w:rFonts w:ascii="Trebuchet MS" w:eastAsia="Calibri" w:hAnsi="Trebuchet MS"/>
                <w:spacing w:val="0"/>
                <w:sz w:val="22"/>
                <w:szCs w:val="22"/>
                <w:lang w:val="en-GB" w:eastAsia="zh-CN"/>
              </w:rPr>
            </w:pPr>
            <w:proofErr w:type="gramStart"/>
            <w:r w:rsidRPr="00961A39">
              <w:rPr>
                <w:rFonts w:ascii="Trebuchet MS" w:eastAsia="Calibri" w:hAnsi="Trebuchet MS"/>
                <w:spacing w:val="0"/>
                <w:sz w:val="22"/>
                <w:szCs w:val="22"/>
                <w:lang w:val="en-GB" w:eastAsia="zh-CN"/>
              </w:rPr>
              <w:t>A</w:t>
            </w:r>
            <w:proofErr w:type="gramEnd"/>
            <w:r w:rsidRPr="00961A39">
              <w:rPr>
                <w:rFonts w:ascii="Trebuchet MS" w:eastAsia="Calibri" w:hAnsi="Trebuchet MS"/>
                <w:spacing w:val="0"/>
                <w:sz w:val="22"/>
                <w:szCs w:val="22"/>
                <w:lang w:val="en-GB" w:eastAsia="zh-CN"/>
              </w:rPr>
              <w:t xml:space="preserve"> equity ratio of 15% should be sufficient, reflecting the very low risk profile of these developers, as compared to market-driven development companies.</w:t>
            </w:r>
          </w:p>
          <w:p w14:paraId="1FBDD89C" w14:textId="77777777" w:rsidR="00692526" w:rsidRPr="006D6199" w:rsidRDefault="00692526" w:rsidP="00692526">
            <w:pPr>
              <w:suppressAutoHyphens/>
              <w:rPr>
                <w:rFonts w:ascii="Trebuchet MS" w:eastAsia="Calibri" w:hAnsi="Trebuchet MS"/>
                <w:spacing w:val="0"/>
                <w:sz w:val="22"/>
                <w:szCs w:val="22"/>
                <w:lang w:val="en-US" w:eastAsia="zh-CN"/>
              </w:rPr>
            </w:pPr>
            <w:r w:rsidRPr="00961A39">
              <w:rPr>
                <w:rFonts w:ascii="Trebuchet MS" w:eastAsia="Calibri" w:hAnsi="Trebuchet MS"/>
                <w:spacing w:val="0"/>
                <w:sz w:val="22"/>
                <w:szCs w:val="22"/>
                <w:lang w:val="en-GB" w:eastAsia="zh-CN"/>
              </w:rPr>
              <w:lastRenderedPageBreak/>
              <w:t>Moreover, the proposed “significant number of legally binding contracts” should be defined in another way, because at the time of granting a loan (</w:t>
            </w:r>
            <w:proofErr w:type="spellStart"/>
            <w:r w:rsidRPr="00961A39">
              <w:rPr>
                <w:rFonts w:ascii="Trebuchet MS" w:eastAsia="Calibri" w:hAnsi="Trebuchet MS"/>
                <w:spacing w:val="0"/>
                <w:sz w:val="22"/>
                <w:szCs w:val="22"/>
                <w:lang w:val="en-GB" w:eastAsia="zh-CN"/>
              </w:rPr>
              <w:t>i.a.</w:t>
            </w:r>
            <w:proofErr w:type="spellEnd"/>
            <w:r w:rsidRPr="00961A39">
              <w:rPr>
                <w:rFonts w:ascii="Trebuchet MS" w:eastAsia="Calibri" w:hAnsi="Trebuchet MS"/>
                <w:spacing w:val="0"/>
                <w:sz w:val="22"/>
                <w:szCs w:val="22"/>
                <w:lang w:val="en-GB" w:eastAsia="zh-CN"/>
              </w:rPr>
              <w:t xml:space="preserve"> 2-3 years prior to completion of the building), no binding rental contracts are concluded. </w:t>
            </w:r>
            <w:r w:rsidRPr="006D6199">
              <w:rPr>
                <w:rFonts w:ascii="Trebuchet MS" w:eastAsia="Calibri" w:hAnsi="Trebuchet MS"/>
                <w:spacing w:val="0"/>
                <w:sz w:val="22"/>
                <w:szCs w:val="22"/>
                <w:lang w:val="en-US" w:eastAsia="zh-CN"/>
              </w:rPr>
              <w:t xml:space="preserve">(They are concluded in the 6 months prior to completion). </w:t>
            </w:r>
          </w:p>
          <w:p w14:paraId="512BA925" w14:textId="77777777" w:rsidR="00692526" w:rsidRPr="00961A39" w:rsidRDefault="00692526" w:rsidP="00692526">
            <w:pPr>
              <w:numPr>
                <w:ilvl w:val="0"/>
                <w:numId w:val="18"/>
              </w:numPr>
              <w:suppressAutoHyphens/>
              <w:contextualSpacing/>
              <w:rPr>
                <w:rFonts w:ascii="Trebuchet MS" w:eastAsia="Calibri" w:hAnsi="Trebuchet MS"/>
                <w:spacing w:val="0"/>
                <w:sz w:val="22"/>
                <w:szCs w:val="22"/>
                <w:lang w:val="en-GB" w:eastAsia="zh-CN"/>
              </w:rPr>
            </w:pPr>
            <w:r w:rsidRPr="00961A39">
              <w:rPr>
                <w:rFonts w:ascii="Trebuchet MS" w:eastAsia="Calibri" w:hAnsi="Trebuchet MS"/>
                <w:spacing w:val="0"/>
                <w:sz w:val="22"/>
                <w:szCs w:val="22"/>
                <w:lang w:val="en-GB" w:eastAsia="zh-CN"/>
              </w:rPr>
              <w:t xml:space="preserve">Therefore, waiting lists without penalties should be </w:t>
            </w:r>
            <w:proofErr w:type="gramStart"/>
            <w:r w:rsidRPr="00961A39">
              <w:rPr>
                <w:rFonts w:ascii="Trebuchet MS" w:eastAsia="Calibri" w:hAnsi="Trebuchet MS"/>
                <w:spacing w:val="0"/>
                <w:sz w:val="22"/>
                <w:szCs w:val="22"/>
                <w:lang w:val="en-GB" w:eastAsia="zh-CN"/>
              </w:rPr>
              <w:t>sufficient, since</w:t>
            </w:r>
            <w:proofErr w:type="gramEnd"/>
            <w:r w:rsidRPr="00961A39">
              <w:rPr>
                <w:rFonts w:ascii="Trebuchet MS" w:eastAsia="Calibri" w:hAnsi="Trebuchet MS"/>
                <w:spacing w:val="0"/>
                <w:sz w:val="22"/>
                <w:szCs w:val="22"/>
                <w:lang w:val="en-GB" w:eastAsia="zh-CN"/>
              </w:rPr>
              <w:t xml:space="preserve"> no binding (pre)contracts exist at the time of granting the loan.</w:t>
            </w:r>
          </w:p>
          <w:p w14:paraId="172A9787" w14:textId="77777777" w:rsidR="00692526" w:rsidRPr="00961A39" w:rsidRDefault="00692526" w:rsidP="00692526">
            <w:pPr>
              <w:suppressAutoHyphens/>
              <w:rPr>
                <w:rFonts w:ascii="Trebuchet MS" w:eastAsia="Calibri" w:hAnsi="Trebuchet MS"/>
                <w:spacing w:val="0"/>
                <w:sz w:val="22"/>
                <w:szCs w:val="22"/>
                <w:lang w:val="en-GB" w:eastAsia="zh-CN"/>
              </w:rPr>
            </w:pPr>
          </w:p>
          <w:p w14:paraId="5803C0FA" w14:textId="77777777" w:rsidR="00692526" w:rsidRPr="00961A39" w:rsidRDefault="00692526" w:rsidP="00692526">
            <w:pPr>
              <w:numPr>
                <w:ilvl w:val="1"/>
                <w:numId w:val="20"/>
              </w:numPr>
              <w:autoSpaceDE w:val="0"/>
              <w:autoSpaceDN w:val="0"/>
              <w:adjustRightInd w:val="0"/>
              <w:spacing w:after="300"/>
              <w:rPr>
                <w:rFonts w:ascii="Trebuchet MS" w:eastAsia="Arial" w:hAnsi="Trebuchet MS" w:cs="Calibri"/>
                <w:spacing w:val="0"/>
                <w:sz w:val="22"/>
                <w:szCs w:val="22"/>
                <w:lang w:val="en-US" w:eastAsia="de-DE"/>
              </w:rPr>
            </w:pPr>
            <w:r w:rsidRPr="00961A39">
              <w:rPr>
                <w:rFonts w:ascii="Trebuchet MS" w:eastAsia="Arial" w:hAnsi="Trebuchet MS" w:cs="Calibri"/>
                <w:spacing w:val="0"/>
                <w:sz w:val="22"/>
                <w:szCs w:val="22"/>
                <w:lang w:val="en-US" w:eastAsia="de-DE"/>
              </w:rPr>
              <w:t>The adjusted criteria for not-for-profit entities remain too strict. Paragraph 20 of the EBA-GL is clearly too narrow when it states:</w:t>
            </w:r>
          </w:p>
          <w:p w14:paraId="230F13BC" w14:textId="77777777" w:rsidR="00692526" w:rsidRPr="00961A39" w:rsidRDefault="00692526" w:rsidP="00692526">
            <w:pPr>
              <w:numPr>
                <w:ilvl w:val="1"/>
                <w:numId w:val="20"/>
              </w:numPr>
              <w:autoSpaceDE w:val="0"/>
              <w:autoSpaceDN w:val="0"/>
              <w:adjustRightInd w:val="0"/>
              <w:spacing w:after="300"/>
              <w:rPr>
                <w:rFonts w:ascii="Trebuchet MS" w:eastAsia="Arial" w:hAnsi="Trebuchet MS" w:cs="Calibri"/>
                <w:spacing w:val="0"/>
                <w:sz w:val="22"/>
                <w:szCs w:val="22"/>
                <w:lang w:val="en-US" w:eastAsia="de-DE"/>
              </w:rPr>
            </w:pPr>
            <w:r w:rsidRPr="00961A39">
              <w:rPr>
                <w:rFonts w:ascii="Trebuchet MS" w:eastAsia="Arial" w:hAnsi="Trebuchet MS" w:cs="Calibri"/>
                <w:spacing w:val="0"/>
                <w:sz w:val="22"/>
                <w:szCs w:val="22"/>
                <w:lang w:val="en-US" w:eastAsia="de-DE"/>
              </w:rPr>
              <w:t xml:space="preserve">ADC exposures to public housing or not-for profit entities across the Union that are regulated by law and that exist to serve social purposes and to offer tenants long-term housing should be subject to the treatment referred to in paragraph 21 where both of the following conditions are met: </w:t>
            </w:r>
          </w:p>
          <w:p w14:paraId="1474CFC4" w14:textId="77777777" w:rsidR="00692526" w:rsidRPr="00961A39" w:rsidRDefault="00692526" w:rsidP="00692526">
            <w:pPr>
              <w:numPr>
                <w:ilvl w:val="1"/>
                <w:numId w:val="20"/>
              </w:numPr>
              <w:autoSpaceDE w:val="0"/>
              <w:autoSpaceDN w:val="0"/>
              <w:adjustRightInd w:val="0"/>
              <w:spacing w:after="300"/>
              <w:rPr>
                <w:rFonts w:ascii="Trebuchet MS" w:eastAsia="Arial" w:hAnsi="Trebuchet MS" w:cs="Calibri"/>
                <w:spacing w:val="0"/>
                <w:sz w:val="22"/>
                <w:szCs w:val="22"/>
                <w:lang w:val="en-US" w:eastAsia="de-DE"/>
              </w:rPr>
            </w:pPr>
            <w:r w:rsidRPr="00961A39">
              <w:rPr>
                <w:rFonts w:ascii="Trebuchet MS" w:eastAsia="Arial" w:hAnsi="Trebuchet MS" w:cs="Calibri"/>
                <w:spacing w:val="0"/>
                <w:sz w:val="22"/>
                <w:szCs w:val="22"/>
                <w:lang w:val="en-US" w:eastAsia="de-DE"/>
              </w:rPr>
              <w:t xml:space="preserve">a) The intended use of the property is exclusively for </w:t>
            </w:r>
            <w:proofErr w:type="gramStart"/>
            <w:r w:rsidRPr="00961A39">
              <w:rPr>
                <w:rFonts w:ascii="Trebuchet MS" w:eastAsia="Arial" w:hAnsi="Trebuchet MS" w:cs="Calibri"/>
                <w:spacing w:val="0"/>
                <w:sz w:val="22"/>
                <w:szCs w:val="22"/>
                <w:lang w:val="en-US" w:eastAsia="de-DE"/>
              </w:rPr>
              <w:t>lease;</w:t>
            </w:r>
            <w:proofErr w:type="gramEnd"/>
            <w:r w:rsidRPr="00961A39">
              <w:rPr>
                <w:rFonts w:ascii="Trebuchet MS" w:eastAsia="Arial" w:hAnsi="Trebuchet MS" w:cs="Calibri"/>
                <w:spacing w:val="0"/>
                <w:sz w:val="22"/>
                <w:szCs w:val="22"/>
                <w:lang w:val="en-US" w:eastAsia="de-DE"/>
              </w:rPr>
              <w:t xml:space="preserve"> </w:t>
            </w:r>
          </w:p>
          <w:p w14:paraId="60535C15" w14:textId="77777777" w:rsidR="00692526" w:rsidRPr="00961A39" w:rsidRDefault="00692526" w:rsidP="00692526">
            <w:pPr>
              <w:numPr>
                <w:ilvl w:val="1"/>
                <w:numId w:val="20"/>
              </w:numPr>
              <w:autoSpaceDE w:val="0"/>
              <w:autoSpaceDN w:val="0"/>
              <w:adjustRightInd w:val="0"/>
              <w:rPr>
                <w:rFonts w:ascii="Trebuchet MS" w:eastAsia="Arial" w:hAnsi="Trebuchet MS" w:cs="Calibri"/>
                <w:spacing w:val="0"/>
                <w:sz w:val="22"/>
                <w:szCs w:val="22"/>
                <w:lang w:val="en-US" w:eastAsia="de-DE"/>
              </w:rPr>
            </w:pPr>
            <w:r w:rsidRPr="00961A39">
              <w:rPr>
                <w:rFonts w:ascii="Trebuchet MS" w:eastAsia="Arial" w:hAnsi="Trebuchet MS" w:cs="Calibri"/>
                <w:spacing w:val="0"/>
                <w:sz w:val="22"/>
                <w:szCs w:val="22"/>
                <w:lang w:val="en-US" w:eastAsia="de-DE"/>
              </w:rPr>
              <w:t xml:space="preserve">b) The property being financed is subject to a regulation specifying the eligibility to qualify for social/public housing, including criteria for applicants in relation to their income, their family size, their residency status, and requirements for the construction, including the size of each unit or being barrier-free. </w:t>
            </w:r>
          </w:p>
          <w:p w14:paraId="79006F36" w14:textId="77777777" w:rsidR="00692526" w:rsidRPr="00961A39" w:rsidRDefault="00692526" w:rsidP="00692526">
            <w:pPr>
              <w:numPr>
                <w:ilvl w:val="1"/>
                <w:numId w:val="20"/>
              </w:numPr>
              <w:autoSpaceDE w:val="0"/>
              <w:autoSpaceDN w:val="0"/>
              <w:adjustRightInd w:val="0"/>
              <w:rPr>
                <w:rFonts w:ascii="Trebuchet MS" w:eastAsia="Arial" w:hAnsi="Trebuchet MS" w:cs="Calibri"/>
                <w:spacing w:val="0"/>
                <w:sz w:val="22"/>
                <w:szCs w:val="22"/>
                <w:lang w:val="en-US" w:eastAsia="de-DE"/>
              </w:rPr>
            </w:pPr>
          </w:p>
          <w:p w14:paraId="20B765CD" w14:textId="77777777" w:rsidR="00692526" w:rsidRPr="00961A39" w:rsidRDefault="00692526" w:rsidP="00692526">
            <w:pPr>
              <w:rPr>
                <w:rFonts w:ascii="Trebuchet MS" w:eastAsia="Arial" w:hAnsi="Trebuchet MS" w:cs="Calibri"/>
                <w:spacing w:val="0"/>
                <w:sz w:val="22"/>
                <w:szCs w:val="22"/>
                <w:lang w:val="en-US" w:eastAsia="de-DE"/>
              </w:rPr>
            </w:pPr>
            <w:r w:rsidRPr="00961A39">
              <w:rPr>
                <w:rFonts w:ascii="Trebuchet MS" w:eastAsia="Arial" w:hAnsi="Trebuchet MS" w:cs="Calibri"/>
                <w:spacing w:val="0"/>
                <w:sz w:val="22"/>
                <w:szCs w:val="22"/>
                <w:lang w:val="en-US" w:eastAsia="de-DE"/>
              </w:rPr>
              <w:t xml:space="preserve">Point a would exclude – for example – numerous Austrian building associations from treatment under Article 126a: The Austrian Non-Profit Housing Act also permits the initial sale of apartments to members of non-profit building associations (cf. Section 7 (1) and (1a) </w:t>
            </w:r>
            <w:bookmarkStart w:id="0" w:name="_Hlk173223654"/>
            <w:r w:rsidRPr="00961A39">
              <w:rPr>
                <w:rFonts w:ascii="Trebuchet MS" w:eastAsia="Arial" w:hAnsi="Trebuchet MS" w:cs="Calibri"/>
                <w:spacing w:val="0"/>
                <w:sz w:val="22"/>
                <w:szCs w:val="22"/>
                <w:lang w:val="en-US" w:eastAsia="de-DE"/>
              </w:rPr>
              <w:t xml:space="preserve">Austrian Limited Profit Housing Act </w:t>
            </w:r>
            <w:bookmarkEnd w:id="0"/>
            <w:r w:rsidRPr="00961A39">
              <w:rPr>
                <w:rFonts w:ascii="Trebuchet MS" w:eastAsia="Arial" w:hAnsi="Trebuchet MS" w:cs="Calibri"/>
                <w:spacing w:val="0"/>
                <w:sz w:val="22"/>
                <w:szCs w:val="22"/>
                <w:lang w:val="en-US" w:eastAsia="de-DE"/>
              </w:rPr>
              <w:t xml:space="preserve">– </w:t>
            </w:r>
            <w:proofErr w:type="spellStart"/>
            <w:r w:rsidRPr="00961A39">
              <w:rPr>
                <w:rFonts w:ascii="Trebuchet MS" w:eastAsia="Arial" w:hAnsi="Trebuchet MS" w:cs="Calibri"/>
                <w:spacing w:val="0"/>
                <w:sz w:val="22"/>
                <w:szCs w:val="22"/>
                <w:lang w:val="en-US" w:eastAsia="de-DE"/>
              </w:rPr>
              <w:t>Wohnungsgemeinnützigkeitsgesetz</w:t>
            </w:r>
            <w:proofErr w:type="spellEnd"/>
            <w:r w:rsidRPr="00961A39">
              <w:rPr>
                <w:rFonts w:ascii="Trebuchet MS" w:eastAsia="Arial" w:hAnsi="Trebuchet MS" w:cs="Calibri"/>
                <w:spacing w:val="0"/>
                <w:sz w:val="22"/>
                <w:szCs w:val="22"/>
                <w:lang w:val="en-US" w:eastAsia="de-DE"/>
              </w:rPr>
              <w:t xml:space="preserve">, WGG). Many building associations make use of this because it is the quickest form of refinancing and enables them to create new living space sooner. In addition, there is also a legal option for tenants to receive a purchase offer after 5 years in the case of pure rental projects under certain conditions (see Article 15b et </w:t>
            </w:r>
            <w:proofErr w:type="spellStart"/>
            <w:r w:rsidRPr="00961A39">
              <w:rPr>
                <w:rFonts w:ascii="Trebuchet MS" w:eastAsia="Arial" w:hAnsi="Trebuchet MS" w:cs="Calibri"/>
                <w:spacing w:val="0"/>
                <w:sz w:val="22"/>
                <w:szCs w:val="22"/>
                <w:lang w:val="en-US" w:eastAsia="de-DE"/>
              </w:rPr>
              <w:t>subseq</w:t>
            </w:r>
            <w:proofErr w:type="spellEnd"/>
            <w:r w:rsidRPr="00961A39">
              <w:rPr>
                <w:rFonts w:ascii="Trebuchet MS" w:eastAsia="Arial" w:hAnsi="Trebuchet MS" w:cs="Calibri"/>
                <w:spacing w:val="0"/>
                <w:sz w:val="22"/>
                <w:szCs w:val="22"/>
                <w:lang w:val="en-US" w:eastAsia="de-DE"/>
              </w:rPr>
              <w:t xml:space="preserve"> WGG). The fact that this is nevertheless “exclusively for lease” should be made clear.</w:t>
            </w:r>
          </w:p>
          <w:p w14:paraId="36C934A0" w14:textId="77777777" w:rsidR="00692526" w:rsidRPr="00961A39" w:rsidRDefault="00692526" w:rsidP="00692526">
            <w:pPr>
              <w:rPr>
                <w:rFonts w:ascii="Trebuchet MS" w:eastAsia="Arial" w:hAnsi="Trebuchet MS" w:cs="Calibri"/>
                <w:spacing w:val="0"/>
                <w:sz w:val="22"/>
                <w:szCs w:val="22"/>
                <w:lang w:val="en-US" w:eastAsia="de-DE"/>
              </w:rPr>
            </w:pPr>
          </w:p>
          <w:p w14:paraId="5FF4BF15" w14:textId="77777777" w:rsidR="00692526" w:rsidRPr="00961A39" w:rsidRDefault="00692526" w:rsidP="00692526">
            <w:pPr>
              <w:rPr>
                <w:rFonts w:ascii="Trebuchet MS" w:eastAsia="Arial" w:hAnsi="Trebuchet MS" w:cs="Calibri"/>
                <w:spacing w:val="0"/>
                <w:sz w:val="22"/>
                <w:szCs w:val="22"/>
                <w:lang w:val="en-US" w:eastAsia="de-DE"/>
              </w:rPr>
            </w:pPr>
            <w:r w:rsidRPr="00961A39">
              <w:rPr>
                <w:rFonts w:ascii="Trebuchet MS" w:eastAsia="Arial" w:hAnsi="Trebuchet MS" w:cs="Calibri"/>
                <w:spacing w:val="0"/>
                <w:sz w:val="22"/>
                <w:szCs w:val="22"/>
                <w:lang w:val="en-US" w:eastAsia="de-DE"/>
              </w:rPr>
              <w:t xml:space="preserve">Point b lists far too many individual criteria without making it clear that these are only examples of the type of criteria that must be met </w:t>
            </w:r>
            <w:proofErr w:type="gramStart"/>
            <w:r w:rsidRPr="00961A39">
              <w:rPr>
                <w:rFonts w:ascii="Trebuchet MS" w:eastAsia="Arial" w:hAnsi="Trebuchet MS" w:cs="Calibri"/>
                <w:spacing w:val="0"/>
                <w:sz w:val="22"/>
                <w:szCs w:val="22"/>
                <w:lang w:val="en-US" w:eastAsia="de-DE"/>
              </w:rPr>
              <w:t>in order to</w:t>
            </w:r>
            <w:proofErr w:type="gramEnd"/>
            <w:r w:rsidRPr="00961A39">
              <w:rPr>
                <w:rFonts w:ascii="Trebuchet MS" w:eastAsia="Arial" w:hAnsi="Trebuchet MS" w:cs="Calibri"/>
                <w:spacing w:val="0"/>
                <w:sz w:val="22"/>
                <w:szCs w:val="22"/>
                <w:lang w:val="en-US" w:eastAsia="de-DE"/>
              </w:rPr>
              <w:t xml:space="preserve"> fall under the preferential treatment. It would be completely inappropriate to exclude the financing of a building association simply because, for example, there are no rules in this Member State on the minimum size of the family that is to move into the apartment built by the non-profit building association.</w:t>
            </w:r>
          </w:p>
          <w:p w14:paraId="4B53641E" w14:textId="77777777" w:rsidR="00692526" w:rsidRPr="00961A39" w:rsidRDefault="00692526" w:rsidP="00692526">
            <w:pPr>
              <w:rPr>
                <w:rFonts w:ascii="Trebuchet MS" w:eastAsia="Arial" w:hAnsi="Trebuchet MS" w:cs="Calibri"/>
                <w:spacing w:val="0"/>
                <w:sz w:val="22"/>
                <w:szCs w:val="22"/>
                <w:lang w:val="en-US" w:eastAsia="de-DE"/>
              </w:rPr>
            </w:pPr>
          </w:p>
          <w:p w14:paraId="5934A46B" w14:textId="77777777" w:rsidR="00692526" w:rsidRPr="00961A39" w:rsidRDefault="00692526" w:rsidP="00692526">
            <w:pPr>
              <w:rPr>
                <w:rFonts w:ascii="Trebuchet MS" w:eastAsia="Arial" w:hAnsi="Trebuchet MS" w:cs="Calibri"/>
                <w:spacing w:val="0"/>
                <w:sz w:val="22"/>
                <w:szCs w:val="22"/>
                <w:lang w:val="en-US" w:eastAsia="de-DE"/>
              </w:rPr>
            </w:pPr>
            <w:r w:rsidRPr="00961A39">
              <w:rPr>
                <w:rFonts w:ascii="Trebuchet MS" w:eastAsia="Arial" w:hAnsi="Trebuchet MS" w:cs="Calibri"/>
                <w:spacing w:val="0"/>
                <w:sz w:val="22"/>
                <w:szCs w:val="22"/>
                <w:lang w:val="en-US" w:eastAsia="de-DE"/>
              </w:rPr>
              <w:t xml:space="preserve">In Paragraph 21, it is proposed that the minimum number of binding contracts that must be present should be 75% instead of the usual 50% (paragraph 13) - </w:t>
            </w:r>
            <w:proofErr w:type="spellStart"/>
            <w:proofErr w:type="gramStart"/>
            <w:r w:rsidRPr="00961A39">
              <w:rPr>
                <w:rFonts w:ascii="Trebuchet MS" w:eastAsia="Arial" w:hAnsi="Trebuchet MS" w:cs="Calibri"/>
                <w:spacing w:val="0"/>
                <w:sz w:val="22"/>
                <w:szCs w:val="22"/>
                <w:lang w:val="en-US" w:eastAsia="de-DE"/>
              </w:rPr>
              <w:t>cf</w:t>
            </w:r>
            <w:proofErr w:type="spellEnd"/>
            <w:proofErr w:type="gramEnd"/>
          </w:p>
          <w:p w14:paraId="53948EB0" w14:textId="77777777" w:rsidR="00692526" w:rsidRPr="00961A39" w:rsidRDefault="00692526" w:rsidP="00692526">
            <w:pPr>
              <w:rPr>
                <w:rFonts w:ascii="Trebuchet MS" w:eastAsia="Arial" w:hAnsi="Trebuchet MS" w:cs="Calibri"/>
                <w:spacing w:val="0"/>
                <w:sz w:val="22"/>
                <w:szCs w:val="22"/>
                <w:lang w:val="en-US" w:eastAsia="de-DE"/>
              </w:rPr>
            </w:pPr>
            <w:r w:rsidRPr="00961A39">
              <w:rPr>
                <w:rFonts w:ascii="Trebuchet MS" w:eastAsia="Arial" w:hAnsi="Trebuchet MS" w:cs="Calibri"/>
                <w:spacing w:val="0"/>
                <w:sz w:val="22"/>
                <w:szCs w:val="22"/>
                <w:lang w:val="en-US" w:eastAsia="de-DE"/>
              </w:rPr>
              <w:t xml:space="preserve">“Significant portion of total contracts": for the portion of total contracts to be considered as being significant, the percentage referred to in paragraph 13, calculated in accordance with paragraph 16, should be equal to or higher than 75%. </w:t>
            </w:r>
          </w:p>
          <w:p w14:paraId="0532CC69" w14:textId="77777777" w:rsidR="00692526" w:rsidRPr="00961A39" w:rsidRDefault="00692526" w:rsidP="00692526">
            <w:pPr>
              <w:rPr>
                <w:rFonts w:ascii="Trebuchet MS" w:eastAsia="Arial" w:hAnsi="Trebuchet MS" w:cs="Calibri"/>
                <w:spacing w:val="0"/>
                <w:sz w:val="22"/>
                <w:szCs w:val="22"/>
                <w:lang w:val="en-US" w:eastAsia="de-DE"/>
              </w:rPr>
            </w:pPr>
            <w:r w:rsidRPr="00961A39">
              <w:rPr>
                <w:rFonts w:ascii="Trebuchet MS" w:eastAsia="Arial" w:hAnsi="Trebuchet MS" w:cs="Calibri"/>
                <w:spacing w:val="0"/>
                <w:sz w:val="22"/>
                <w:szCs w:val="22"/>
                <w:lang w:val="en-US" w:eastAsia="de-DE"/>
              </w:rPr>
              <w:t xml:space="preserve">This is completely incomprehensible. Just because non-profit building associations have no problem selling their affordable housing does not mean that a higher threshold </w:t>
            </w:r>
            <w:proofErr w:type="gramStart"/>
            <w:r w:rsidRPr="00961A39">
              <w:rPr>
                <w:rFonts w:ascii="Trebuchet MS" w:eastAsia="Arial" w:hAnsi="Trebuchet MS" w:cs="Calibri"/>
                <w:spacing w:val="0"/>
                <w:sz w:val="22"/>
                <w:szCs w:val="22"/>
                <w:lang w:val="en-US" w:eastAsia="de-DE"/>
              </w:rPr>
              <w:t>has to</w:t>
            </w:r>
            <w:proofErr w:type="gramEnd"/>
            <w:r w:rsidRPr="00961A39">
              <w:rPr>
                <w:rFonts w:ascii="Trebuchet MS" w:eastAsia="Arial" w:hAnsi="Trebuchet MS" w:cs="Calibri"/>
                <w:spacing w:val="0"/>
                <w:sz w:val="22"/>
                <w:szCs w:val="22"/>
                <w:lang w:val="en-US" w:eastAsia="de-DE"/>
              </w:rPr>
              <w:t xml:space="preserve"> be set. This has nothing to do with the low risk for the financing bank </w:t>
            </w:r>
            <w:proofErr w:type="gramStart"/>
            <w:r w:rsidRPr="00961A39">
              <w:rPr>
                <w:rFonts w:ascii="Trebuchet MS" w:eastAsia="Arial" w:hAnsi="Trebuchet MS" w:cs="Calibri"/>
                <w:spacing w:val="0"/>
                <w:sz w:val="22"/>
                <w:szCs w:val="22"/>
                <w:lang w:val="en-US" w:eastAsia="de-DE"/>
              </w:rPr>
              <w:t>and also</w:t>
            </w:r>
            <w:proofErr w:type="gramEnd"/>
            <w:r w:rsidRPr="00961A39">
              <w:rPr>
                <w:rFonts w:ascii="Trebuchet MS" w:eastAsia="Arial" w:hAnsi="Trebuchet MS" w:cs="Calibri"/>
                <w:spacing w:val="0"/>
                <w:sz w:val="22"/>
                <w:szCs w:val="22"/>
                <w:lang w:val="en-US" w:eastAsia="de-DE"/>
              </w:rPr>
              <w:t xml:space="preserve"> does not suit the sometimes socially disadvantaged clientele of non-profit building associations who would particularly suffer if their down payment were to be forfeited.</w:t>
            </w:r>
          </w:p>
          <w:p w14:paraId="08D87CCA" w14:textId="77777777" w:rsidR="00692526" w:rsidRPr="00961A39" w:rsidRDefault="00692526" w:rsidP="00692526">
            <w:pPr>
              <w:rPr>
                <w:rFonts w:ascii="Trebuchet MS" w:eastAsia="Arial" w:hAnsi="Trebuchet MS" w:cs="Calibri"/>
                <w:spacing w:val="0"/>
                <w:sz w:val="22"/>
                <w:szCs w:val="22"/>
                <w:lang w:val="en-US" w:eastAsia="de-DE"/>
              </w:rPr>
            </w:pPr>
          </w:p>
          <w:p w14:paraId="7437FE0A" w14:textId="77777777" w:rsidR="00692526" w:rsidRPr="00961A39" w:rsidRDefault="00692526" w:rsidP="00692526">
            <w:pPr>
              <w:rPr>
                <w:rFonts w:ascii="Trebuchet MS" w:eastAsia="Arial" w:hAnsi="Trebuchet MS" w:cs="Calibri"/>
                <w:spacing w:val="0"/>
                <w:sz w:val="22"/>
                <w:szCs w:val="22"/>
                <w:lang w:val="en-US" w:eastAsia="de-DE"/>
              </w:rPr>
            </w:pPr>
            <w:r w:rsidRPr="00961A39">
              <w:rPr>
                <w:rFonts w:ascii="Trebuchet MS" w:eastAsia="Arial" w:hAnsi="Trebuchet MS" w:cs="Calibri"/>
                <w:spacing w:val="0"/>
                <w:sz w:val="22"/>
                <w:szCs w:val="22"/>
                <w:lang w:val="en-US" w:eastAsia="de-DE"/>
              </w:rPr>
              <w:t xml:space="preserve">In Austria, for example, not-for-profit entities typically operate with preregistration lists during the construction phase and later rely on both their own marketing activities and </w:t>
            </w:r>
            <w:r w:rsidRPr="00961A39">
              <w:rPr>
                <w:rFonts w:ascii="Trebuchet MS" w:eastAsia="Arial" w:hAnsi="Trebuchet MS" w:cs="Calibri"/>
                <w:spacing w:val="0"/>
                <w:sz w:val="22"/>
                <w:szCs w:val="22"/>
                <w:lang w:val="en-US" w:eastAsia="de-DE"/>
              </w:rPr>
              <w:lastRenderedPageBreak/>
              <w:t>state allocation programs. Due to the high demand for affordable rent and the necessity of grant assurance for marketing (which often arrives late in the construction phase), marketing of these projects usually begins just before construction is completed. Consequently, the phase with lower risk-weight is likely very short and, given the long duration of the loans (up to 40 years), negligible for both the bank and the not-for-profit entity.</w:t>
            </w:r>
          </w:p>
          <w:p w14:paraId="2319A95D" w14:textId="77777777" w:rsidR="00692526" w:rsidRPr="00961A39" w:rsidRDefault="00692526" w:rsidP="00692526">
            <w:pPr>
              <w:rPr>
                <w:rFonts w:ascii="Trebuchet MS" w:eastAsia="Arial" w:hAnsi="Trebuchet MS" w:cs="Calibri"/>
                <w:spacing w:val="0"/>
                <w:sz w:val="22"/>
                <w:szCs w:val="22"/>
                <w:lang w:val="en-US" w:eastAsia="de-DE"/>
              </w:rPr>
            </w:pPr>
          </w:p>
          <w:p w14:paraId="2A8325A2" w14:textId="77777777" w:rsidR="00692526" w:rsidRPr="00961A39" w:rsidRDefault="00692526" w:rsidP="00692526">
            <w:pPr>
              <w:rPr>
                <w:rFonts w:ascii="Trebuchet MS" w:eastAsia="Arial" w:hAnsi="Trebuchet MS" w:cs="Calibri"/>
                <w:spacing w:val="0"/>
                <w:sz w:val="22"/>
                <w:szCs w:val="22"/>
                <w:lang w:val="en-US" w:eastAsia="de-DE"/>
              </w:rPr>
            </w:pPr>
            <w:r w:rsidRPr="00961A39">
              <w:rPr>
                <w:rFonts w:ascii="Trebuchet MS" w:eastAsia="Arial" w:hAnsi="Trebuchet MS" w:cs="Calibri"/>
                <w:spacing w:val="0"/>
                <w:sz w:val="22"/>
                <w:szCs w:val="22"/>
                <w:lang w:val="en-US" w:eastAsia="de-DE"/>
              </w:rPr>
              <w:t xml:space="preserve">In the Austrian bank’s risk profiles, the exposures towards Not-for-profit housing associations (i.e. long-term rental housing loans, often subsidized by the State) are one of the exposures with the lowest risk profiles, even in the ADC phase of a project. </w:t>
            </w:r>
          </w:p>
          <w:p w14:paraId="04479152" w14:textId="77777777" w:rsidR="00692526" w:rsidRPr="00961A39" w:rsidRDefault="00692526" w:rsidP="00692526">
            <w:pPr>
              <w:rPr>
                <w:rFonts w:ascii="Trebuchet MS" w:eastAsia="Arial" w:hAnsi="Trebuchet MS" w:cs="Calibri"/>
                <w:spacing w:val="0"/>
                <w:sz w:val="22"/>
                <w:szCs w:val="22"/>
                <w:lang w:val="en-US" w:eastAsia="de-DE"/>
              </w:rPr>
            </w:pPr>
          </w:p>
          <w:p w14:paraId="489EA59E" w14:textId="77777777" w:rsidR="00692526" w:rsidRPr="00961A39" w:rsidRDefault="00692526" w:rsidP="00692526">
            <w:pPr>
              <w:rPr>
                <w:rFonts w:ascii="Trebuchet MS" w:eastAsia="Arial" w:hAnsi="Trebuchet MS" w:cs="Calibri"/>
                <w:spacing w:val="0"/>
                <w:sz w:val="22"/>
                <w:szCs w:val="22"/>
                <w:lang w:val="en-US" w:eastAsia="de-DE"/>
              </w:rPr>
            </w:pPr>
            <w:r w:rsidRPr="00961A39">
              <w:rPr>
                <w:rFonts w:ascii="Trebuchet MS" w:eastAsia="Arial" w:hAnsi="Trebuchet MS" w:cs="Calibri"/>
                <w:spacing w:val="0"/>
                <w:sz w:val="22"/>
                <w:szCs w:val="22"/>
                <w:lang w:val="en-US" w:eastAsia="de-DE"/>
              </w:rPr>
              <w:t xml:space="preserve">This has to do with </w:t>
            </w:r>
          </w:p>
          <w:p w14:paraId="09448C66" w14:textId="77777777" w:rsidR="00692526" w:rsidRPr="00961A39" w:rsidRDefault="00692526" w:rsidP="00692526">
            <w:pPr>
              <w:rPr>
                <w:rFonts w:ascii="Trebuchet MS" w:eastAsia="Arial" w:hAnsi="Trebuchet MS" w:cs="Calibri"/>
                <w:spacing w:val="0"/>
                <w:sz w:val="22"/>
                <w:szCs w:val="22"/>
                <w:lang w:val="en-US" w:eastAsia="de-DE"/>
              </w:rPr>
            </w:pPr>
          </w:p>
          <w:p w14:paraId="25CACB0C" w14:textId="77777777" w:rsidR="00692526" w:rsidRPr="00961A39" w:rsidRDefault="00692526" w:rsidP="00692526">
            <w:pPr>
              <w:numPr>
                <w:ilvl w:val="0"/>
                <w:numId w:val="21"/>
              </w:numPr>
              <w:spacing w:after="160" w:line="252" w:lineRule="auto"/>
              <w:rPr>
                <w:rFonts w:ascii="Trebuchet MS" w:hAnsi="Trebuchet MS" w:cs="Calibri"/>
                <w:spacing w:val="0"/>
                <w:sz w:val="22"/>
                <w:szCs w:val="22"/>
                <w:lang w:val="en-US" w:eastAsia="de-DE"/>
              </w:rPr>
            </w:pPr>
            <w:r w:rsidRPr="00961A39">
              <w:rPr>
                <w:rFonts w:ascii="Trebuchet MS" w:hAnsi="Trebuchet MS" w:cs="Calibri"/>
                <w:spacing w:val="0"/>
                <w:sz w:val="22"/>
                <w:szCs w:val="22"/>
                <w:lang w:val="en-US" w:eastAsia="de-DE"/>
              </w:rPr>
              <w:t xml:space="preserve">their experience for decades in the development business, </w:t>
            </w:r>
          </w:p>
          <w:p w14:paraId="6FDC425B" w14:textId="77777777" w:rsidR="00692526" w:rsidRPr="00CE0F1C" w:rsidRDefault="00692526" w:rsidP="00692526">
            <w:pPr>
              <w:numPr>
                <w:ilvl w:val="0"/>
                <w:numId w:val="21"/>
              </w:numPr>
              <w:spacing w:after="160" w:line="252" w:lineRule="auto"/>
              <w:rPr>
                <w:rFonts w:ascii="Trebuchet MS" w:hAnsi="Trebuchet MS" w:cs="Calibri"/>
                <w:spacing w:val="0"/>
                <w:sz w:val="22"/>
                <w:szCs w:val="22"/>
                <w:lang w:val="en-US" w:eastAsia="de-DE"/>
              </w:rPr>
            </w:pPr>
            <w:r w:rsidRPr="00961A39">
              <w:rPr>
                <w:rFonts w:ascii="Trebuchet MS" w:hAnsi="Trebuchet MS" w:cs="Calibri"/>
                <w:spacing w:val="0"/>
                <w:sz w:val="22"/>
                <w:szCs w:val="22"/>
                <w:lang w:val="en-US" w:eastAsia="de-DE"/>
              </w:rPr>
              <w:t xml:space="preserve">their legal obligation to be supervised both by state authorities as well as by an </w:t>
            </w:r>
            <w:r w:rsidRPr="00CE0F1C">
              <w:rPr>
                <w:rFonts w:ascii="Trebuchet MS" w:hAnsi="Trebuchet MS" w:cs="Calibri"/>
                <w:spacing w:val="0"/>
                <w:sz w:val="22"/>
                <w:szCs w:val="22"/>
                <w:lang w:val="en-US" w:eastAsia="de-DE"/>
              </w:rPr>
              <w:t>independent audit organization and</w:t>
            </w:r>
          </w:p>
          <w:p w14:paraId="6FEA8355" w14:textId="77777777" w:rsidR="00692526" w:rsidRPr="00CE0F1C" w:rsidRDefault="00692526" w:rsidP="00692526">
            <w:pPr>
              <w:numPr>
                <w:ilvl w:val="0"/>
                <w:numId w:val="21"/>
              </w:numPr>
              <w:spacing w:after="160" w:line="252" w:lineRule="auto"/>
              <w:rPr>
                <w:rFonts w:ascii="Trebuchet MS" w:hAnsi="Trebuchet MS" w:cs="Calibri"/>
                <w:spacing w:val="0"/>
                <w:sz w:val="22"/>
                <w:szCs w:val="22"/>
                <w:lang w:val="en-US" w:eastAsia="de-DE"/>
              </w:rPr>
            </w:pPr>
            <w:r w:rsidRPr="00CE0F1C">
              <w:rPr>
                <w:rFonts w:ascii="Trebuchet MS" w:eastAsia="Arial" w:hAnsi="Trebuchet MS" w:cs="Calibri"/>
                <w:noProof/>
                <w:spacing w:val="0"/>
                <w:sz w:val="22"/>
                <w:szCs w:val="22"/>
                <w:lang w:val="de-AT" w:eastAsia="de-DE"/>
              </w:rPr>
              <w:drawing>
                <wp:anchor distT="0" distB="0" distL="114300" distR="114300" simplePos="0" relativeHeight="251660288" behindDoc="1" locked="0" layoutInCell="1" allowOverlap="1" wp14:anchorId="6AAAE0EB" wp14:editId="38838C2F">
                  <wp:simplePos x="0" y="0"/>
                  <wp:positionH relativeFrom="margin">
                    <wp:posOffset>460375</wp:posOffset>
                  </wp:positionH>
                  <wp:positionV relativeFrom="paragraph">
                    <wp:posOffset>1211580</wp:posOffset>
                  </wp:positionV>
                  <wp:extent cx="4336415" cy="2924175"/>
                  <wp:effectExtent l="0" t="0" r="6985" b="9525"/>
                  <wp:wrapTopAndBottom/>
                  <wp:docPr id="2" name="Grafik 2" descr="Ein Bild, das Text, Screensho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Ein Bild, das Text, Screenshot, Schrift, Diagramm enthält.&#10;&#10;Automatisch generierte Beschreibu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336415"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0F1C">
              <w:rPr>
                <w:rFonts w:ascii="Trebuchet MS" w:hAnsi="Trebuchet MS" w:cs="Calibri"/>
                <w:spacing w:val="0"/>
                <w:sz w:val="22"/>
                <w:szCs w:val="22"/>
                <w:lang w:val="en-US" w:eastAsia="de-DE"/>
              </w:rPr>
              <w:t xml:space="preserve">mainly the fact that the rents of their apartments are approx. 20-25% lower than market rents and therefore the average vacancy rates are below 2% (which is merely a technical vacancy due to tenants’ changes). Therefore, there is only a very low risk of not renting out the apartments produced by </w:t>
            </w:r>
            <w:r w:rsidRPr="00CE0F1C">
              <w:rPr>
                <w:rFonts w:ascii="Trebuchet MS" w:eastAsia="Arial" w:hAnsi="Trebuchet MS" w:cs="Calibri"/>
                <w:spacing w:val="0"/>
                <w:sz w:val="22"/>
                <w:szCs w:val="22"/>
                <w:lang w:val="en-US" w:eastAsia="de-DE"/>
              </w:rPr>
              <w:t xml:space="preserve">not-for profit </w:t>
            </w:r>
            <w:r w:rsidRPr="00CE0F1C">
              <w:rPr>
                <w:rFonts w:ascii="Trebuchet MS" w:hAnsi="Trebuchet MS" w:cs="Calibri"/>
                <w:spacing w:val="0"/>
                <w:sz w:val="22"/>
                <w:szCs w:val="22"/>
                <w:lang w:val="en-US" w:eastAsia="de-DE"/>
              </w:rPr>
              <w:t>housing associations. (see the graphic below that shows that Low-Profit Housing Associations’ = LPHA’s rents are approx. 25% below private rents)</w:t>
            </w:r>
          </w:p>
          <w:p w14:paraId="12BD51D6" w14:textId="77777777" w:rsidR="00692526" w:rsidRPr="00CE0F1C" w:rsidRDefault="00692526" w:rsidP="00692526">
            <w:pPr>
              <w:rPr>
                <w:rFonts w:ascii="Trebuchet MS" w:eastAsia="Arial" w:hAnsi="Trebuchet MS" w:cs="Calibri"/>
                <w:spacing w:val="0"/>
                <w:sz w:val="22"/>
                <w:szCs w:val="22"/>
                <w:lang w:val="en-US" w:eastAsia="de-DE"/>
              </w:rPr>
            </w:pPr>
          </w:p>
          <w:p w14:paraId="03F93F42" w14:textId="77777777" w:rsidR="00692526" w:rsidRPr="00CE0F1C" w:rsidRDefault="00692526" w:rsidP="00692526">
            <w:pPr>
              <w:numPr>
                <w:ilvl w:val="0"/>
                <w:numId w:val="22"/>
              </w:numPr>
              <w:spacing w:after="160" w:line="252" w:lineRule="auto"/>
              <w:rPr>
                <w:rFonts w:ascii="Trebuchet MS" w:hAnsi="Trebuchet MS" w:cs="Calibri"/>
                <w:spacing w:val="0"/>
                <w:sz w:val="22"/>
                <w:szCs w:val="22"/>
                <w:lang w:val="en-US" w:eastAsia="de-DE"/>
              </w:rPr>
            </w:pPr>
            <w:r w:rsidRPr="00CE0F1C">
              <w:rPr>
                <w:rFonts w:ascii="Trebuchet MS" w:hAnsi="Trebuchet MS" w:cs="Calibri"/>
                <w:spacing w:val="0"/>
                <w:sz w:val="22"/>
                <w:szCs w:val="22"/>
                <w:lang w:val="en-US" w:eastAsia="de-DE"/>
              </w:rPr>
              <w:t xml:space="preserve">Since not-for profit entities are ‘regulated by (national) law’ and therefore the differences in the single not-for profit housing associations systems can be quite big from country to country, EBA should give a sub-mandate to the national supervision authorities to regulate the requisites for a preferential treatment on national </w:t>
            </w:r>
            <w:proofErr w:type="gramStart"/>
            <w:r w:rsidRPr="00CE0F1C">
              <w:rPr>
                <w:rFonts w:ascii="Trebuchet MS" w:hAnsi="Trebuchet MS" w:cs="Calibri"/>
                <w:spacing w:val="0"/>
                <w:sz w:val="22"/>
                <w:szCs w:val="22"/>
                <w:lang w:val="en-US" w:eastAsia="de-DE"/>
              </w:rPr>
              <w:t>level</w:t>
            </w:r>
            <w:proofErr w:type="gramEnd"/>
          </w:p>
          <w:p w14:paraId="0BFC8984" w14:textId="77777777" w:rsidR="00692526" w:rsidRPr="00CE0F1C" w:rsidRDefault="00692526" w:rsidP="00692526">
            <w:pPr>
              <w:numPr>
                <w:ilvl w:val="0"/>
                <w:numId w:val="22"/>
              </w:numPr>
              <w:spacing w:after="160" w:line="252" w:lineRule="auto"/>
              <w:rPr>
                <w:rFonts w:ascii="Trebuchet MS" w:hAnsi="Trebuchet MS" w:cs="Calibri"/>
                <w:spacing w:val="0"/>
                <w:sz w:val="22"/>
                <w:szCs w:val="22"/>
                <w:lang w:val="en-US" w:eastAsia="de-DE"/>
              </w:rPr>
            </w:pPr>
            <w:r w:rsidRPr="00CE0F1C">
              <w:rPr>
                <w:rFonts w:ascii="Trebuchet MS" w:hAnsi="Trebuchet MS" w:cs="Calibri"/>
                <w:spacing w:val="0"/>
                <w:sz w:val="22"/>
                <w:szCs w:val="22"/>
                <w:lang w:val="en-US" w:eastAsia="de-DE"/>
              </w:rPr>
              <w:lastRenderedPageBreak/>
              <w:t>Such a regulation could e.g. define that “financing ensured in an equivalent manner” to not-for profit housing associations is given in case their rents / selling prices are at least 20% below market prices.</w:t>
            </w:r>
          </w:p>
          <w:p w14:paraId="72344BD1" w14:textId="77777777" w:rsidR="00692526" w:rsidRPr="00CE0F1C" w:rsidRDefault="00692526" w:rsidP="00692526">
            <w:pPr>
              <w:rPr>
                <w:rFonts w:ascii="Trebuchet MS" w:eastAsia="Arial" w:hAnsi="Trebuchet MS" w:cs="Calibri"/>
                <w:spacing w:val="0"/>
                <w:sz w:val="22"/>
                <w:szCs w:val="22"/>
                <w:lang w:val="en-US" w:eastAsia="de-DE"/>
              </w:rPr>
            </w:pPr>
            <w:r w:rsidRPr="00CE0F1C">
              <w:rPr>
                <w:rFonts w:ascii="Trebuchet MS" w:eastAsia="Arial" w:hAnsi="Trebuchet MS" w:cs="Calibri"/>
                <w:spacing w:val="0"/>
                <w:sz w:val="22"/>
                <w:szCs w:val="22"/>
                <w:lang w:val="en-US" w:eastAsia="de-DE"/>
              </w:rPr>
              <w:t>In the light of all these relevant circumstances, we rather suggest a general and unconditional ADC risk-weight of 100% (instead of 150%) for not-for-profit entities during the whole construction phase, especially for state-subsidized projects of not-for-profit entities because these projects are not comparable to standard real estate projects (in SPVs).</w:t>
            </w:r>
          </w:p>
          <w:p w14:paraId="5B4D79F9" w14:textId="77777777" w:rsidR="00692526" w:rsidRPr="00CE0F1C" w:rsidRDefault="00692526" w:rsidP="00692526">
            <w:pPr>
              <w:rPr>
                <w:rFonts w:ascii="Trebuchet MS" w:eastAsia="Arial" w:hAnsi="Trebuchet MS" w:cs="Calibri"/>
                <w:spacing w:val="0"/>
                <w:sz w:val="22"/>
                <w:szCs w:val="22"/>
                <w:lang w:val="en-US" w:eastAsia="de-DE"/>
              </w:rPr>
            </w:pPr>
          </w:p>
          <w:p w14:paraId="57AB2CDF" w14:textId="77777777" w:rsidR="006D6199" w:rsidRDefault="006D6199" w:rsidP="006D6199">
            <w:pPr>
              <w:suppressAutoHyphens/>
              <w:rPr>
                <w:rFonts w:ascii="Trebuchet MS" w:eastAsia="Calibri" w:hAnsi="Trebuchet MS"/>
                <w:color w:val="303030"/>
                <w:spacing w:val="0"/>
                <w:sz w:val="22"/>
                <w:szCs w:val="22"/>
                <w:lang w:val="en-US" w:eastAsia="zh-CN"/>
              </w:rPr>
            </w:pPr>
            <w:r w:rsidRPr="00961A39">
              <w:rPr>
                <w:rFonts w:ascii="Trebuchet MS" w:eastAsia="Calibri" w:hAnsi="Trebuchet MS"/>
                <w:color w:val="303030"/>
                <w:spacing w:val="0"/>
                <w:sz w:val="22"/>
                <w:szCs w:val="22"/>
                <w:lang w:val="en-US" w:eastAsia="zh-CN"/>
              </w:rPr>
              <w:t xml:space="preserve">A rate of 35% for non-profit housing construction appears excessive in Austria due to the lower risk situation: The companies involved are subject to stricter regulations (the WGG - </w:t>
            </w:r>
            <w:proofErr w:type="spellStart"/>
            <w:r w:rsidRPr="00961A39">
              <w:rPr>
                <w:rFonts w:ascii="Trebuchet MS" w:eastAsia="Calibri" w:hAnsi="Trebuchet MS"/>
                <w:i/>
                <w:iCs/>
                <w:color w:val="303030"/>
                <w:spacing w:val="0"/>
                <w:sz w:val="22"/>
                <w:szCs w:val="22"/>
                <w:lang w:val="en-US" w:eastAsia="zh-CN"/>
              </w:rPr>
              <w:t>Wohnungsgemeinnützigkeitsgesetz</w:t>
            </w:r>
            <w:proofErr w:type="spellEnd"/>
            <w:r w:rsidRPr="00961A39">
              <w:rPr>
                <w:rFonts w:ascii="Trebuchet MS" w:eastAsia="Calibri" w:hAnsi="Trebuchet MS"/>
                <w:color w:val="303030"/>
                <w:spacing w:val="0"/>
                <w:sz w:val="22"/>
                <w:szCs w:val="22"/>
                <w:lang w:val="en-US" w:eastAsia="zh-CN"/>
              </w:rPr>
              <w:t xml:space="preserve">). Projects are built by an established company and not by a special purpose vehicle. In addition, the equity </w:t>
            </w:r>
            <w:proofErr w:type="spellStart"/>
            <w:r w:rsidRPr="00961A39">
              <w:rPr>
                <w:rFonts w:ascii="Trebuchet MS" w:eastAsia="Calibri" w:hAnsi="Trebuchet MS"/>
                <w:color w:val="303030"/>
                <w:spacing w:val="0"/>
                <w:sz w:val="22"/>
                <w:szCs w:val="22"/>
                <w:lang w:val="en-US" w:eastAsia="zh-CN"/>
              </w:rPr>
              <w:t>capitalisation</w:t>
            </w:r>
            <w:proofErr w:type="spellEnd"/>
            <w:r w:rsidRPr="00961A39">
              <w:rPr>
                <w:rFonts w:ascii="Trebuchet MS" w:eastAsia="Calibri" w:hAnsi="Trebuchet MS"/>
                <w:color w:val="303030"/>
                <w:spacing w:val="0"/>
                <w:sz w:val="22"/>
                <w:szCs w:val="22"/>
                <w:lang w:val="en-US" w:eastAsia="zh-CN"/>
              </w:rPr>
              <w:t xml:space="preserve"> of these established companies is not comparable with commercially active companies. The </w:t>
            </w:r>
            <w:proofErr w:type="spellStart"/>
            <w:r w:rsidRPr="00961A39">
              <w:rPr>
                <w:rFonts w:ascii="Trebuchet MS" w:eastAsia="Calibri" w:hAnsi="Trebuchet MS"/>
                <w:color w:val="303030"/>
                <w:spacing w:val="0"/>
                <w:sz w:val="22"/>
                <w:szCs w:val="22"/>
                <w:lang w:val="en-US" w:eastAsia="zh-CN"/>
              </w:rPr>
              <w:t>realisation</w:t>
            </w:r>
            <w:proofErr w:type="spellEnd"/>
            <w:r w:rsidRPr="00961A39">
              <w:rPr>
                <w:rFonts w:ascii="Trebuchet MS" w:eastAsia="Calibri" w:hAnsi="Trebuchet MS"/>
                <w:color w:val="303030"/>
                <w:spacing w:val="0"/>
                <w:sz w:val="22"/>
                <w:szCs w:val="22"/>
                <w:lang w:val="en-US" w:eastAsia="zh-CN"/>
              </w:rPr>
              <w:t xml:space="preserve"> of profits is not at the </w:t>
            </w:r>
            <w:proofErr w:type="spellStart"/>
            <w:r w:rsidRPr="00961A39">
              <w:rPr>
                <w:rFonts w:ascii="Trebuchet MS" w:eastAsia="Calibri" w:hAnsi="Trebuchet MS"/>
                <w:color w:val="303030"/>
                <w:spacing w:val="0"/>
                <w:sz w:val="22"/>
                <w:szCs w:val="22"/>
                <w:lang w:val="en-US" w:eastAsia="zh-CN"/>
              </w:rPr>
              <w:t>centre</w:t>
            </w:r>
            <w:proofErr w:type="spellEnd"/>
            <w:r w:rsidRPr="00961A39">
              <w:rPr>
                <w:rFonts w:ascii="Trebuchet MS" w:eastAsia="Calibri" w:hAnsi="Trebuchet MS"/>
                <w:color w:val="303030"/>
                <w:spacing w:val="0"/>
                <w:sz w:val="22"/>
                <w:szCs w:val="22"/>
                <w:lang w:val="en-US" w:eastAsia="zh-CN"/>
              </w:rPr>
              <w:t xml:space="preserve"> of these companies, whereby profits achieved may only be paid out to an extremely limited extent. In addition, the ownership structure, which typically includes associations, private foundations, church investors, </w:t>
            </w:r>
            <w:proofErr w:type="gramStart"/>
            <w:r w:rsidRPr="00961A39">
              <w:rPr>
                <w:rFonts w:ascii="Trebuchet MS" w:eastAsia="Calibri" w:hAnsi="Trebuchet MS"/>
                <w:color w:val="303030"/>
                <w:spacing w:val="0"/>
                <w:sz w:val="22"/>
                <w:szCs w:val="22"/>
                <w:lang w:val="en-US" w:eastAsia="zh-CN"/>
              </w:rPr>
              <w:t>banks</w:t>
            </w:r>
            <w:proofErr w:type="gramEnd"/>
            <w:r w:rsidRPr="00961A39">
              <w:rPr>
                <w:rFonts w:ascii="Trebuchet MS" w:eastAsia="Calibri" w:hAnsi="Trebuchet MS"/>
                <w:color w:val="303030"/>
                <w:spacing w:val="0"/>
                <w:sz w:val="22"/>
                <w:szCs w:val="22"/>
                <w:lang w:val="en-US" w:eastAsia="zh-CN"/>
              </w:rPr>
              <w:t xml:space="preserve"> and insurance companies, differs significantly from commercial investors.</w:t>
            </w:r>
          </w:p>
          <w:p w14:paraId="1B87CC50" w14:textId="77777777" w:rsidR="00692526" w:rsidRPr="00CE0F1C" w:rsidRDefault="00692526" w:rsidP="00692526">
            <w:pPr>
              <w:suppressAutoHyphens/>
              <w:rPr>
                <w:rFonts w:ascii="Trebuchet MS" w:eastAsia="Calibri" w:hAnsi="Trebuchet MS"/>
                <w:color w:val="4472C4"/>
                <w:spacing w:val="0"/>
                <w:sz w:val="22"/>
                <w:szCs w:val="22"/>
                <w:lang w:val="en-GB" w:eastAsia="zh-CN"/>
              </w:rPr>
            </w:pPr>
          </w:p>
          <w:p w14:paraId="43B5DE5F" w14:textId="77777777" w:rsidR="00692526" w:rsidRPr="00CE0F1C" w:rsidRDefault="00692526" w:rsidP="00692526">
            <w:pPr>
              <w:suppressAutoHyphens/>
              <w:rPr>
                <w:rFonts w:ascii="Trebuchet MS" w:eastAsia="Calibri" w:hAnsi="Trebuchet MS"/>
                <w:color w:val="4472C4"/>
                <w:spacing w:val="0"/>
                <w:sz w:val="22"/>
                <w:szCs w:val="22"/>
                <w:lang w:val="en-GB" w:eastAsia="zh-CN"/>
              </w:rPr>
            </w:pPr>
          </w:p>
          <w:p w14:paraId="3320BD07" w14:textId="77777777" w:rsidR="00692526" w:rsidRPr="00CE0F1C" w:rsidRDefault="00692526" w:rsidP="00692526">
            <w:pPr>
              <w:suppressAutoHyphens/>
              <w:rPr>
                <w:rFonts w:ascii="Trebuchet MS" w:eastAsia="Calibri" w:hAnsi="Trebuchet MS"/>
                <w:b/>
                <w:bCs/>
                <w:color w:val="303030"/>
                <w:spacing w:val="0"/>
                <w:sz w:val="22"/>
                <w:szCs w:val="22"/>
                <w:u w:val="single"/>
                <w:lang w:val="en-US" w:eastAsia="zh-CN"/>
              </w:rPr>
            </w:pPr>
            <w:r w:rsidRPr="00CE0F1C">
              <w:rPr>
                <w:rFonts w:ascii="Trebuchet MS" w:eastAsia="Calibri" w:hAnsi="Trebuchet MS"/>
                <w:b/>
                <w:bCs/>
                <w:color w:val="303030"/>
                <w:spacing w:val="0"/>
                <w:sz w:val="22"/>
                <w:szCs w:val="22"/>
                <w:u w:val="single"/>
                <w:lang w:val="en-US" w:eastAsia="zh-CN"/>
              </w:rPr>
              <w:t>Questions that cannot be assigned:</w:t>
            </w:r>
          </w:p>
          <w:p w14:paraId="0A007935" w14:textId="77777777" w:rsidR="00692526" w:rsidRPr="00CE0F1C" w:rsidRDefault="00692526" w:rsidP="00692526">
            <w:pPr>
              <w:suppressAutoHyphens/>
              <w:rPr>
                <w:rFonts w:ascii="Trebuchet MS" w:eastAsia="Calibri" w:hAnsi="Trebuchet MS"/>
                <w:color w:val="303030"/>
                <w:spacing w:val="0"/>
                <w:sz w:val="22"/>
                <w:szCs w:val="22"/>
                <w:lang w:val="en-US" w:eastAsia="zh-CN"/>
              </w:rPr>
            </w:pPr>
          </w:p>
          <w:p w14:paraId="4F369A8E" w14:textId="77777777" w:rsidR="00692526" w:rsidRPr="00CE0F1C" w:rsidRDefault="00692526" w:rsidP="00692526">
            <w:pPr>
              <w:suppressAutoHyphens/>
              <w:rPr>
                <w:rFonts w:ascii="Trebuchet MS" w:eastAsia="Calibri" w:hAnsi="Trebuchet MS"/>
                <w:b/>
                <w:bCs/>
                <w:color w:val="303030"/>
                <w:spacing w:val="0"/>
                <w:sz w:val="22"/>
                <w:szCs w:val="22"/>
                <w:lang w:val="en-US" w:eastAsia="zh-CN"/>
              </w:rPr>
            </w:pPr>
            <w:r w:rsidRPr="00CE0F1C">
              <w:rPr>
                <w:rFonts w:ascii="Trebuchet MS" w:eastAsia="Calibri" w:hAnsi="Trebuchet MS"/>
                <w:color w:val="303030"/>
                <w:spacing w:val="0"/>
                <w:sz w:val="22"/>
                <w:szCs w:val="22"/>
                <w:lang w:val="en-US" w:eastAsia="zh-CN"/>
              </w:rPr>
              <w:t>-</w:t>
            </w:r>
            <w:r w:rsidRPr="00CE0F1C">
              <w:rPr>
                <w:rFonts w:ascii="Trebuchet MS" w:eastAsia="Calibri" w:hAnsi="Trebuchet MS"/>
                <w:color w:val="303030"/>
                <w:spacing w:val="0"/>
                <w:sz w:val="22"/>
                <w:szCs w:val="22"/>
                <w:lang w:val="en-US" w:eastAsia="zh-CN"/>
              </w:rPr>
              <w:tab/>
            </w:r>
            <w:r w:rsidRPr="00CE0F1C">
              <w:rPr>
                <w:rFonts w:ascii="Trebuchet MS" w:eastAsia="Calibri" w:hAnsi="Trebuchet MS"/>
                <w:b/>
                <w:bCs/>
                <w:color w:val="303030"/>
                <w:spacing w:val="0"/>
                <w:sz w:val="22"/>
                <w:szCs w:val="22"/>
                <w:lang w:val="en-US" w:eastAsia="zh-CN"/>
              </w:rPr>
              <w:t>Pre-sale vs. sale contracts</w:t>
            </w:r>
          </w:p>
          <w:p w14:paraId="7CD40B2E" w14:textId="77777777" w:rsidR="00692526" w:rsidRPr="00CE0F1C" w:rsidRDefault="00692526" w:rsidP="00692526">
            <w:pPr>
              <w:suppressAutoHyphens/>
              <w:rPr>
                <w:rFonts w:ascii="Trebuchet MS" w:eastAsia="Calibri" w:hAnsi="Trebuchet MS"/>
                <w:color w:val="303030"/>
                <w:spacing w:val="0"/>
                <w:sz w:val="22"/>
                <w:szCs w:val="22"/>
                <w:lang w:val="en-US" w:eastAsia="zh-CN"/>
              </w:rPr>
            </w:pPr>
          </w:p>
          <w:p w14:paraId="6DBDDC7E" w14:textId="77777777" w:rsidR="00692526" w:rsidRPr="00CE0F1C" w:rsidRDefault="00692526" w:rsidP="00692526">
            <w:pPr>
              <w:suppressAutoHyphens/>
              <w:rPr>
                <w:rFonts w:ascii="Trebuchet MS" w:eastAsia="Calibri" w:hAnsi="Trebuchet MS"/>
                <w:color w:val="303030"/>
                <w:spacing w:val="0"/>
                <w:sz w:val="22"/>
                <w:szCs w:val="22"/>
                <w:lang w:val="en-US" w:eastAsia="zh-CN"/>
              </w:rPr>
            </w:pPr>
            <w:r w:rsidRPr="00CE0F1C">
              <w:rPr>
                <w:rFonts w:ascii="Trebuchet MS" w:eastAsia="Calibri" w:hAnsi="Trebuchet MS"/>
                <w:color w:val="303030"/>
                <w:spacing w:val="0"/>
                <w:sz w:val="22"/>
                <w:szCs w:val="22"/>
                <w:lang w:val="en-US" w:eastAsia="zh-CN"/>
              </w:rPr>
              <w:t>Pre-sale contracts are defined in such a way that cancellation by the buyer is accepted. At the same time, it is required that the deposit paid is forfeited if the buyer cancels the contract. However, this puts pre-sale and purchase contracts on an equal footing, as at least part of the cash deposit is forfeited in both cases. Why the distinction?</w:t>
            </w:r>
          </w:p>
          <w:p w14:paraId="27C0C67C" w14:textId="77777777" w:rsidR="00692526" w:rsidRPr="00CE0F1C" w:rsidRDefault="00692526" w:rsidP="00692526">
            <w:pPr>
              <w:suppressAutoHyphens/>
              <w:rPr>
                <w:rFonts w:ascii="Trebuchet MS" w:eastAsia="Calibri" w:hAnsi="Trebuchet MS"/>
                <w:color w:val="303030"/>
                <w:spacing w:val="0"/>
                <w:sz w:val="22"/>
                <w:szCs w:val="22"/>
                <w:lang w:val="en-US" w:eastAsia="zh-CN"/>
              </w:rPr>
            </w:pPr>
          </w:p>
          <w:p w14:paraId="298B4E80" w14:textId="77777777" w:rsidR="00692526" w:rsidRPr="00CE0F1C" w:rsidRDefault="00692526" w:rsidP="00692526">
            <w:pPr>
              <w:suppressAutoHyphens/>
              <w:rPr>
                <w:rFonts w:ascii="Trebuchet MS" w:eastAsia="Calibri" w:hAnsi="Trebuchet MS"/>
                <w:color w:val="303030"/>
                <w:spacing w:val="0"/>
                <w:sz w:val="22"/>
                <w:szCs w:val="22"/>
                <w:lang w:val="en-US" w:eastAsia="zh-CN"/>
              </w:rPr>
            </w:pPr>
            <w:r w:rsidRPr="00CE0F1C">
              <w:rPr>
                <w:rFonts w:ascii="Trebuchet MS" w:eastAsia="Calibri" w:hAnsi="Trebuchet MS"/>
                <w:color w:val="303030"/>
                <w:spacing w:val="0"/>
                <w:sz w:val="22"/>
                <w:szCs w:val="22"/>
                <w:lang w:val="en-US" w:eastAsia="zh-CN"/>
              </w:rPr>
              <w:t>-</w:t>
            </w:r>
            <w:r w:rsidRPr="00CE0F1C">
              <w:rPr>
                <w:rFonts w:ascii="Trebuchet MS" w:eastAsia="Calibri" w:hAnsi="Trebuchet MS"/>
                <w:color w:val="303030"/>
                <w:spacing w:val="0"/>
                <w:sz w:val="22"/>
                <w:szCs w:val="22"/>
                <w:lang w:val="en-US" w:eastAsia="zh-CN"/>
              </w:rPr>
              <w:tab/>
            </w:r>
            <w:r w:rsidRPr="00CE0F1C">
              <w:rPr>
                <w:rFonts w:ascii="Trebuchet MS" w:eastAsia="Calibri" w:hAnsi="Trebuchet MS"/>
                <w:b/>
                <w:bCs/>
                <w:color w:val="303030"/>
                <w:spacing w:val="0"/>
                <w:sz w:val="22"/>
                <w:szCs w:val="22"/>
                <w:lang w:val="en-US" w:eastAsia="zh-CN"/>
              </w:rPr>
              <w:t>Properties for sale and rent</w:t>
            </w:r>
          </w:p>
          <w:p w14:paraId="604F5AF7" w14:textId="77777777" w:rsidR="00692526" w:rsidRPr="00CE0F1C" w:rsidRDefault="00692526" w:rsidP="00692526">
            <w:pPr>
              <w:suppressAutoHyphens/>
              <w:rPr>
                <w:rFonts w:ascii="Trebuchet MS" w:eastAsia="Calibri" w:hAnsi="Trebuchet MS"/>
                <w:color w:val="303030"/>
                <w:spacing w:val="0"/>
                <w:sz w:val="22"/>
                <w:szCs w:val="22"/>
                <w:lang w:val="en-US" w:eastAsia="zh-CN"/>
              </w:rPr>
            </w:pPr>
          </w:p>
          <w:p w14:paraId="5F61A718" w14:textId="77777777" w:rsidR="00692526" w:rsidRPr="00CE0F1C" w:rsidRDefault="00692526" w:rsidP="00692526">
            <w:pPr>
              <w:suppressAutoHyphens/>
              <w:rPr>
                <w:rFonts w:ascii="Trebuchet MS" w:eastAsia="Calibri" w:hAnsi="Trebuchet MS"/>
                <w:color w:val="303030"/>
                <w:spacing w:val="0"/>
                <w:sz w:val="22"/>
                <w:szCs w:val="22"/>
                <w:lang w:val="en-US" w:eastAsia="zh-CN"/>
              </w:rPr>
            </w:pPr>
            <w:r w:rsidRPr="00CE0F1C">
              <w:rPr>
                <w:rFonts w:ascii="Trebuchet MS" w:eastAsia="Calibri" w:hAnsi="Trebuchet MS"/>
                <w:color w:val="303030"/>
                <w:spacing w:val="0"/>
                <w:sz w:val="22"/>
                <w:szCs w:val="22"/>
                <w:lang w:val="en-US" w:eastAsia="zh-CN"/>
              </w:rPr>
              <w:t xml:space="preserve">Are the key figures for the sales and leasing rates to be determined separately (with the respective allocation of the relevant residential units to the form of </w:t>
            </w:r>
            <w:proofErr w:type="spellStart"/>
            <w:r w:rsidRPr="00CE0F1C">
              <w:rPr>
                <w:rFonts w:ascii="Trebuchet MS" w:eastAsia="Calibri" w:hAnsi="Trebuchet MS"/>
                <w:color w:val="303030"/>
                <w:spacing w:val="0"/>
                <w:sz w:val="22"/>
                <w:szCs w:val="22"/>
                <w:lang w:val="en-US" w:eastAsia="zh-CN"/>
              </w:rPr>
              <w:t>realisation</w:t>
            </w:r>
            <w:proofErr w:type="spellEnd"/>
            <w:r w:rsidRPr="00CE0F1C">
              <w:rPr>
                <w:rFonts w:ascii="Trebuchet MS" w:eastAsia="Calibri" w:hAnsi="Trebuchet MS"/>
                <w:color w:val="303030"/>
                <w:spacing w:val="0"/>
                <w:sz w:val="22"/>
                <w:szCs w:val="22"/>
                <w:lang w:val="en-US" w:eastAsia="zh-CN"/>
              </w:rPr>
              <w:t xml:space="preserve">) if there is a mixed </w:t>
            </w:r>
            <w:proofErr w:type="spellStart"/>
            <w:r w:rsidRPr="00CE0F1C">
              <w:rPr>
                <w:rFonts w:ascii="Trebuchet MS" w:eastAsia="Calibri" w:hAnsi="Trebuchet MS"/>
                <w:color w:val="303030"/>
                <w:spacing w:val="0"/>
                <w:sz w:val="22"/>
                <w:szCs w:val="22"/>
                <w:lang w:val="en-US" w:eastAsia="zh-CN"/>
              </w:rPr>
              <w:t>realisation</w:t>
            </w:r>
            <w:proofErr w:type="spellEnd"/>
            <w:r w:rsidRPr="00CE0F1C">
              <w:rPr>
                <w:rFonts w:ascii="Trebuchet MS" w:eastAsia="Calibri" w:hAnsi="Trebuchet MS"/>
                <w:color w:val="303030"/>
                <w:spacing w:val="0"/>
                <w:sz w:val="22"/>
                <w:szCs w:val="22"/>
                <w:lang w:val="en-US" w:eastAsia="zh-CN"/>
              </w:rPr>
              <w:t xml:space="preserve"> of the property (both leasing and sales)?</w:t>
            </w:r>
          </w:p>
          <w:p w14:paraId="40543D1A" w14:textId="77777777" w:rsidR="00692526" w:rsidRPr="00CE0F1C" w:rsidRDefault="00692526" w:rsidP="00692526">
            <w:pPr>
              <w:suppressAutoHyphens/>
              <w:rPr>
                <w:rFonts w:ascii="Trebuchet MS" w:eastAsia="Calibri" w:hAnsi="Trebuchet MS"/>
                <w:color w:val="303030"/>
                <w:spacing w:val="0"/>
                <w:sz w:val="22"/>
                <w:szCs w:val="22"/>
                <w:lang w:val="en-US" w:eastAsia="zh-CN"/>
              </w:rPr>
            </w:pPr>
          </w:p>
          <w:p w14:paraId="7AB8F22C" w14:textId="77777777" w:rsidR="00692526" w:rsidRPr="00CE0F1C" w:rsidRDefault="00692526" w:rsidP="00692526">
            <w:pPr>
              <w:suppressAutoHyphens/>
              <w:rPr>
                <w:rFonts w:ascii="Trebuchet MS" w:eastAsia="Calibri" w:hAnsi="Trebuchet MS"/>
                <w:color w:val="303030"/>
                <w:spacing w:val="0"/>
                <w:sz w:val="22"/>
                <w:szCs w:val="22"/>
                <w:lang w:val="en-US" w:eastAsia="zh-CN"/>
              </w:rPr>
            </w:pPr>
            <w:r w:rsidRPr="00CE0F1C">
              <w:rPr>
                <w:rFonts w:ascii="Trebuchet MS" w:eastAsia="Calibri" w:hAnsi="Trebuchet MS"/>
                <w:color w:val="303030"/>
                <w:spacing w:val="0"/>
                <w:sz w:val="22"/>
                <w:szCs w:val="22"/>
                <w:lang w:val="en-US" w:eastAsia="zh-CN"/>
              </w:rPr>
              <w:t>-</w:t>
            </w:r>
            <w:r w:rsidRPr="00CE0F1C">
              <w:rPr>
                <w:rFonts w:ascii="Trebuchet MS" w:eastAsia="Calibri" w:hAnsi="Trebuchet MS"/>
                <w:color w:val="303030"/>
                <w:spacing w:val="0"/>
                <w:sz w:val="22"/>
                <w:szCs w:val="22"/>
                <w:lang w:val="en-US" w:eastAsia="zh-CN"/>
              </w:rPr>
              <w:tab/>
            </w:r>
            <w:r w:rsidRPr="00CE0F1C">
              <w:rPr>
                <w:rFonts w:ascii="Trebuchet MS" w:eastAsia="Calibri" w:hAnsi="Trebuchet MS"/>
                <w:b/>
                <w:bCs/>
                <w:color w:val="303030"/>
                <w:spacing w:val="0"/>
                <w:sz w:val="22"/>
                <w:szCs w:val="22"/>
                <w:lang w:val="en-US" w:eastAsia="zh-CN"/>
              </w:rPr>
              <w:t>Non-profit housing</w:t>
            </w:r>
            <w:r w:rsidRPr="00CE0F1C">
              <w:rPr>
                <w:rFonts w:ascii="Trebuchet MS" w:eastAsia="Calibri" w:hAnsi="Trebuchet MS"/>
                <w:color w:val="303030"/>
                <w:spacing w:val="0"/>
                <w:sz w:val="22"/>
                <w:szCs w:val="22"/>
                <w:lang w:val="en-US" w:eastAsia="zh-CN"/>
              </w:rPr>
              <w:t xml:space="preserve"> </w:t>
            </w:r>
          </w:p>
          <w:p w14:paraId="242F791F" w14:textId="77777777" w:rsidR="00692526" w:rsidRPr="00CE0F1C" w:rsidRDefault="00692526" w:rsidP="00692526">
            <w:pPr>
              <w:suppressAutoHyphens/>
              <w:rPr>
                <w:rFonts w:ascii="Trebuchet MS" w:eastAsia="Calibri" w:hAnsi="Trebuchet MS"/>
                <w:color w:val="4472C4"/>
                <w:spacing w:val="0"/>
                <w:sz w:val="22"/>
                <w:szCs w:val="22"/>
                <w:lang w:val="en-GB" w:eastAsia="zh-CN"/>
              </w:rPr>
            </w:pPr>
          </w:p>
          <w:p w14:paraId="4C466CE8" w14:textId="77777777" w:rsidR="00692526" w:rsidRPr="00CE0F1C" w:rsidRDefault="00692526" w:rsidP="00692526">
            <w:pPr>
              <w:suppressAutoHyphens/>
              <w:rPr>
                <w:rFonts w:ascii="Trebuchet MS" w:eastAsia="Calibri" w:hAnsi="Trebuchet MS"/>
                <w:color w:val="303030"/>
                <w:spacing w:val="0"/>
                <w:sz w:val="22"/>
                <w:szCs w:val="22"/>
                <w:lang w:val="en-US" w:eastAsia="zh-CN"/>
              </w:rPr>
            </w:pPr>
            <w:r w:rsidRPr="00CE0F1C">
              <w:rPr>
                <w:rFonts w:ascii="Trebuchet MS" w:eastAsia="Calibri" w:hAnsi="Trebuchet MS"/>
                <w:color w:val="303030"/>
                <w:spacing w:val="0"/>
                <w:sz w:val="22"/>
                <w:szCs w:val="22"/>
                <w:lang w:val="en-US" w:eastAsia="zh-CN"/>
              </w:rPr>
              <w:t xml:space="preserve">Can the financing contribution to be deposited by future tenants (pursuant to WGG) be interpreted as a ‘cash deposit’ pursuant to EBA? Note: Financing contributions do not expire if the future tenant withdraws from the tenancy agreement. Additional information: the financing contribution is </w:t>
            </w:r>
            <w:proofErr w:type="spellStart"/>
            <w:r w:rsidRPr="00CE0F1C">
              <w:rPr>
                <w:rFonts w:ascii="Trebuchet MS" w:eastAsia="Calibri" w:hAnsi="Trebuchet MS"/>
                <w:color w:val="303030"/>
                <w:spacing w:val="0"/>
                <w:sz w:val="22"/>
                <w:szCs w:val="22"/>
                <w:lang w:val="en-US" w:eastAsia="zh-CN"/>
              </w:rPr>
              <w:t>amortised</w:t>
            </w:r>
            <w:proofErr w:type="spellEnd"/>
            <w:r w:rsidRPr="00CE0F1C">
              <w:rPr>
                <w:rFonts w:ascii="Trebuchet MS" w:eastAsia="Calibri" w:hAnsi="Trebuchet MS"/>
                <w:color w:val="303030"/>
                <w:spacing w:val="0"/>
                <w:sz w:val="22"/>
                <w:szCs w:val="22"/>
                <w:lang w:val="en-US" w:eastAsia="zh-CN"/>
              </w:rPr>
              <w:t xml:space="preserve"> on a straight-line basis over 100 years, i.e. 1% per year. If the tenant cancels the lease, the GBV (</w:t>
            </w:r>
            <w:proofErr w:type="spellStart"/>
            <w:r w:rsidRPr="00CE0F1C">
              <w:rPr>
                <w:rFonts w:ascii="Trebuchet MS" w:eastAsia="Calibri" w:hAnsi="Trebuchet MS"/>
                <w:i/>
                <w:iCs/>
                <w:color w:val="303030"/>
                <w:spacing w:val="0"/>
                <w:sz w:val="22"/>
                <w:szCs w:val="22"/>
                <w:lang w:val="en-US" w:eastAsia="zh-CN"/>
              </w:rPr>
              <w:t>Gemeinnützige</w:t>
            </w:r>
            <w:proofErr w:type="spellEnd"/>
            <w:r w:rsidRPr="00CE0F1C">
              <w:rPr>
                <w:rFonts w:ascii="Trebuchet MS" w:eastAsia="Calibri" w:hAnsi="Trebuchet MS"/>
                <w:i/>
                <w:iCs/>
                <w:color w:val="303030"/>
                <w:spacing w:val="0"/>
                <w:sz w:val="22"/>
                <w:szCs w:val="22"/>
                <w:lang w:val="en-US" w:eastAsia="zh-CN"/>
              </w:rPr>
              <w:t xml:space="preserve"> </w:t>
            </w:r>
            <w:proofErr w:type="spellStart"/>
            <w:r w:rsidRPr="00CE0F1C">
              <w:rPr>
                <w:rFonts w:ascii="Trebuchet MS" w:eastAsia="Calibri" w:hAnsi="Trebuchet MS"/>
                <w:i/>
                <w:iCs/>
                <w:color w:val="303030"/>
                <w:spacing w:val="0"/>
                <w:sz w:val="22"/>
                <w:szCs w:val="22"/>
                <w:lang w:val="en-US" w:eastAsia="zh-CN"/>
              </w:rPr>
              <w:t>Bauvereinigung</w:t>
            </w:r>
            <w:proofErr w:type="spellEnd"/>
            <w:r w:rsidRPr="00CE0F1C">
              <w:rPr>
                <w:rFonts w:ascii="Trebuchet MS" w:eastAsia="Calibri" w:hAnsi="Trebuchet MS"/>
                <w:color w:val="303030"/>
                <w:spacing w:val="0"/>
                <w:sz w:val="22"/>
                <w:szCs w:val="22"/>
                <w:lang w:val="en-US" w:eastAsia="zh-CN"/>
              </w:rPr>
              <w:t>) returns the remaining financing contribution calculated in this way.</w:t>
            </w:r>
          </w:p>
          <w:p w14:paraId="44CCE788" w14:textId="77777777" w:rsidR="00692526" w:rsidRPr="00CE0F1C" w:rsidRDefault="00692526" w:rsidP="00692526">
            <w:pPr>
              <w:suppressAutoHyphens/>
              <w:rPr>
                <w:rFonts w:ascii="Trebuchet MS" w:eastAsia="Calibri" w:hAnsi="Trebuchet MS"/>
                <w:spacing w:val="0"/>
                <w:sz w:val="22"/>
                <w:szCs w:val="22"/>
                <w:lang w:val="en-GB" w:eastAsia="zh-CN"/>
              </w:rPr>
            </w:pPr>
          </w:p>
          <w:p w14:paraId="03DB31CA" w14:textId="77777777" w:rsidR="00692526" w:rsidRPr="00B906B1" w:rsidRDefault="00692526" w:rsidP="00692526">
            <w:pPr>
              <w:suppressAutoHyphens/>
              <w:rPr>
                <w:rFonts w:ascii="Trebuchet MS" w:eastAsia="Calibri" w:hAnsi="Trebuchet MS"/>
                <w:color w:val="4472C4"/>
                <w:spacing w:val="0"/>
                <w:sz w:val="22"/>
                <w:szCs w:val="22"/>
                <w:lang w:val="en-GB" w:eastAsia="zh-CN"/>
              </w:rPr>
            </w:pPr>
          </w:p>
        </w:tc>
      </w:tr>
    </w:tbl>
    <w:p w14:paraId="427ECA80" w14:textId="77777777" w:rsidR="00692526" w:rsidRPr="00B906B1" w:rsidRDefault="00692526" w:rsidP="00692526">
      <w:pPr>
        <w:rPr>
          <w:rFonts w:ascii="Trebuchet MS" w:hAnsi="Trebuchet MS"/>
          <w:b/>
          <w:bCs/>
          <w:spacing w:val="0"/>
          <w:sz w:val="22"/>
          <w:szCs w:val="22"/>
          <w:u w:val="single"/>
          <w:lang w:val="en-GB" w:eastAsia="fr-FR"/>
        </w:rPr>
      </w:pPr>
    </w:p>
    <w:p w14:paraId="28593710" w14:textId="77777777" w:rsidR="000B1390" w:rsidRPr="00B906B1" w:rsidRDefault="000B1390" w:rsidP="000B1390">
      <w:pPr>
        <w:rPr>
          <w:rFonts w:ascii="Trebuchet MS" w:hAnsi="Trebuchet MS"/>
          <w:b/>
          <w:sz w:val="22"/>
          <w:szCs w:val="22"/>
          <w:lang w:val="en-GB"/>
        </w:rPr>
      </w:pPr>
    </w:p>
    <w:sectPr w:rsidR="000B1390" w:rsidRPr="00B906B1" w:rsidSect="00E736C4">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6094F" w14:textId="77777777" w:rsidR="00A90E24" w:rsidRDefault="00A90E24" w:rsidP="000B1390">
      <w:r>
        <w:separator/>
      </w:r>
    </w:p>
  </w:endnote>
  <w:endnote w:type="continuationSeparator" w:id="0">
    <w:p w14:paraId="36A53E89" w14:textId="77777777" w:rsidR="00A90E24" w:rsidRDefault="00A90E24" w:rsidP="000B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w:altName w:val="Century Gothic"/>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524457"/>
      <w:docPartObj>
        <w:docPartGallery w:val="Page Numbers (Bottom of Page)"/>
        <w:docPartUnique/>
      </w:docPartObj>
    </w:sdtPr>
    <w:sdtEndPr/>
    <w:sdtContent>
      <w:p w14:paraId="2DDAA87F" w14:textId="1654111A" w:rsidR="00B906B1" w:rsidRDefault="00B906B1">
        <w:pPr>
          <w:pStyle w:val="Fuzeile"/>
          <w:jc w:val="center"/>
        </w:pPr>
        <w:r>
          <w:fldChar w:fldCharType="begin"/>
        </w:r>
        <w:r>
          <w:instrText>PAGE   \* MERGEFORMAT</w:instrText>
        </w:r>
        <w:r>
          <w:fldChar w:fldCharType="separate"/>
        </w:r>
        <w:r>
          <w:t>2</w:t>
        </w:r>
        <w:r>
          <w:fldChar w:fldCharType="end"/>
        </w:r>
      </w:p>
    </w:sdtContent>
  </w:sdt>
  <w:p w14:paraId="60E73FA7" w14:textId="77777777" w:rsidR="00B906B1" w:rsidRDefault="00B906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FE38" w14:textId="77777777" w:rsidR="00A90E24" w:rsidRDefault="00A90E24" w:rsidP="000B1390">
      <w:r>
        <w:separator/>
      </w:r>
    </w:p>
  </w:footnote>
  <w:footnote w:type="continuationSeparator" w:id="0">
    <w:p w14:paraId="18C43A73" w14:textId="77777777" w:rsidR="00A90E24" w:rsidRDefault="00A90E24" w:rsidP="000B1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2643" w14:textId="55634EBF" w:rsidR="000B1390" w:rsidRDefault="000B1390" w:rsidP="000B1390">
    <w:pPr>
      <w:pStyle w:val="Kopfzeile"/>
      <w:jc w:val="right"/>
    </w:pPr>
    <w:r>
      <w:rPr>
        <w:noProof/>
        <w:lang w:val="de-AT"/>
      </w:rPr>
      <w:drawing>
        <wp:inline distT="0" distB="0" distL="0" distR="0" wp14:anchorId="7B8CC865" wp14:editId="62F0CF03">
          <wp:extent cx="2210435" cy="861695"/>
          <wp:effectExtent l="0" t="0" r="0" b="0"/>
          <wp:docPr id="1" name="Bild 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1"/>
                  <a:srcRect/>
                  <a:stretch>
                    <a:fillRect/>
                  </a:stretch>
                </pic:blipFill>
                <pic:spPr bwMode="auto">
                  <a:xfrm>
                    <a:off x="0" y="0"/>
                    <a:ext cx="2210435" cy="8616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626E5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D41D8"/>
    <w:multiLevelType w:val="hybridMultilevel"/>
    <w:tmpl w:val="388A5C38"/>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706140A"/>
    <w:multiLevelType w:val="hybridMultilevel"/>
    <w:tmpl w:val="1D5E0BC8"/>
    <w:lvl w:ilvl="0" w:tplc="FFFFFFFF">
      <w:start w:val="1"/>
      <w:numFmt w:val="lowerLetter"/>
      <w:lvlText w:val="%1."/>
      <w:lvlJc w:val="left"/>
      <w:pPr>
        <w:ind w:left="436" w:hanging="360"/>
      </w:pPr>
    </w:lvl>
    <w:lvl w:ilvl="1" w:tplc="0C07001B">
      <w:start w:val="1"/>
      <w:numFmt w:val="lowerRoman"/>
      <w:lvlText w:val="%2."/>
      <w:lvlJc w:val="righ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12CE286A"/>
    <w:multiLevelType w:val="hybridMultilevel"/>
    <w:tmpl w:val="065C4606"/>
    <w:lvl w:ilvl="0" w:tplc="0C07000B">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03991"/>
    <w:multiLevelType w:val="hybridMultilevel"/>
    <w:tmpl w:val="1CB2508A"/>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7FE1459"/>
    <w:multiLevelType w:val="multilevel"/>
    <w:tmpl w:val="0C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A1381"/>
    <w:multiLevelType w:val="hybridMultilevel"/>
    <w:tmpl w:val="AF04A948"/>
    <w:lvl w:ilvl="0" w:tplc="43380A2C">
      <w:start w:val="1"/>
      <w:numFmt w:val="lowerLetter"/>
      <w:lvlText w:val="%1."/>
      <w:lvlJc w:val="left"/>
      <w:pPr>
        <w:ind w:left="436" w:hanging="360"/>
      </w:pPr>
      <w:rPr>
        <w:rFonts w:hint="default"/>
      </w:rPr>
    </w:lvl>
    <w:lvl w:ilvl="1" w:tplc="0C070019" w:tentative="1">
      <w:start w:val="1"/>
      <w:numFmt w:val="lowerLetter"/>
      <w:lvlText w:val="%2."/>
      <w:lvlJc w:val="left"/>
      <w:pPr>
        <w:ind w:left="1156" w:hanging="360"/>
      </w:pPr>
    </w:lvl>
    <w:lvl w:ilvl="2" w:tplc="0C07001B" w:tentative="1">
      <w:start w:val="1"/>
      <w:numFmt w:val="lowerRoman"/>
      <w:lvlText w:val="%3."/>
      <w:lvlJc w:val="right"/>
      <w:pPr>
        <w:ind w:left="1876" w:hanging="180"/>
      </w:pPr>
    </w:lvl>
    <w:lvl w:ilvl="3" w:tplc="0C07000F" w:tentative="1">
      <w:start w:val="1"/>
      <w:numFmt w:val="decimal"/>
      <w:lvlText w:val="%4."/>
      <w:lvlJc w:val="left"/>
      <w:pPr>
        <w:ind w:left="2596" w:hanging="360"/>
      </w:pPr>
    </w:lvl>
    <w:lvl w:ilvl="4" w:tplc="0C070019" w:tentative="1">
      <w:start w:val="1"/>
      <w:numFmt w:val="lowerLetter"/>
      <w:lvlText w:val="%5."/>
      <w:lvlJc w:val="left"/>
      <w:pPr>
        <w:ind w:left="3316" w:hanging="360"/>
      </w:pPr>
    </w:lvl>
    <w:lvl w:ilvl="5" w:tplc="0C07001B" w:tentative="1">
      <w:start w:val="1"/>
      <w:numFmt w:val="lowerRoman"/>
      <w:lvlText w:val="%6."/>
      <w:lvlJc w:val="right"/>
      <w:pPr>
        <w:ind w:left="4036" w:hanging="180"/>
      </w:pPr>
    </w:lvl>
    <w:lvl w:ilvl="6" w:tplc="0C07000F" w:tentative="1">
      <w:start w:val="1"/>
      <w:numFmt w:val="decimal"/>
      <w:lvlText w:val="%7."/>
      <w:lvlJc w:val="left"/>
      <w:pPr>
        <w:ind w:left="4756" w:hanging="360"/>
      </w:pPr>
    </w:lvl>
    <w:lvl w:ilvl="7" w:tplc="0C070019" w:tentative="1">
      <w:start w:val="1"/>
      <w:numFmt w:val="lowerLetter"/>
      <w:lvlText w:val="%8."/>
      <w:lvlJc w:val="left"/>
      <w:pPr>
        <w:ind w:left="5476" w:hanging="360"/>
      </w:pPr>
    </w:lvl>
    <w:lvl w:ilvl="8" w:tplc="0C07001B" w:tentative="1">
      <w:start w:val="1"/>
      <w:numFmt w:val="lowerRoman"/>
      <w:lvlText w:val="%9."/>
      <w:lvlJc w:val="right"/>
      <w:pPr>
        <w:ind w:left="6196" w:hanging="180"/>
      </w:pPr>
    </w:lvl>
  </w:abstractNum>
  <w:abstractNum w:abstractNumId="7" w15:restartNumberingAfterBreak="0">
    <w:nsid w:val="204820C5"/>
    <w:multiLevelType w:val="hybridMultilevel"/>
    <w:tmpl w:val="CD805288"/>
    <w:lvl w:ilvl="0" w:tplc="CFFA460E">
      <w:start w:val="5"/>
      <w:numFmt w:val="lowerLetter"/>
      <w:lvlText w:val="%1."/>
      <w:lvlJc w:val="left"/>
      <w:pPr>
        <w:ind w:left="436"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77D746F"/>
    <w:multiLevelType w:val="hybridMultilevel"/>
    <w:tmpl w:val="CBD09CD2"/>
    <w:lvl w:ilvl="0" w:tplc="563A4FEA">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71A6D37"/>
    <w:multiLevelType w:val="hybridMultilevel"/>
    <w:tmpl w:val="BB5EA3A4"/>
    <w:lvl w:ilvl="0" w:tplc="561E3B38">
      <w:start w:val="1"/>
      <w:numFmt w:val="lowerLetter"/>
      <w:lvlText w:val="%1)"/>
      <w:lvlJc w:val="left"/>
      <w:pPr>
        <w:ind w:left="720" w:hanging="360"/>
      </w:pPr>
      <w:rPr>
        <w:i w:val="0"/>
        <w:color w:val="000000"/>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0" w15:restartNumberingAfterBreak="0">
    <w:nsid w:val="589B0B56"/>
    <w:multiLevelType w:val="hybridMultilevel"/>
    <w:tmpl w:val="2FA08F52"/>
    <w:lvl w:ilvl="0" w:tplc="0C070019">
      <w:start w:val="1"/>
      <w:numFmt w:val="lowerLetter"/>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E9A72A3"/>
    <w:multiLevelType w:val="hybridMultilevel"/>
    <w:tmpl w:val="42866F90"/>
    <w:lvl w:ilvl="0" w:tplc="0C070019">
      <w:start w:val="1"/>
      <w:numFmt w:val="lowerLetter"/>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2715E77"/>
    <w:multiLevelType w:val="hybridMultilevel"/>
    <w:tmpl w:val="91E0DD02"/>
    <w:lvl w:ilvl="0" w:tplc="563A4FEA">
      <w:start w:val="1"/>
      <w:numFmt w:val="bullet"/>
      <w:lvlText w:val=""/>
      <w:lvlJc w:val="left"/>
      <w:pPr>
        <w:tabs>
          <w:tab w:val="num" w:pos="720"/>
        </w:tabs>
        <w:ind w:left="720" w:hanging="360"/>
      </w:pPr>
      <w:rPr>
        <w:rFonts w:ascii="Wingdings" w:hAnsi="Wingdings" w:hint="default"/>
      </w:rPr>
    </w:lvl>
    <w:lvl w:ilvl="1" w:tplc="2B8E6F8C" w:tentative="1">
      <w:start w:val="1"/>
      <w:numFmt w:val="bullet"/>
      <w:lvlText w:val=""/>
      <w:lvlJc w:val="left"/>
      <w:pPr>
        <w:tabs>
          <w:tab w:val="num" w:pos="1440"/>
        </w:tabs>
        <w:ind w:left="1440" w:hanging="360"/>
      </w:pPr>
      <w:rPr>
        <w:rFonts w:ascii="Wingdings" w:hAnsi="Wingdings" w:hint="default"/>
      </w:rPr>
    </w:lvl>
    <w:lvl w:ilvl="2" w:tplc="D4788D90" w:tentative="1">
      <w:start w:val="1"/>
      <w:numFmt w:val="bullet"/>
      <w:lvlText w:val=""/>
      <w:lvlJc w:val="left"/>
      <w:pPr>
        <w:tabs>
          <w:tab w:val="num" w:pos="2160"/>
        </w:tabs>
        <w:ind w:left="2160" w:hanging="360"/>
      </w:pPr>
      <w:rPr>
        <w:rFonts w:ascii="Wingdings" w:hAnsi="Wingdings" w:hint="default"/>
      </w:rPr>
    </w:lvl>
    <w:lvl w:ilvl="3" w:tplc="5A106C2A" w:tentative="1">
      <w:start w:val="1"/>
      <w:numFmt w:val="bullet"/>
      <w:lvlText w:val=""/>
      <w:lvlJc w:val="left"/>
      <w:pPr>
        <w:tabs>
          <w:tab w:val="num" w:pos="2880"/>
        </w:tabs>
        <w:ind w:left="2880" w:hanging="360"/>
      </w:pPr>
      <w:rPr>
        <w:rFonts w:ascii="Wingdings" w:hAnsi="Wingdings" w:hint="default"/>
      </w:rPr>
    </w:lvl>
    <w:lvl w:ilvl="4" w:tplc="E708BD38" w:tentative="1">
      <w:start w:val="1"/>
      <w:numFmt w:val="bullet"/>
      <w:lvlText w:val=""/>
      <w:lvlJc w:val="left"/>
      <w:pPr>
        <w:tabs>
          <w:tab w:val="num" w:pos="3600"/>
        </w:tabs>
        <w:ind w:left="3600" w:hanging="360"/>
      </w:pPr>
      <w:rPr>
        <w:rFonts w:ascii="Wingdings" w:hAnsi="Wingdings" w:hint="default"/>
      </w:rPr>
    </w:lvl>
    <w:lvl w:ilvl="5" w:tplc="9C96B332" w:tentative="1">
      <w:start w:val="1"/>
      <w:numFmt w:val="bullet"/>
      <w:lvlText w:val=""/>
      <w:lvlJc w:val="left"/>
      <w:pPr>
        <w:tabs>
          <w:tab w:val="num" w:pos="4320"/>
        </w:tabs>
        <w:ind w:left="4320" w:hanging="360"/>
      </w:pPr>
      <w:rPr>
        <w:rFonts w:ascii="Wingdings" w:hAnsi="Wingdings" w:hint="default"/>
      </w:rPr>
    </w:lvl>
    <w:lvl w:ilvl="6" w:tplc="0C70949C" w:tentative="1">
      <w:start w:val="1"/>
      <w:numFmt w:val="bullet"/>
      <w:lvlText w:val=""/>
      <w:lvlJc w:val="left"/>
      <w:pPr>
        <w:tabs>
          <w:tab w:val="num" w:pos="5040"/>
        </w:tabs>
        <w:ind w:left="5040" w:hanging="360"/>
      </w:pPr>
      <w:rPr>
        <w:rFonts w:ascii="Wingdings" w:hAnsi="Wingdings" w:hint="default"/>
      </w:rPr>
    </w:lvl>
    <w:lvl w:ilvl="7" w:tplc="A53ECF50" w:tentative="1">
      <w:start w:val="1"/>
      <w:numFmt w:val="bullet"/>
      <w:lvlText w:val=""/>
      <w:lvlJc w:val="left"/>
      <w:pPr>
        <w:tabs>
          <w:tab w:val="num" w:pos="5760"/>
        </w:tabs>
        <w:ind w:left="5760" w:hanging="360"/>
      </w:pPr>
      <w:rPr>
        <w:rFonts w:ascii="Wingdings" w:hAnsi="Wingdings" w:hint="default"/>
      </w:rPr>
    </w:lvl>
    <w:lvl w:ilvl="8" w:tplc="A4E8E9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8E3E74"/>
    <w:multiLevelType w:val="hybridMultilevel"/>
    <w:tmpl w:val="075A64CE"/>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648260D"/>
    <w:multiLevelType w:val="hybridMultilevel"/>
    <w:tmpl w:val="39E67F12"/>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65B72B2"/>
    <w:multiLevelType w:val="hybridMultilevel"/>
    <w:tmpl w:val="4C0CDB12"/>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6" w15:restartNumberingAfterBreak="0">
    <w:nsid w:val="6826377A"/>
    <w:multiLevelType w:val="hybridMultilevel"/>
    <w:tmpl w:val="25B03D3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91C20E3"/>
    <w:multiLevelType w:val="hybridMultilevel"/>
    <w:tmpl w:val="30548356"/>
    <w:lvl w:ilvl="0" w:tplc="0C070019">
      <w:start w:val="1"/>
      <w:numFmt w:val="lowerLetter"/>
      <w:lvlText w:val="%1."/>
      <w:lvlJc w:val="left"/>
      <w:pPr>
        <w:ind w:left="436" w:hanging="360"/>
      </w:pPr>
    </w:lvl>
    <w:lvl w:ilvl="1" w:tplc="0C070019" w:tentative="1">
      <w:start w:val="1"/>
      <w:numFmt w:val="lowerLetter"/>
      <w:lvlText w:val="%2."/>
      <w:lvlJc w:val="left"/>
      <w:pPr>
        <w:ind w:left="1156" w:hanging="360"/>
      </w:pPr>
    </w:lvl>
    <w:lvl w:ilvl="2" w:tplc="0C07001B" w:tentative="1">
      <w:start w:val="1"/>
      <w:numFmt w:val="lowerRoman"/>
      <w:lvlText w:val="%3."/>
      <w:lvlJc w:val="right"/>
      <w:pPr>
        <w:ind w:left="1876" w:hanging="180"/>
      </w:pPr>
    </w:lvl>
    <w:lvl w:ilvl="3" w:tplc="0C07000F" w:tentative="1">
      <w:start w:val="1"/>
      <w:numFmt w:val="decimal"/>
      <w:lvlText w:val="%4."/>
      <w:lvlJc w:val="left"/>
      <w:pPr>
        <w:ind w:left="2596" w:hanging="360"/>
      </w:pPr>
    </w:lvl>
    <w:lvl w:ilvl="4" w:tplc="0C070019" w:tentative="1">
      <w:start w:val="1"/>
      <w:numFmt w:val="lowerLetter"/>
      <w:lvlText w:val="%5."/>
      <w:lvlJc w:val="left"/>
      <w:pPr>
        <w:ind w:left="3316" w:hanging="360"/>
      </w:pPr>
    </w:lvl>
    <w:lvl w:ilvl="5" w:tplc="0C07001B" w:tentative="1">
      <w:start w:val="1"/>
      <w:numFmt w:val="lowerRoman"/>
      <w:lvlText w:val="%6."/>
      <w:lvlJc w:val="right"/>
      <w:pPr>
        <w:ind w:left="4036" w:hanging="180"/>
      </w:pPr>
    </w:lvl>
    <w:lvl w:ilvl="6" w:tplc="0C07000F" w:tentative="1">
      <w:start w:val="1"/>
      <w:numFmt w:val="decimal"/>
      <w:lvlText w:val="%7."/>
      <w:lvlJc w:val="left"/>
      <w:pPr>
        <w:ind w:left="4756" w:hanging="360"/>
      </w:pPr>
    </w:lvl>
    <w:lvl w:ilvl="7" w:tplc="0C070019" w:tentative="1">
      <w:start w:val="1"/>
      <w:numFmt w:val="lowerLetter"/>
      <w:lvlText w:val="%8."/>
      <w:lvlJc w:val="left"/>
      <w:pPr>
        <w:ind w:left="5476" w:hanging="360"/>
      </w:pPr>
    </w:lvl>
    <w:lvl w:ilvl="8" w:tplc="0C07001B" w:tentative="1">
      <w:start w:val="1"/>
      <w:numFmt w:val="lowerRoman"/>
      <w:lvlText w:val="%9."/>
      <w:lvlJc w:val="right"/>
      <w:pPr>
        <w:ind w:left="6196" w:hanging="180"/>
      </w:pPr>
    </w:lvl>
  </w:abstractNum>
  <w:abstractNum w:abstractNumId="18" w15:restartNumberingAfterBreak="0">
    <w:nsid w:val="737D6242"/>
    <w:multiLevelType w:val="hybridMultilevel"/>
    <w:tmpl w:val="20BC47CE"/>
    <w:lvl w:ilvl="0" w:tplc="0C070011">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9" w15:restartNumberingAfterBreak="0">
    <w:nsid w:val="750C1CE1"/>
    <w:multiLevelType w:val="multilevel"/>
    <w:tmpl w:val="4210C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A914DD8"/>
    <w:multiLevelType w:val="hybridMultilevel"/>
    <w:tmpl w:val="34587EC2"/>
    <w:lvl w:ilvl="0" w:tplc="8E1C5674">
      <w:numFmt w:val="bullet"/>
      <w:lvlText w:val="-"/>
      <w:lvlJc w:val="left"/>
      <w:pPr>
        <w:ind w:left="76" w:hanging="360"/>
      </w:pPr>
      <w:rPr>
        <w:rFonts w:ascii="Futura" w:eastAsia="Times New Roman" w:hAnsi="Futura" w:cs="Times New Roman" w:hint="default"/>
      </w:rPr>
    </w:lvl>
    <w:lvl w:ilvl="1" w:tplc="0C070003" w:tentative="1">
      <w:start w:val="1"/>
      <w:numFmt w:val="bullet"/>
      <w:lvlText w:val="o"/>
      <w:lvlJc w:val="left"/>
      <w:pPr>
        <w:ind w:left="796" w:hanging="360"/>
      </w:pPr>
      <w:rPr>
        <w:rFonts w:ascii="Courier New" w:hAnsi="Courier New" w:cs="Courier New" w:hint="default"/>
      </w:rPr>
    </w:lvl>
    <w:lvl w:ilvl="2" w:tplc="0C070005" w:tentative="1">
      <w:start w:val="1"/>
      <w:numFmt w:val="bullet"/>
      <w:lvlText w:val=""/>
      <w:lvlJc w:val="left"/>
      <w:pPr>
        <w:ind w:left="1516" w:hanging="360"/>
      </w:pPr>
      <w:rPr>
        <w:rFonts w:ascii="Wingdings" w:hAnsi="Wingdings" w:hint="default"/>
      </w:rPr>
    </w:lvl>
    <w:lvl w:ilvl="3" w:tplc="0C070001" w:tentative="1">
      <w:start w:val="1"/>
      <w:numFmt w:val="bullet"/>
      <w:lvlText w:val=""/>
      <w:lvlJc w:val="left"/>
      <w:pPr>
        <w:ind w:left="2236" w:hanging="360"/>
      </w:pPr>
      <w:rPr>
        <w:rFonts w:ascii="Symbol" w:hAnsi="Symbol" w:hint="default"/>
      </w:rPr>
    </w:lvl>
    <w:lvl w:ilvl="4" w:tplc="0C070003" w:tentative="1">
      <w:start w:val="1"/>
      <w:numFmt w:val="bullet"/>
      <w:lvlText w:val="o"/>
      <w:lvlJc w:val="left"/>
      <w:pPr>
        <w:ind w:left="2956" w:hanging="360"/>
      </w:pPr>
      <w:rPr>
        <w:rFonts w:ascii="Courier New" w:hAnsi="Courier New" w:cs="Courier New" w:hint="default"/>
      </w:rPr>
    </w:lvl>
    <w:lvl w:ilvl="5" w:tplc="0C070005" w:tentative="1">
      <w:start w:val="1"/>
      <w:numFmt w:val="bullet"/>
      <w:lvlText w:val=""/>
      <w:lvlJc w:val="left"/>
      <w:pPr>
        <w:ind w:left="3676" w:hanging="360"/>
      </w:pPr>
      <w:rPr>
        <w:rFonts w:ascii="Wingdings" w:hAnsi="Wingdings" w:hint="default"/>
      </w:rPr>
    </w:lvl>
    <w:lvl w:ilvl="6" w:tplc="0C070001" w:tentative="1">
      <w:start w:val="1"/>
      <w:numFmt w:val="bullet"/>
      <w:lvlText w:val=""/>
      <w:lvlJc w:val="left"/>
      <w:pPr>
        <w:ind w:left="4396" w:hanging="360"/>
      </w:pPr>
      <w:rPr>
        <w:rFonts w:ascii="Symbol" w:hAnsi="Symbol" w:hint="default"/>
      </w:rPr>
    </w:lvl>
    <w:lvl w:ilvl="7" w:tplc="0C070003" w:tentative="1">
      <w:start w:val="1"/>
      <w:numFmt w:val="bullet"/>
      <w:lvlText w:val="o"/>
      <w:lvlJc w:val="left"/>
      <w:pPr>
        <w:ind w:left="5116" w:hanging="360"/>
      </w:pPr>
      <w:rPr>
        <w:rFonts w:ascii="Courier New" w:hAnsi="Courier New" w:cs="Courier New" w:hint="default"/>
      </w:rPr>
    </w:lvl>
    <w:lvl w:ilvl="8" w:tplc="0C070005" w:tentative="1">
      <w:start w:val="1"/>
      <w:numFmt w:val="bullet"/>
      <w:lvlText w:val=""/>
      <w:lvlJc w:val="left"/>
      <w:pPr>
        <w:ind w:left="5836" w:hanging="360"/>
      </w:pPr>
      <w:rPr>
        <w:rFonts w:ascii="Wingdings" w:hAnsi="Wingdings" w:hint="default"/>
      </w:rPr>
    </w:lvl>
  </w:abstractNum>
  <w:abstractNum w:abstractNumId="21" w15:restartNumberingAfterBreak="0">
    <w:nsid w:val="7E101219"/>
    <w:multiLevelType w:val="hybridMultilevel"/>
    <w:tmpl w:val="0ECE4A48"/>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59558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76216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3443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841817">
    <w:abstractNumId w:val="5"/>
  </w:num>
  <w:num w:numId="5" w16cid:durableId="2145274911">
    <w:abstractNumId w:val="6"/>
  </w:num>
  <w:num w:numId="6" w16cid:durableId="1985237778">
    <w:abstractNumId w:val="14"/>
  </w:num>
  <w:num w:numId="7" w16cid:durableId="739715256">
    <w:abstractNumId w:val="16"/>
  </w:num>
  <w:num w:numId="8" w16cid:durableId="1394961879">
    <w:abstractNumId w:val="17"/>
  </w:num>
  <w:num w:numId="9" w16cid:durableId="410080860">
    <w:abstractNumId w:val="7"/>
  </w:num>
  <w:num w:numId="10" w16cid:durableId="1281571746">
    <w:abstractNumId w:val="2"/>
  </w:num>
  <w:num w:numId="11" w16cid:durableId="1814641059">
    <w:abstractNumId w:val="10"/>
  </w:num>
  <w:num w:numId="12" w16cid:durableId="1489243731">
    <w:abstractNumId w:val="1"/>
  </w:num>
  <w:num w:numId="13" w16cid:durableId="1099451031">
    <w:abstractNumId w:val="13"/>
  </w:num>
  <w:num w:numId="14" w16cid:durableId="1348016714">
    <w:abstractNumId w:val="21"/>
  </w:num>
  <w:num w:numId="15" w16cid:durableId="1062829305">
    <w:abstractNumId w:val="4"/>
  </w:num>
  <w:num w:numId="16" w16cid:durableId="823813047">
    <w:abstractNumId w:val="11"/>
  </w:num>
  <w:num w:numId="17" w16cid:durableId="128741161">
    <w:abstractNumId w:val="20"/>
  </w:num>
  <w:num w:numId="18" w16cid:durableId="2121139574">
    <w:abstractNumId w:val="3"/>
  </w:num>
  <w:num w:numId="19" w16cid:durableId="648363832">
    <w:abstractNumId w:val="12"/>
  </w:num>
  <w:num w:numId="20" w16cid:durableId="1472792803">
    <w:abstractNumId w:val="0"/>
  </w:num>
  <w:num w:numId="21" w16cid:durableId="5475684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6668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76"/>
    <w:rsid w:val="00002CAE"/>
    <w:rsid w:val="0000713F"/>
    <w:rsid w:val="000127E2"/>
    <w:rsid w:val="00012D1A"/>
    <w:rsid w:val="00016D43"/>
    <w:rsid w:val="0003719F"/>
    <w:rsid w:val="00041E2C"/>
    <w:rsid w:val="000608E2"/>
    <w:rsid w:val="00061D80"/>
    <w:rsid w:val="000641B8"/>
    <w:rsid w:val="00071001"/>
    <w:rsid w:val="0007258A"/>
    <w:rsid w:val="00075857"/>
    <w:rsid w:val="00082C8C"/>
    <w:rsid w:val="00095662"/>
    <w:rsid w:val="000A71B3"/>
    <w:rsid w:val="000A71EA"/>
    <w:rsid w:val="000B1390"/>
    <w:rsid w:val="000B7855"/>
    <w:rsid w:val="000C4EA0"/>
    <w:rsid w:val="000D607B"/>
    <w:rsid w:val="000D7CD2"/>
    <w:rsid w:val="000F1496"/>
    <w:rsid w:val="000F69DE"/>
    <w:rsid w:val="00102C32"/>
    <w:rsid w:val="00102E04"/>
    <w:rsid w:val="00103E15"/>
    <w:rsid w:val="00106C6F"/>
    <w:rsid w:val="00123FF7"/>
    <w:rsid w:val="001455FF"/>
    <w:rsid w:val="00166D5F"/>
    <w:rsid w:val="001675EA"/>
    <w:rsid w:val="00170452"/>
    <w:rsid w:val="00193FBA"/>
    <w:rsid w:val="001A04D8"/>
    <w:rsid w:val="001A1F7F"/>
    <w:rsid w:val="001A529D"/>
    <w:rsid w:val="001C13A9"/>
    <w:rsid w:val="001C4255"/>
    <w:rsid w:val="001C5380"/>
    <w:rsid w:val="001E2D12"/>
    <w:rsid w:val="001F25D1"/>
    <w:rsid w:val="00200EC8"/>
    <w:rsid w:val="0020107C"/>
    <w:rsid w:val="0021271F"/>
    <w:rsid w:val="00213287"/>
    <w:rsid w:val="00220E0E"/>
    <w:rsid w:val="00226ADD"/>
    <w:rsid w:val="00240497"/>
    <w:rsid w:val="002535CA"/>
    <w:rsid w:val="00253970"/>
    <w:rsid w:val="00261C4B"/>
    <w:rsid w:val="00271D63"/>
    <w:rsid w:val="00275B78"/>
    <w:rsid w:val="00277E56"/>
    <w:rsid w:val="00283BF5"/>
    <w:rsid w:val="002865B3"/>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891"/>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6216A"/>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7A59"/>
    <w:rsid w:val="005501F5"/>
    <w:rsid w:val="005534B9"/>
    <w:rsid w:val="00596D89"/>
    <w:rsid w:val="005A368F"/>
    <w:rsid w:val="005A7E33"/>
    <w:rsid w:val="005B7474"/>
    <w:rsid w:val="005B7B2B"/>
    <w:rsid w:val="005C5376"/>
    <w:rsid w:val="005D0BA5"/>
    <w:rsid w:val="005D282D"/>
    <w:rsid w:val="005D3BF4"/>
    <w:rsid w:val="005D6B25"/>
    <w:rsid w:val="005D714A"/>
    <w:rsid w:val="005F6829"/>
    <w:rsid w:val="0060498F"/>
    <w:rsid w:val="00617DBA"/>
    <w:rsid w:val="006230DC"/>
    <w:rsid w:val="00626C2B"/>
    <w:rsid w:val="00627133"/>
    <w:rsid w:val="00631FED"/>
    <w:rsid w:val="006327CF"/>
    <w:rsid w:val="00640476"/>
    <w:rsid w:val="0066391E"/>
    <w:rsid w:val="00665515"/>
    <w:rsid w:val="00667712"/>
    <w:rsid w:val="00690407"/>
    <w:rsid w:val="00692526"/>
    <w:rsid w:val="006A78D2"/>
    <w:rsid w:val="006B464D"/>
    <w:rsid w:val="006D0216"/>
    <w:rsid w:val="006D58B7"/>
    <w:rsid w:val="006D6199"/>
    <w:rsid w:val="006E0005"/>
    <w:rsid w:val="006E0316"/>
    <w:rsid w:val="006E2E0E"/>
    <w:rsid w:val="006E5EB7"/>
    <w:rsid w:val="006F2C6D"/>
    <w:rsid w:val="007050C2"/>
    <w:rsid w:val="00713E88"/>
    <w:rsid w:val="00714225"/>
    <w:rsid w:val="00733E21"/>
    <w:rsid w:val="00737458"/>
    <w:rsid w:val="00744E03"/>
    <w:rsid w:val="00746591"/>
    <w:rsid w:val="007572B2"/>
    <w:rsid w:val="00757D59"/>
    <w:rsid w:val="00760FDF"/>
    <w:rsid w:val="007624B1"/>
    <w:rsid w:val="00764C39"/>
    <w:rsid w:val="00765216"/>
    <w:rsid w:val="00765322"/>
    <w:rsid w:val="007766FC"/>
    <w:rsid w:val="00780333"/>
    <w:rsid w:val="00782F87"/>
    <w:rsid w:val="00786DF5"/>
    <w:rsid w:val="007A6524"/>
    <w:rsid w:val="007D472B"/>
    <w:rsid w:val="007D6064"/>
    <w:rsid w:val="007F0DCC"/>
    <w:rsid w:val="007F47AD"/>
    <w:rsid w:val="008042C9"/>
    <w:rsid w:val="008108F3"/>
    <w:rsid w:val="00813C58"/>
    <w:rsid w:val="00813D37"/>
    <w:rsid w:val="00822213"/>
    <w:rsid w:val="00822BB6"/>
    <w:rsid w:val="00831F79"/>
    <w:rsid w:val="00835A38"/>
    <w:rsid w:val="008401B3"/>
    <w:rsid w:val="00841B66"/>
    <w:rsid w:val="00844A9D"/>
    <w:rsid w:val="0085688E"/>
    <w:rsid w:val="00861D96"/>
    <w:rsid w:val="00864BB9"/>
    <w:rsid w:val="00873CCE"/>
    <w:rsid w:val="00875856"/>
    <w:rsid w:val="008862DB"/>
    <w:rsid w:val="00886998"/>
    <w:rsid w:val="00897409"/>
    <w:rsid w:val="008A0FF8"/>
    <w:rsid w:val="008A24DF"/>
    <w:rsid w:val="008A5AC0"/>
    <w:rsid w:val="008A713B"/>
    <w:rsid w:val="008B46EE"/>
    <w:rsid w:val="008C62EC"/>
    <w:rsid w:val="008D08A5"/>
    <w:rsid w:val="008D6D1E"/>
    <w:rsid w:val="008F40A5"/>
    <w:rsid w:val="00905D69"/>
    <w:rsid w:val="00933BB1"/>
    <w:rsid w:val="00940749"/>
    <w:rsid w:val="00947228"/>
    <w:rsid w:val="00947F5E"/>
    <w:rsid w:val="00951D89"/>
    <w:rsid w:val="00954E0A"/>
    <w:rsid w:val="00961A39"/>
    <w:rsid w:val="00964715"/>
    <w:rsid w:val="00976333"/>
    <w:rsid w:val="00982719"/>
    <w:rsid w:val="00990658"/>
    <w:rsid w:val="009A789A"/>
    <w:rsid w:val="009B14CE"/>
    <w:rsid w:val="009C03D8"/>
    <w:rsid w:val="009C58B4"/>
    <w:rsid w:val="009D6188"/>
    <w:rsid w:val="009F7963"/>
    <w:rsid w:val="00A01D86"/>
    <w:rsid w:val="00A04226"/>
    <w:rsid w:val="00A07A71"/>
    <w:rsid w:val="00A26AF1"/>
    <w:rsid w:val="00A30D99"/>
    <w:rsid w:val="00A40993"/>
    <w:rsid w:val="00A40F7B"/>
    <w:rsid w:val="00A44660"/>
    <w:rsid w:val="00A66229"/>
    <w:rsid w:val="00A675D0"/>
    <w:rsid w:val="00A70DB1"/>
    <w:rsid w:val="00A741F1"/>
    <w:rsid w:val="00A80D5E"/>
    <w:rsid w:val="00A90E24"/>
    <w:rsid w:val="00AC215F"/>
    <w:rsid w:val="00AC28F5"/>
    <w:rsid w:val="00AC617A"/>
    <w:rsid w:val="00AD057B"/>
    <w:rsid w:val="00AD104F"/>
    <w:rsid w:val="00AD16CA"/>
    <w:rsid w:val="00AD6225"/>
    <w:rsid w:val="00AE2B70"/>
    <w:rsid w:val="00AE76DB"/>
    <w:rsid w:val="00B05EEA"/>
    <w:rsid w:val="00B11E53"/>
    <w:rsid w:val="00B158EE"/>
    <w:rsid w:val="00B20F70"/>
    <w:rsid w:val="00B259C5"/>
    <w:rsid w:val="00B27DDA"/>
    <w:rsid w:val="00B313B9"/>
    <w:rsid w:val="00B3531E"/>
    <w:rsid w:val="00B56534"/>
    <w:rsid w:val="00B906B1"/>
    <w:rsid w:val="00B9119D"/>
    <w:rsid w:val="00BA1C24"/>
    <w:rsid w:val="00BB4B43"/>
    <w:rsid w:val="00BB5056"/>
    <w:rsid w:val="00BB6754"/>
    <w:rsid w:val="00BC2477"/>
    <w:rsid w:val="00BC6C12"/>
    <w:rsid w:val="00BC7C05"/>
    <w:rsid w:val="00BD39D5"/>
    <w:rsid w:val="00BD567B"/>
    <w:rsid w:val="00BE79A7"/>
    <w:rsid w:val="00BF2B69"/>
    <w:rsid w:val="00BF312C"/>
    <w:rsid w:val="00C04A90"/>
    <w:rsid w:val="00C10E89"/>
    <w:rsid w:val="00C160EC"/>
    <w:rsid w:val="00C36B74"/>
    <w:rsid w:val="00C41076"/>
    <w:rsid w:val="00C42CFE"/>
    <w:rsid w:val="00C65C5C"/>
    <w:rsid w:val="00C779A5"/>
    <w:rsid w:val="00C8448C"/>
    <w:rsid w:val="00CA6183"/>
    <w:rsid w:val="00CB12C8"/>
    <w:rsid w:val="00CB1F99"/>
    <w:rsid w:val="00CB2BF0"/>
    <w:rsid w:val="00CB4B04"/>
    <w:rsid w:val="00CB71CB"/>
    <w:rsid w:val="00CD434B"/>
    <w:rsid w:val="00CD6209"/>
    <w:rsid w:val="00CD7345"/>
    <w:rsid w:val="00CE0F1C"/>
    <w:rsid w:val="00CE4DF9"/>
    <w:rsid w:val="00CE7A80"/>
    <w:rsid w:val="00CF5188"/>
    <w:rsid w:val="00CF54DF"/>
    <w:rsid w:val="00D00A67"/>
    <w:rsid w:val="00D00D00"/>
    <w:rsid w:val="00D14A7A"/>
    <w:rsid w:val="00D4620F"/>
    <w:rsid w:val="00D5367E"/>
    <w:rsid w:val="00D55033"/>
    <w:rsid w:val="00D55BF3"/>
    <w:rsid w:val="00D60841"/>
    <w:rsid w:val="00D60F35"/>
    <w:rsid w:val="00D615F1"/>
    <w:rsid w:val="00D710D2"/>
    <w:rsid w:val="00D86C87"/>
    <w:rsid w:val="00D90FF5"/>
    <w:rsid w:val="00D956B6"/>
    <w:rsid w:val="00D96F6A"/>
    <w:rsid w:val="00DA36D8"/>
    <w:rsid w:val="00DA37ED"/>
    <w:rsid w:val="00DA5D6E"/>
    <w:rsid w:val="00DB3E70"/>
    <w:rsid w:val="00DB65F5"/>
    <w:rsid w:val="00DB6699"/>
    <w:rsid w:val="00DC7BC0"/>
    <w:rsid w:val="00DD11C1"/>
    <w:rsid w:val="00DD288B"/>
    <w:rsid w:val="00DD6B4B"/>
    <w:rsid w:val="00DE516A"/>
    <w:rsid w:val="00DE5505"/>
    <w:rsid w:val="00DE7501"/>
    <w:rsid w:val="00DF0080"/>
    <w:rsid w:val="00E11A80"/>
    <w:rsid w:val="00E33347"/>
    <w:rsid w:val="00E3381F"/>
    <w:rsid w:val="00E4476D"/>
    <w:rsid w:val="00E50617"/>
    <w:rsid w:val="00E51955"/>
    <w:rsid w:val="00E70AE7"/>
    <w:rsid w:val="00E736C4"/>
    <w:rsid w:val="00E76A26"/>
    <w:rsid w:val="00E8086C"/>
    <w:rsid w:val="00E95F0C"/>
    <w:rsid w:val="00EA367F"/>
    <w:rsid w:val="00EA45D0"/>
    <w:rsid w:val="00EB42A2"/>
    <w:rsid w:val="00EB432D"/>
    <w:rsid w:val="00EB5344"/>
    <w:rsid w:val="00EC5392"/>
    <w:rsid w:val="00EC5E56"/>
    <w:rsid w:val="00EC6603"/>
    <w:rsid w:val="00EE25FD"/>
    <w:rsid w:val="00F11A35"/>
    <w:rsid w:val="00F12014"/>
    <w:rsid w:val="00F2629E"/>
    <w:rsid w:val="00F31D66"/>
    <w:rsid w:val="00F325D3"/>
    <w:rsid w:val="00F45B5D"/>
    <w:rsid w:val="00F56473"/>
    <w:rsid w:val="00F61A15"/>
    <w:rsid w:val="00F7001B"/>
    <w:rsid w:val="00F723C7"/>
    <w:rsid w:val="00F83DC8"/>
    <w:rsid w:val="00F83E17"/>
    <w:rsid w:val="00F86929"/>
    <w:rsid w:val="00F94622"/>
    <w:rsid w:val="00FA68C6"/>
    <w:rsid w:val="00FA7B80"/>
    <w:rsid w:val="00FB3022"/>
    <w:rsid w:val="00FB5F64"/>
    <w:rsid w:val="00FC6679"/>
    <w:rsid w:val="00FD3DA0"/>
    <w:rsid w:val="00FD5C6B"/>
    <w:rsid w:val="00FE13A5"/>
    <w:rsid w:val="00FF43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6B67"/>
  <w15:docId w15:val="{219064D0-860E-4109-B3BD-21FC76D6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6183"/>
    <w:pPr>
      <w:spacing w:line="240" w:lineRule="auto"/>
    </w:pPr>
    <w:rPr>
      <w:rFonts w:ascii="Futura" w:hAnsi="Futura" w:cs="Times New Roman"/>
      <w:spacing w:val="4"/>
      <w:sz w:val="20"/>
      <w:szCs w:val="20"/>
      <w:lang w:val="de-DE" w:eastAsia="de-AT"/>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table" w:styleId="Tabellenraster">
    <w:name w:val="Table Grid"/>
    <w:basedOn w:val="NormaleTabelle"/>
    <w:rsid w:val="00C41076"/>
    <w:pPr>
      <w:spacing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B1390"/>
    <w:pPr>
      <w:tabs>
        <w:tab w:val="center" w:pos="4536"/>
        <w:tab w:val="right" w:pos="9072"/>
      </w:tabs>
    </w:pPr>
  </w:style>
  <w:style w:type="character" w:customStyle="1" w:styleId="KopfzeileZchn">
    <w:name w:val="Kopfzeile Zchn"/>
    <w:basedOn w:val="Absatz-Standardschriftart"/>
    <w:link w:val="Kopfzeile"/>
    <w:uiPriority w:val="99"/>
    <w:rsid w:val="000B1390"/>
    <w:rPr>
      <w:rFonts w:ascii="Trebuchet MS" w:hAnsi="Trebuchet MS" w:cs="Times New Roman"/>
      <w:szCs w:val="20"/>
      <w:lang w:val="de-DE" w:eastAsia="de-DE"/>
    </w:rPr>
  </w:style>
  <w:style w:type="paragraph" w:styleId="Fuzeile">
    <w:name w:val="footer"/>
    <w:basedOn w:val="Standard"/>
    <w:link w:val="FuzeileZchn"/>
    <w:uiPriority w:val="99"/>
    <w:unhideWhenUsed/>
    <w:rsid w:val="000B1390"/>
    <w:pPr>
      <w:tabs>
        <w:tab w:val="center" w:pos="4536"/>
        <w:tab w:val="right" w:pos="9072"/>
      </w:tabs>
    </w:pPr>
  </w:style>
  <w:style w:type="character" w:customStyle="1" w:styleId="FuzeileZchn">
    <w:name w:val="Fußzeile Zchn"/>
    <w:basedOn w:val="Absatz-Standardschriftart"/>
    <w:link w:val="Fuzeile"/>
    <w:uiPriority w:val="99"/>
    <w:rsid w:val="000B1390"/>
    <w:rPr>
      <w:rFonts w:ascii="Trebuchet MS" w:hAnsi="Trebuchet MS" w:cs="Times New Roman"/>
      <w:szCs w:val="20"/>
      <w:lang w:val="de-DE" w:eastAsia="de-DE"/>
    </w:rPr>
  </w:style>
  <w:style w:type="paragraph" w:styleId="Listenabsatz">
    <w:name w:val="List Paragraph"/>
    <w:basedOn w:val="Standard"/>
    <w:uiPriority w:val="34"/>
    <w:qFormat/>
    <w:rsid w:val="005A368F"/>
    <w:pPr>
      <w:ind w:left="720"/>
    </w:pPr>
    <w:rPr>
      <w:rFonts w:ascii="Calibri" w:eastAsiaTheme="minorHAnsi" w:hAnsi="Calibri" w:cs="Calibri"/>
      <w:szCs w:val="22"/>
      <w:lang w:val="de-AT"/>
    </w:rPr>
  </w:style>
  <w:style w:type="paragraph" w:customStyle="1" w:styleId="Default">
    <w:name w:val="Default"/>
    <w:rsid w:val="00CA6183"/>
    <w:pPr>
      <w:autoSpaceDE w:val="0"/>
      <w:autoSpaceDN w:val="0"/>
      <w:adjustRightInd w:val="0"/>
      <w:spacing w:line="240" w:lineRule="auto"/>
    </w:pPr>
    <w:rPr>
      <w:rFonts w:ascii="Calibri" w:eastAsiaTheme="minorHAnsi" w:hAnsi="Calibri" w:cs="Calibri"/>
      <w:color w:val="000000"/>
      <w:sz w:val="24"/>
      <w:szCs w:val="24"/>
    </w:rPr>
  </w:style>
  <w:style w:type="table" w:customStyle="1" w:styleId="Tabellenraster1">
    <w:name w:val="Tabellenraster1"/>
    <w:basedOn w:val="NormaleTabelle"/>
    <w:next w:val="Tabellenraster"/>
    <w:rsid w:val="00692526"/>
    <w:pPr>
      <w:spacing w:line="240" w:lineRule="auto"/>
      <w:jc w:val="both"/>
    </w:pPr>
    <w:rPr>
      <w:rFonts w:ascii="Times New Roman" w:hAnsi="Times New Roman" w:cs="Times New Roman"/>
      <w:sz w:val="20"/>
      <w:szCs w:val="20"/>
      <w:lang w:val="fr-BE"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90407"/>
    <w:pPr>
      <w:spacing w:line="240" w:lineRule="auto"/>
    </w:pPr>
    <w:rPr>
      <w:rFonts w:ascii="Futura" w:hAnsi="Futura" w:cs="Times New Roman"/>
      <w:spacing w:val="4"/>
      <w:sz w:val="20"/>
      <w:szCs w:val="20"/>
      <w:lang w:val="de-DE" w:eastAsia="de-AT"/>
    </w:rPr>
  </w:style>
  <w:style w:type="character" w:styleId="Kommentarzeichen">
    <w:name w:val="annotation reference"/>
    <w:basedOn w:val="Absatz-Standardschriftart"/>
    <w:uiPriority w:val="99"/>
    <w:semiHidden/>
    <w:unhideWhenUsed/>
    <w:rsid w:val="00690407"/>
    <w:rPr>
      <w:sz w:val="16"/>
      <w:szCs w:val="16"/>
    </w:rPr>
  </w:style>
  <w:style w:type="paragraph" w:styleId="Kommentartext">
    <w:name w:val="annotation text"/>
    <w:basedOn w:val="Standard"/>
    <w:link w:val="KommentartextZchn"/>
    <w:uiPriority w:val="99"/>
    <w:unhideWhenUsed/>
    <w:rsid w:val="00690407"/>
  </w:style>
  <w:style w:type="character" w:customStyle="1" w:styleId="KommentartextZchn">
    <w:name w:val="Kommentartext Zchn"/>
    <w:basedOn w:val="Absatz-Standardschriftart"/>
    <w:link w:val="Kommentartext"/>
    <w:uiPriority w:val="99"/>
    <w:rsid w:val="00690407"/>
    <w:rPr>
      <w:rFonts w:ascii="Futura" w:hAnsi="Futura" w:cs="Times New Roman"/>
      <w:spacing w:val="4"/>
      <w:sz w:val="20"/>
      <w:szCs w:val="20"/>
      <w:lang w:val="de-DE" w:eastAsia="de-AT"/>
    </w:rPr>
  </w:style>
  <w:style w:type="paragraph" w:styleId="Kommentarthema">
    <w:name w:val="annotation subject"/>
    <w:basedOn w:val="Kommentartext"/>
    <w:next w:val="Kommentartext"/>
    <w:link w:val="KommentarthemaZchn"/>
    <w:uiPriority w:val="99"/>
    <w:semiHidden/>
    <w:unhideWhenUsed/>
    <w:rsid w:val="00690407"/>
    <w:rPr>
      <w:b/>
      <w:bCs/>
    </w:rPr>
  </w:style>
  <w:style w:type="character" w:customStyle="1" w:styleId="KommentarthemaZchn">
    <w:name w:val="Kommentarthema Zchn"/>
    <w:basedOn w:val="KommentartextZchn"/>
    <w:link w:val="Kommentarthema"/>
    <w:uiPriority w:val="99"/>
    <w:semiHidden/>
    <w:rsid w:val="00690407"/>
    <w:rPr>
      <w:rFonts w:ascii="Futura" w:hAnsi="Futura" w:cs="Times New Roman"/>
      <w:b/>
      <w:bCs/>
      <w:spacing w:val="4"/>
      <w:sz w:val="20"/>
      <w:szCs w:val="20"/>
      <w:lang w:val="de-DE"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1744">
      <w:bodyDiv w:val="1"/>
      <w:marLeft w:val="0"/>
      <w:marRight w:val="0"/>
      <w:marTop w:val="0"/>
      <w:marBottom w:val="0"/>
      <w:divBdr>
        <w:top w:val="none" w:sz="0" w:space="0" w:color="auto"/>
        <w:left w:val="none" w:sz="0" w:space="0" w:color="auto"/>
        <w:bottom w:val="none" w:sz="0" w:space="0" w:color="auto"/>
        <w:right w:val="none" w:sz="0" w:space="0" w:color="auto"/>
      </w:divBdr>
    </w:div>
    <w:div w:id="392581085">
      <w:bodyDiv w:val="1"/>
      <w:marLeft w:val="0"/>
      <w:marRight w:val="0"/>
      <w:marTop w:val="0"/>
      <w:marBottom w:val="0"/>
      <w:divBdr>
        <w:top w:val="none" w:sz="0" w:space="0" w:color="auto"/>
        <w:left w:val="none" w:sz="0" w:space="0" w:color="auto"/>
        <w:bottom w:val="none" w:sz="0" w:space="0" w:color="auto"/>
        <w:right w:val="none" w:sz="0" w:space="0" w:color="auto"/>
      </w:divBdr>
    </w:div>
    <w:div w:id="618990455">
      <w:bodyDiv w:val="1"/>
      <w:marLeft w:val="0"/>
      <w:marRight w:val="0"/>
      <w:marTop w:val="0"/>
      <w:marBottom w:val="0"/>
      <w:divBdr>
        <w:top w:val="none" w:sz="0" w:space="0" w:color="auto"/>
        <w:left w:val="none" w:sz="0" w:space="0" w:color="auto"/>
        <w:bottom w:val="none" w:sz="0" w:space="0" w:color="auto"/>
        <w:right w:val="none" w:sz="0" w:space="0" w:color="auto"/>
      </w:divBdr>
    </w:div>
    <w:div w:id="20859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DAE291.5EA99BC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17.png@01DAE74B.B653F55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A7C32-D08E-4919-8A2F-2EE1E01D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4529</Words>
  <Characters>28539</Characters>
  <Application>Microsoft Office Word</Application>
  <DocSecurity>4</DocSecurity>
  <Lines>237</Lines>
  <Paragraphs>66</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33002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 Bernhard, Dr, WKÖ BSBV</dc:creator>
  <cp:keywords/>
  <dc:description/>
  <cp:lastModifiedBy>Egger Bernhard | WKOE</cp:lastModifiedBy>
  <cp:revision>2</cp:revision>
  <dcterms:created xsi:type="dcterms:W3CDTF">2024-08-19T09:49:00Z</dcterms:created>
  <dcterms:modified xsi:type="dcterms:W3CDTF">2024-08-19T09:49:00Z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2024-08-09T11:10:27Z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91c6dbab-6aef-4a27-834b-5f70d86561a6</vt:lpwstr>
  </property>
  <property fmtid="{D5CDD505-2E9C-101B-9397-08002B2CF9AE}" pid="8" name="MSIP_Label_38939b85-7e40-4a1d-91e1-0e84c3b219d7_ContentBits">
    <vt:lpwstr>0</vt:lpwstr>
  </property>
</Properties>
</file>