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E4D5E" w14:textId="309F420E" w:rsidR="0090014B" w:rsidRPr="00046517" w:rsidRDefault="0090014B" w:rsidP="0090014B">
      <w:pPr>
        <w:spacing w:after="0" w:line="240" w:lineRule="auto"/>
        <w:ind w:left="270"/>
        <w:jc w:val="right"/>
        <w:textAlignment w:val="baseline"/>
        <w:rPr>
          <w:rFonts w:ascii="Verdana" w:eastAsia="Times New Roman" w:hAnsi="Verdana" w:cs="Segoe UI"/>
          <w:sz w:val="20"/>
          <w:szCs w:val="20"/>
          <w:lang w:val="en-GB"/>
        </w:rPr>
      </w:pPr>
      <w:r w:rsidRPr="00046517">
        <w:rPr>
          <w:rFonts w:ascii="Verdana" w:eastAsia="Times New Roman" w:hAnsi="Verdana" w:cs="Segoe UI"/>
          <w:sz w:val="20"/>
          <w:szCs w:val="20"/>
          <w:lang w:val="en-GB"/>
        </w:rPr>
        <w:t xml:space="preserve">Brussels, </w:t>
      </w:r>
      <w:r w:rsidR="008F2EBE">
        <w:rPr>
          <w:rFonts w:ascii="Verdana" w:eastAsia="Times New Roman" w:hAnsi="Verdana" w:cs="Segoe UI"/>
          <w:sz w:val="20"/>
          <w:szCs w:val="20"/>
          <w:lang w:val="en-GB"/>
        </w:rPr>
        <w:t>21 March</w:t>
      </w:r>
      <w:r w:rsidR="00EE19E8" w:rsidRPr="00046517">
        <w:rPr>
          <w:rFonts w:ascii="Verdana" w:eastAsia="Times New Roman" w:hAnsi="Verdana" w:cs="Segoe UI"/>
          <w:sz w:val="20"/>
          <w:szCs w:val="20"/>
          <w:lang w:val="en-GB"/>
        </w:rPr>
        <w:t xml:space="preserve"> </w:t>
      </w:r>
      <w:r w:rsidRPr="00046517">
        <w:rPr>
          <w:rFonts w:ascii="Verdana" w:eastAsia="Times New Roman" w:hAnsi="Verdana" w:cs="Segoe UI"/>
          <w:sz w:val="20"/>
          <w:szCs w:val="20"/>
          <w:lang w:val="en-GB"/>
        </w:rPr>
        <w:t>202</w:t>
      </w:r>
      <w:r w:rsidR="00CA0BA8" w:rsidRPr="00046517">
        <w:rPr>
          <w:rFonts w:ascii="Verdana" w:eastAsia="Times New Roman" w:hAnsi="Verdana" w:cs="Segoe UI"/>
          <w:sz w:val="20"/>
          <w:szCs w:val="20"/>
          <w:lang w:val="en-GB"/>
        </w:rPr>
        <w:t>4</w:t>
      </w:r>
    </w:p>
    <w:p w14:paraId="38891EBA" w14:textId="0288CF36" w:rsidR="00432964" w:rsidRPr="00046517" w:rsidRDefault="00432964" w:rsidP="0090014B">
      <w:pPr>
        <w:spacing w:after="0" w:line="240" w:lineRule="auto"/>
        <w:ind w:left="270"/>
        <w:jc w:val="right"/>
        <w:textAlignment w:val="baseline"/>
        <w:rPr>
          <w:rFonts w:ascii="Segoe UI" w:eastAsia="Times New Roman" w:hAnsi="Segoe UI" w:cs="Segoe UI"/>
          <w:sz w:val="20"/>
          <w:szCs w:val="20"/>
          <w:lang w:val="en-GB"/>
        </w:rPr>
      </w:pPr>
      <w:r w:rsidRPr="00046517">
        <w:rPr>
          <w:rFonts w:ascii="Verdana" w:eastAsia="Times New Roman" w:hAnsi="Verdana" w:cs="Segoe UI"/>
          <w:sz w:val="20"/>
          <w:szCs w:val="20"/>
          <w:lang w:val="en-GB"/>
        </w:rPr>
        <w:t>rV</w:t>
      </w:r>
    </w:p>
    <w:p w14:paraId="774B0C47" w14:textId="77777777" w:rsidR="0090014B" w:rsidRPr="00046517" w:rsidRDefault="0090014B" w:rsidP="0090014B">
      <w:pPr>
        <w:spacing w:after="0" w:line="240" w:lineRule="auto"/>
        <w:jc w:val="both"/>
        <w:textAlignment w:val="baseline"/>
        <w:rPr>
          <w:rFonts w:ascii="Segoe UI" w:eastAsia="Times New Roman" w:hAnsi="Segoe UI" w:cs="Segoe UI"/>
          <w:sz w:val="20"/>
          <w:szCs w:val="20"/>
          <w:lang w:val="en-GB"/>
        </w:rPr>
      </w:pPr>
      <w:r w:rsidRPr="00046517">
        <w:rPr>
          <w:rFonts w:ascii="Verdana" w:eastAsia="Times New Roman" w:hAnsi="Verdana" w:cs="Segoe UI"/>
          <w:sz w:val="20"/>
          <w:szCs w:val="20"/>
          <w:lang w:val="en-GB"/>
        </w:rPr>
        <w:t> </w:t>
      </w:r>
    </w:p>
    <w:p w14:paraId="1522E6D3" w14:textId="77777777" w:rsidR="0090014B" w:rsidRPr="00046517" w:rsidRDefault="0090014B" w:rsidP="0090014B">
      <w:pPr>
        <w:spacing w:after="0" w:line="240" w:lineRule="auto"/>
        <w:jc w:val="both"/>
        <w:textAlignment w:val="baseline"/>
        <w:rPr>
          <w:rFonts w:ascii="Segoe UI" w:eastAsia="Times New Roman" w:hAnsi="Segoe UI" w:cs="Segoe UI"/>
          <w:sz w:val="20"/>
          <w:szCs w:val="20"/>
          <w:lang w:val="en-GB"/>
        </w:rPr>
      </w:pPr>
      <w:r w:rsidRPr="00046517">
        <w:rPr>
          <w:rFonts w:ascii="Verdana" w:eastAsia="Times New Roman" w:hAnsi="Verdana" w:cs="Segoe UI"/>
          <w:sz w:val="20"/>
          <w:szCs w:val="20"/>
          <w:lang w:val="en-GB"/>
        </w:rPr>
        <w:t> </w:t>
      </w:r>
    </w:p>
    <w:p w14:paraId="76FDD6D5" w14:textId="77777777" w:rsidR="0090014B" w:rsidRPr="00046517" w:rsidRDefault="0090014B" w:rsidP="0090014B">
      <w:pPr>
        <w:spacing w:after="0" w:line="240" w:lineRule="auto"/>
        <w:jc w:val="both"/>
        <w:textAlignment w:val="baseline"/>
        <w:rPr>
          <w:rFonts w:ascii="Segoe UI" w:eastAsia="Times New Roman" w:hAnsi="Segoe UI" w:cs="Segoe UI"/>
          <w:sz w:val="20"/>
          <w:szCs w:val="20"/>
          <w:lang w:val="en-GB"/>
        </w:rPr>
      </w:pPr>
      <w:r w:rsidRPr="00046517">
        <w:rPr>
          <w:rFonts w:ascii="Verdana" w:eastAsia="Times New Roman" w:hAnsi="Verdana" w:cs="Segoe UI"/>
          <w:sz w:val="20"/>
          <w:szCs w:val="20"/>
          <w:lang w:val="en-GB"/>
        </w:rPr>
        <w:t> </w:t>
      </w:r>
    </w:p>
    <w:p w14:paraId="0327B3B3" w14:textId="77777777" w:rsidR="0090014B" w:rsidRPr="00046517" w:rsidRDefault="0090014B" w:rsidP="0090014B">
      <w:pPr>
        <w:spacing w:after="0" w:line="240" w:lineRule="auto"/>
        <w:jc w:val="both"/>
        <w:textAlignment w:val="baseline"/>
        <w:rPr>
          <w:rFonts w:ascii="Segoe UI" w:eastAsia="Times New Roman" w:hAnsi="Segoe UI" w:cs="Segoe UI"/>
          <w:sz w:val="20"/>
          <w:szCs w:val="20"/>
          <w:lang w:val="en-GB"/>
        </w:rPr>
      </w:pPr>
      <w:r w:rsidRPr="00046517">
        <w:rPr>
          <w:rFonts w:ascii="Verdana" w:eastAsia="Times New Roman" w:hAnsi="Verdana" w:cs="Segoe UI"/>
          <w:sz w:val="20"/>
          <w:szCs w:val="20"/>
          <w:lang w:val="en-GB"/>
        </w:rPr>
        <w:t> </w:t>
      </w:r>
    </w:p>
    <w:p w14:paraId="2525997E" w14:textId="77777777" w:rsidR="0090014B" w:rsidRPr="00046517" w:rsidRDefault="0090014B" w:rsidP="0090014B">
      <w:pPr>
        <w:spacing w:after="0" w:line="240" w:lineRule="auto"/>
        <w:jc w:val="both"/>
        <w:textAlignment w:val="baseline"/>
        <w:rPr>
          <w:rFonts w:ascii="Segoe UI" w:eastAsia="Times New Roman" w:hAnsi="Segoe UI" w:cs="Segoe UI"/>
          <w:sz w:val="20"/>
          <w:szCs w:val="20"/>
          <w:lang w:val="en-GB"/>
        </w:rPr>
      </w:pPr>
      <w:r w:rsidRPr="00046517">
        <w:rPr>
          <w:rFonts w:ascii="Verdana" w:eastAsia="Times New Roman" w:hAnsi="Verdana" w:cs="Segoe UI"/>
          <w:sz w:val="20"/>
          <w:szCs w:val="20"/>
          <w:lang w:val="en-GB"/>
        </w:rPr>
        <w:t> </w:t>
      </w:r>
    </w:p>
    <w:p w14:paraId="2E7E4AD9" w14:textId="77777777" w:rsidR="0090014B" w:rsidRPr="00046517" w:rsidRDefault="0090014B" w:rsidP="0090014B">
      <w:pPr>
        <w:spacing w:after="0" w:line="240" w:lineRule="auto"/>
        <w:jc w:val="both"/>
        <w:textAlignment w:val="baseline"/>
        <w:rPr>
          <w:rFonts w:ascii="Verdana" w:eastAsia="Times New Roman" w:hAnsi="Verdana" w:cs="Segoe UI"/>
          <w:sz w:val="20"/>
          <w:szCs w:val="20"/>
          <w:lang w:val="en-GB"/>
        </w:rPr>
      </w:pPr>
      <w:r w:rsidRPr="00046517">
        <w:rPr>
          <w:rFonts w:ascii="Verdana" w:eastAsia="Times New Roman" w:hAnsi="Verdana" w:cs="Segoe UI"/>
          <w:sz w:val="20"/>
          <w:szCs w:val="20"/>
          <w:lang w:val="en-GB"/>
        </w:rPr>
        <w:t> </w:t>
      </w:r>
    </w:p>
    <w:p w14:paraId="2CA629AF" w14:textId="77777777" w:rsidR="006B02E6" w:rsidRPr="00046517" w:rsidRDefault="006B02E6" w:rsidP="0090014B">
      <w:pPr>
        <w:spacing w:after="0" w:line="240" w:lineRule="auto"/>
        <w:jc w:val="both"/>
        <w:textAlignment w:val="baseline"/>
        <w:rPr>
          <w:rFonts w:ascii="Verdana" w:eastAsia="Times New Roman" w:hAnsi="Verdana" w:cs="Segoe UI"/>
          <w:sz w:val="20"/>
          <w:szCs w:val="20"/>
          <w:lang w:val="en-GB"/>
        </w:rPr>
      </w:pPr>
    </w:p>
    <w:p w14:paraId="3E0A29AB" w14:textId="77777777" w:rsidR="0090014B" w:rsidRPr="00046517" w:rsidRDefault="0090014B" w:rsidP="0090014B">
      <w:pPr>
        <w:spacing w:after="0" w:line="240" w:lineRule="auto"/>
        <w:jc w:val="both"/>
        <w:textAlignment w:val="baseline"/>
        <w:rPr>
          <w:rFonts w:ascii="Segoe UI" w:eastAsia="Times New Roman" w:hAnsi="Segoe UI" w:cs="Segoe UI"/>
          <w:sz w:val="20"/>
          <w:szCs w:val="20"/>
          <w:lang w:val="en-GB"/>
        </w:rPr>
      </w:pPr>
    </w:p>
    <w:p w14:paraId="26ED5FDC" w14:textId="77777777" w:rsidR="0090014B" w:rsidRPr="00046517" w:rsidRDefault="0090014B" w:rsidP="0090014B">
      <w:pPr>
        <w:spacing w:after="0" w:line="240" w:lineRule="auto"/>
        <w:jc w:val="both"/>
        <w:textAlignment w:val="baseline"/>
        <w:rPr>
          <w:rFonts w:ascii="Segoe UI" w:eastAsia="Times New Roman" w:hAnsi="Segoe UI" w:cs="Segoe UI"/>
          <w:sz w:val="20"/>
          <w:szCs w:val="20"/>
          <w:lang w:val="en-GB"/>
        </w:rPr>
      </w:pPr>
      <w:r w:rsidRPr="00046517">
        <w:rPr>
          <w:rFonts w:ascii="Verdana" w:eastAsia="Times New Roman" w:hAnsi="Verdana" w:cs="Segoe UI"/>
          <w:sz w:val="20"/>
          <w:szCs w:val="20"/>
          <w:lang w:val="en-GB"/>
        </w:rPr>
        <w:t> </w:t>
      </w:r>
    </w:p>
    <w:p w14:paraId="7B83537C" w14:textId="77777777" w:rsidR="0090014B" w:rsidRPr="00046517" w:rsidRDefault="0090014B" w:rsidP="0090014B">
      <w:pPr>
        <w:spacing w:after="0" w:line="240" w:lineRule="auto"/>
        <w:jc w:val="both"/>
        <w:textAlignment w:val="baseline"/>
        <w:rPr>
          <w:rFonts w:ascii="Segoe UI" w:eastAsia="Times New Roman" w:hAnsi="Segoe UI" w:cs="Segoe UI"/>
          <w:sz w:val="20"/>
          <w:szCs w:val="20"/>
          <w:lang w:val="en-GB"/>
        </w:rPr>
      </w:pPr>
      <w:r w:rsidRPr="00046517">
        <w:rPr>
          <w:rFonts w:ascii="Verdana" w:eastAsia="Times New Roman" w:hAnsi="Verdana" w:cs="Segoe UI"/>
          <w:sz w:val="20"/>
          <w:szCs w:val="20"/>
          <w:lang w:val="en-GB"/>
        </w:rPr>
        <w:t> </w:t>
      </w:r>
    </w:p>
    <w:p w14:paraId="22A0C7E9" w14:textId="4C52DA77" w:rsidR="0090014B" w:rsidRPr="00046517" w:rsidRDefault="0090014B" w:rsidP="00B20B6D">
      <w:pPr>
        <w:spacing w:after="0" w:line="240" w:lineRule="auto"/>
        <w:jc w:val="center"/>
        <w:textAlignment w:val="baseline"/>
        <w:rPr>
          <w:rFonts w:ascii="Segoe UI" w:eastAsia="Times New Roman" w:hAnsi="Segoe UI" w:cs="Segoe UI"/>
          <w:sz w:val="20"/>
          <w:szCs w:val="20"/>
          <w:lang w:val="en-GB"/>
        </w:rPr>
      </w:pPr>
      <w:r w:rsidRPr="00046517">
        <w:rPr>
          <w:rFonts w:ascii="Verdana" w:eastAsia="Times New Roman" w:hAnsi="Verdana" w:cs="Segoe UI"/>
          <w:b/>
          <w:bCs/>
          <w:color w:val="767171"/>
          <w:sz w:val="20"/>
          <w:szCs w:val="20"/>
          <w:lang w:val="en-GB"/>
        </w:rPr>
        <w:t xml:space="preserve">EACB </w:t>
      </w:r>
      <w:r w:rsidR="00B20B6D" w:rsidRPr="00046517">
        <w:rPr>
          <w:rFonts w:ascii="Verdana" w:eastAsia="Times New Roman" w:hAnsi="Verdana" w:cs="Segoe UI"/>
          <w:b/>
          <w:bCs/>
          <w:color w:val="767171"/>
          <w:sz w:val="20"/>
          <w:szCs w:val="20"/>
          <w:lang w:val="en-GB"/>
        </w:rPr>
        <w:t xml:space="preserve">response to the </w:t>
      </w:r>
      <w:r w:rsidR="00CB690F" w:rsidRPr="00046517">
        <w:rPr>
          <w:rFonts w:ascii="Verdana" w:eastAsia="Times New Roman" w:hAnsi="Verdana" w:cs="Segoe UI"/>
          <w:b/>
          <w:bCs/>
          <w:color w:val="767171"/>
          <w:sz w:val="20"/>
          <w:szCs w:val="20"/>
          <w:lang w:val="en-GB"/>
        </w:rPr>
        <w:t xml:space="preserve">draft EBA </w:t>
      </w:r>
      <w:r w:rsidR="00B20B6D" w:rsidRPr="00046517">
        <w:rPr>
          <w:rFonts w:ascii="Verdana" w:eastAsia="Times New Roman" w:hAnsi="Verdana" w:cs="Segoe UI"/>
          <w:b/>
          <w:bCs/>
          <w:color w:val="767171"/>
          <w:sz w:val="20"/>
          <w:szCs w:val="20"/>
          <w:lang w:val="en-GB"/>
        </w:rPr>
        <w:t>Guidelines on internal policies, procedures and controls to ensure the implementation of Union and national restrictive measures</w:t>
      </w:r>
    </w:p>
    <w:p w14:paraId="0D21F377" w14:textId="77777777" w:rsidR="0090014B" w:rsidRPr="00046517" w:rsidRDefault="0090014B" w:rsidP="0090014B">
      <w:pPr>
        <w:spacing w:after="0" w:line="240" w:lineRule="auto"/>
        <w:jc w:val="center"/>
        <w:textAlignment w:val="baseline"/>
        <w:rPr>
          <w:rFonts w:ascii="Segoe UI" w:eastAsia="Times New Roman" w:hAnsi="Segoe UI" w:cs="Segoe UI"/>
          <w:sz w:val="20"/>
          <w:szCs w:val="20"/>
          <w:lang w:val="en-GB"/>
        </w:rPr>
      </w:pPr>
      <w:r w:rsidRPr="00046517">
        <w:rPr>
          <w:rFonts w:ascii="Verdana" w:eastAsia="Times New Roman" w:hAnsi="Verdana" w:cs="Segoe UI"/>
          <w:color w:val="315594"/>
          <w:sz w:val="20"/>
          <w:szCs w:val="20"/>
          <w:lang w:val="en-GB"/>
        </w:rPr>
        <w:t> </w:t>
      </w:r>
    </w:p>
    <w:p w14:paraId="6A85CA16" w14:textId="77777777" w:rsidR="0090014B" w:rsidRPr="00046517" w:rsidRDefault="0090014B" w:rsidP="0090014B">
      <w:pPr>
        <w:spacing w:after="0" w:line="240" w:lineRule="auto"/>
        <w:jc w:val="center"/>
        <w:textAlignment w:val="baseline"/>
        <w:rPr>
          <w:rFonts w:ascii="Segoe UI" w:eastAsia="Times New Roman" w:hAnsi="Segoe UI" w:cs="Segoe UI"/>
          <w:sz w:val="20"/>
          <w:szCs w:val="20"/>
          <w:lang w:val="en-GB"/>
        </w:rPr>
      </w:pPr>
      <w:r w:rsidRPr="00046517">
        <w:rPr>
          <w:rFonts w:ascii="Verdana" w:eastAsia="Times New Roman" w:hAnsi="Verdana" w:cs="Segoe UI"/>
          <w:color w:val="315594"/>
          <w:sz w:val="20"/>
          <w:szCs w:val="20"/>
          <w:lang w:val="en-GB"/>
        </w:rPr>
        <w:t> </w:t>
      </w:r>
    </w:p>
    <w:p w14:paraId="29A68E20" w14:textId="74AF1B6F" w:rsidR="0090014B" w:rsidRPr="00046517" w:rsidRDefault="008F2EBE" w:rsidP="00CB690F">
      <w:pPr>
        <w:spacing w:after="0" w:line="240" w:lineRule="auto"/>
        <w:jc w:val="center"/>
        <w:textAlignment w:val="baseline"/>
        <w:rPr>
          <w:rFonts w:ascii="Segoe UI" w:eastAsia="Times New Roman" w:hAnsi="Segoe UI" w:cs="Segoe UI"/>
          <w:sz w:val="20"/>
          <w:szCs w:val="20"/>
          <w:lang w:val="en-GB"/>
        </w:rPr>
      </w:pPr>
      <w:r>
        <w:rPr>
          <w:rFonts w:ascii="Verdana" w:eastAsia="Times New Roman" w:hAnsi="Verdana" w:cs="Segoe UI"/>
          <w:b/>
          <w:bCs/>
          <w:color w:val="767171"/>
          <w:sz w:val="20"/>
          <w:szCs w:val="20"/>
          <w:lang w:val="en-GB"/>
        </w:rPr>
        <w:t>March</w:t>
      </w:r>
      <w:r w:rsidR="00CB690F" w:rsidRPr="00046517">
        <w:rPr>
          <w:rFonts w:ascii="Verdana" w:eastAsia="Times New Roman" w:hAnsi="Verdana" w:cs="Segoe UI"/>
          <w:b/>
          <w:bCs/>
          <w:color w:val="767171"/>
          <w:sz w:val="20"/>
          <w:szCs w:val="20"/>
          <w:lang w:val="en-GB"/>
        </w:rPr>
        <w:t xml:space="preserve"> </w:t>
      </w:r>
      <w:r w:rsidR="0090014B" w:rsidRPr="00046517">
        <w:rPr>
          <w:rFonts w:ascii="Verdana" w:eastAsia="Times New Roman" w:hAnsi="Verdana" w:cs="Segoe UI"/>
          <w:b/>
          <w:bCs/>
          <w:color w:val="767171"/>
          <w:sz w:val="20"/>
          <w:szCs w:val="20"/>
          <w:lang w:val="en-GB"/>
        </w:rPr>
        <w:t>202</w:t>
      </w:r>
      <w:r w:rsidR="00B20B6D" w:rsidRPr="00046517">
        <w:rPr>
          <w:rFonts w:ascii="Verdana" w:eastAsia="Times New Roman" w:hAnsi="Verdana" w:cs="Segoe UI"/>
          <w:b/>
          <w:bCs/>
          <w:color w:val="767171"/>
          <w:sz w:val="20"/>
          <w:szCs w:val="20"/>
          <w:lang w:val="en-GB"/>
        </w:rPr>
        <w:t>4</w:t>
      </w:r>
    </w:p>
    <w:p w14:paraId="75A73D2F" w14:textId="77777777" w:rsidR="0090014B" w:rsidRPr="00046517" w:rsidRDefault="0090014B" w:rsidP="0090014B">
      <w:pPr>
        <w:spacing w:after="0" w:line="240" w:lineRule="auto"/>
        <w:jc w:val="center"/>
        <w:textAlignment w:val="baseline"/>
        <w:rPr>
          <w:rFonts w:ascii="Segoe UI" w:eastAsia="Times New Roman" w:hAnsi="Segoe UI" w:cs="Segoe UI"/>
          <w:sz w:val="20"/>
          <w:szCs w:val="20"/>
          <w:lang w:val="en-GB"/>
        </w:rPr>
      </w:pPr>
      <w:r w:rsidRPr="00046517">
        <w:rPr>
          <w:rFonts w:ascii="Verdana" w:eastAsia="Times New Roman" w:hAnsi="Verdana" w:cs="Segoe UI"/>
          <w:sz w:val="20"/>
          <w:szCs w:val="20"/>
          <w:lang w:val="en-GB"/>
        </w:rPr>
        <w:t> </w:t>
      </w:r>
    </w:p>
    <w:p w14:paraId="2BE332EE" w14:textId="77777777" w:rsidR="0090014B" w:rsidRPr="00046517" w:rsidRDefault="0090014B" w:rsidP="0090014B">
      <w:pPr>
        <w:spacing w:after="0" w:line="240" w:lineRule="auto"/>
        <w:jc w:val="both"/>
        <w:textAlignment w:val="baseline"/>
        <w:rPr>
          <w:rFonts w:ascii="Segoe UI" w:eastAsia="Times New Roman" w:hAnsi="Segoe UI" w:cs="Segoe UI"/>
          <w:sz w:val="20"/>
          <w:szCs w:val="20"/>
          <w:lang w:val="en-GB"/>
        </w:rPr>
      </w:pPr>
      <w:r w:rsidRPr="00046517">
        <w:rPr>
          <w:rFonts w:ascii="Verdana" w:eastAsia="Times New Roman" w:hAnsi="Verdana" w:cs="Segoe UI"/>
          <w:sz w:val="20"/>
          <w:szCs w:val="20"/>
          <w:lang w:val="en-GB"/>
        </w:rPr>
        <w:t> </w:t>
      </w:r>
    </w:p>
    <w:p w14:paraId="46259BDE" w14:textId="77777777" w:rsidR="0090014B" w:rsidRPr="00046517" w:rsidRDefault="0090014B" w:rsidP="0090014B">
      <w:pPr>
        <w:spacing w:after="0" w:line="240" w:lineRule="auto"/>
        <w:jc w:val="both"/>
        <w:textAlignment w:val="baseline"/>
        <w:rPr>
          <w:rFonts w:ascii="Segoe UI" w:eastAsia="Times New Roman" w:hAnsi="Segoe UI" w:cs="Segoe UI"/>
          <w:sz w:val="20"/>
          <w:szCs w:val="20"/>
          <w:lang w:val="en-GB"/>
        </w:rPr>
      </w:pPr>
      <w:r w:rsidRPr="00046517">
        <w:rPr>
          <w:rFonts w:ascii="Verdana" w:eastAsia="Times New Roman" w:hAnsi="Verdana" w:cs="Segoe UI"/>
          <w:sz w:val="20"/>
          <w:szCs w:val="20"/>
          <w:lang w:val="en-GB"/>
        </w:rPr>
        <w:t> </w:t>
      </w:r>
    </w:p>
    <w:p w14:paraId="2BD97176" w14:textId="77777777" w:rsidR="0090014B" w:rsidRPr="00046517" w:rsidRDefault="0090014B" w:rsidP="0090014B">
      <w:pPr>
        <w:spacing w:after="0" w:line="240" w:lineRule="auto"/>
        <w:jc w:val="both"/>
        <w:textAlignment w:val="baseline"/>
        <w:rPr>
          <w:rFonts w:ascii="Segoe UI" w:eastAsia="Times New Roman" w:hAnsi="Segoe UI" w:cs="Segoe UI"/>
          <w:sz w:val="20"/>
          <w:szCs w:val="20"/>
          <w:lang w:val="en-GB"/>
        </w:rPr>
      </w:pPr>
      <w:r w:rsidRPr="00046517">
        <w:rPr>
          <w:rFonts w:ascii="Verdana" w:eastAsia="Times New Roman" w:hAnsi="Verdana" w:cs="Segoe UI"/>
          <w:sz w:val="20"/>
          <w:szCs w:val="20"/>
          <w:lang w:val="en-GB"/>
        </w:rPr>
        <w:t> </w:t>
      </w:r>
    </w:p>
    <w:p w14:paraId="4FE27F3A" w14:textId="77777777" w:rsidR="0090014B" w:rsidRPr="00046517" w:rsidRDefault="0090014B" w:rsidP="0090014B">
      <w:pPr>
        <w:spacing w:after="0" w:line="240" w:lineRule="auto"/>
        <w:jc w:val="both"/>
        <w:textAlignment w:val="baseline"/>
        <w:rPr>
          <w:rFonts w:ascii="Segoe UI" w:eastAsia="Times New Roman" w:hAnsi="Segoe UI" w:cs="Segoe UI"/>
          <w:sz w:val="20"/>
          <w:szCs w:val="20"/>
          <w:lang w:val="en-GB"/>
        </w:rPr>
      </w:pPr>
      <w:r w:rsidRPr="00046517">
        <w:rPr>
          <w:rFonts w:ascii="Verdana" w:eastAsia="Times New Roman" w:hAnsi="Verdana" w:cs="Segoe UI"/>
          <w:sz w:val="20"/>
          <w:szCs w:val="20"/>
          <w:lang w:val="en-GB"/>
        </w:rPr>
        <w:t> </w:t>
      </w:r>
    </w:p>
    <w:p w14:paraId="3F37B939" w14:textId="77777777" w:rsidR="0090014B" w:rsidRPr="00046517" w:rsidRDefault="0090014B" w:rsidP="0090014B">
      <w:pPr>
        <w:spacing w:after="0" w:line="240" w:lineRule="auto"/>
        <w:jc w:val="both"/>
        <w:textAlignment w:val="baseline"/>
        <w:rPr>
          <w:rFonts w:ascii="Segoe UI" w:eastAsia="Times New Roman" w:hAnsi="Segoe UI" w:cs="Segoe UI"/>
          <w:sz w:val="20"/>
          <w:szCs w:val="20"/>
          <w:lang w:val="en-GB"/>
        </w:rPr>
      </w:pPr>
      <w:r w:rsidRPr="00046517">
        <w:rPr>
          <w:rFonts w:ascii="Verdana" w:eastAsia="Times New Roman" w:hAnsi="Verdana" w:cs="Segoe UI"/>
          <w:sz w:val="20"/>
          <w:szCs w:val="20"/>
          <w:lang w:val="en-GB"/>
        </w:rPr>
        <w:t> </w:t>
      </w:r>
    </w:p>
    <w:p w14:paraId="57C9A1C9" w14:textId="77777777" w:rsidR="0090014B" w:rsidRPr="00046517" w:rsidRDefault="0090014B" w:rsidP="0090014B">
      <w:pPr>
        <w:spacing w:after="0" w:line="240" w:lineRule="auto"/>
        <w:jc w:val="both"/>
        <w:textAlignment w:val="baseline"/>
        <w:rPr>
          <w:rFonts w:ascii="Verdana" w:eastAsia="Times New Roman" w:hAnsi="Verdana" w:cs="Segoe UI"/>
          <w:sz w:val="20"/>
          <w:szCs w:val="20"/>
          <w:lang w:val="en-GB"/>
        </w:rPr>
      </w:pPr>
    </w:p>
    <w:p w14:paraId="6D50934E" w14:textId="77777777" w:rsidR="0090014B" w:rsidRPr="00046517" w:rsidRDefault="0090014B" w:rsidP="0090014B">
      <w:pPr>
        <w:spacing w:after="0" w:line="240" w:lineRule="auto"/>
        <w:jc w:val="both"/>
        <w:textAlignment w:val="baseline"/>
        <w:rPr>
          <w:rFonts w:ascii="Segoe UI" w:eastAsia="Times New Roman" w:hAnsi="Segoe UI" w:cs="Segoe UI"/>
          <w:sz w:val="20"/>
          <w:szCs w:val="20"/>
          <w:lang w:val="en-GB"/>
        </w:rPr>
      </w:pPr>
      <w:r w:rsidRPr="00046517">
        <w:rPr>
          <w:rFonts w:ascii="Verdana" w:eastAsia="Times New Roman" w:hAnsi="Verdana" w:cs="Segoe UI"/>
          <w:sz w:val="20"/>
          <w:szCs w:val="20"/>
          <w:lang w:val="en-GB"/>
        </w:rPr>
        <w:t> </w:t>
      </w:r>
    </w:p>
    <w:p w14:paraId="472FF7C5" w14:textId="77777777" w:rsidR="0090014B" w:rsidRPr="00046517" w:rsidRDefault="0090014B" w:rsidP="0090014B">
      <w:pPr>
        <w:spacing w:after="0" w:line="240" w:lineRule="auto"/>
        <w:jc w:val="both"/>
        <w:textAlignment w:val="baseline"/>
        <w:rPr>
          <w:rFonts w:ascii="Verdana" w:eastAsia="Times New Roman" w:hAnsi="Verdana" w:cs="Segoe UI"/>
          <w:sz w:val="20"/>
          <w:szCs w:val="20"/>
          <w:lang w:val="en-GB"/>
        </w:rPr>
      </w:pPr>
      <w:r w:rsidRPr="00046517">
        <w:rPr>
          <w:rFonts w:ascii="Verdana" w:eastAsia="Times New Roman" w:hAnsi="Verdana" w:cs="Segoe UI"/>
          <w:sz w:val="20"/>
          <w:szCs w:val="20"/>
          <w:lang w:val="en-GB"/>
        </w:rPr>
        <w:t> </w:t>
      </w:r>
    </w:p>
    <w:p w14:paraId="106C0F41" w14:textId="77777777" w:rsidR="00BE3F19" w:rsidRPr="00046517" w:rsidRDefault="00BE3F19" w:rsidP="0090014B">
      <w:pPr>
        <w:spacing w:after="0" w:line="240" w:lineRule="auto"/>
        <w:jc w:val="both"/>
        <w:textAlignment w:val="baseline"/>
        <w:rPr>
          <w:rFonts w:ascii="Verdana" w:eastAsia="Times New Roman" w:hAnsi="Verdana" w:cs="Segoe UI"/>
          <w:sz w:val="20"/>
          <w:szCs w:val="20"/>
          <w:lang w:val="en-GB"/>
        </w:rPr>
      </w:pPr>
    </w:p>
    <w:p w14:paraId="10CD32FB" w14:textId="77777777" w:rsidR="006B02E6" w:rsidRPr="00046517" w:rsidRDefault="006B02E6" w:rsidP="0090014B">
      <w:pPr>
        <w:spacing w:after="0" w:line="240" w:lineRule="auto"/>
        <w:jc w:val="both"/>
        <w:textAlignment w:val="baseline"/>
        <w:rPr>
          <w:rFonts w:ascii="Verdana" w:eastAsia="Times New Roman" w:hAnsi="Verdana" w:cs="Segoe UI"/>
          <w:sz w:val="20"/>
          <w:szCs w:val="20"/>
          <w:lang w:val="en-GB"/>
        </w:rPr>
      </w:pPr>
    </w:p>
    <w:p w14:paraId="7275CA00" w14:textId="77777777" w:rsidR="006B02E6" w:rsidRDefault="006B02E6" w:rsidP="0090014B">
      <w:pPr>
        <w:spacing w:after="0" w:line="240" w:lineRule="auto"/>
        <w:jc w:val="both"/>
        <w:textAlignment w:val="baseline"/>
        <w:rPr>
          <w:rFonts w:ascii="Verdana" w:eastAsia="Times New Roman" w:hAnsi="Verdana" w:cs="Segoe UI"/>
          <w:sz w:val="20"/>
          <w:szCs w:val="20"/>
          <w:lang w:val="en-GB"/>
        </w:rPr>
      </w:pPr>
    </w:p>
    <w:p w14:paraId="5D3AC9B3" w14:textId="77777777" w:rsidR="009E1D13" w:rsidRDefault="009E1D13" w:rsidP="0090014B">
      <w:pPr>
        <w:spacing w:after="0" w:line="240" w:lineRule="auto"/>
        <w:jc w:val="both"/>
        <w:textAlignment w:val="baseline"/>
        <w:rPr>
          <w:rFonts w:ascii="Verdana" w:eastAsia="Times New Roman" w:hAnsi="Verdana" w:cs="Segoe UI"/>
          <w:sz w:val="20"/>
          <w:szCs w:val="20"/>
          <w:lang w:val="en-GB"/>
        </w:rPr>
      </w:pPr>
    </w:p>
    <w:p w14:paraId="6D4D5C13" w14:textId="77777777" w:rsidR="009E1D13" w:rsidRPr="00046517" w:rsidRDefault="009E1D13" w:rsidP="0090014B">
      <w:pPr>
        <w:spacing w:after="0" w:line="240" w:lineRule="auto"/>
        <w:jc w:val="both"/>
        <w:textAlignment w:val="baseline"/>
        <w:rPr>
          <w:rFonts w:ascii="Verdana" w:eastAsia="Times New Roman" w:hAnsi="Verdana" w:cs="Segoe UI"/>
          <w:sz w:val="20"/>
          <w:szCs w:val="20"/>
          <w:lang w:val="en-GB"/>
        </w:rPr>
      </w:pPr>
    </w:p>
    <w:p w14:paraId="09DBA0BB" w14:textId="77777777" w:rsidR="003F2BDA" w:rsidRPr="00046517" w:rsidRDefault="003F2BDA" w:rsidP="0090014B">
      <w:pPr>
        <w:spacing w:after="0" w:line="240" w:lineRule="auto"/>
        <w:jc w:val="both"/>
        <w:textAlignment w:val="baseline"/>
        <w:rPr>
          <w:rFonts w:ascii="Verdana" w:eastAsia="Times New Roman" w:hAnsi="Verdana" w:cs="Segoe UI"/>
          <w:sz w:val="20"/>
          <w:szCs w:val="20"/>
          <w:lang w:val="en-GB"/>
        </w:rPr>
      </w:pPr>
    </w:p>
    <w:p w14:paraId="26C2372E" w14:textId="77777777" w:rsidR="00BE3F19" w:rsidRPr="00046517" w:rsidRDefault="00BE3F19" w:rsidP="0090014B">
      <w:pPr>
        <w:spacing w:after="0" w:line="240" w:lineRule="auto"/>
        <w:jc w:val="both"/>
        <w:textAlignment w:val="baseline"/>
        <w:rPr>
          <w:rFonts w:ascii="Verdana" w:eastAsia="Times New Roman" w:hAnsi="Verdana" w:cs="Segoe UI"/>
          <w:sz w:val="20"/>
          <w:szCs w:val="20"/>
          <w:lang w:val="en-GB"/>
        </w:rPr>
      </w:pPr>
    </w:p>
    <w:p w14:paraId="37E53B8E" w14:textId="77777777" w:rsidR="00BE3F19" w:rsidRPr="00046517" w:rsidRDefault="00BE3F19" w:rsidP="0090014B">
      <w:pPr>
        <w:spacing w:after="0" w:line="240" w:lineRule="auto"/>
        <w:jc w:val="both"/>
        <w:textAlignment w:val="baseline"/>
        <w:rPr>
          <w:rFonts w:ascii="Segoe UI" w:eastAsia="Times New Roman" w:hAnsi="Segoe UI" w:cs="Segoe UI"/>
          <w:sz w:val="20"/>
          <w:szCs w:val="20"/>
          <w:lang w:val="en-GB"/>
        </w:rPr>
      </w:pPr>
    </w:p>
    <w:p w14:paraId="164111B7" w14:textId="77777777" w:rsidR="0090014B" w:rsidRPr="00046517" w:rsidRDefault="0090014B" w:rsidP="0090014B">
      <w:pPr>
        <w:spacing w:after="0" w:line="240" w:lineRule="auto"/>
        <w:jc w:val="both"/>
        <w:textAlignment w:val="baseline"/>
        <w:rPr>
          <w:rFonts w:ascii="Segoe UI" w:eastAsia="Times New Roman" w:hAnsi="Segoe UI" w:cs="Segoe UI"/>
          <w:sz w:val="20"/>
          <w:szCs w:val="20"/>
          <w:lang w:val="en-GB"/>
        </w:rPr>
      </w:pPr>
      <w:r w:rsidRPr="00046517">
        <w:rPr>
          <w:rFonts w:ascii="Verdana" w:eastAsia="Times New Roman" w:hAnsi="Verdana" w:cs="Segoe UI"/>
          <w:sz w:val="20"/>
          <w:szCs w:val="20"/>
          <w:lang w:val="en-GB"/>
        </w:rPr>
        <w:t> </w:t>
      </w:r>
    </w:p>
    <w:p w14:paraId="59516874" w14:textId="77777777" w:rsidR="0090014B" w:rsidRPr="00046517" w:rsidRDefault="0090014B" w:rsidP="0090014B">
      <w:pPr>
        <w:ind w:left="138"/>
        <w:jc w:val="both"/>
        <w:rPr>
          <w:rFonts w:ascii="Verdana" w:hAnsi="Verdana"/>
          <w:sz w:val="20"/>
          <w:szCs w:val="20"/>
          <w:lang w:val="en-GB"/>
        </w:rPr>
      </w:pPr>
      <w:r w:rsidRPr="00046517">
        <w:rPr>
          <w:rFonts w:ascii="Verdana" w:hAnsi="Verdana" w:cs="Times New Roman"/>
          <w:color w:val="000000"/>
          <w:sz w:val="20"/>
          <w:szCs w:val="20"/>
          <w:lang w:val="en-GB"/>
        </w:rPr>
        <w:t xml:space="preserve">The </w:t>
      </w:r>
      <w:r w:rsidRPr="00046517">
        <w:rPr>
          <w:rFonts w:ascii="Verdana" w:hAnsi="Verdana" w:cs="Times New Roman"/>
          <w:b/>
          <w:bCs/>
          <w:color w:val="000000"/>
          <w:sz w:val="20"/>
          <w:szCs w:val="20"/>
          <w:lang w:val="en-GB"/>
        </w:rPr>
        <w:t>European Association of Co-operative Banks</w:t>
      </w:r>
      <w:r w:rsidRPr="00046517">
        <w:rPr>
          <w:rFonts w:ascii="Verdana" w:hAnsi="Verdana" w:cs="Times New Roman"/>
          <w:color w:val="000000"/>
          <w:sz w:val="20"/>
          <w:szCs w:val="20"/>
          <w:lang w:val="en-GB"/>
        </w:rPr>
        <w:t xml:space="preserve"> </w:t>
      </w:r>
      <w:r w:rsidRPr="00046517">
        <w:rPr>
          <w:rFonts w:ascii="Verdana" w:eastAsia="Times New Roman" w:hAnsi="Verdana" w:cs="Times New Roman"/>
          <w:color w:val="000000"/>
          <w:sz w:val="20"/>
          <w:szCs w:val="20"/>
          <w:lang w:val="en-GB" w:eastAsia="fr-FR"/>
        </w:rPr>
        <w:t>(</w:t>
      </w:r>
      <w:hyperlink r:id="rId11" w:history="1">
        <w:r w:rsidRPr="00046517">
          <w:rPr>
            <w:rStyle w:val="Hyperlink"/>
            <w:rFonts w:ascii="Verdana" w:eastAsia="Times New Roman" w:hAnsi="Verdana" w:cs="Times New Roman"/>
            <w:sz w:val="20"/>
            <w:szCs w:val="20"/>
            <w:lang w:val="en-GB" w:eastAsia="fr-FR"/>
          </w:rPr>
          <w:t>EACB</w:t>
        </w:r>
      </w:hyperlink>
      <w:r w:rsidRPr="00046517">
        <w:rPr>
          <w:rFonts w:ascii="Verdana" w:eastAsia="Times New Roman" w:hAnsi="Verdana" w:cs="Times New Roman"/>
          <w:color w:val="000000"/>
          <w:sz w:val="20"/>
          <w:szCs w:val="20"/>
          <w:lang w:val="en-GB" w:eastAsia="fr-FR"/>
        </w:rPr>
        <w:t>)</w:t>
      </w:r>
      <w:r w:rsidRPr="00046517">
        <w:rPr>
          <w:rFonts w:ascii="Verdana" w:hAnsi="Verdana" w:cs="Times New Roman"/>
          <w:color w:val="000000"/>
          <w:sz w:val="20"/>
          <w:szCs w:val="20"/>
          <w:lang w:val="en-GB"/>
        </w:rPr>
        <w:t xml:space="preserve"> is the voice of the cooperative banks in Europe. It represents, promotes and defends the common interests of its 26 member institutions and of cooperative banks in general. Cooperative banks form decentralised networks which are subject to banking as well as cooperative legislation. Democracy, transparency and proximity are the three key characteristics of the cooperative banks’ business model. With 2,700 locally operating banks and 40,000 outlets co-operative banks are widely represented throughout the enlarged European Union, playing a major role in the financial and economic system. They have a long tradition in serving 227 million customers, mainly consumers, retailers and communities. The co-operative banks in Europe represent 89 million members and 720,000 employees and have a total average market share of about 20%.</w:t>
      </w:r>
    </w:p>
    <w:p w14:paraId="23211537" w14:textId="77777777" w:rsidR="0090014B" w:rsidRPr="00046517" w:rsidRDefault="0090014B" w:rsidP="0090014B">
      <w:pPr>
        <w:ind w:left="138"/>
        <w:jc w:val="both"/>
        <w:rPr>
          <w:rFonts w:ascii="Verdana" w:hAnsi="Verdana"/>
          <w:sz w:val="20"/>
          <w:szCs w:val="20"/>
          <w:lang w:val="en-GB"/>
        </w:rPr>
      </w:pPr>
    </w:p>
    <w:p w14:paraId="77CE78D1" w14:textId="4BD2440E" w:rsidR="009E1D13" w:rsidRDefault="0090014B" w:rsidP="009E1D13">
      <w:pPr>
        <w:spacing w:after="0"/>
        <w:ind w:left="138" w:right="5117"/>
        <w:rPr>
          <w:rFonts w:ascii="Verdana" w:eastAsia="Verdana" w:hAnsi="Verdana" w:cs="Verdana"/>
          <w:color w:val="0000FF"/>
          <w:sz w:val="20"/>
          <w:szCs w:val="20"/>
          <w:u w:val="single" w:color="0000FF"/>
          <w:lang w:val="en-GB"/>
        </w:rPr>
      </w:pPr>
      <w:r w:rsidRPr="00046517">
        <w:rPr>
          <w:rFonts w:ascii="Verdana" w:eastAsia="Verdana" w:hAnsi="Verdana" w:cs="Verdana"/>
          <w:spacing w:val="1"/>
          <w:sz w:val="20"/>
          <w:szCs w:val="20"/>
          <w:lang w:val="en-GB"/>
        </w:rPr>
        <w:t>F</w:t>
      </w:r>
      <w:r w:rsidRPr="00046517">
        <w:rPr>
          <w:rFonts w:ascii="Verdana" w:eastAsia="Verdana" w:hAnsi="Verdana" w:cs="Verdana"/>
          <w:spacing w:val="-1"/>
          <w:sz w:val="20"/>
          <w:szCs w:val="20"/>
          <w:lang w:val="en-GB"/>
        </w:rPr>
        <w:t>o</w:t>
      </w:r>
      <w:r w:rsidRPr="00046517">
        <w:rPr>
          <w:rFonts w:ascii="Verdana" w:eastAsia="Verdana" w:hAnsi="Verdana" w:cs="Verdana"/>
          <w:sz w:val="20"/>
          <w:szCs w:val="20"/>
          <w:lang w:val="en-GB"/>
        </w:rPr>
        <w:t>r</w:t>
      </w:r>
      <w:r w:rsidRPr="00046517">
        <w:rPr>
          <w:rFonts w:ascii="Times New Roman" w:eastAsia="Times New Roman" w:hAnsi="Times New Roman" w:cs="Times New Roman"/>
          <w:spacing w:val="18"/>
          <w:sz w:val="20"/>
          <w:szCs w:val="20"/>
          <w:lang w:val="en-GB"/>
        </w:rPr>
        <w:t xml:space="preserve"> </w:t>
      </w:r>
      <w:r w:rsidRPr="00046517">
        <w:rPr>
          <w:rFonts w:ascii="Verdana" w:eastAsia="Verdana" w:hAnsi="Verdana" w:cs="Verdana"/>
          <w:sz w:val="20"/>
          <w:szCs w:val="20"/>
          <w:lang w:val="en-GB"/>
        </w:rPr>
        <w:t>f</w:t>
      </w:r>
      <w:r w:rsidRPr="00046517">
        <w:rPr>
          <w:rFonts w:ascii="Verdana" w:eastAsia="Verdana" w:hAnsi="Verdana" w:cs="Verdana"/>
          <w:spacing w:val="1"/>
          <w:sz w:val="20"/>
          <w:szCs w:val="20"/>
          <w:lang w:val="en-GB"/>
        </w:rPr>
        <w:t>u</w:t>
      </w:r>
      <w:r w:rsidRPr="00046517">
        <w:rPr>
          <w:rFonts w:ascii="Verdana" w:eastAsia="Verdana" w:hAnsi="Verdana" w:cs="Verdana"/>
          <w:spacing w:val="-1"/>
          <w:sz w:val="20"/>
          <w:szCs w:val="20"/>
          <w:lang w:val="en-GB"/>
        </w:rPr>
        <w:t>r</w:t>
      </w:r>
      <w:r w:rsidRPr="00046517">
        <w:rPr>
          <w:rFonts w:ascii="Verdana" w:eastAsia="Verdana" w:hAnsi="Verdana" w:cs="Verdana"/>
          <w:spacing w:val="1"/>
          <w:sz w:val="20"/>
          <w:szCs w:val="20"/>
          <w:lang w:val="en-GB"/>
        </w:rPr>
        <w:t>the</w:t>
      </w:r>
      <w:r w:rsidRPr="00046517">
        <w:rPr>
          <w:rFonts w:ascii="Verdana" w:eastAsia="Verdana" w:hAnsi="Verdana" w:cs="Verdana"/>
          <w:sz w:val="20"/>
          <w:szCs w:val="20"/>
          <w:lang w:val="en-GB"/>
        </w:rPr>
        <w:t>r</w:t>
      </w:r>
      <w:r w:rsidRPr="00046517">
        <w:rPr>
          <w:rFonts w:ascii="Times New Roman" w:eastAsia="Times New Roman" w:hAnsi="Times New Roman" w:cs="Times New Roman"/>
          <w:spacing w:val="12"/>
          <w:sz w:val="20"/>
          <w:szCs w:val="20"/>
          <w:lang w:val="en-GB"/>
        </w:rPr>
        <w:t xml:space="preserve"> </w:t>
      </w:r>
      <w:r w:rsidRPr="00046517">
        <w:rPr>
          <w:rFonts w:ascii="Verdana" w:eastAsia="Verdana" w:hAnsi="Verdana" w:cs="Verdana"/>
          <w:spacing w:val="3"/>
          <w:sz w:val="20"/>
          <w:szCs w:val="20"/>
          <w:lang w:val="en-GB"/>
        </w:rPr>
        <w:t>d</w:t>
      </w:r>
      <w:r w:rsidRPr="00046517">
        <w:rPr>
          <w:rFonts w:ascii="Verdana" w:eastAsia="Verdana" w:hAnsi="Verdana" w:cs="Verdana"/>
          <w:spacing w:val="-1"/>
          <w:sz w:val="20"/>
          <w:szCs w:val="20"/>
          <w:lang w:val="en-GB"/>
        </w:rPr>
        <w:t>e</w:t>
      </w:r>
      <w:r w:rsidRPr="00046517">
        <w:rPr>
          <w:rFonts w:ascii="Verdana" w:eastAsia="Verdana" w:hAnsi="Verdana" w:cs="Verdana"/>
          <w:spacing w:val="1"/>
          <w:sz w:val="20"/>
          <w:szCs w:val="20"/>
          <w:lang w:val="en-GB"/>
        </w:rPr>
        <w:t>t</w:t>
      </w:r>
      <w:r w:rsidRPr="00046517">
        <w:rPr>
          <w:rFonts w:ascii="Verdana" w:eastAsia="Verdana" w:hAnsi="Verdana" w:cs="Verdana"/>
          <w:sz w:val="20"/>
          <w:szCs w:val="20"/>
          <w:lang w:val="en-GB"/>
        </w:rPr>
        <w:t>a</w:t>
      </w:r>
      <w:r w:rsidRPr="00046517">
        <w:rPr>
          <w:rFonts w:ascii="Verdana" w:eastAsia="Verdana" w:hAnsi="Verdana" w:cs="Verdana"/>
          <w:spacing w:val="1"/>
          <w:sz w:val="20"/>
          <w:szCs w:val="20"/>
          <w:lang w:val="en-GB"/>
        </w:rPr>
        <w:t>il</w:t>
      </w:r>
      <w:r w:rsidRPr="00046517">
        <w:rPr>
          <w:rFonts w:ascii="Verdana" w:eastAsia="Verdana" w:hAnsi="Verdana" w:cs="Verdana"/>
          <w:spacing w:val="-1"/>
          <w:sz w:val="20"/>
          <w:szCs w:val="20"/>
          <w:lang w:val="en-GB"/>
        </w:rPr>
        <w:t>s</w:t>
      </w:r>
      <w:r w:rsidRPr="00046517">
        <w:rPr>
          <w:rFonts w:ascii="Verdana" w:eastAsia="Verdana" w:hAnsi="Verdana" w:cs="Verdana"/>
          <w:sz w:val="20"/>
          <w:szCs w:val="20"/>
          <w:lang w:val="en-GB"/>
        </w:rPr>
        <w:t>,</w:t>
      </w:r>
      <w:r w:rsidRPr="00046517">
        <w:rPr>
          <w:rFonts w:ascii="Times New Roman" w:eastAsia="Times New Roman" w:hAnsi="Times New Roman" w:cs="Times New Roman"/>
          <w:spacing w:val="12"/>
          <w:sz w:val="20"/>
          <w:szCs w:val="20"/>
          <w:lang w:val="en-GB"/>
        </w:rPr>
        <w:t xml:space="preserve"> </w:t>
      </w:r>
      <w:r w:rsidRPr="00046517">
        <w:rPr>
          <w:rFonts w:ascii="Verdana" w:eastAsia="Verdana" w:hAnsi="Verdana" w:cs="Verdana"/>
          <w:spacing w:val="1"/>
          <w:sz w:val="20"/>
          <w:szCs w:val="20"/>
          <w:lang w:val="en-GB"/>
        </w:rPr>
        <w:t>p</w:t>
      </w:r>
      <w:r w:rsidRPr="00046517">
        <w:rPr>
          <w:rFonts w:ascii="Verdana" w:eastAsia="Verdana" w:hAnsi="Verdana" w:cs="Verdana"/>
          <w:spacing w:val="3"/>
          <w:sz w:val="20"/>
          <w:szCs w:val="20"/>
          <w:lang w:val="en-GB"/>
        </w:rPr>
        <w:t>l</w:t>
      </w:r>
      <w:r w:rsidRPr="00046517">
        <w:rPr>
          <w:rFonts w:ascii="Verdana" w:eastAsia="Verdana" w:hAnsi="Verdana" w:cs="Verdana"/>
          <w:spacing w:val="-1"/>
          <w:sz w:val="20"/>
          <w:szCs w:val="20"/>
          <w:lang w:val="en-GB"/>
        </w:rPr>
        <w:t>e</w:t>
      </w:r>
      <w:r w:rsidRPr="00046517">
        <w:rPr>
          <w:rFonts w:ascii="Verdana" w:eastAsia="Verdana" w:hAnsi="Verdana" w:cs="Verdana"/>
          <w:spacing w:val="3"/>
          <w:sz w:val="20"/>
          <w:szCs w:val="20"/>
          <w:lang w:val="en-GB"/>
        </w:rPr>
        <w:t>a</w:t>
      </w:r>
      <w:r w:rsidRPr="00046517">
        <w:rPr>
          <w:rFonts w:ascii="Verdana" w:eastAsia="Verdana" w:hAnsi="Verdana" w:cs="Verdana"/>
          <w:spacing w:val="-1"/>
          <w:sz w:val="20"/>
          <w:szCs w:val="20"/>
          <w:lang w:val="en-GB"/>
        </w:rPr>
        <w:t>s</w:t>
      </w:r>
      <w:r w:rsidRPr="00046517">
        <w:rPr>
          <w:rFonts w:ascii="Verdana" w:eastAsia="Verdana" w:hAnsi="Verdana" w:cs="Verdana"/>
          <w:sz w:val="20"/>
          <w:szCs w:val="20"/>
          <w:lang w:val="en-GB"/>
        </w:rPr>
        <w:t>e</w:t>
      </w:r>
      <w:r w:rsidRPr="00046517">
        <w:rPr>
          <w:rFonts w:ascii="Times New Roman" w:eastAsia="Times New Roman" w:hAnsi="Times New Roman" w:cs="Times New Roman"/>
          <w:spacing w:val="15"/>
          <w:sz w:val="20"/>
          <w:szCs w:val="20"/>
          <w:lang w:val="en-GB"/>
        </w:rPr>
        <w:t xml:space="preserve"> </w:t>
      </w:r>
      <w:r w:rsidRPr="00046517">
        <w:rPr>
          <w:rFonts w:ascii="Verdana" w:eastAsia="Verdana" w:hAnsi="Verdana" w:cs="Verdana"/>
          <w:sz w:val="20"/>
          <w:szCs w:val="20"/>
          <w:lang w:val="en-GB"/>
        </w:rPr>
        <w:t>v</w:t>
      </w:r>
      <w:r w:rsidRPr="00046517">
        <w:rPr>
          <w:rFonts w:ascii="Verdana" w:eastAsia="Verdana" w:hAnsi="Verdana" w:cs="Verdana"/>
          <w:spacing w:val="1"/>
          <w:sz w:val="20"/>
          <w:szCs w:val="20"/>
          <w:lang w:val="en-GB"/>
        </w:rPr>
        <w:t>i</w:t>
      </w:r>
      <w:r w:rsidRPr="00046517">
        <w:rPr>
          <w:rFonts w:ascii="Verdana" w:eastAsia="Verdana" w:hAnsi="Verdana" w:cs="Verdana"/>
          <w:spacing w:val="-1"/>
          <w:sz w:val="20"/>
          <w:szCs w:val="20"/>
          <w:lang w:val="en-GB"/>
        </w:rPr>
        <w:t>s</w:t>
      </w:r>
      <w:r w:rsidRPr="00046517">
        <w:rPr>
          <w:rFonts w:ascii="Verdana" w:eastAsia="Verdana" w:hAnsi="Verdana" w:cs="Verdana"/>
          <w:spacing w:val="1"/>
          <w:sz w:val="20"/>
          <w:szCs w:val="20"/>
          <w:lang w:val="en-GB"/>
        </w:rPr>
        <w:t>i</w:t>
      </w:r>
      <w:r w:rsidRPr="00046517">
        <w:rPr>
          <w:rFonts w:ascii="Verdana" w:eastAsia="Verdana" w:hAnsi="Verdana" w:cs="Verdana"/>
          <w:sz w:val="20"/>
          <w:szCs w:val="20"/>
          <w:lang w:val="en-GB"/>
        </w:rPr>
        <w:t>t</w:t>
      </w:r>
      <w:r w:rsidRPr="00046517">
        <w:rPr>
          <w:rFonts w:ascii="Times New Roman" w:eastAsia="Times New Roman" w:hAnsi="Times New Roman" w:cs="Times New Roman"/>
          <w:spacing w:val="-3"/>
          <w:sz w:val="20"/>
          <w:szCs w:val="20"/>
          <w:lang w:val="en-GB"/>
        </w:rPr>
        <w:t xml:space="preserve"> </w:t>
      </w:r>
      <w:r w:rsidRPr="00046517">
        <w:rPr>
          <w:rFonts w:ascii="Verdana" w:eastAsia="Verdana" w:hAnsi="Verdana" w:cs="Verdana"/>
          <w:color w:val="0000FF"/>
          <w:spacing w:val="-33"/>
          <w:sz w:val="20"/>
          <w:szCs w:val="20"/>
          <w:lang w:val="en-GB"/>
        </w:rPr>
        <w:t xml:space="preserve"> </w:t>
      </w:r>
      <w:hyperlink r:id="rId12" w:history="1">
        <w:r w:rsidRPr="00046517">
          <w:rPr>
            <w:rStyle w:val="Hyperlink"/>
            <w:rFonts w:ascii="Verdana" w:eastAsia="Verdana" w:hAnsi="Verdana" w:cs="Verdana"/>
            <w:spacing w:val="3"/>
            <w:sz w:val="20"/>
            <w:szCs w:val="20"/>
            <w:lang w:val="en-GB"/>
          </w:rPr>
          <w:t>w</w:t>
        </w:r>
        <w:r w:rsidRPr="00046517">
          <w:rPr>
            <w:rStyle w:val="Hyperlink"/>
            <w:rFonts w:ascii="Verdana" w:eastAsia="Verdana" w:hAnsi="Verdana" w:cs="Verdana"/>
            <w:sz w:val="20"/>
            <w:szCs w:val="20"/>
            <w:lang w:val="en-GB"/>
          </w:rPr>
          <w:t>ww</w:t>
        </w:r>
        <w:r w:rsidRPr="00046517">
          <w:rPr>
            <w:rStyle w:val="Hyperlink"/>
            <w:rFonts w:ascii="Verdana" w:eastAsia="Verdana" w:hAnsi="Verdana" w:cs="Verdana"/>
            <w:spacing w:val="2"/>
            <w:sz w:val="20"/>
            <w:szCs w:val="20"/>
            <w:lang w:val="en-GB"/>
          </w:rPr>
          <w:t>.</w:t>
        </w:r>
        <w:r w:rsidRPr="00046517">
          <w:rPr>
            <w:rStyle w:val="Hyperlink"/>
            <w:rFonts w:ascii="Verdana" w:eastAsia="Verdana" w:hAnsi="Verdana" w:cs="Verdana"/>
            <w:spacing w:val="-1"/>
            <w:sz w:val="20"/>
            <w:szCs w:val="20"/>
            <w:lang w:val="en-GB"/>
          </w:rPr>
          <w:t>e</w:t>
        </w:r>
        <w:r w:rsidRPr="00046517">
          <w:rPr>
            <w:rStyle w:val="Hyperlink"/>
            <w:rFonts w:ascii="Verdana" w:eastAsia="Verdana" w:hAnsi="Verdana" w:cs="Verdana"/>
            <w:sz w:val="20"/>
            <w:szCs w:val="20"/>
            <w:lang w:val="en-GB"/>
          </w:rPr>
          <w:t>a</w:t>
        </w:r>
        <w:r w:rsidRPr="00046517">
          <w:rPr>
            <w:rStyle w:val="Hyperlink"/>
            <w:rFonts w:ascii="Verdana" w:eastAsia="Verdana" w:hAnsi="Verdana" w:cs="Verdana"/>
            <w:spacing w:val="-1"/>
            <w:sz w:val="20"/>
            <w:szCs w:val="20"/>
            <w:lang w:val="en-GB"/>
          </w:rPr>
          <w:t>c</w:t>
        </w:r>
        <w:r w:rsidRPr="00046517">
          <w:rPr>
            <w:rStyle w:val="Hyperlink"/>
            <w:rFonts w:ascii="Verdana" w:eastAsia="Verdana" w:hAnsi="Verdana" w:cs="Verdana"/>
            <w:spacing w:val="1"/>
            <w:sz w:val="20"/>
            <w:szCs w:val="20"/>
            <w:lang w:val="en-GB"/>
          </w:rPr>
          <w:t>b</w:t>
        </w:r>
        <w:r w:rsidRPr="00046517">
          <w:rPr>
            <w:rStyle w:val="Hyperlink"/>
            <w:rFonts w:ascii="Verdana" w:eastAsia="Verdana" w:hAnsi="Verdana" w:cs="Verdana"/>
            <w:spacing w:val="2"/>
            <w:sz w:val="20"/>
            <w:szCs w:val="20"/>
            <w:lang w:val="en-GB"/>
          </w:rPr>
          <w:t>.</w:t>
        </w:r>
        <w:r w:rsidRPr="00046517">
          <w:rPr>
            <w:rStyle w:val="Hyperlink"/>
            <w:rFonts w:ascii="Verdana" w:eastAsia="Verdana" w:hAnsi="Verdana" w:cs="Verdana"/>
            <w:spacing w:val="-1"/>
            <w:sz w:val="20"/>
            <w:szCs w:val="20"/>
            <w:lang w:val="en-GB"/>
          </w:rPr>
          <w:t>c</w:t>
        </w:r>
        <w:r w:rsidRPr="00046517">
          <w:rPr>
            <w:rStyle w:val="Hyperlink"/>
            <w:rFonts w:ascii="Verdana" w:eastAsia="Verdana" w:hAnsi="Verdana" w:cs="Verdana"/>
            <w:spacing w:val="2"/>
            <w:sz w:val="20"/>
            <w:szCs w:val="20"/>
            <w:lang w:val="en-GB"/>
          </w:rPr>
          <w:t>o</w:t>
        </w:r>
        <w:r w:rsidRPr="00046517">
          <w:rPr>
            <w:rStyle w:val="Hyperlink"/>
            <w:rFonts w:ascii="Verdana" w:eastAsia="Verdana" w:hAnsi="Verdana" w:cs="Verdana"/>
            <w:spacing w:val="-1"/>
            <w:sz w:val="20"/>
            <w:szCs w:val="20"/>
            <w:lang w:val="en-GB"/>
          </w:rPr>
          <w:t>o</w:t>
        </w:r>
        <w:r w:rsidRPr="00046517">
          <w:rPr>
            <w:rStyle w:val="Hyperlink"/>
            <w:rFonts w:ascii="Verdana" w:eastAsia="Verdana" w:hAnsi="Verdana" w:cs="Verdana"/>
            <w:sz w:val="20"/>
            <w:szCs w:val="20"/>
            <w:lang w:val="en-GB"/>
          </w:rPr>
          <w:t>p</w:t>
        </w:r>
      </w:hyperlink>
      <w:r w:rsidRPr="00046517">
        <w:rPr>
          <w:rFonts w:ascii="Verdana" w:eastAsia="Verdana" w:hAnsi="Verdana" w:cs="Verdana"/>
          <w:color w:val="0000FF"/>
          <w:sz w:val="20"/>
          <w:szCs w:val="20"/>
          <w:u w:val="single" w:color="0000FF"/>
          <w:lang w:val="en-GB"/>
        </w:rPr>
        <w:t xml:space="preserve"> </w:t>
      </w:r>
    </w:p>
    <w:p w14:paraId="129F0D42" w14:textId="77777777" w:rsidR="009E1D13" w:rsidRDefault="009E1D13" w:rsidP="006B02E6">
      <w:pPr>
        <w:spacing w:after="0"/>
        <w:ind w:left="138" w:right="5117"/>
        <w:rPr>
          <w:rFonts w:ascii="Verdana" w:eastAsia="Verdana" w:hAnsi="Verdana" w:cs="Verdana"/>
          <w:color w:val="0000FF"/>
          <w:sz w:val="20"/>
          <w:szCs w:val="20"/>
          <w:u w:val="single" w:color="0000FF"/>
          <w:lang w:val="en-GB"/>
        </w:rPr>
      </w:pPr>
    </w:p>
    <w:p w14:paraId="0BE0DC30" w14:textId="77777777" w:rsidR="009E1D13" w:rsidRPr="00046517" w:rsidRDefault="009E1D13" w:rsidP="006B02E6">
      <w:pPr>
        <w:spacing w:after="0"/>
        <w:ind w:left="138" w:right="5117"/>
        <w:rPr>
          <w:rFonts w:ascii="Verdana" w:eastAsia="Verdana" w:hAnsi="Verdana" w:cs="Verdana"/>
          <w:color w:val="0000FF"/>
          <w:sz w:val="20"/>
          <w:szCs w:val="20"/>
          <w:u w:val="single" w:color="0000FF"/>
          <w:lang w:val="en-GB"/>
        </w:rPr>
      </w:pPr>
    </w:p>
    <w:p w14:paraId="1753FF49" w14:textId="77777777" w:rsidR="0090014B" w:rsidRPr="00046517" w:rsidRDefault="0090014B" w:rsidP="0090014B">
      <w:pPr>
        <w:shd w:val="clear" w:color="auto" w:fill="AEAAAA"/>
        <w:spacing w:after="0" w:line="240" w:lineRule="auto"/>
        <w:jc w:val="both"/>
        <w:textAlignment w:val="baseline"/>
        <w:rPr>
          <w:rFonts w:ascii="Verdana" w:eastAsia="Times New Roman" w:hAnsi="Verdana" w:cs="Segoe UI"/>
          <w:color w:val="767171"/>
          <w:sz w:val="20"/>
          <w:szCs w:val="20"/>
          <w:lang w:val="en-GB"/>
        </w:rPr>
      </w:pPr>
      <w:r w:rsidRPr="00046517">
        <w:rPr>
          <w:rFonts w:ascii="Verdana" w:eastAsia="Times New Roman" w:hAnsi="Verdana" w:cs="Segoe UI"/>
          <w:b/>
          <w:bCs/>
          <w:color w:val="767171"/>
          <w:sz w:val="20"/>
          <w:szCs w:val="20"/>
          <w:lang w:val="en-GB"/>
        </w:rPr>
        <w:lastRenderedPageBreak/>
        <w:t>General Comments</w:t>
      </w:r>
    </w:p>
    <w:p w14:paraId="298159D5" w14:textId="752E5EF9" w:rsidR="00CB58BB" w:rsidRPr="00046517" w:rsidRDefault="00CB58BB" w:rsidP="002B7578">
      <w:pPr>
        <w:spacing w:after="0" w:line="240" w:lineRule="auto"/>
        <w:jc w:val="both"/>
        <w:textAlignment w:val="baseline"/>
        <w:rPr>
          <w:rFonts w:ascii="Verdana" w:eastAsia="Times New Roman" w:hAnsi="Verdana" w:cs="Segoe UI"/>
          <w:sz w:val="20"/>
          <w:szCs w:val="20"/>
          <w:lang w:val="en-GB"/>
        </w:rPr>
      </w:pPr>
    </w:p>
    <w:p w14:paraId="53DFB0D9" w14:textId="77777777" w:rsidR="006B02E6" w:rsidRPr="00046517" w:rsidRDefault="006B02E6" w:rsidP="002B7578">
      <w:pPr>
        <w:spacing w:after="0" w:line="240" w:lineRule="auto"/>
        <w:jc w:val="both"/>
        <w:textAlignment w:val="baseline"/>
        <w:rPr>
          <w:rFonts w:ascii="Verdana" w:eastAsia="Times New Roman" w:hAnsi="Verdana" w:cs="Segoe UI"/>
          <w:color w:val="2F5496" w:themeColor="accent5" w:themeShade="BF"/>
          <w:sz w:val="20"/>
          <w:szCs w:val="20"/>
          <w:lang w:val="en-GB"/>
        </w:rPr>
      </w:pPr>
    </w:p>
    <w:p w14:paraId="6E24A4F6" w14:textId="5824B7D1" w:rsidR="00CB58BB" w:rsidRPr="00046517" w:rsidRDefault="00CB58BB" w:rsidP="002B7578">
      <w:pPr>
        <w:spacing w:after="0" w:line="240" w:lineRule="auto"/>
        <w:jc w:val="both"/>
        <w:textAlignment w:val="baseline"/>
        <w:rPr>
          <w:rFonts w:ascii="Verdana" w:eastAsia="Times New Roman" w:hAnsi="Verdana" w:cs="Segoe UI"/>
          <w:sz w:val="20"/>
          <w:szCs w:val="20"/>
          <w:lang w:val="en-GB"/>
        </w:rPr>
      </w:pPr>
      <w:r w:rsidRPr="00046517">
        <w:rPr>
          <w:rFonts w:ascii="Verdana" w:eastAsia="Times New Roman" w:hAnsi="Verdana" w:cs="Segoe UI"/>
          <w:sz w:val="20"/>
          <w:szCs w:val="20"/>
          <w:lang w:val="en-GB"/>
        </w:rPr>
        <w:t xml:space="preserve">The EACB supports EBA's effort to establish general principles for internal arrangements that European financial institutions should adopt to comply with European and domestic restrictive measures. The </w:t>
      </w:r>
      <w:r w:rsidR="00CB690F" w:rsidRPr="00046517">
        <w:rPr>
          <w:rFonts w:ascii="Verdana" w:eastAsia="Times New Roman" w:hAnsi="Verdana" w:cs="Segoe UI"/>
          <w:sz w:val="20"/>
          <w:szCs w:val="20"/>
          <w:lang w:val="en-GB"/>
        </w:rPr>
        <w:t xml:space="preserve">draft </w:t>
      </w:r>
      <w:r w:rsidRPr="00046517">
        <w:rPr>
          <w:rFonts w:ascii="Verdana" w:eastAsia="Times New Roman" w:hAnsi="Verdana" w:cs="Segoe UI"/>
          <w:sz w:val="20"/>
          <w:szCs w:val="20"/>
          <w:lang w:val="en-GB"/>
        </w:rPr>
        <w:t xml:space="preserve">Guidelines aim to promote a shared understanding of applicable standards across </w:t>
      </w:r>
      <w:r w:rsidR="006B02E6" w:rsidRPr="00046517">
        <w:rPr>
          <w:rFonts w:ascii="Verdana" w:eastAsia="Times New Roman" w:hAnsi="Verdana" w:cs="Segoe UI"/>
          <w:sz w:val="20"/>
          <w:szCs w:val="20"/>
          <w:lang w:val="en-GB"/>
        </w:rPr>
        <w:t>M</w:t>
      </w:r>
      <w:r w:rsidRPr="00046517">
        <w:rPr>
          <w:rFonts w:ascii="Verdana" w:eastAsia="Times New Roman" w:hAnsi="Verdana" w:cs="Segoe UI"/>
          <w:sz w:val="20"/>
          <w:szCs w:val="20"/>
          <w:lang w:val="en-GB"/>
        </w:rPr>
        <w:t xml:space="preserve">ember </w:t>
      </w:r>
      <w:r w:rsidR="006B02E6" w:rsidRPr="00046517">
        <w:rPr>
          <w:rFonts w:ascii="Verdana" w:eastAsia="Times New Roman" w:hAnsi="Verdana" w:cs="Segoe UI"/>
          <w:sz w:val="20"/>
          <w:szCs w:val="20"/>
          <w:lang w:val="en-GB"/>
        </w:rPr>
        <w:t>S</w:t>
      </w:r>
      <w:r w:rsidRPr="00046517">
        <w:rPr>
          <w:rFonts w:ascii="Verdana" w:eastAsia="Times New Roman" w:hAnsi="Verdana" w:cs="Segoe UI"/>
          <w:sz w:val="20"/>
          <w:szCs w:val="20"/>
          <w:lang w:val="en-GB"/>
        </w:rPr>
        <w:t xml:space="preserve">tates, which is welcome. </w:t>
      </w:r>
    </w:p>
    <w:p w14:paraId="1887DE86" w14:textId="77777777" w:rsidR="00CB58BB" w:rsidRPr="00046517" w:rsidRDefault="00CB58BB" w:rsidP="002B7578">
      <w:pPr>
        <w:spacing w:after="0" w:line="240" w:lineRule="auto"/>
        <w:jc w:val="both"/>
        <w:textAlignment w:val="baseline"/>
        <w:rPr>
          <w:rFonts w:ascii="Verdana" w:eastAsia="Times New Roman" w:hAnsi="Verdana" w:cs="Segoe UI"/>
          <w:sz w:val="20"/>
          <w:szCs w:val="20"/>
          <w:lang w:val="en-GB"/>
        </w:rPr>
      </w:pPr>
    </w:p>
    <w:p w14:paraId="42D45E18" w14:textId="64DF1855" w:rsidR="00CB58BB" w:rsidRPr="00046517" w:rsidRDefault="00CB58BB" w:rsidP="002B7578">
      <w:pPr>
        <w:spacing w:after="0" w:line="240" w:lineRule="auto"/>
        <w:jc w:val="both"/>
        <w:textAlignment w:val="baseline"/>
        <w:rPr>
          <w:rFonts w:ascii="Verdana" w:eastAsia="Times New Roman" w:hAnsi="Verdana" w:cs="Segoe UI"/>
          <w:sz w:val="20"/>
          <w:szCs w:val="20"/>
          <w:lang w:val="en-GB"/>
        </w:rPr>
      </w:pPr>
      <w:r w:rsidRPr="00046517">
        <w:rPr>
          <w:rFonts w:ascii="Verdana" w:eastAsia="Times New Roman" w:hAnsi="Verdana" w:cs="Segoe UI"/>
          <w:sz w:val="20"/>
          <w:szCs w:val="20"/>
          <w:lang w:val="en-GB"/>
        </w:rPr>
        <w:t xml:space="preserve">However, the two draft </w:t>
      </w:r>
      <w:r w:rsidR="00CB690F" w:rsidRPr="00046517">
        <w:rPr>
          <w:rFonts w:ascii="Verdana" w:eastAsia="Times New Roman" w:hAnsi="Verdana" w:cs="Segoe UI"/>
          <w:sz w:val="20"/>
          <w:szCs w:val="20"/>
          <w:lang w:val="en-GB"/>
        </w:rPr>
        <w:t>G</w:t>
      </w:r>
      <w:r w:rsidRPr="00046517">
        <w:rPr>
          <w:rFonts w:ascii="Verdana" w:eastAsia="Times New Roman" w:hAnsi="Verdana" w:cs="Segoe UI"/>
          <w:sz w:val="20"/>
          <w:szCs w:val="20"/>
          <w:lang w:val="en-GB"/>
        </w:rPr>
        <w:t xml:space="preserve">uidelines give rise to specific concerns that we discuss in the general comments section and </w:t>
      </w:r>
      <w:r w:rsidR="00AE3D81" w:rsidRPr="00046517">
        <w:rPr>
          <w:rFonts w:ascii="Verdana" w:eastAsia="Times New Roman" w:hAnsi="Verdana" w:cs="Segoe UI"/>
          <w:sz w:val="20"/>
          <w:szCs w:val="20"/>
          <w:lang w:val="en-GB"/>
        </w:rPr>
        <w:t xml:space="preserve">in </w:t>
      </w:r>
      <w:r w:rsidRPr="00046517">
        <w:rPr>
          <w:rFonts w:ascii="Verdana" w:eastAsia="Times New Roman" w:hAnsi="Verdana" w:cs="Segoe UI"/>
          <w:sz w:val="20"/>
          <w:szCs w:val="20"/>
          <w:lang w:val="en-GB"/>
        </w:rPr>
        <w:t>the corresponding sections below.</w:t>
      </w:r>
    </w:p>
    <w:p w14:paraId="5DDE05FF" w14:textId="77777777" w:rsidR="00FD0FE3" w:rsidRPr="00046517" w:rsidRDefault="00FD0FE3" w:rsidP="002B7578">
      <w:pPr>
        <w:spacing w:after="0" w:line="240" w:lineRule="auto"/>
        <w:jc w:val="both"/>
        <w:textAlignment w:val="baseline"/>
        <w:rPr>
          <w:rFonts w:ascii="Verdana" w:eastAsia="Times New Roman" w:hAnsi="Verdana" w:cs="Segoe UI"/>
          <w:sz w:val="20"/>
          <w:szCs w:val="20"/>
          <w:lang w:val="en-GB"/>
        </w:rPr>
      </w:pPr>
    </w:p>
    <w:p w14:paraId="72FBED88" w14:textId="4D7AB7A0" w:rsidR="002B7578" w:rsidRPr="00046517" w:rsidRDefault="00FF096C" w:rsidP="002B7578">
      <w:pPr>
        <w:spacing w:after="0" w:line="240" w:lineRule="auto"/>
        <w:jc w:val="both"/>
        <w:textAlignment w:val="baseline"/>
        <w:rPr>
          <w:rFonts w:ascii="Verdana" w:eastAsia="Times New Roman" w:hAnsi="Verdana" w:cs="Segoe UI"/>
          <w:sz w:val="20"/>
          <w:szCs w:val="20"/>
          <w:lang w:val="en-GB"/>
        </w:rPr>
      </w:pPr>
      <w:r w:rsidRPr="00046517">
        <w:rPr>
          <w:rFonts w:ascii="Verdana" w:eastAsia="Times New Roman" w:hAnsi="Verdana" w:cs="Segoe UI"/>
          <w:sz w:val="20"/>
          <w:szCs w:val="20"/>
          <w:lang w:val="en-GB"/>
        </w:rPr>
        <w:t>First</w:t>
      </w:r>
      <w:r w:rsidR="00FD0FE3" w:rsidRPr="00046517">
        <w:rPr>
          <w:rFonts w:ascii="Verdana" w:eastAsia="Times New Roman" w:hAnsi="Verdana" w:cs="Segoe UI"/>
          <w:sz w:val="20"/>
          <w:szCs w:val="20"/>
          <w:lang w:val="en-GB"/>
        </w:rPr>
        <w:t xml:space="preserve">, </w:t>
      </w:r>
      <w:r w:rsidR="00315C83" w:rsidRPr="00046517">
        <w:rPr>
          <w:rFonts w:ascii="Verdana" w:eastAsia="Times New Roman" w:hAnsi="Verdana" w:cs="Segoe UI"/>
          <w:sz w:val="20"/>
          <w:szCs w:val="20"/>
          <w:lang w:val="en-GB"/>
        </w:rPr>
        <w:t xml:space="preserve">while the rationale </w:t>
      </w:r>
      <w:r w:rsidR="00AE3D81" w:rsidRPr="00046517">
        <w:rPr>
          <w:rFonts w:ascii="Verdana" w:eastAsia="Times New Roman" w:hAnsi="Verdana" w:cs="Segoe UI"/>
          <w:sz w:val="20"/>
          <w:szCs w:val="20"/>
          <w:lang w:val="en-GB"/>
        </w:rPr>
        <w:t>for</w:t>
      </w:r>
      <w:r w:rsidR="00315C83" w:rsidRPr="00046517">
        <w:rPr>
          <w:rFonts w:ascii="Verdana" w:eastAsia="Times New Roman" w:hAnsi="Verdana" w:cs="Segoe UI"/>
          <w:sz w:val="20"/>
          <w:szCs w:val="20"/>
          <w:lang w:val="en-GB"/>
        </w:rPr>
        <w:t xml:space="preserve"> th</w:t>
      </w:r>
      <w:r w:rsidR="00CB58BB" w:rsidRPr="00046517">
        <w:rPr>
          <w:rFonts w:ascii="Verdana" w:eastAsia="Times New Roman" w:hAnsi="Verdana" w:cs="Segoe UI"/>
          <w:sz w:val="20"/>
          <w:szCs w:val="20"/>
          <w:lang w:val="en-GB"/>
        </w:rPr>
        <w:t xml:space="preserve">ese </w:t>
      </w:r>
      <w:r w:rsidR="00315C83" w:rsidRPr="00046517">
        <w:rPr>
          <w:rFonts w:ascii="Verdana" w:eastAsia="Times New Roman" w:hAnsi="Verdana" w:cs="Segoe UI"/>
          <w:sz w:val="20"/>
          <w:szCs w:val="20"/>
          <w:lang w:val="en-GB"/>
        </w:rPr>
        <w:t>guidelines is clear</w:t>
      </w:r>
      <w:r w:rsidR="00634640" w:rsidRPr="00046517">
        <w:rPr>
          <w:rFonts w:ascii="Verdana" w:eastAsia="Times New Roman" w:hAnsi="Verdana" w:cs="Segoe UI"/>
          <w:sz w:val="20"/>
          <w:szCs w:val="20"/>
          <w:lang w:val="en-GB"/>
        </w:rPr>
        <w:t>,</w:t>
      </w:r>
      <w:r w:rsidR="00CB58BB" w:rsidRPr="00046517">
        <w:rPr>
          <w:rFonts w:ascii="Verdana" w:eastAsia="Times New Roman" w:hAnsi="Verdana" w:cs="Segoe UI"/>
          <w:sz w:val="20"/>
          <w:szCs w:val="20"/>
          <w:lang w:val="en-GB"/>
        </w:rPr>
        <w:t xml:space="preserve"> </w:t>
      </w:r>
      <w:r w:rsidR="00315C83" w:rsidRPr="00046517">
        <w:rPr>
          <w:rFonts w:ascii="Verdana" w:eastAsia="Times New Roman" w:hAnsi="Verdana" w:cs="Segoe UI"/>
          <w:sz w:val="20"/>
          <w:szCs w:val="20"/>
          <w:lang w:val="en-GB"/>
        </w:rPr>
        <w:t xml:space="preserve">the legal </w:t>
      </w:r>
      <w:r w:rsidR="00CB58BB" w:rsidRPr="00046517">
        <w:rPr>
          <w:rFonts w:ascii="Verdana" w:eastAsia="Times New Roman" w:hAnsi="Verdana" w:cs="Segoe UI"/>
          <w:sz w:val="20"/>
          <w:szCs w:val="20"/>
          <w:lang w:val="en-GB"/>
        </w:rPr>
        <w:t xml:space="preserve">basis </w:t>
      </w:r>
      <w:r w:rsidR="00AE3D81" w:rsidRPr="00046517">
        <w:rPr>
          <w:rFonts w:ascii="Verdana" w:eastAsia="Times New Roman" w:hAnsi="Verdana" w:cs="Segoe UI"/>
          <w:sz w:val="20"/>
          <w:szCs w:val="20"/>
          <w:lang w:val="en-GB"/>
        </w:rPr>
        <w:t>outlined</w:t>
      </w:r>
      <w:r w:rsidR="00315C83" w:rsidRPr="00046517">
        <w:rPr>
          <w:rFonts w:ascii="Verdana" w:eastAsia="Times New Roman" w:hAnsi="Verdana" w:cs="Segoe UI"/>
          <w:sz w:val="20"/>
          <w:szCs w:val="20"/>
          <w:lang w:val="en-GB"/>
        </w:rPr>
        <w:t xml:space="preserve"> in both drafts </w:t>
      </w:r>
      <w:r w:rsidR="00AE3D81" w:rsidRPr="00046517">
        <w:rPr>
          <w:rFonts w:ascii="Verdana" w:eastAsia="Times New Roman" w:hAnsi="Verdana" w:cs="Segoe UI"/>
          <w:sz w:val="20"/>
          <w:szCs w:val="20"/>
          <w:lang w:val="en-GB"/>
        </w:rPr>
        <w:t>is</w:t>
      </w:r>
      <w:r w:rsidR="00315C83" w:rsidRPr="00046517">
        <w:rPr>
          <w:rFonts w:ascii="Verdana" w:eastAsia="Times New Roman" w:hAnsi="Verdana" w:cs="Segoe UI"/>
          <w:sz w:val="20"/>
          <w:szCs w:val="20"/>
          <w:lang w:val="en-GB"/>
        </w:rPr>
        <w:t xml:space="preserve"> questionabl</w:t>
      </w:r>
      <w:r w:rsidR="00713BEF" w:rsidRPr="00046517">
        <w:rPr>
          <w:rFonts w:ascii="Verdana" w:eastAsia="Times New Roman" w:hAnsi="Verdana" w:cs="Segoe UI"/>
          <w:sz w:val="20"/>
          <w:szCs w:val="20"/>
          <w:lang w:val="en-GB"/>
        </w:rPr>
        <w:t>e</w:t>
      </w:r>
      <w:r w:rsidR="00315C83" w:rsidRPr="00046517">
        <w:rPr>
          <w:rFonts w:ascii="Verdana" w:eastAsia="Times New Roman" w:hAnsi="Verdana" w:cs="Segoe UI"/>
          <w:sz w:val="20"/>
          <w:szCs w:val="20"/>
          <w:lang w:val="en-GB"/>
        </w:rPr>
        <w:t>:</w:t>
      </w:r>
      <w:r w:rsidR="00FD0FE3" w:rsidRPr="00046517">
        <w:rPr>
          <w:rFonts w:ascii="Verdana" w:eastAsia="Times New Roman" w:hAnsi="Verdana" w:cs="Segoe UI"/>
          <w:sz w:val="20"/>
          <w:szCs w:val="20"/>
          <w:lang w:val="en-GB"/>
        </w:rPr>
        <w:t xml:space="preserve">  </w:t>
      </w:r>
    </w:p>
    <w:p w14:paraId="2970B5CA" w14:textId="343A0AED" w:rsidR="002B7578" w:rsidRPr="00046517" w:rsidRDefault="002B7578" w:rsidP="002B7578">
      <w:pPr>
        <w:spacing w:after="0" w:line="240" w:lineRule="auto"/>
        <w:jc w:val="both"/>
        <w:textAlignment w:val="baseline"/>
        <w:rPr>
          <w:rFonts w:ascii="Verdana" w:eastAsia="Times New Roman" w:hAnsi="Verdana" w:cs="Segoe UI"/>
          <w:sz w:val="20"/>
          <w:szCs w:val="20"/>
          <w:lang w:val="en-GB"/>
        </w:rPr>
      </w:pPr>
    </w:p>
    <w:p w14:paraId="02D3EDEF" w14:textId="1B24A507" w:rsidR="00CB58BB" w:rsidRPr="00046517" w:rsidRDefault="00315C83" w:rsidP="006B02E6">
      <w:pPr>
        <w:pStyle w:val="ListParagraph"/>
        <w:numPr>
          <w:ilvl w:val="0"/>
          <w:numId w:val="8"/>
        </w:numPr>
        <w:spacing w:after="160"/>
        <w:ind w:left="714" w:hanging="357"/>
        <w:contextualSpacing w:val="0"/>
        <w:jc w:val="both"/>
        <w:rPr>
          <w:rFonts w:ascii="Verdana" w:hAnsi="Verdana" w:cs="Segoe UI"/>
          <w:sz w:val="20"/>
          <w:szCs w:val="20"/>
          <w:lang w:val="en-GB"/>
        </w:rPr>
      </w:pPr>
      <w:r w:rsidRPr="00046517">
        <w:rPr>
          <w:rFonts w:ascii="Verdana" w:hAnsi="Verdana" w:cs="Segoe UI"/>
          <w:sz w:val="20"/>
          <w:szCs w:val="20"/>
          <w:lang w:val="en-GB"/>
        </w:rPr>
        <w:t>The first set of guidelines refers to high level provisions laid out in three sectoral legislations (</w:t>
      </w:r>
      <w:r w:rsidRPr="00046517">
        <w:rPr>
          <w:rFonts w:ascii="Verdana" w:hAnsi="Verdana" w:cs="Segoe UI"/>
          <w:i/>
          <w:sz w:val="20"/>
          <w:szCs w:val="20"/>
          <w:lang w:val="en-GB"/>
        </w:rPr>
        <w:t>i.e.</w:t>
      </w:r>
      <w:r w:rsidRPr="00046517">
        <w:rPr>
          <w:rFonts w:ascii="Verdana" w:hAnsi="Verdana" w:cs="Segoe UI"/>
          <w:sz w:val="20"/>
          <w:szCs w:val="20"/>
          <w:lang w:val="en-GB"/>
        </w:rPr>
        <w:t xml:space="preserve"> </w:t>
      </w:r>
      <w:r w:rsidR="003F5538" w:rsidRPr="00046517">
        <w:rPr>
          <w:rFonts w:ascii="Verdana" w:hAnsi="Verdana" w:cs="Segoe UI"/>
          <w:sz w:val="20"/>
          <w:szCs w:val="20"/>
          <w:lang w:val="en-GB"/>
        </w:rPr>
        <w:t xml:space="preserve">Article 74(1) </w:t>
      </w:r>
      <w:r w:rsidRPr="00046517">
        <w:rPr>
          <w:rFonts w:ascii="Verdana" w:hAnsi="Verdana" w:cs="Segoe UI"/>
          <w:sz w:val="20"/>
          <w:szCs w:val="20"/>
          <w:lang w:val="en-GB"/>
        </w:rPr>
        <w:t xml:space="preserve">CRD, </w:t>
      </w:r>
      <w:r w:rsidR="003F5538" w:rsidRPr="00046517">
        <w:rPr>
          <w:rFonts w:ascii="Verdana" w:hAnsi="Verdana" w:cs="Segoe UI"/>
          <w:sz w:val="20"/>
          <w:szCs w:val="20"/>
          <w:lang w:val="en-GB"/>
        </w:rPr>
        <w:t xml:space="preserve">article 11(4) </w:t>
      </w:r>
      <w:r w:rsidRPr="00046517">
        <w:rPr>
          <w:rFonts w:ascii="Verdana" w:hAnsi="Verdana" w:cs="Segoe UI"/>
          <w:sz w:val="20"/>
          <w:szCs w:val="20"/>
          <w:lang w:val="en-GB"/>
        </w:rPr>
        <w:t xml:space="preserve">PSD and </w:t>
      </w:r>
      <w:r w:rsidR="003F5538" w:rsidRPr="00046517">
        <w:rPr>
          <w:rFonts w:ascii="Verdana" w:hAnsi="Verdana" w:cs="Segoe UI"/>
          <w:sz w:val="20"/>
          <w:szCs w:val="20"/>
          <w:lang w:val="en-GB"/>
        </w:rPr>
        <w:t xml:space="preserve">article 3(1) </w:t>
      </w:r>
      <w:r w:rsidRPr="00046517">
        <w:rPr>
          <w:rFonts w:ascii="Verdana" w:hAnsi="Verdana" w:cs="Segoe UI"/>
          <w:sz w:val="20"/>
          <w:szCs w:val="20"/>
          <w:lang w:val="en-GB"/>
        </w:rPr>
        <w:t>EMD)</w:t>
      </w:r>
      <w:r w:rsidR="00CB58BB" w:rsidRPr="00046517">
        <w:rPr>
          <w:rFonts w:ascii="Verdana" w:hAnsi="Verdana" w:cs="Segoe UI"/>
          <w:sz w:val="20"/>
          <w:szCs w:val="20"/>
          <w:lang w:val="en-GB"/>
        </w:rPr>
        <w:t>. These provisions</w:t>
      </w:r>
      <w:r w:rsidRPr="00046517">
        <w:rPr>
          <w:rFonts w:ascii="Verdana" w:hAnsi="Verdana" w:cs="Segoe UI"/>
          <w:sz w:val="20"/>
          <w:szCs w:val="20"/>
          <w:lang w:val="en-GB"/>
        </w:rPr>
        <w:t xml:space="preserve"> require obliged financial institution </w:t>
      </w:r>
      <w:r w:rsidR="00AE3D81" w:rsidRPr="00046517">
        <w:rPr>
          <w:rFonts w:ascii="Verdana" w:hAnsi="Verdana" w:cs="Segoe UI"/>
          <w:sz w:val="20"/>
          <w:szCs w:val="20"/>
          <w:lang w:val="en-GB"/>
        </w:rPr>
        <w:t xml:space="preserve">to </w:t>
      </w:r>
      <w:r w:rsidR="003F5538" w:rsidRPr="00046517">
        <w:rPr>
          <w:rFonts w:ascii="Verdana" w:hAnsi="Verdana" w:cs="Segoe UI"/>
          <w:sz w:val="20"/>
          <w:szCs w:val="20"/>
          <w:lang w:val="en-GB"/>
        </w:rPr>
        <w:t>have robust governance arrangements that promote sound and effective risk management</w:t>
      </w:r>
      <w:r w:rsidRPr="00046517">
        <w:rPr>
          <w:rFonts w:ascii="Verdana" w:hAnsi="Verdana" w:cs="Segoe UI"/>
          <w:sz w:val="20"/>
          <w:szCs w:val="20"/>
          <w:lang w:val="en-GB"/>
        </w:rPr>
        <w:t xml:space="preserve">. </w:t>
      </w:r>
      <w:r w:rsidR="003F5538" w:rsidRPr="00046517">
        <w:rPr>
          <w:rFonts w:ascii="Verdana" w:hAnsi="Verdana" w:cs="Segoe UI"/>
          <w:sz w:val="20"/>
          <w:szCs w:val="20"/>
          <w:lang w:val="en-GB"/>
        </w:rPr>
        <w:t xml:space="preserve">In the lack </w:t>
      </w:r>
      <w:r w:rsidR="00CB58BB" w:rsidRPr="00046517">
        <w:rPr>
          <w:rFonts w:ascii="Verdana" w:hAnsi="Verdana" w:cs="Segoe UI"/>
          <w:sz w:val="20"/>
          <w:szCs w:val="20"/>
          <w:lang w:val="en-GB"/>
        </w:rPr>
        <w:t xml:space="preserve">of </w:t>
      </w:r>
      <w:r w:rsidR="003F5538" w:rsidRPr="00046517">
        <w:rPr>
          <w:rFonts w:ascii="Verdana" w:hAnsi="Verdana" w:cs="Segoe UI"/>
          <w:sz w:val="20"/>
          <w:szCs w:val="20"/>
          <w:lang w:val="en-GB"/>
        </w:rPr>
        <w:t xml:space="preserve">a </w:t>
      </w:r>
      <w:r w:rsidR="00CB58BB" w:rsidRPr="00046517">
        <w:rPr>
          <w:rFonts w:ascii="Verdana" w:hAnsi="Verdana" w:cs="Segoe UI"/>
          <w:sz w:val="20"/>
          <w:szCs w:val="20"/>
          <w:shd w:val="clear" w:color="auto" w:fill="FFFFFF"/>
          <w:lang w:val="en-GB"/>
        </w:rPr>
        <w:t xml:space="preserve">clearly defined general legislative mandate </w:t>
      </w:r>
      <w:r w:rsidR="003F5538" w:rsidRPr="00046517">
        <w:rPr>
          <w:rFonts w:ascii="Verdana" w:hAnsi="Verdana" w:cs="Segoe UI"/>
          <w:sz w:val="20"/>
          <w:szCs w:val="20"/>
          <w:lang w:val="en-GB"/>
        </w:rPr>
        <w:t>conferred to the EBA for the implementation of restrictive measures, n</w:t>
      </w:r>
      <w:r w:rsidRPr="00046517">
        <w:rPr>
          <w:rFonts w:ascii="Verdana" w:hAnsi="Verdana" w:cs="Segoe UI"/>
          <w:sz w:val="20"/>
          <w:szCs w:val="20"/>
          <w:lang w:val="en-GB"/>
        </w:rPr>
        <w:t xml:space="preserve">one of these </w:t>
      </w:r>
      <w:r w:rsidR="003F5538" w:rsidRPr="00046517">
        <w:rPr>
          <w:rFonts w:ascii="Verdana" w:hAnsi="Verdana" w:cs="Segoe UI"/>
          <w:sz w:val="20"/>
          <w:szCs w:val="20"/>
          <w:lang w:val="en-GB"/>
        </w:rPr>
        <w:t>provisions (including further guidelines adopted in relation there</w:t>
      </w:r>
      <w:r w:rsidR="00CB58BB" w:rsidRPr="00046517">
        <w:rPr>
          <w:rFonts w:ascii="Verdana" w:hAnsi="Verdana" w:cs="Segoe UI"/>
          <w:sz w:val="20"/>
          <w:szCs w:val="20"/>
          <w:lang w:val="en-GB"/>
        </w:rPr>
        <w:t>of</w:t>
      </w:r>
      <w:r w:rsidR="003F5538" w:rsidRPr="00046517">
        <w:rPr>
          <w:rFonts w:ascii="Verdana" w:hAnsi="Verdana" w:cs="Segoe UI"/>
          <w:sz w:val="20"/>
          <w:szCs w:val="20"/>
          <w:lang w:val="en-GB"/>
        </w:rPr>
        <w:t>) could in our view be reasonably construed as enabling th</w:t>
      </w:r>
      <w:r w:rsidR="00AE3D81" w:rsidRPr="00046517">
        <w:rPr>
          <w:rFonts w:ascii="Verdana" w:hAnsi="Verdana" w:cs="Segoe UI"/>
          <w:sz w:val="20"/>
          <w:szCs w:val="20"/>
          <w:lang w:val="en-GB"/>
        </w:rPr>
        <w:t>e</w:t>
      </w:r>
      <w:r w:rsidR="003F5538" w:rsidRPr="00046517">
        <w:rPr>
          <w:rFonts w:ascii="Verdana" w:hAnsi="Verdana" w:cs="Segoe UI"/>
          <w:sz w:val="20"/>
          <w:szCs w:val="20"/>
          <w:lang w:val="en-GB"/>
        </w:rPr>
        <w:t xml:space="preserve"> </w:t>
      </w:r>
      <w:r w:rsidR="00AE3D81" w:rsidRPr="00046517">
        <w:rPr>
          <w:rFonts w:ascii="Verdana" w:hAnsi="Verdana" w:cs="Segoe UI"/>
          <w:sz w:val="20"/>
          <w:szCs w:val="20"/>
          <w:lang w:val="en-GB"/>
        </w:rPr>
        <w:t>Authority</w:t>
      </w:r>
      <w:r w:rsidR="003F5538" w:rsidRPr="00046517">
        <w:rPr>
          <w:rFonts w:ascii="Verdana" w:hAnsi="Verdana" w:cs="Segoe UI"/>
          <w:sz w:val="20"/>
          <w:szCs w:val="20"/>
          <w:lang w:val="en-GB"/>
        </w:rPr>
        <w:t xml:space="preserve"> to adopt guidelines</w:t>
      </w:r>
      <w:r w:rsidR="00097700" w:rsidRPr="00046517">
        <w:rPr>
          <w:rFonts w:ascii="Verdana" w:hAnsi="Verdana" w:cs="Segoe UI"/>
          <w:sz w:val="20"/>
          <w:szCs w:val="20"/>
          <w:lang w:val="en-GB"/>
        </w:rPr>
        <w:t xml:space="preserve"> on governance arrangements</w:t>
      </w:r>
      <w:r w:rsidR="003F5538" w:rsidRPr="00046517">
        <w:rPr>
          <w:rFonts w:ascii="Verdana" w:hAnsi="Verdana" w:cs="Segoe UI"/>
          <w:sz w:val="20"/>
          <w:szCs w:val="20"/>
          <w:lang w:val="en-GB"/>
        </w:rPr>
        <w:t xml:space="preserve"> </w:t>
      </w:r>
      <w:r w:rsidR="00264081" w:rsidRPr="00046517">
        <w:rPr>
          <w:rFonts w:ascii="Verdana" w:hAnsi="Verdana" w:cs="Segoe UI"/>
          <w:sz w:val="20"/>
          <w:szCs w:val="20"/>
          <w:lang w:val="en-GB"/>
        </w:rPr>
        <w:t xml:space="preserve">as regard </w:t>
      </w:r>
      <w:r w:rsidR="00097700" w:rsidRPr="00046517">
        <w:rPr>
          <w:rFonts w:ascii="Verdana" w:hAnsi="Verdana" w:cs="Segoe UI"/>
          <w:sz w:val="20"/>
          <w:szCs w:val="20"/>
          <w:lang w:val="en-GB"/>
        </w:rPr>
        <w:t xml:space="preserve">this </w:t>
      </w:r>
      <w:r w:rsidR="00CB58BB" w:rsidRPr="00046517">
        <w:rPr>
          <w:rFonts w:ascii="Verdana" w:hAnsi="Verdana" w:cs="Segoe UI"/>
          <w:sz w:val="20"/>
          <w:szCs w:val="20"/>
          <w:lang w:val="en-GB"/>
        </w:rPr>
        <w:t xml:space="preserve">particular legislative domain. </w:t>
      </w:r>
    </w:p>
    <w:p w14:paraId="4B5F1D33" w14:textId="41CC2DCD" w:rsidR="00264081" w:rsidRPr="00046517" w:rsidRDefault="00097700" w:rsidP="006B02E6">
      <w:pPr>
        <w:pStyle w:val="ListParagraph"/>
        <w:numPr>
          <w:ilvl w:val="0"/>
          <w:numId w:val="8"/>
        </w:numPr>
        <w:spacing w:after="160"/>
        <w:ind w:left="714" w:hanging="357"/>
        <w:contextualSpacing w:val="0"/>
        <w:jc w:val="both"/>
        <w:rPr>
          <w:rFonts w:ascii="Verdana" w:hAnsi="Verdana" w:cs="Segoe UI"/>
          <w:sz w:val="20"/>
          <w:szCs w:val="20"/>
          <w:lang w:val="en-GB"/>
        </w:rPr>
      </w:pPr>
      <w:r w:rsidRPr="00046517">
        <w:rPr>
          <w:rFonts w:ascii="Verdana" w:hAnsi="Verdana" w:cs="Segoe UI"/>
          <w:sz w:val="20"/>
          <w:szCs w:val="20"/>
          <w:lang w:val="en-GB"/>
        </w:rPr>
        <w:t xml:space="preserve">Moreover, </w:t>
      </w:r>
      <w:r w:rsidR="00CB58BB" w:rsidRPr="00046517">
        <w:rPr>
          <w:rFonts w:ascii="Verdana" w:hAnsi="Verdana" w:cs="Segoe UI"/>
          <w:sz w:val="20"/>
          <w:szCs w:val="20"/>
          <w:lang w:val="en-GB"/>
        </w:rPr>
        <w:t xml:space="preserve">these </w:t>
      </w:r>
      <w:r w:rsidRPr="00046517">
        <w:rPr>
          <w:rFonts w:ascii="Verdana" w:hAnsi="Verdana" w:cs="Segoe UI"/>
          <w:sz w:val="20"/>
          <w:szCs w:val="20"/>
          <w:lang w:val="en-GB"/>
        </w:rPr>
        <w:t>text</w:t>
      </w:r>
      <w:r w:rsidR="00CB58BB" w:rsidRPr="00046517">
        <w:rPr>
          <w:rFonts w:ascii="Verdana" w:hAnsi="Verdana" w:cs="Segoe UI"/>
          <w:sz w:val="20"/>
          <w:szCs w:val="20"/>
          <w:lang w:val="en-GB"/>
        </w:rPr>
        <w:t>s</w:t>
      </w:r>
      <w:r w:rsidRPr="00046517">
        <w:rPr>
          <w:rFonts w:ascii="Verdana" w:hAnsi="Verdana" w:cs="Segoe UI"/>
          <w:sz w:val="20"/>
          <w:szCs w:val="20"/>
          <w:lang w:val="en-GB"/>
        </w:rPr>
        <w:t xml:space="preserve"> are only applicable to credit institutions, payment services providers and electronic money issuers</w:t>
      </w:r>
      <w:r w:rsidR="00AE3D81" w:rsidRPr="00046517">
        <w:rPr>
          <w:rFonts w:ascii="Verdana" w:hAnsi="Verdana" w:cs="Segoe UI"/>
          <w:sz w:val="20"/>
          <w:szCs w:val="20"/>
          <w:lang w:val="en-GB"/>
        </w:rPr>
        <w:t>. T</w:t>
      </w:r>
      <w:r w:rsidR="00317DF4" w:rsidRPr="00046517">
        <w:rPr>
          <w:rFonts w:ascii="Verdana" w:hAnsi="Verdana" w:cs="Segoe UI"/>
          <w:sz w:val="20"/>
          <w:szCs w:val="20"/>
          <w:lang w:val="en-GB"/>
        </w:rPr>
        <w:t>herefore</w:t>
      </w:r>
      <w:r w:rsidR="00AE3D81" w:rsidRPr="00046517">
        <w:rPr>
          <w:rFonts w:ascii="Verdana" w:hAnsi="Verdana" w:cs="Segoe UI"/>
          <w:sz w:val="20"/>
          <w:szCs w:val="20"/>
          <w:lang w:val="en-GB"/>
        </w:rPr>
        <w:t>, they</w:t>
      </w:r>
      <w:r w:rsidR="00317DF4" w:rsidRPr="00046517">
        <w:rPr>
          <w:rFonts w:ascii="Verdana" w:hAnsi="Verdana" w:cs="Segoe UI"/>
          <w:sz w:val="20"/>
          <w:szCs w:val="20"/>
          <w:lang w:val="en-GB"/>
        </w:rPr>
        <w:t xml:space="preserve"> could not </w:t>
      </w:r>
      <w:r w:rsidR="00CB58BB" w:rsidRPr="00046517">
        <w:rPr>
          <w:rFonts w:ascii="Verdana" w:hAnsi="Verdana" w:cs="Segoe UI"/>
          <w:sz w:val="20"/>
          <w:szCs w:val="20"/>
          <w:lang w:val="en-GB"/>
        </w:rPr>
        <w:t xml:space="preserve">consist in </w:t>
      </w:r>
      <w:r w:rsidR="00317DF4" w:rsidRPr="00046517">
        <w:rPr>
          <w:rFonts w:ascii="Verdana" w:hAnsi="Verdana" w:cs="Segoe UI"/>
          <w:sz w:val="20"/>
          <w:szCs w:val="20"/>
          <w:lang w:val="en-GB"/>
        </w:rPr>
        <w:t xml:space="preserve">a sufficient ground to justify the application of those guidelines to other </w:t>
      </w:r>
      <w:r w:rsidRPr="00046517">
        <w:rPr>
          <w:rFonts w:ascii="Verdana" w:hAnsi="Verdana" w:cs="Segoe UI"/>
          <w:sz w:val="20"/>
          <w:szCs w:val="20"/>
          <w:lang w:val="en-GB"/>
        </w:rPr>
        <w:t xml:space="preserve">financial insitutions </w:t>
      </w:r>
      <w:r w:rsidR="00317DF4" w:rsidRPr="00046517">
        <w:rPr>
          <w:rFonts w:ascii="Verdana" w:hAnsi="Verdana" w:cs="Segoe UI"/>
          <w:sz w:val="20"/>
          <w:szCs w:val="20"/>
          <w:lang w:val="en-GB"/>
        </w:rPr>
        <w:t>required to implement restrictive measures (w</w:t>
      </w:r>
      <w:r w:rsidR="00CB58BB" w:rsidRPr="00046517">
        <w:rPr>
          <w:rFonts w:ascii="Verdana" w:hAnsi="Verdana" w:cs="Segoe UI"/>
          <w:sz w:val="20"/>
          <w:szCs w:val="20"/>
          <w:lang w:val="en-GB"/>
        </w:rPr>
        <w:t>h</w:t>
      </w:r>
      <w:r w:rsidR="00317DF4" w:rsidRPr="00046517">
        <w:rPr>
          <w:rFonts w:ascii="Verdana" w:hAnsi="Verdana" w:cs="Segoe UI"/>
          <w:sz w:val="20"/>
          <w:szCs w:val="20"/>
          <w:lang w:val="en-GB"/>
        </w:rPr>
        <w:t xml:space="preserve">ereas they </w:t>
      </w:r>
      <w:r w:rsidR="00264081" w:rsidRPr="00046517">
        <w:rPr>
          <w:rFonts w:ascii="Verdana" w:hAnsi="Verdana" w:cs="Segoe UI"/>
          <w:sz w:val="20"/>
          <w:szCs w:val="20"/>
          <w:lang w:val="en-GB"/>
        </w:rPr>
        <w:t>would fall under the</w:t>
      </w:r>
      <w:r w:rsidR="00317DF4" w:rsidRPr="00046517">
        <w:rPr>
          <w:rFonts w:ascii="Verdana" w:hAnsi="Verdana" w:cs="Segoe UI"/>
          <w:sz w:val="20"/>
          <w:szCs w:val="20"/>
          <w:lang w:val="en-GB"/>
        </w:rPr>
        <w:t xml:space="preserve"> EBA</w:t>
      </w:r>
      <w:r w:rsidR="00264081" w:rsidRPr="00046517">
        <w:rPr>
          <w:rFonts w:ascii="Verdana" w:hAnsi="Verdana" w:cs="Segoe UI"/>
          <w:sz w:val="20"/>
          <w:szCs w:val="20"/>
          <w:lang w:val="en-GB"/>
        </w:rPr>
        <w:t>’s scope of intervention</w:t>
      </w:r>
      <w:r w:rsidR="00317DF4" w:rsidRPr="00046517">
        <w:rPr>
          <w:rFonts w:ascii="Verdana" w:hAnsi="Verdana" w:cs="Segoe UI"/>
          <w:sz w:val="20"/>
          <w:szCs w:val="20"/>
          <w:lang w:val="en-GB"/>
        </w:rPr>
        <w:t xml:space="preserve"> </w:t>
      </w:r>
      <w:r w:rsidR="00264081" w:rsidRPr="00046517">
        <w:rPr>
          <w:rFonts w:ascii="Verdana" w:hAnsi="Verdana" w:cs="Segoe UI"/>
          <w:sz w:val="20"/>
          <w:szCs w:val="20"/>
          <w:lang w:val="en-GB"/>
        </w:rPr>
        <w:t xml:space="preserve">according to it founding regulation for certain topics, </w:t>
      </w:r>
      <w:r w:rsidR="00264081" w:rsidRPr="00046517">
        <w:rPr>
          <w:rFonts w:ascii="Verdana" w:hAnsi="Verdana" w:cs="Segoe UI"/>
          <w:i/>
          <w:sz w:val="20"/>
          <w:szCs w:val="20"/>
          <w:lang w:val="en-GB"/>
        </w:rPr>
        <w:t>i.e.</w:t>
      </w:r>
      <w:r w:rsidR="00264081" w:rsidRPr="00046517">
        <w:rPr>
          <w:rFonts w:ascii="Verdana" w:hAnsi="Verdana" w:cs="Segoe UI"/>
          <w:sz w:val="20"/>
          <w:szCs w:val="20"/>
          <w:lang w:val="en-GB"/>
        </w:rPr>
        <w:t xml:space="preserve"> AML/FT)</w:t>
      </w:r>
      <w:r w:rsidR="00CB58BB" w:rsidRPr="00046517">
        <w:rPr>
          <w:rFonts w:ascii="Verdana" w:hAnsi="Verdana" w:cs="Segoe UI"/>
          <w:sz w:val="20"/>
          <w:szCs w:val="20"/>
          <w:lang w:val="en-GB"/>
        </w:rPr>
        <w:t xml:space="preserve">. </w:t>
      </w:r>
    </w:p>
    <w:p w14:paraId="31C1FFDB" w14:textId="4449395A" w:rsidR="00315C83" w:rsidRPr="00046517" w:rsidRDefault="00264081" w:rsidP="00C4060F">
      <w:pPr>
        <w:pStyle w:val="ListParagraph"/>
        <w:numPr>
          <w:ilvl w:val="0"/>
          <w:numId w:val="8"/>
        </w:numPr>
        <w:jc w:val="both"/>
        <w:rPr>
          <w:rFonts w:ascii="Verdana" w:hAnsi="Verdana" w:cs="Segoe UI"/>
          <w:sz w:val="20"/>
          <w:szCs w:val="20"/>
          <w:lang w:val="en-GB"/>
        </w:rPr>
      </w:pPr>
      <w:r w:rsidRPr="00046517">
        <w:rPr>
          <w:rFonts w:ascii="Verdana" w:hAnsi="Verdana" w:cs="Segoe UI"/>
          <w:sz w:val="20"/>
          <w:szCs w:val="20"/>
          <w:lang w:val="en-GB"/>
        </w:rPr>
        <w:t xml:space="preserve">The </w:t>
      </w:r>
      <w:r w:rsidR="00713BEF" w:rsidRPr="00046517">
        <w:rPr>
          <w:rFonts w:ascii="Verdana" w:hAnsi="Verdana" w:cs="Segoe UI"/>
          <w:sz w:val="20"/>
          <w:szCs w:val="20"/>
          <w:lang w:val="en-GB"/>
        </w:rPr>
        <w:t>second set of guidelines, which focuses on fund</w:t>
      </w:r>
      <w:r w:rsidR="009F075D" w:rsidRPr="00046517">
        <w:rPr>
          <w:rFonts w:ascii="Verdana" w:hAnsi="Verdana" w:cs="Segoe UI"/>
          <w:sz w:val="20"/>
          <w:szCs w:val="20"/>
          <w:lang w:val="en-GB"/>
        </w:rPr>
        <w:t>s</w:t>
      </w:r>
      <w:r w:rsidR="00713BEF" w:rsidRPr="00046517">
        <w:rPr>
          <w:rFonts w:ascii="Verdana" w:hAnsi="Verdana" w:cs="Segoe UI"/>
          <w:sz w:val="20"/>
          <w:szCs w:val="20"/>
          <w:lang w:val="en-GB"/>
        </w:rPr>
        <w:t xml:space="preserve"> and crypto-asset transfer screening systems, </w:t>
      </w:r>
      <w:r w:rsidRPr="00046517">
        <w:rPr>
          <w:rFonts w:ascii="Verdana" w:hAnsi="Verdana" w:cs="Segoe UI"/>
          <w:sz w:val="20"/>
          <w:szCs w:val="20"/>
          <w:lang w:val="en-GB"/>
        </w:rPr>
        <w:t>refer</w:t>
      </w:r>
      <w:r w:rsidR="00713BEF" w:rsidRPr="00046517">
        <w:rPr>
          <w:rFonts w:ascii="Verdana" w:hAnsi="Verdana" w:cs="Segoe UI"/>
          <w:sz w:val="20"/>
          <w:szCs w:val="20"/>
          <w:lang w:val="en-GB"/>
        </w:rPr>
        <w:t>s</w:t>
      </w:r>
      <w:r w:rsidRPr="00046517">
        <w:rPr>
          <w:rFonts w:ascii="Verdana" w:hAnsi="Verdana" w:cs="Segoe UI"/>
          <w:sz w:val="20"/>
          <w:szCs w:val="20"/>
          <w:lang w:val="en-GB"/>
        </w:rPr>
        <w:t xml:space="preserve"> to </w:t>
      </w:r>
      <w:r w:rsidR="009F075D" w:rsidRPr="00046517">
        <w:rPr>
          <w:rFonts w:ascii="Verdana" w:hAnsi="Verdana" w:cs="Segoe UI"/>
          <w:sz w:val="20"/>
          <w:szCs w:val="20"/>
          <w:lang w:val="en-GB"/>
        </w:rPr>
        <w:t>A</w:t>
      </w:r>
      <w:r w:rsidRPr="00046517">
        <w:rPr>
          <w:rFonts w:ascii="Verdana" w:hAnsi="Verdana" w:cs="Segoe UI"/>
          <w:sz w:val="20"/>
          <w:szCs w:val="20"/>
          <w:lang w:val="en-GB"/>
        </w:rPr>
        <w:t xml:space="preserve">rticle </w:t>
      </w:r>
      <w:r w:rsidR="00713BEF" w:rsidRPr="00046517">
        <w:rPr>
          <w:rFonts w:ascii="Verdana" w:hAnsi="Verdana" w:cs="Segoe UI"/>
          <w:sz w:val="20"/>
          <w:szCs w:val="20"/>
          <w:lang w:val="en-GB"/>
        </w:rPr>
        <w:t>23 of Regulation (EU</w:t>
      </w:r>
      <w:r w:rsidR="009F075D" w:rsidRPr="00046517">
        <w:rPr>
          <w:rFonts w:ascii="Verdana" w:hAnsi="Verdana" w:cs="Segoe UI"/>
          <w:sz w:val="20"/>
          <w:szCs w:val="20"/>
          <w:lang w:val="en-GB"/>
        </w:rPr>
        <w:t>)</w:t>
      </w:r>
      <w:r w:rsidR="00713BEF" w:rsidRPr="00046517">
        <w:rPr>
          <w:rFonts w:ascii="Verdana" w:hAnsi="Verdana" w:cs="Segoe UI"/>
          <w:sz w:val="20"/>
          <w:szCs w:val="20"/>
          <w:lang w:val="en-GB"/>
        </w:rPr>
        <w:t xml:space="preserve"> 2023/1113</w:t>
      </w:r>
      <w:r w:rsidR="00AE3D81" w:rsidRPr="00046517">
        <w:rPr>
          <w:rFonts w:ascii="Verdana" w:hAnsi="Verdana" w:cs="Segoe UI"/>
          <w:sz w:val="20"/>
          <w:szCs w:val="20"/>
          <w:lang w:val="en-GB"/>
        </w:rPr>
        <w:t>,</w:t>
      </w:r>
      <w:r w:rsidR="00713BEF" w:rsidRPr="00046517">
        <w:rPr>
          <w:rFonts w:ascii="Verdana" w:hAnsi="Verdana" w:cs="Segoe UI"/>
          <w:sz w:val="20"/>
          <w:szCs w:val="20"/>
          <w:lang w:val="en-GB"/>
        </w:rPr>
        <w:t xml:space="preserve"> whose scope only includes payment and crypto-asset service providers. Given its narrow scope, </w:t>
      </w:r>
      <w:r w:rsidR="00674366" w:rsidRPr="00046517">
        <w:rPr>
          <w:rFonts w:ascii="Verdana" w:hAnsi="Verdana" w:cs="Segoe UI"/>
          <w:sz w:val="20"/>
          <w:szCs w:val="20"/>
          <w:lang w:val="en-GB"/>
        </w:rPr>
        <w:t>this</w:t>
      </w:r>
      <w:r w:rsidR="00713BEF" w:rsidRPr="00046517">
        <w:rPr>
          <w:rFonts w:ascii="Verdana" w:hAnsi="Verdana" w:cs="Segoe UI"/>
          <w:sz w:val="20"/>
          <w:szCs w:val="20"/>
          <w:lang w:val="en-GB"/>
        </w:rPr>
        <w:t xml:space="preserve"> </w:t>
      </w:r>
      <w:r w:rsidR="00674366" w:rsidRPr="00046517">
        <w:rPr>
          <w:rFonts w:ascii="Verdana" w:hAnsi="Verdana" w:cs="Segoe UI"/>
          <w:sz w:val="20"/>
          <w:szCs w:val="20"/>
          <w:lang w:val="en-GB"/>
        </w:rPr>
        <w:t>legislative provision by itself</w:t>
      </w:r>
      <w:r w:rsidR="00713BEF" w:rsidRPr="00046517">
        <w:rPr>
          <w:rFonts w:ascii="Verdana" w:hAnsi="Verdana" w:cs="Segoe UI"/>
          <w:sz w:val="20"/>
          <w:szCs w:val="20"/>
          <w:lang w:val="en-GB"/>
        </w:rPr>
        <w:t xml:space="preserve"> is not sufficient to </w:t>
      </w:r>
      <w:r w:rsidR="00674366" w:rsidRPr="00046517">
        <w:rPr>
          <w:rFonts w:ascii="Verdana" w:hAnsi="Verdana" w:cs="Segoe UI"/>
          <w:sz w:val="20"/>
          <w:szCs w:val="20"/>
          <w:lang w:val="en-GB"/>
        </w:rPr>
        <w:t>support a harmonised implementation of sanction screening standards across the EU</w:t>
      </w:r>
      <w:r w:rsidR="005E566C" w:rsidRPr="00046517">
        <w:rPr>
          <w:rFonts w:ascii="Verdana" w:hAnsi="Verdana" w:cs="Segoe UI"/>
          <w:sz w:val="20"/>
          <w:szCs w:val="20"/>
          <w:lang w:val="en-GB"/>
        </w:rPr>
        <w:t>, and would not be efficient from a practical perspective</w:t>
      </w:r>
      <w:r w:rsidR="00674366" w:rsidRPr="00046517">
        <w:rPr>
          <w:rFonts w:ascii="Verdana" w:hAnsi="Verdana" w:cs="Segoe UI"/>
          <w:sz w:val="20"/>
          <w:szCs w:val="20"/>
          <w:lang w:val="en-GB"/>
        </w:rPr>
        <w:t xml:space="preserve">. </w:t>
      </w:r>
      <w:r w:rsidR="00AE3D81" w:rsidRPr="00046517">
        <w:rPr>
          <w:rFonts w:ascii="Verdana" w:hAnsi="Verdana" w:cs="Segoe UI"/>
          <w:sz w:val="20"/>
          <w:szCs w:val="20"/>
          <w:lang w:val="en-GB"/>
        </w:rPr>
        <w:t>This</w:t>
      </w:r>
      <w:r w:rsidR="00674366" w:rsidRPr="00046517">
        <w:rPr>
          <w:rFonts w:ascii="Verdana" w:hAnsi="Verdana" w:cs="Segoe UI"/>
          <w:sz w:val="20"/>
          <w:szCs w:val="20"/>
          <w:lang w:val="en-GB"/>
        </w:rPr>
        <w:t xml:space="preserve"> would not only be inconsistent with the transsectorial dimension of restrictive measure requirements</w:t>
      </w:r>
      <w:r w:rsidR="00A23D71" w:rsidRPr="00046517">
        <w:rPr>
          <w:rFonts w:ascii="Verdana" w:hAnsi="Verdana" w:cs="Segoe UI"/>
          <w:sz w:val="20"/>
          <w:szCs w:val="20"/>
          <w:lang w:val="en-GB"/>
        </w:rPr>
        <w:t xml:space="preserve"> </w:t>
      </w:r>
      <w:r w:rsidR="00674366" w:rsidRPr="00046517">
        <w:rPr>
          <w:rFonts w:ascii="Verdana" w:hAnsi="Verdana" w:cs="Segoe UI"/>
          <w:sz w:val="20"/>
          <w:szCs w:val="20"/>
          <w:lang w:val="en-GB"/>
        </w:rPr>
        <w:t>(since sanction screening may concern institution</w:t>
      </w:r>
      <w:r w:rsidR="009F075D" w:rsidRPr="00046517">
        <w:rPr>
          <w:rFonts w:ascii="Verdana" w:hAnsi="Verdana" w:cs="Segoe UI"/>
          <w:sz w:val="20"/>
          <w:szCs w:val="20"/>
          <w:lang w:val="en-GB"/>
        </w:rPr>
        <w:t>s</w:t>
      </w:r>
      <w:r w:rsidR="00674366" w:rsidRPr="00046517">
        <w:rPr>
          <w:rFonts w:ascii="Verdana" w:hAnsi="Verdana" w:cs="Segoe UI"/>
          <w:sz w:val="20"/>
          <w:szCs w:val="20"/>
          <w:lang w:val="en-GB"/>
        </w:rPr>
        <w:t xml:space="preserve"> other than PSPs and CASPs as it </w:t>
      </w:r>
      <w:r w:rsidR="005E566C" w:rsidRPr="00046517">
        <w:rPr>
          <w:rFonts w:ascii="Verdana" w:hAnsi="Verdana" w:cs="Segoe UI"/>
          <w:sz w:val="20"/>
          <w:szCs w:val="20"/>
          <w:lang w:val="en-GB"/>
        </w:rPr>
        <w:t xml:space="preserve">is not only used when performing transfers </w:t>
      </w:r>
      <w:r w:rsidR="00674366" w:rsidRPr="00046517">
        <w:rPr>
          <w:rFonts w:ascii="Verdana" w:hAnsi="Verdana" w:cs="Segoe UI"/>
          <w:sz w:val="20"/>
          <w:szCs w:val="20"/>
          <w:lang w:val="en-GB"/>
        </w:rPr>
        <w:t xml:space="preserve">of funds/cryptoassets) but it </w:t>
      </w:r>
      <w:r w:rsidR="009F075D" w:rsidRPr="00046517">
        <w:rPr>
          <w:rFonts w:ascii="Verdana" w:hAnsi="Verdana" w:cs="Segoe UI"/>
          <w:sz w:val="20"/>
          <w:szCs w:val="20"/>
          <w:lang w:val="en-GB"/>
        </w:rPr>
        <w:t>c</w:t>
      </w:r>
      <w:r w:rsidR="00674366" w:rsidRPr="00046517">
        <w:rPr>
          <w:rFonts w:ascii="Verdana" w:hAnsi="Verdana" w:cs="Segoe UI"/>
          <w:sz w:val="20"/>
          <w:szCs w:val="20"/>
          <w:lang w:val="en-GB"/>
        </w:rPr>
        <w:t xml:space="preserve">ould also lead to a distorsion in </w:t>
      </w:r>
      <w:r w:rsidR="00AE3D81" w:rsidRPr="00046517">
        <w:rPr>
          <w:rFonts w:ascii="Verdana" w:hAnsi="Verdana" w:cs="Segoe UI"/>
          <w:sz w:val="20"/>
          <w:szCs w:val="20"/>
          <w:lang w:val="en-GB"/>
        </w:rPr>
        <w:t xml:space="preserve">the </w:t>
      </w:r>
      <w:r w:rsidR="00674366" w:rsidRPr="00046517">
        <w:rPr>
          <w:rFonts w:ascii="Verdana" w:hAnsi="Verdana" w:cs="Segoe UI"/>
          <w:sz w:val="20"/>
          <w:szCs w:val="20"/>
          <w:lang w:val="en-GB"/>
        </w:rPr>
        <w:t>requirements</w:t>
      </w:r>
      <w:r w:rsidR="005E566C" w:rsidRPr="00046517">
        <w:rPr>
          <w:rFonts w:ascii="Verdana" w:hAnsi="Verdana" w:cs="Segoe UI"/>
          <w:sz w:val="20"/>
          <w:szCs w:val="20"/>
          <w:lang w:val="en-GB"/>
        </w:rPr>
        <w:t xml:space="preserve"> applicable within the financial sector.</w:t>
      </w:r>
      <w:r w:rsidR="00674366" w:rsidRPr="00046517">
        <w:rPr>
          <w:rFonts w:ascii="Verdana" w:hAnsi="Verdana" w:cs="Segoe UI"/>
          <w:sz w:val="20"/>
          <w:szCs w:val="20"/>
          <w:lang w:val="en-GB"/>
        </w:rPr>
        <w:t xml:space="preserve"> </w:t>
      </w:r>
      <w:r w:rsidR="00713BEF" w:rsidRPr="00046517">
        <w:rPr>
          <w:rFonts w:ascii="Verdana" w:hAnsi="Verdana" w:cs="Segoe UI"/>
          <w:sz w:val="20"/>
          <w:szCs w:val="20"/>
          <w:lang w:val="en-GB"/>
        </w:rPr>
        <w:t xml:space="preserve">  </w:t>
      </w:r>
    </w:p>
    <w:p w14:paraId="02EFEF2E" w14:textId="77777777" w:rsidR="00315C83" w:rsidRPr="00046517" w:rsidRDefault="00315C83" w:rsidP="002B7578">
      <w:pPr>
        <w:spacing w:after="0" w:line="240" w:lineRule="auto"/>
        <w:jc w:val="both"/>
        <w:textAlignment w:val="baseline"/>
        <w:rPr>
          <w:rFonts w:ascii="Verdana" w:eastAsia="Times New Roman" w:hAnsi="Verdana" w:cs="Segoe UI"/>
          <w:sz w:val="20"/>
          <w:szCs w:val="20"/>
          <w:lang w:val="en-GB"/>
        </w:rPr>
      </w:pPr>
    </w:p>
    <w:p w14:paraId="37C09940" w14:textId="77777777" w:rsidR="006B02E6" w:rsidRPr="00046517" w:rsidRDefault="006B02E6">
      <w:pPr>
        <w:spacing w:after="0" w:line="240" w:lineRule="auto"/>
        <w:jc w:val="both"/>
        <w:textAlignment w:val="baseline"/>
        <w:rPr>
          <w:rFonts w:ascii="Verdana" w:eastAsia="Times New Roman" w:hAnsi="Verdana" w:cs="Segoe UI"/>
          <w:sz w:val="20"/>
          <w:szCs w:val="20"/>
          <w:lang w:val="en-GB"/>
        </w:rPr>
      </w:pPr>
    </w:p>
    <w:p w14:paraId="44C4C8A1" w14:textId="182926ED" w:rsidR="00C46767" w:rsidRPr="00046517" w:rsidRDefault="0006707A">
      <w:pPr>
        <w:spacing w:after="0" w:line="240" w:lineRule="auto"/>
        <w:jc w:val="both"/>
        <w:textAlignment w:val="baseline"/>
        <w:rPr>
          <w:rFonts w:ascii="Verdana" w:eastAsia="Times New Roman" w:hAnsi="Verdana" w:cs="Segoe UI"/>
          <w:sz w:val="20"/>
          <w:szCs w:val="20"/>
          <w:lang w:val="en-GB"/>
        </w:rPr>
      </w:pPr>
      <w:r w:rsidRPr="00046517">
        <w:rPr>
          <w:rFonts w:ascii="Verdana" w:eastAsia="Times New Roman" w:hAnsi="Verdana" w:cs="Segoe UI"/>
          <w:sz w:val="20"/>
          <w:szCs w:val="20"/>
          <w:lang w:val="en-GB"/>
        </w:rPr>
        <w:t xml:space="preserve">We </w:t>
      </w:r>
      <w:r w:rsidR="006B02E6" w:rsidRPr="00046517">
        <w:rPr>
          <w:rFonts w:ascii="Verdana" w:eastAsia="Times New Roman" w:hAnsi="Verdana" w:cs="Segoe UI"/>
          <w:sz w:val="20"/>
          <w:szCs w:val="20"/>
          <w:lang w:val="en-GB"/>
        </w:rPr>
        <w:t xml:space="preserve">also </w:t>
      </w:r>
      <w:r w:rsidRPr="00046517">
        <w:rPr>
          <w:rFonts w:ascii="Verdana" w:eastAsia="Times New Roman" w:hAnsi="Verdana" w:cs="Segoe UI"/>
          <w:sz w:val="20"/>
          <w:szCs w:val="20"/>
          <w:lang w:val="en-GB"/>
        </w:rPr>
        <w:t>note that the upcoming regulation</w:t>
      </w:r>
      <w:r w:rsidR="002C2157" w:rsidRPr="00046517">
        <w:rPr>
          <w:rFonts w:ascii="Verdana" w:eastAsia="Times New Roman" w:hAnsi="Verdana" w:cs="Segoe UI"/>
          <w:sz w:val="20"/>
          <w:szCs w:val="20"/>
          <w:lang w:val="en-GB"/>
        </w:rPr>
        <w:t xml:space="preserve"> establishing the Anti</w:t>
      </w:r>
      <w:r w:rsidR="009F075D" w:rsidRPr="00046517">
        <w:rPr>
          <w:rFonts w:ascii="Verdana" w:eastAsia="Times New Roman" w:hAnsi="Verdana" w:cs="Segoe UI"/>
          <w:sz w:val="20"/>
          <w:szCs w:val="20"/>
          <w:lang w:val="en-GB"/>
        </w:rPr>
        <w:t>-M</w:t>
      </w:r>
      <w:r w:rsidR="002C2157" w:rsidRPr="00046517">
        <w:rPr>
          <w:rFonts w:ascii="Verdana" w:eastAsia="Times New Roman" w:hAnsi="Verdana" w:cs="Segoe UI"/>
          <w:sz w:val="20"/>
          <w:szCs w:val="20"/>
          <w:lang w:val="en-GB"/>
        </w:rPr>
        <w:t xml:space="preserve">oney </w:t>
      </w:r>
      <w:r w:rsidR="009F075D" w:rsidRPr="00046517">
        <w:rPr>
          <w:rFonts w:ascii="Verdana" w:eastAsia="Times New Roman" w:hAnsi="Verdana" w:cs="Segoe UI"/>
          <w:sz w:val="20"/>
          <w:szCs w:val="20"/>
          <w:lang w:val="en-GB"/>
        </w:rPr>
        <w:t>L</w:t>
      </w:r>
      <w:r w:rsidR="002C2157" w:rsidRPr="00046517">
        <w:rPr>
          <w:rFonts w:ascii="Verdana" w:eastAsia="Times New Roman" w:hAnsi="Verdana" w:cs="Segoe UI"/>
          <w:sz w:val="20"/>
          <w:szCs w:val="20"/>
          <w:lang w:val="en-GB"/>
        </w:rPr>
        <w:t xml:space="preserve">aundering </w:t>
      </w:r>
      <w:r w:rsidR="009F075D" w:rsidRPr="00046517">
        <w:rPr>
          <w:rFonts w:ascii="Verdana" w:eastAsia="Times New Roman" w:hAnsi="Verdana" w:cs="Segoe UI"/>
          <w:sz w:val="20"/>
          <w:szCs w:val="20"/>
          <w:lang w:val="en-GB"/>
        </w:rPr>
        <w:t>A</w:t>
      </w:r>
      <w:r w:rsidR="002C2157" w:rsidRPr="00046517">
        <w:rPr>
          <w:rFonts w:ascii="Verdana" w:eastAsia="Times New Roman" w:hAnsi="Verdana" w:cs="Segoe UI"/>
          <w:sz w:val="20"/>
          <w:szCs w:val="20"/>
          <w:lang w:val="en-GB"/>
        </w:rPr>
        <w:t xml:space="preserve">uthority (AMLA) </w:t>
      </w:r>
      <w:r w:rsidRPr="00046517">
        <w:rPr>
          <w:rFonts w:ascii="Verdana" w:eastAsia="Times New Roman" w:hAnsi="Verdana" w:cs="Segoe UI"/>
          <w:sz w:val="20"/>
          <w:szCs w:val="20"/>
          <w:lang w:val="en-GB"/>
        </w:rPr>
        <w:t xml:space="preserve">will provide for a clearer and more comprehensive legal </w:t>
      </w:r>
      <w:r w:rsidR="009F075D" w:rsidRPr="00046517">
        <w:rPr>
          <w:rFonts w:ascii="Verdana" w:eastAsia="Times New Roman" w:hAnsi="Verdana" w:cs="Segoe UI"/>
          <w:sz w:val="20"/>
          <w:szCs w:val="20"/>
          <w:lang w:val="en-GB"/>
        </w:rPr>
        <w:t>basis</w:t>
      </w:r>
      <w:r w:rsidR="003529FA" w:rsidRPr="00046517">
        <w:rPr>
          <w:rFonts w:ascii="Verdana" w:eastAsia="Times New Roman" w:hAnsi="Verdana" w:cs="Segoe UI"/>
          <w:sz w:val="20"/>
          <w:szCs w:val="20"/>
          <w:lang w:val="en-GB"/>
        </w:rPr>
        <w:t xml:space="preserve"> for </w:t>
      </w:r>
      <w:r w:rsidR="009F075D" w:rsidRPr="00046517">
        <w:rPr>
          <w:rFonts w:ascii="Verdana" w:eastAsia="Times New Roman" w:hAnsi="Verdana" w:cs="Segoe UI"/>
          <w:sz w:val="20"/>
          <w:szCs w:val="20"/>
          <w:lang w:val="en-GB"/>
        </w:rPr>
        <w:t xml:space="preserve">empowering </w:t>
      </w:r>
      <w:r w:rsidR="002C2157" w:rsidRPr="00046517">
        <w:rPr>
          <w:rFonts w:ascii="Verdana" w:eastAsia="Times New Roman" w:hAnsi="Verdana" w:cs="Segoe UI"/>
          <w:sz w:val="20"/>
          <w:szCs w:val="20"/>
          <w:lang w:val="en-GB"/>
        </w:rPr>
        <w:t xml:space="preserve">the AMLA to </w:t>
      </w:r>
      <w:r w:rsidR="003529FA" w:rsidRPr="00046517">
        <w:rPr>
          <w:rFonts w:ascii="Verdana" w:eastAsia="Times New Roman" w:hAnsi="Verdana" w:cs="Segoe UI"/>
          <w:sz w:val="20"/>
          <w:szCs w:val="20"/>
          <w:lang w:val="en-GB"/>
        </w:rPr>
        <w:t xml:space="preserve">adopt guidelines </w:t>
      </w:r>
      <w:r w:rsidR="002C2157" w:rsidRPr="00046517">
        <w:rPr>
          <w:rFonts w:ascii="Verdana" w:eastAsia="Times New Roman" w:hAnsi="Verdana" w:cs="Segoe UI"/>
          <w:sz w:val="20"/>
          <w:szCs w:val="20"/>
          <w:lang w:val="en-GB"/>
        </w:rPr>
        <w:t>on internal arrangements and controls for</w:t>
      </w:r>
      <w:r w:rsidR="003529FA" w:rsidRPr="00046517">
        <w:rPr>
          <w:rFonts w:ascii="Verdana" w:eastAsia="Times New Roman" w:hAnsi="Verdana" w:cs="Segoe UI"/>
          <w:sz w:val="20"/>
          <w:szCs w:val="20"/>
          <w:lang w:val="en-GB"/>
        </w:rPr>
        <w:t xml:space="preserve"> sanctions</w:t>
      </w:r>
      <w:r w:rsidRPr="00046517">
        <w:rPr>
          <w:rFonts w:ascii="Verdana" w:eastAsia="Times New Roman" w:hAnsi="Verdana" w:cs="Segoe UI"/>
          <w:sz w:val="20"/>
          <w:szCs w:val="20"/>
          <w:lang w:val="en-GB"/>
        </w:rPr>
        <w:t>. Therefore, it would be advisable to</w:t>
      </w:r>
      <w:r w:rsidR="002C2157" w:rsidRPr="00046517">
        <w:rPr>
          <w:rFonts w:ascii="Verdana" w:eastAsia="Times New Roman" w:hAnsi="Verdana" w:cs="Segoe UI"/>
          <w:sz w:val="20"/>
          <w:szCs w:val="20"/>
          <w:lang w:val="en-GB"/>
        </w:rPr>
        <w:t xml:space="preserve"> wait </w:t>
      </w:r>
      <w:r w:rsidR="009F075D" w:rsidRPr="00046517">
        <w:rPr>
          <w:rFonts w:ascii="Verdana" w:eastAsia="Times New Roman" w:hAnsi="Verdana" w:cs="Segoe UI"/>
          <w:sz w:val="20"/>
          <w:szCs w:val="20"/>
          <w:lang w:val="en-GB"/>
        </w:rPr>
        <w:t xml:space="preserve">for </w:t>
      </w:r>
      <w:r w:rsidR="002C2157" w:rsidRPr="00046517">
        <w:rPr>
          <w:rFonts w:ascii="Verdana" w:eastAsia="Times New Roman" w:hAnsi="Verdana" w:cs="Segoe UI"/>
          <w:sz w:val="20"/>
          <w:szCs w:val="20"/>
          <w:lang w:val="en-GB"/>
        </w:rPr>
        <w:t>the transfer of competences to the AMLA for initiating</w:t>
      </w:r>
      <w:r w:rsidR="003529FA" w:rsidRPr="00046517">
        <w:rPr>
          <w:rFonts w:ascii="Verdana" w:eastAsia="Times New Roman" w:hAnsi="Verdana" w:cs="Segoe UI"/>
          <w:sz w:val="20"/>
          <w:szCs w:val="20"/>
          <w:lang w:val="en-GB"/>
        </w:rPr>
        <w:t xml:space="preserve"> works on comprehensive guidelines that would cover entire governance /</w:t>
      </w:r>
      <w:r w:rsidR="002C2157" w:rsidRPr="00046517">
        <w:rPr>
          <w:rFonts w:ascii="Verdana" w:eastAsia="Times New Roman" w:hAnsi="Verdana" w:cs="Segoe UI"/>
          <w:sz w:val="20"/>
          <w:szCs w:val="20"/>
          <w:lang w:val="en-GB"/>
        </w:rPr>
        <w:t xml:space="preserve"> </w:t>
      </w:r>
      <w:r w:rsidR="003529FA" w:rsidRPr="00046517">
        <w:rPr>
          <w:rFonts w:ascii="Verdana" w:eastAsia="Times New Roman" w:hAnsi="Verdana" w:cs="Segoe UI"/>
          <w:sz w:val="20"/>
          <w:szCs w:val="20"/>
          <w:lang w:val="en-GB"/>
        </w:rPr>
        <w:t>risk management arrangements</w:t>
      </w:r>
      <w:r w:rsidR="001572F2" w:rsidRPr="00046517">
        <w:rPr>
          <w:rFonts w:ascii="Verdana" w:eastAsia="Times New Roman" w:hAnsi="Verdana" w:cs="Segoe UI"/>
          <w:sz w:val="20"/>
          <w:szCs w:val="20"/>
          <w:lang w:val="en-GB"/>
        </w:rPr>
        <w:t>.</w:t>
      </w:r>
    </w:p>
    <w:p w14:paraId="7C5B4922" w14:textId="77777777" w:rsidR="00A23D71" w:rsidRPr="00046517" w:rsidRDefault="00A23D71" w:rsidP="002B7578">
      <w:pPr>
        <w:spacing w:after="0" w:line="240" w:lineRule="auto"/>
        <w:jc w:val="both"/>
        <w:textAlignment w:val="baseline"/>
        <w:rPr>
          <w:rFonts w:ascii="Verdana" w:eastAsia="Times New Roman" w:hAnsi="Verdana" w:cs="Segoe UI"/>
          <w:sz w:val="20"/>
          <w:szCs w:val="20"/>
          <w:lang w:val="en-GB"/>
        </w:rPr>
      </w:pPr>
    </w:p>
    <w:p w14:paraId="64B1B775" w14:textId="77777777" w:rsidR="006B02E6" w:rsidRPr="00046517" w:rsidRDefault="006B02E6" w:rsidP="0090014B">
      <w:pPr>
        <w:spacing w:after="0" w:line="240" w:lineRule="auto"/>
        <w:jc w:val="both"/>
        <w:textAlignment w:val="baseline"/>
        <w:rPr>
          <w:rFonts w:ascii="Verdana" w:eastAsia="Times New Roman" w:hAnsi="Verdana" w:cs="Segoe UI"/>
          <w:sz w:val="20"/>
          <w:szCs w:val="20"/>
          <w:lang w:val="en-GB"/>
        </w:rPr>
      </w:pPr>
    </w:p>
    <w:p w14:paraId="0BE382C9" w14:textId="106B6EE9" w:rsidR="0090014B" w:rsidRPr="00046517" w:rsidRDefault="00933A43" w:rsidP="0090014B">
      <w:pPr>
        <w:spacing w:after="0" w:line="240" w:lineRule="auto"/>
        <w:jc w:val="both"/>
        <w:textAlignment w:val="baseline"/>
        <w:rPr>
          <w:rFonts w:ascii="Verdana" w:eastAsia="Times New Roman" w:hAnsi="Verdana" w:cs="Segoe UI"/>
          <w:sz w:val="20"/>
          <w:szCs w:val="20"/>
          <w:lang w:val="en-GB"/>
        </w:rPr>
      </w:pPr>
      <w:r w:rsidRPr="00046517">
        <w:rPr>
          <w:rFonts w:ascii="Verdana" w:eastAsia="Times New Roman" w:hAnsi="Verdana" w:cs="Segoe UI"/>
          <w:sz w:val="20"/>
          <w:szCs w:val="20"/>
          <w:lang w:val="en-GB"/>
        </w:rPr>
        <w:t>Last</w:t>
      </w:r>
      <w:r w:rsidR="008264EC" w:rsidRPr="00046517">
        <w:rPr>
          <w:rFonts w:ascii="Verdana" w:eastAsia="Times New Roman" w:hAnsi="Verdana" w:cs="Segoe UI"/>
          <w:sz w:val="20"/>
          <w:szCs w:val="20"/>
          <w:lang w:val="en-GB"/>
        </w:rPr>
        <w:t>, these guidelines</w:t>
      </w:r>
      <w:r w:rsidR="004674E9" w:rsidRPr="00046517">
        <w:rPr>
          <w:rFonts w:ascii="Verdana" w:eastAsia="Times New Roman" w:hAnsi="Verdana" w:cs="Segoe UI"/>
          <w:sz w:val="20"/>
          <w:szCs w:val="20"/>
          <w:lang w:val="en-GB"/>
        </w:rPr>
        <w:t xml:space="preserve"> seem to</w:t>
      </w:r>
      <w:r w:rsidR="008264EC" w:rsidRPr="00046517">
        <w:rPr>
          <w:rFonts w:ascii="Verdana" w:eastAsia="Times New Roman" w:hAnsi="Verdana" w:cs="Segoe UI"/>
          <w:sz w:val="20"/>
          <w:szCs w:val="20"/>
          <w:lang w:val="en-GB"/>
        </w:rPr>
        <w:t xml:space="preserve"> </w:t>
      </w:r>
      <w:r w:rsidR="008403E6" w:rsidRPr="00046517">
        <w:rPr>
          <w:rFonts w:ascii="Verdana" w:eastAsia="Times New Roman" w:hAnsi="Verdana" w:cs="Segoe UI"/>
          <w:sz w:val="20"/>
          <w:szCs w:val="20"/>
          <w:lang w:val="en-GB"/>
        </w:rPr>
        <w:t>introduce</w:t>
      </w:r>
      <w:r w:rsidR="005B63F4" w:rsidRPr="00046517">
        <w:rPr>
          <w:rFonts w:ascii="Verdana" w:eastAsia="Times New Roman" w:hAnsi="Verdana" w:cs="Segoe UI"/>
          <w:sz w:val="20"/>
          <w:szCs w:val="20"/>
          <w:lang w:val="en-GB"/>
        </w:rPr>
        <w:t xml:space="preserve"> a supplementary compliance</w:t>
      </w:r>
      <w:r w:rsidR="008403E6" w:rsidRPr="00046517">
        <w:rPr>
          <w:rFonts w:ascii="Verdana" w:eastAsia="Times New Roman" w:hAnsi="Verdana" w:cs="Segoe UI"/>
          <w:sz w:val="20"/>
          <w:szCs w:val="20"/>
          <w:lang w:val="en-GB"/>
        </w:rPr>
        <w:t>/preventive</w:t>
      </w:r>
      <w:r w:rsidR="005B63F4" w:rsidRPr="00046517">
        <w:rPr>
          <w:rFonts w:ascii="Verdana" w:eastAsia="Times New Roman" w:hAnsi="Verdana" w:cs="Segoe UI"/>
          <w:sz w:val="20"/>
          <w:szCs w:val="20"/>
          <w:lang w:val="en-GB"/>
        </w:rPr>
        <w:t xml:space="preserve"> </w:t>
      </w:r>
      <w:r w:rsidR="004674E9" w:rsidRPr="00046517">
        <w:rPr>
          <w:rFonts w:ascii="Verdana" w:eastAsia="Times New Roman" w:hAnsi="Verdana" w:cs="Segoe UI"/>
          <w:sz w:val="20"/>
          <w:szCs w:val="20"/>
          <w:lang w:val="en-GB"/>
        </w:rPr>
        <w:t>regime that</w:t>
      </w:r>
      <w:r w:rsidR="005B63F4" w:rsidRPr="00046517">
        <w:rPr>
          <w:rFonts w:ascii="Verdana" w:eastAsia="Times New Roman" w:hAnsi="Verdana" w:cs="Segoe UI"/>
          <w:sz w:val="20"/>
          <w:szCs w:val="20"/>
          <w:lang w:val="en-GB"/>
        </w:rPr>
        <w:t xml:space="preserve"> </w:t>
      </w:r>
      <w:r w:rsidR="008403E6" w:rsidRPr="00046517">
        <w:rPr>
          <w:rFonts w:ascii="Verdana" w:eastAsia="Times New Roman" w:hAnsi="Verdana" w:cs="Segoe UI"/>
          <w:sz w:val="20"/>
          <w:szCs w:val="20"/>
          <w:lang w:val="en-GB"/>
        </w:rPr>
        <w:t>does not exist – o</w:t>
      </w:r>
      <w:r w:rsidR="00634640" w:rsidRPr="00046517">
        <w:rPr>
          <w:rFonts w:ascii="Verdana" w:eastAsia="Times New Roman" w:hAnsi="Verdana" w:cs="Segoe UI"/>
          <w:sz w:val="20"/>
          <w:szCs w:val="20"/>
          <w:lang w:val="en-GB"/>
        </w:rPr>
        <w:t>r</w:t>
      </w:r>
      <w:r w:rsidR="008403E6" w:rsidRPr="00046517">
        <w:rPr>
          <w:rFonts w:ascii="Verdana" w:eastAsia="Times New Roman" w:hAnsi="Verdana" w:cs="Segoe UI"/>
          <w:sz w:val="20"/>
          <w:szCs w:val="20"/>
          <w:lang w:val="en-GB"/>
        </w:rPr>
        <w:t xml:space="preserve"> only exist in part -</w:t>
      </w:r>
      <w:r w:rsidR="005B63F4" w:rsidRPr="00046517">
        <w:rPr>
          <w:rFonts w:ascii="Verdana" w:eastAsia="Times New Roman" w:hAnsi="Verdana" w:cs="Segoe UI"/>
          <w:sz w:val="20"/>
          <w:szCs w:val="20"/>
          <w:lang w:val="en-GB"/>
        </w:rPr>
        <w:t xml:space="preserve"> </w:t>
      </w:r>
      <w:r w:rsidR="008403E6" w:rsidRPr="00046517">
        <w:rPr>
          <w:rFonts w:ascii="Verdana" w:eastAsia="Times New Roman" w:hAnsi="Verdana" w:cs="Segoe UI"/>
          <w:sz w:val="20"/>
          <w:szCs w:val="20"/>
          <w:lang w:val="en-GB"/>
        </w:rPr>
        <w:t xml:space="preserve">in many Member States’ </w:t>
      </w:r>
      <w:r w:rsidR="008264EC" w:rsidRPr="00046517">
        <w:rPr>
          <w:rFonts w:ascii="Verdana" w:eastAsia="Times New Roman" w:hAnsi="Verdana" w:cs="Segoe UI"/>
          <w:sz w:val="20"/>
          <w:szCs w:val="20"/>
          <w:lang w:val="en-GB"/>
        </w:rPr>
        <w:t xml:space="preserve">sanction </w:t>
      </w:r>
      <w:r w:rsidR="008403E6" w:rsidRPr="00046517">
        <w:rPr>
          <w:rFonts w:ascii="Verdana" w:eastAsia="Times New Roman" w:hAnsi="Verdana" w:cs="Segoe UI"/>
          <w:sz w:val="20"/>
          <w:szCs w:val="20"/>
          <w:lang w:val="en-GB"/>
        </w:rPr>
        <w:t>frameworks</w:t>
      </w:r>
      <w:r w:rsidR="008264EC" w:rsidRPr="00046517">
        <w:rPr>
          <w:rFonts w:ascii="Verdana" w:eastAsia="Times New Roman" w:hAnsi="Verdana" w:cs="Segoe UI"/>
          <w:sz w:val="20"/>
          <w:szCs w:val="20"/>
          <w:lang w:val="en-GB"/>
        </w:rPr>
        <w:t xml:space="preserve">. Indeed, for some countries, </w:t>
      </w:r>
      <w:r w:rsidR="004674E9" w:rsidRPr="00046517">
        <w:rPr>
          <w:rFonts w:ascii="Verdana" w:eastAsia="Times New Roman" w:hAnsi="Verdana" w:cs="Segoe UI"/>
          <w:sz w:val="20"/>
          <w:szCs w:val="20"/>
          <w:lang w:val="en-GB"/>
        </w:rPr>
        <w:t xml:space="preserve"> sanction rules only consist in criminal provision sanctioning intentional failures/negligence to apply restrictive measures in force. </w:t>
      </w:r>
    </w:p>
    <w:p w14:paraId="57D05748" w14:textId="77777777" w:rsidR="009F075D" w:rsidRPr="00046517" w:rsidRDefault="009F075D" w:rsidP="0090014B">
      <w:pPr>
        <w:spacing w:after="0" w:line="240" w:lineRule="auto"/>
        <w:jc w:val="both"/>
        <w:textAlignment w:val="baseline"/>
        <w:rPr>
          <w:rFonts w:ascii="Verdana" w:eastAsia="Times New Roman" w:hAnsi="Verdana" w:cs="Segoe UI"/>
          <w:sz w:val="20"/>
          <w:szCs w:val="20"/>
          <w:lang w:val="en-GB"/>
        </w:rPr>
      </w:pPr>
    </w:p>
    <w:p w14:paraId="0F84546D" w14:textId="24E4D814" w:rsidR="006B02E6" w:rsidRPr="00046517" w:rsidRDefault="006B02E6" w:rsidP="0090014B">
      <w:pPr>
        <w:spacing w:after="0" w:line="240" w:lineRule="auto"/>
        <w:jc w:val="both"/>
        <w:textAlignment w:val="baseline"/>
        <w:rPr>
          <w:rFonts w:ascii="Verdana" w:eastAsia="Times New Roman" w:hAnsi="Verdana" w:cs="Segoe UI"/>
          <w:color w:val="2F5496" w:themeColor="accent5" w:themeShade="BF"/>
          <w:sz w:val="20"/>
          <w:szCs w:val="20"/>
          <w:lang w:val="en-GB"/>
        </w:rPr>
      </w:pPr>
    </w:p>
    <w:p w14:paraId="321D0394" w14:textId="77777777" w:rsidR="0090014B" w:rsidRPr="00046517" w:rsidRDefault="0090014B" w:rsidP="0090014B">
      <w:pPr>
        <w:spacing w:after="0" w:line="240" w:lineRule="auto"/>
        <w:jc w:val="both"/>
        <w:textAlignment w:val="baseline"/>
        <w:rPr>
          <w:rFonts w:ascii="Segoe UI" w:eastAsia="Times New Roman" w:hAnsi="Segoe UI" w:cs="Segoe UI"/>
          <w:sz w:val="20"/>
          <w:szCs w:val="20"/>
          <w:lang w:val="en-GB"/>
        </w:rPr>
      </w:pPr>
    </w:p>
    <w:p w14:paraId="1E1F2533" w14:textId="77777777" w:rsidR="0090014B" w:rsidRPr="00046517" w:rsidRDefault="0090014B" w:rsidP="0090014B">
      <w:pPr>
        <w:shd w:val="clear" w:color="auto" w:fill="AEAAAA"/>
        <w:spacing w:after="0" w:line="240" w:lineRule="auto"/>
        <w:jc w:val="both"/>
        <w:textAlignment w:val="baseline"/>
        <w:rPr>
          <w:rFonts w:ascii="Verdana" w:eastAsia="Times New Roman" w:hAnsi="Verdana" w:cs="Segoe UI"/>
          <w:color w:val="767171"/>
          <w:sz w:val="20"/>
          <w:szCs w:val="20"/>
          <w:lang w:val="en-GB"/>
        </w:rPr>
      </w:pPr>
      <w:r w:rsidRPr="00046517">
        <w:rPr>
          <w:rFonts w:ascii="Verdana" w:eastAsia="Times New Roman" w:hAnsi="Verdana" w:cs="Segoe UI"/>
          <w:b/>
          <w:bCs/>
          <w:color w:val="767171"/>
          <w:sz w:val="20"/>
          <w:szCs w:val="20"/>
          <w:lang w:val="en-GB"/>
        </w:rPr>
        <w:lastRenderedPageBreak/>
        <w:t>EACB answers to the questionnaire</w:t>
      </w:r>
      <w:r w:rsidRPr="00046517">
        <w:rPr>
          <w:rFonts w:ascii="Verdana" w:eastAsia="Times New Roman" w:hAnsi="Verdana" w:cs="Segoe UI"/>
          <w:color w:val="767171"/>
          <w:sz w:val="20"/>
          <w:szCs w:val="20"/>
          <w:lang w:val="en-GB"/>
        </w:rPr>
        <w:t> </w:t>
      </w:r>
    </w:p>
    <w:p w14:paraId="2BE2E69A" w14:textId="77777777" w:rsidR="0090014B" w:rsidRPr="00046517" w:rsidRDefault="0090014B" w:rsidP="0090014B">
      <w:pPr>
        <w:spacing w:after="0" w:line="240" w:lineRule="auto"/>
        <w:jc w:val="both"/>
        <w:textAlignment w:val="baseline"/>
        <w:rPr>
          <w:rFonts w:ascii="Verdana" w:eastAsia="Times New Roman" w:hAnsi="Verdana" w:cs="Segoe UI"/>
          <w:sz w:val="20"/>
          <w:szCs w:val="20"/>
          <w:lang w:val="en-GB"/>
        </w:rPr>
      </w:pPr>
      <w:r w:rsidRPr="00046517">
        <w:rPr>
          <w:rFonts w:ascii="Verdana" w:eastAsia="Times New Roman" w:hAnsi="Verdana" w:cs="Segoe UI"/>
          <w:sz w:val="20"/>
          <w:szCs w:val="20"/>
          <w:lang w:val="en-GB"/>
        </w:rPr>
        <w:t> </w:t>
      </w:r>
    </w:p>
    <w:tbl>
      <w:tblPr>
        <w:tblStyle w:val="TableGrid"/>
        <w:tblW w:w="0" w:type="auto"/>
        <w:tblLook w:val="04A0" w:firstRow="1" w:lastRow="0" w:firstColumn="1" w:lastColumn="0" w:noHBand="0" w:noVBand="1"/>
      </w:tblPr>
      <w:tblGrid>
        <w:gridCol w:w="9743"/>
      </w:tblGrid>
      <w:tr w:rsidR="000C1F4E" w:rsidRPr="00046517" w14:paraId="4102CB79" w14:textId="77777777" w:rsidTr="00E505FE">
        <w:tc>
          <w:tcPr>
            <w:tcW w:w="9743" w:type="dxa"/>
          </w:tcPr>
          <w:p w14:paraId="4239DDE7" w14:textId="0D2DCD22" w:rsidR="000C1F4E" w:rsidRPr="00046517" w:rsidRDefault="000C1F4E" w:rsidP="00E505FE">
            <w:pPr>
              <w:spacing w:after="120"/>
              <w:jc w:val="both"/>
              <w:rPr>
                <w:rFonts w:ascii="Verdana" w:hAnsi="Verdana" w:cstheme="minorHAnsi"/>
                <w:i/>
                <w:iCs/>
                <w:sz w:val="20"/>
                <w:szCs w:val="20"/>
                <w:lang w:val="en-GB"/>
              </w:rPr>
            </w:pPr>
            <w:r w:rsidRPr="00046517">
              <w:rPr>
                <w:rFonts w:ascii="Verdana" w:hAnsi="Verdana" w:cstheme="minorHAnsi"/>
                <w:i/>
                <w:iCs/>
                <w:sz w:val="20"/>
                <w:szCs w:val="20"/>
                <w:lang w:val="en-GB"/>
              </w:rPr>
              <w:t xml:space="preserve">Question 1: </w:t>
            </w:r>
            <w:r w:rsidR="003F2BDA" w:rsidRPr="00046517">
              <w:rPr>
                <w:rFonts w:ascii="Verdana" w:hAnsi="Verdana" w:cstheme="minorHAnsi"/>
                <w:i/>
                <w:iCs/>
                <w:sz w:val="20"/>
                <w:szCs w:val="20"/>
                <w:lang w:val="en-GB"/>
              </w:rPr>
              <w:t>Do you agree with the proposed provisions? If you do not agree, please explain how you think these provisions should be amended, and set out why they should be amended. Please provide evidence of the impact these provisions would have if they were maintained as drafted?</w:t>
            </w:r>
          </w:p>
        </w:tc>
      </w:tr>
    </w:tbl>
    <w:p w14:paraId="39EFDE8F" w14:textId="77777777" w:rsidR="000C1F4E" w:rsidRPr="00046517" w:rsidRDefault="000C1F4E" w:rsidP="008B1791">
      <w:pPr>
        <w:jc w:val="both"/>
        <w:rPr>
          <w:sz w:val="20"/>
          <w:szCs w:val="20"/>
          <w:lang w:val="en-GB"/>
        </w:rPr>
      </w:pPr>
    </w:p>
    <w:p w14:paraId="0E05A8B7" w14:textId="507E8887" w:rsidR="001D3C52" w:rsidRPr="00046517" w:rsidRDefault="001D3C52" w:rsidP="00CB690F">
      <w:pPr>
        <w:spacing w:after="0" w:line="240" w:lineRule="auto"/>
        <w:jc w:val="center"/>
        <w:textAlignment w:val="baseline"/>
        <w:rPr>
          <w:rFonts w:ascii="Verdana" w:eastAsia="Times New Roman" w:hAnsi="Verdana" w:cs="Segoe UI"/>
          <w:b/>
          <w:sz w:val="20"/>
          <w:szCs w:val="20"/>
          <w:lang w:val="en-GB"/>
        </w:rPr>
      </w:pPr>
      <w:r w:rsidRPr="00046517">
        <w:rPr>
          <w:rFonts w:ascii="Verdana" w:eastAsia="Times New Roman" w:hAnsi="Verdana" w:cs="Segoe UI"/>
          <w:b/>
          <w:sz w:val="20"/>
          <w:szCs w:val="20"/>
          <w:lang w:val="en-GB"/>
        </w:rPr>
        <w:t>Guidelines on internal policies, procedures and controls to ensure the implementation of Union and national restrictive measures</w:t>
      </w:r>
    </w:p>
    <w:p w14:paraId="21487D69" w14:textId="77777777" w:rsidR="00A97B39" w:rsidRPr="00046517" w:rsidRDefault="00A97B39" w:rsidP="00C4060F">
      <w:pPr>
        <w:spacing w:after="0" w:line="240" w:lineRule="auto"/>
        <w:jc w:val="both"/>
        <w:textAlignment w:val="baseline"/>
        <w:rPr>
          <w:rFonts w:ascii="Verdana" w:eastAsia="Times New Roman" w:hAnsi="Verdana" w:cs="Segoe UI"/>
          <w:sz w:val="20"/>
          <w:szCs w:val="20"/>
          <w:lang w:val="en-GB"/>
        </w:rPr>
      </w:pPr>
    </w:p>
    <w:p w14:paraId="0A2625DD" w14:textId="26E3AD31" w:rsidR="001D3C52" w:rsidRPr="00046517" w:rsidRDefault="001D3C52" w:rsidP="00C4060F">
      <w:pPr>
        <w:spacing w:after="0" w:line="240" w:lineRule="auto"/>
        <w:jc w:val="both"/>
        <w:textAlignment w:val="baseline"/>
        <w:rPr>
          <w:rFonts w:ascii="Verdana" w:eastAsia="Times New Roman" w:hAnsi="Verdana" w:cs="Segoe UI"/>
          <w:sz w:val="20"/>
          <w:szCs w:val="20"/>
          <w:lang w:val="en-GB"/>
        </w:rPr>
      </w:pPr>
      <w:r w:rsidRPr="00046517">
        <w:rPr>
          <w:rFonts w:ascii="Verdana" w:eastAsia="Times New Roman" w:hAnsi="Verdana" w:cs="Segoe UI"/>
          <w:sz w:val="20"/>
          <w:szCs w:val="20"/>
          <w:lang w:val="en-GB"/>
        </w:rPr>
        <w:t>General provisions</w:t>
      </w:r>
    </w:p>
    <w:p w14:paraId="0777E6AE" w14:textId="77777777" w:rsidR="00A97B39" w:rsidRPr="00046517" w:rsidRDefault="00A97B39" w:rsidP="00C4060F">
      <w:pPr>
        <w:spacing w:after="0" w:line="240" w:lineRule="auto"/>
        <w:jc w:val="both"/>
        <w:textAlignment w:val="baseline"/>
        <w:rPr>
          <w:rFonts w:ascii="Verdana" w:eastAsia="Times New Roman" w:hAnsi="Verdana" w:cs="Segoe UI"/>
          <w:sz w:val="20"/>
          <w:szCs w:val="20"/>
          <w:lang w:val="en-GB"/>
        </w:rPr>
      </w:pPr>
    </w:p>
    <w:p w14:paraId="5F0956BE" w14:textId="590CF138" w:rsidR="009F075D" w:rsidRPr="00046517" w:rsidRDefault="00A97B39">
      <w:pPr>
        <w:spacing w:after="0" w:line="240" w:lineRule="auto"/>
        <w:jc w:val="both"/>
        <w:textAlignment w:val="baseline"/>
        <w:rPr>
          <w:rFonts w:ascii="Verdana" w:eastAsia="Times New Roman" w:hAnsi="Verdana" w:cs="Segoe UI"/>
          <w:sz w:val="20"/>
          <w:szCs w:val="20"/>
          <w:lang w:val="en-GB"/>
        </w:rPr>
      </w:pPr>
      <w:r w:rsidRPr="00046517">
        <w:rPr>
          <w:rFonts w:ascii="Verdana" w:eastAsia="Times New Roman" w:hAnsi="Verdana" w:cs="Segoe UI"/>
          <w:b/>
          <w:sz w:val="20"/>
          <w:szCs w:val="20"/>
          <w:lang w:val="en-GB"/>
        </w:rPr>
        <w:t>Preliminary comment</w:t>
      </w:r>
      <w:r w:rsidRPr="00046517">
        <w:rPr>
          <w:rFonts w:ascii="Verdana" w:eastAsia="Times New Roman" w:hAnsi="Verdana" w:cs="Segoe UI"/>
          <w:sz w:val="20"/>
          <w:szCs w:val="20"/>
          <w:lang w:val="en-GB"/>
        </w:rPr>
        <w:t xml:space="preserve">: </w:t>
      </w:r>
      <w:r w:rsidR="005B63F4" w:rsidRPr="00046517">
        <w:rPr>
          <w:rFonts w:ascii="Verdana" w:eastAsia="Times New Roman" w:hAnsi="Verdana" w:cs="Segoe UI"/>
          <w:sz w:val="20"/>
          <w:szCs w:val="20"/>
          <w:lang w:val="en-GB"/>
        </w:rPr>
        <w:t xml:space="preserve">As </w:t>
      </w:r>
      <w:r w:rsidR="009F075D" w:rsidRPr="00046517">
        <w:rPr>
          <w:rFonts w:ascii="Verdana" w:eastAsia="Times New Roman" w:hAnsi="Verdana" w:cs="Segoe UI"/>
          <w:sz w:val="20"/>
          <w:szCs w:val="20"/>
          <w:lang w:val="en-GB"/>
        </w:rPr>
        <w:t>stated previously</w:t>
      </w:r>
      <w:r w:rsidR="004147EC" w:rsidRPr="00046517">
        <w:rPr>
          <w:rFonts w:ascii="Verdana" w:eastAsia="Times New Roman" w:hAnsi="Verdana" w:cs="Segoe UI"/>
          <w:sz w:val="20"/>
          <w:szCs w:val="20"/>
          <w:lang w:val="en-GB"/>
        </w:rPr>
        <w:t xml:space="preserve">, </w:t>
      </w:r>
      <w:r w:rsidR="005D08B7" w:rsidRPr="00046517">
        <w:rPr>
          <w:rFonts w:ascii="Verdana" w:eastAsia="Times New Roman" w:hAnsi="Verdana" w:cs="Segoe UI"/>
          <w:sz w:val="20"/>
          <w:szCs w:val="20"/>
          <w:lang w:val="en-GB"/>
        </w:rPr>
        <w:t>th</w:t>
      </w:r>
      <w:r w:rsidR="009F075D" w:rsidRPr="00046517">
        <w:rPr>
          <w:rFonts w:ascii="Verdana" w:eastAsia="Times New Roman" w:hAnsi="Verdana" w:cs="Segoe UI"/>
          <w:sz w:val="20"/>
          <w:szCs w:val="20"/>
          <w:lang w:val="en-GB"/>
        </w:rPr>
        <w:t>e</w:t>
      </w:r>
      <w:r w:rsidR="005D08B7" w:rsidRPr="00046517">
        <w:rPr>
          <w:rFonts w:ascii="Verdana" w:eastAsia="Times New Roman" w:hAnsi="Verdana" w:cs="Segoe UI"/>
          <w:sz w:val="20"/>
          <w:szCs w:val="20"/>
          <w:lang w:val="en-GB"/>
        </w:rPr>
        <w:t xml:space="preserve"> first set of guidelines introduces internal governance rules for the implementation of restrictive measure</w:t>
      </w:r>
      <w:r w:rsidR="009F075D" w:rsidRPr="00046517">
        <w:rPr>
          <w:rFonts w:ascii="Verdana" w:eastAsia="Times New Roman" w:hAnsi="Verdana" w:cs="Segoe UI"/>
          <w:sz w:val="20"/>
          <w:szCs w:val="20"/>
          <w:lang w:val="en-GB"/>
        </w:rPr>
        <w:t>s</w:t>
      </w:r>
      <w:r w:rsidR="005D08B7" w:rsidRPr="00046517">
        <w:rPr>
          <w:rFonts w:ascii="Verdana" w:eastAsia="Times New Roman" w:hAnsi="Verdana" w:cs="Segoe UI"/>
          <w:sz w:val="20"/>
          <w:szCs w:val="20"/>
          <w:lang w:val="en-GB"/>
        </w:rPr>
        <w:t xml:space="preserve"> whereas we could not identify </w:t>
      </w:r>
      <w:r w:rsidR="0091575F" w:rsidRPr="00046517">
        <w:rPr>
          <w:rFonts w:ascii="Verdana" w:eastAsia="Times New Roman" w:hAnsi="Verdana" w:cs="Segoe UI"/>
          <w:sz w:val="20"/>
          <w:szCs w:val="20"/>
          <w:lang w:val="en-GB"/>
        </w:rPr>
        <w:t xml:space="preserve">a </w:t>
      </w:r>
      <w:r w:rsidR="005D08B7" w:rsidRPr="00046517">
        <w:rPr>
          <w:rFonts w:ascii="Verdana" w:eastAsia="Times New Roman" w:hAnsi="Verdana" w:cs="Segoe UI"/>
          <w:sz w:val="20"/>
          <w:szCs w:val="20"/>
          <w:lang w:val="en-GB"/>
        </w:rPr>
        <w:t>requirement to implement such internal compliance arrangements in financial EU legislation</w:t>
      </w:r>
      <w:r w:rsidR="0091575F" w:rsidRPr="00046517">
        <w:rPr>
          <w:rFonts w:ascii="Verdana" w:eastAsia="Times New Roman" w:hAnsi="Verdana" w:cs="Segoe UI"/>
          <w:sz w:val="20"/>
          <w:szCs w:val="20"/>
          <w:lang w:val="en-GB"/>
        </w:rPr>
        <w:t xml:space="preserve"> (references to CRD, PSD and EMD </w:t>
      </w:r>
      <w:r w:rsidR="009F075D" w:rsidRPr="00046517">
        <w:rPr>
          <w:rFonts w:ascii="Verdana" w:eastAsia="Times New Roman" w:hAnsi="Verdana" w:cs="Segoe UI"/>
          <w:sz w:val="20"/>
          <w:szCs w:val="20"/>
          <w:lang w:val="en-GB"/>
        </w:rPr>
        <w:t>deemed</w:t>
      </w:r>
      <w:r w:rsidR="00DB4BEB" w:rsidRPr="00046517">
        <w:rPr>
          <w:rFonts w:ascii="Verdana" w:eastAsia="Times New Roman" w:hAnsi="Verdana" w:cs="Segoe UI"/>
          <w:sz w:val="20"/>
          <w:szCs w:val="20"/>
          <w:lang w:val="en-GB"/>
        </w:rPr>
        <w:t xml:space="preserve"> </w:t>
      </w:r>
      <w:r w:rsidR="009F075D" w:rsidRPr="00046517">
        <w:rPr>
          <w:rFonts w:ascii="Verdana" w:eastAsia="Times New Roman" w:hAnsi="Verdana" w:cs="Segoe UI"/>
          <w:sz w:val="20"/>
          <w:szCs w:val="20"/>
          <w:lang w:val="en-GB"/>
        </w:rPr>
        <w:t>in</w:t>
      </w:r>
      <w:r w:rsidR="00DB4BEB" w:rsidRPr="00046517">
        <w:rPr>
          <w:rFonts w:ascii="Verdana" w:eastAsia="Times New Roman" w:hAnsi="Verdana" w:cs="Segoe UI"/>
          <w:sz w:val="20"/>
          <w:szCs w:val="20"/>
          <w:lang w:val="en-GB"/>
        </w:rPr>
        <w:t>sufficient</w:t>
      </w:r>
      <w:r w:rsidR="0091575F" w:rsidRPr="00046517">
        <w:rPr>
          <w:rFonts w:ascii="Verdana" w:eastAsia="Times New Roman" w:hAnsi="Verdana" w:cs="Segoe UI"/>
          <w:sz w:val="20"/>
          <w:szCs w:val="20"/>
          <w:lang w:val="en-GB"/>
        </w:rPr>
        <w:t xml:space="preserve"> in our view)</w:t>
      </w:r>
      <w:r w:rsidR="005D08B7" w:rsidRPr="00046517">
        <w:rPr>
          <w:rFonts w:ascii="Verdana" w:eastAsia="Times New Roman" w:hAnsi="Verdana" w:cs="Segoe UI"/>
          <w:sz w:val="20"/>
          <w:szCs w:val="20"/>
          <w:lang w:val="en-GB"/>
        </w:rPr>
        <w:t xml:space="preserve">. This </w:t>
      </w:r>
      <w:r w:rsidR="0091575F" w:rsidRPr="00046517">
        <w:rPr>
          <w:rFonts w:ascii="Verdana" w:eastAsia="Times New Roman" w:hAnsi="Verdana" w:cs="Segoe UI"/>
          <w:sz w:val="20"/>
          <w:szCs w:val="20"/>
          <w:lang w:val="en-GB"/>
        </w:rPr>
        <w:t xml:space="preserve">exceeds the </w:t>
      </w:r>
      <w:r w:rsidR="009F075D" w:rsidRPr="00046517">
        <w:rPr>
          <w:rFonts w:ascii="Verdana" w:eastAsia="Times New Roman" w:hAnsi="Verdana" w:cs="Segoe UI"/>
          <w:sz w:val="20"/>
          <w:szCs w:val="20"/>
          <w:lang w:val="en-GB"/>
        </w:rPr>
        <w:t>typical</w:t>
      </w:r>
      <w:r w:rsidR="0091575F" w:rsidRPr="00046517">
        <w:rPr>
          <w:rFonts w:ascii="Verdana" w:eastAsia="Times New Roman" w:hAnsi="Verdana" w:cs="Segoe UI"/>
          <w:sz w:val="20"/>
          <w:szCs w:val="20"/>
          <w:lang w:val="en-GB"/>
        </w:rPr>
        <w:t xml:space="preserve"> purpose of</w:t>
      </w:r>
      <w:r w:rsidR="005D08B7" w:rsidRPr="00046517">
        <w:rPr>
          <w:rFonts w:ascii="Verdana" w:eastAsia="Times New Roman" w:hAnsi="Verdana" w:cs="Segoe UI"/>
          <w:sz w:val="20"/>
          <w:szCs w:val="20"/>
          <w:lang w:val="en-GB"/>
        </w:rPr>
        <w:t xml:space="preserve"> guidelines</w:t>
      </w:r>
      <w:r w:rsidR="009F075D" w:rsidRPr="00046517">
        <w:rPr>
          <w:rFonts w:ascii="Verdana" w:eastAsia="Times New Roman" w:hAnsi="Verdana" w:cs="Segoe UI"/>
          <w:sz w:val="20"/>
          <w:szCs w:val="20"/>
          <w:lang w:val="en-GB"/>
        </w:rPr>
        <w:t xml:space="preserve">, which </w:t>
      </w:r>
      <w:r w:rsidR="0091575F" w:rsidRPr="00046517">
        <w:rPr>
          <w:rFonts w:ascii="Verdana" w:eastAsia="Times New Roman" w:hAnsi="Verdana" w:cs="Segoe UI"/>
          <w:sz w:val="20"/>
          <w:szCs w:val="20"/>
          <w:lang w:val="en-GB"/>
        </w:rPr>
        <w:t>is</w:t>
      </w:r>
      <w:r w:rsidR="005D08B7" w:rsidRPr="00046517">
        <w:rPr>
          <w:rFonts w:ascii="Verdana" w:eastAsia="Times New Roman" w:hAnsi="Verdana" w:cs="Segoe UI"/>
          <w:sz w:val="20"/>
          <w:szCs w:val="20"/>
          <w:lang w:val="en-GB"/>
        </w:rPr>
        <w:t xml:space="preserve"> to </w:t>
      </w:r>
      <w:r w:rsidR="0091575F" w:rsidRPr="00046517">
        <w:rPr>
          <w:rFonts w:ascii="Verdana" w:eastAsia="Times New Roman" w:hAnsi="Verdana" w:cs="Segoe UI"/>
          <w:sz w:val="20"/>
          <w:szCs w:val="20"/>
          <w:lang w:val="en-GB"/>
        </w:rPr>
        <w:t>provide clarifications and</w:t>
      </w:r>
      <w:r w:rsidR="005D08B7" w:rsidRPr="00046517">
        <w:rPr>
          <w:rFonts w:ascii="Verdana" w:eastAsia="Times New Roman" w:hAnsi="Verdana" w:cs="Segoe UI"/>
          <w:sz w:val="20"/>
          <w:szCs w:val="20"/>
          <w:lang w:val="en-GB"/>
        </w:rPr>
        <w:t xml:space="preserve"> explanations about </w:t>
      </w:r>
      <w:r w:rsidR="0091575F" w:rsidRPr="00046517">
        <w:rPr>
          <w:rFonts w:ascii="Verdana" w:eastAsia="Times New Roman" w:hAnsi="Verdana" w:cs="Segoe UI"/>
          <w:sz w:val="20"/>
          <w:szCs w:val="20"/>
          <w:lang w:val="en-GB"/>
        </w:rPr>
        <w:t xml:space="preserve">existing legislative </w:t>
      </w:r>
      <w:r w:rsidR="009F075D" w:rsidRPr="00046517">
        <w:rPr>
          <w:rFonts w:ascii="Verdana" w:eastAsia="Times New Roman" w:hAnsi="Verdana" w:cs="Segoe UI"/>
          <w:sz w:val="20"/>
          <w:szCs w:val="20"/>
          <w:lang w:val="en-GB"/>
        </w:rPr>
        <w:t>frameworks</w:t>
      </w:r>
      <w:r w:rsidR="005D08B7" w:rsidRPr="00046517">
        <w:rPr>
          <w:rFonts w:ascii="Verdana" w:eastAsia="Times New Roman" w:hAnsi="Verdana" w:cs="Segoe UI"/>
          <w:sz w:val="20"/>
          <w:szCs w:val="20"/>
          <w:lang w:val="en-GB"/>
        </w:rPr>
        <w:t>. Th</w:t>
      </w:r>
      <w:r w:rsidR="00BC40D8" w:rsidRPr="00046517">
        <w:rPr>
          <w:rFonts w:ascii="Verdana" w:eastAsia="Times New Roman" w:hAnsi="Verdana" w:cs="Segoe UI"/>
          <w:sz w:val="20"/>
          <w:szCs w:val="20"/>
          <w:lang w:val="en-GB"/>
        </w:rPr>
        <w:t>e</w:t>
      </w:r>
      <w:r w:rsidR="005D08B7" w:rsidRPr="00046517">
        <w:rPr>
          <w:rFonts w:ascii="Verdana" w:eastAsia="Times New Roman" w:hAnsi="Verdana" w:cs="Segoe UI"/>
          <w:sz w:val="20"/>
          <w:szCs w:val="20"/>
          <w:lang w:val="en-GB"/>
        </w:rPr>
        <w:t xml:space="preserve"> lack of </w:t>
      </w:r>
      <w:r w:rsidR="00BC40D8" w:rsidRPr="00046517">
        <w:rPr>
          <w:rFonts w:ascii="Verdana" w:eastAsia="Times New Roman" w:hAnsi="Verdana" w:cs="Segoe UI"/>
          <w:sz w:val="20"/>
          <w:szCs w:val="20"/>
          <w:lang w:val="en-GB"/>
        </w:rPr>
        <w:t xml:space="preserve">a </w:t>
      </w:r>
      <w:r w:rsidR="0091575F" w:rsidRPr="00046517">
        <w:rPr>
          <w:rFonts w:ascii="Verdana" w:eastAsia="Times New Roman" w:hAnsi="Verdana" w:cs="Segoe UI"/>
          <w:sz w:val="20"/>
          <w:szCs w:val="20"/>
          <w:lang w:val="en-GB"/>
        </w:rPr>
        <w:t xml:space="preserve">legal </w:t>
      </w:r>
      <w:r w:rsidR="00BC40D8" w:rsidRPr="00046517">
        <w:rPr>
          <w:rFonts w:ascii="Verdana" w:eastAsia="Times New Roman" w:hAnsi="Verdana" w:cs="Segoe UI"/>
          <w:sz w:val="20"/>
          <w:szCs w:val="20"/>
          <w:lang w:val="en-GB"/>
        </w:rPr>
        <w:t>basis</w:t>
      </w:r>
      <w:r w:rsidR="005D08B7" w:rsidRPr="00046517">
        <w:rPr>
          <w:rFonts w:ascii="Verdana" w:eastAsia="Times New Roman" w:hAnsi="Verdana" w:cs="Segoe UI"/>
          <w:sz w:val="20"/>
          <w:szCs w:val="20"/>
          <w:lang w:val="en-GB"/>
        </w:rPr>
        <w:t xml:space="preserve"> </w:t>
      </w:r>
      <w:r w:rsidR="00BC40D8" w:rsidRPr="00046517">
        <w:rPr>
          <w:rFonts w:ascii="Verdana" w:eastAsia="Times New Roman" w:hAnsi="Verdana" w:cs="Segoe UI"/>
          <w:sz w:val="20"/>
          <w:szCs w:val="20"/>
          <w:lang w:val="en-GB"/>
        </w:rPr>
        <w:t>may result in</w:t>
      </w:r>
      <w:r w:rsidR="005D08B7" w:rsidRPr="00046517">
        <w:rPr>
          <w:rFonts w:ascii="Verdana" w:eastAsia="Times New Roman" w:hAnsi="Verdana" w:cs="Segoe UI"/>
          <w:sz w:val="20"/>
          <w:szCs w:val="20"/>
          <w:lang w:val="en-GB"/>
        </w:rPr>
        <w:t xml:space="preserve"> uncertainty </w:t>
      </w:r>
      <w:r w:rsidR="00BC40D8" w:rsidRPr="00046517">
        <w:rPr>
          <w:rFonts w:ascii="Verdana" w:eastAsia="Times New Roman" w:hAnsi="Verdana" w:cs="Segoe UI"/>
          <w:sz w:val="20"/>
          <w:szCs w:val="20"/>
          <w:lang w:val="en-GB"/>
        </w:rPr>
        <w:t xml:space="preserve">regarding </w:t>
      </w:r>
      <w:r w:rsidR="005D08B7" w:rsidRPr="00046517">
        <w:rPr>
          <w:rFonts w:ascii="Verdana" w:eastAsia="Times New Roman" w:hAnsi="Verdana" w:cs="Segoe UI"/>
          <w:sz w:val="20"/>
          <w:szCs w:val="20"/>
          <w:lang w:val="en-GB"/>
        </w:rPr>
        <w:t>the framework</w:t>
      </w:r>
      <w:r w:rsidR="00BC40D8" w:rsidRPr="00046517">
        <w:rPr>
          <w:rFonts w:ascii="Verdana" w:eastAsia="Times New Roman" w:hAnsi="Verdana" w:cs="Segoe UI"/>
          <w:sz w:val="20"/>
          <w:szCs w:val="20"/>
          <w:lang w:val="en-GB"/>
        </w:rPr>
        <w:t xml:space="preserve"> for implementation and could diminish the mandatory nature of the guidelines, as certain financial institutions might</w:t>
      </w:r>
      <w:r w:rsidR="005D08B7" w:rsidRPr="00046517">
        <w:rPr>
          <w:rFonts w:ascii="Verdana" w:eastAsia="Times New Roman" w:hAnsi="Verdana" w:cs="Segoe UI"/>
          <w:sz w:val="20"/>
          <w:szCs w:val="20"/>
          <w:lang w:val="en-GB"/>
        </w:rPr>
        <w:t xml:space="preserve"> </w:t>
      </w:r>
      <w:r w:rsidR="00BC40D8" w:rsidRPr="00046517">
        <w:rPr>
          <w:rFonts w:ascii="Verdana" w:eastAsia="Times New Roman" w:hAnsi="Verdana" w:cs="Segoe UI"/>
          <w:sz w:val="20"/>
          <w:szCs w:val="20"/>
          <w:lang w:val="en-GB"/>
        </w:rPr>
        <w:t xml:space="preserve">consider that they do not have to apply them. </w:t>
      </w:r>
    </w:p>
    <w:p w14:paraId="634062C9" w14:textId="77777777" w:rsidR="006B02E6" w:rsidRPr="00046517" w:rsidRDefault="006B02E6">
      <w:pPr>
        <w:spacing w:after="0" w:line="240" w:lineRule="auto"/>
        <w:jc w:val="both"/>
        <w:textAlignment w:val="baseline"/>
        <w:rPr>
          <w:rFonts w:ascii="Verdana" w:eastAsia="Times New Roman" w:hAnsi="Verdana" w:cs="Segoe UI"/>
          <w:sz w:val="20"/>
          <w:szCs w:val="20"/>
          <w:lang w:val="en-GB"/>
        </w:rPr>
      </w:pPr>
    </w:p>
    <w:p w14:paraId="24AB7F9C" w14:textId="53F0F1CB" w:rsidR="003F5538" w:rsidRPr="00046517" w:rsidRDefault="005D08B7" w:rsidP="00C4060F">
      <w:pPr>
        <w:spacing w:after="0" w:line="240" w:lineRule="auto"/>
        <w:jc w:val="both"/>
        <w:textAlignment w:val="baseline"/>
        <w:rPr>
          <w:rFonts w:ascii="Verdana" w:eastAsia="Times New Roman" w:hAnsi="Verdana" w:cs="Segoe UI"/>
          <w:sz w:val="20"/>
          <w:szCs w:val="20"/>
          <w:lang w:val="en-GB"/>
        </w:rPr>
      </w:pPr>
      <w:r w:rsidRPr="00046517">
        <w:rPr>
          <w:rFonts w:ascii="Verdana" w:eastAsia="Times New Roman" w:hAnsi="Verdana" w:cs="Segoe UI"/>
          <w:sz w:val="20"/>
          <w:szCs w:val="20"/>
          <w:lang w:val="en-GB"/>
        </w:rPr>
        <w:t xml:space="preserve">In addition, </w:t>
      </w:r>
      <w:r w:rsidR="00A97B39" w:rsidRPr="00046517">
        <w:rPr>
          <w:rFonts w:ascii="Verdana" w:eastAsia="Times New Roman" w:hAnsi="Verdana" w:cs="Segoe UI"/>
          <w:sz w:val="20"/>
          <w:szCs w:val="20"/>
          <w:lang w:val="en-GB"/>
        </w:rPr>
        <w:t>in our view, internal governance rules should be set out at a later stage, once substantive rules already exist, in order to increase/ensure awareness about those rules by key/responsible people within financial institutions. As regard</w:t>
      </w:r>
      <w:r w:rsidR="006B02E6" w:rsidRPr="00046517">
        <w:rPr>
          <w:rFonts w:ascii="Verdana" w:eastAsia="Times New Roman" w:hAnsi="Verdana" w:cs="Segoe UI"/>
          <w:sz w:val="20"/>
          <w:szCs w:val="20"/>
          <w:lang w:val="en-GB"/>
        </w:rPr>
        <w:t xml:space="preserve">s the implementation of </w:t>
      </w:r>
      <w:r w:rsidR="00A97B39" w:rsidRPr="00046517">
        <w:rPr>
          <w:rFonts w:ascii="Verdana" w:eastAsia="Times New Roman" w:hAnsi="Verdana" w:cs="Segoe UI"/>
          <w:sz w:val="20"/>
          <w:szCs w:val="20"/>
          <w:lang w:val="en-GB"/>
        </w:rPr>
        <w:t xml:space="preserve">restrictive measures, </w:t>
      </w:r>
      <w:r w:rsidR="004147EC" w:rsidRPr="00046517">
        <w:rPr>
          <w:rFonts w:ascii="Verdana" w:eastAsia="Times New Roman" w:hAnsi="Verdana" w:cs="Segoe UI"/>
          <w:sz w:val="20"/>
          <w:szCs w:val="20"/>
          <w:lang w:val="en-GB"/>
        </w:rPr>
        <w:t xml:space="preserve">the EBA </w:t>
      </w:r>
      <w:r w:rsidR="00E505FE" w:rsidRPr="00046517">
        <w:rPr>
          <w:rFonts w:ascii="Verdana" w:eastAsia="Times New Roman" w:hAnsi="Verdana" w:cs="Segoe UI"/>
          <w:sz w:val="20"/>
          <w:szCs w:val="20"/>
          <w:lang w:val="en-GB"/>
        </w:rPr>
        <w:t>is still</w:t>
      </w:r>
      <w:r w:rsidR="004147EC" w:rsidRPr="00046517">
        <w:rPr>
          <w:rFonts w:ascii="Verdana" w:eastAsia="Times New Roman" w:hAnsi="Verdana" w:cs="Segoe UI"/>
          <w:sz w:val="20"/>
          <w:szCs w:val="20"/>
          <w:lang w:val="en-GB"/>
        </w:rPr>
        <w:t xml:space="preserve"> </w:t>
      </w:r>
      <w:r w:rsidR="00E505FE" w:rsidRPr="00046517">
        <w:rPr>
          <w:rFonts w:ascii="Verdana" w:eastAsia="Times New Roman" w:hAnsi="Verdana" w:cs="Segoe UI"/>
          <w:sz w:val="20"/>
          <w:szCs w:val="20"/>
          <w:lang w:val="en-GB"/>
        </w:rPr>
        <w:t>building</w:t>
      </w:r>
      <w:r w:rsidR="004147EC" w:rsidRPr="00046517">
        <w:rPr>
          <w:rFonts w:ascii="Verdana" w:eastAsia="Times New Roman" w:hAnsi="Verdana" w:cs="Segoe UI"/>
          <w:sz w:val="20"/>
          <w:szCs w:val="20"/>
          <w:lang w:val="en-GB"/>
        </w:rPr>
        <w:t xml:space="preserve"> up a consistent and firm approach </w:t>
      </w:r>
      <w:r w:rsidRPr="00046517">
        <w:rPr>
          <w:rFonts w:ascii="Verdana" w:eastAsia="Times New Roman" w:hAnsi="Verdana" w:cs="Segoe UI"/>
          <w:sz w:val="20"/>
          <w:szCs w:val="20"/>
          <w:lang w:val="en-GB"/>
        </w:rPr>
        <w:t xml:space="preserve">covering </w:t>
      </w:r>
      <w:r w:rsidR="006B02E6" w:rsidRPr="00046517">
        <w:rPr>
          <w:rFonts w:ascii="Verdana" w:eastAsia="Times New Roman" w:hAnsi="Verdana" w:cs="Segoe UI"/>
          <w:sz w:val="20"/>
          <w:szCs w:val="20"/>
          <w:lang w:val="en-GB"/>
        </w:rPr>
        <w:t>all</w:t>
      </w:r>
      <w:r w:rsidRPr="00046517">
        <w:rPr>
          <w:rFonts w:ascii="Verdana" w:eastAsia="Times New Roman" w:hAnsi="Verdana" w:cs="Segoe UI"/>
          <w:sz w:val="20"/>
          <w:szCs w:val="20"/>
          <w:lang w:val="en-GB"/>
        </w:rPr>
        <w:t xml:space="preserve"> relevant issues (</w:t>
      </w:r>
      <w:r w:rsidR="00E505FE" w:rsidRPr="00046517">
        <w:rPr>
          <w:rFonts w:ascii="Verdana" w:eastAsia="Times New Roman" w:hAnsi="Verdana" w:cs="Segoe UI"/>
          <w:i/>
          <w:sz w:val="20"/>
          <w:szCs w:val="20"/>
          <w:lang w:val="en-GB"/>
        </w:rPr>
        <w:t>i.e.</w:t>
      </w:r>
      <w:r w:rsidR="00E505FE" w:rsidRPr="00046517">
        <w:rPr>
          <w:rFonts w:ascii="Verdana" w:eastAsia="Times New Roman" w:hAnsi="Verdana" w:cs="Segoe UI"/>
          <w:sz w:val="20"/>
          <w:szCs w:val="20"/>
          <w:lang w:val="en-GB"/>
        </w:rPr>
        <w:t xml:space="preserve"> </w:t>
      </w:r>
      <w:r w:rsidRPr="00046517">
        <w:rPr>
          <w:rFonts w:ascii="Verdana" w:eastAsia="Times New Roman" w:hAnsi="Verdana" w:cs="Segoe UI"/>
          <w:sz w:val="20"/>
          <w:szCs w:val="20"/>
          <w:lang w:val="en-GB"/>
        </w:rPr>
        <w:t>distinct from the European Commission’s corpus)</w:t>
      </w:r>
      <w:r w:rsidR="003F5538" w:rsidRPr="00046517">
        <w:rPr>
          <w:rFonts w:ascii="Verdana" w:eastAsia="Times New Roman" w:hAnsi="Verdana" w:cs="Segoe UI"/>
          <w:sz w:val="20"/>
          <w:szCs w:val="20"/>
          <w:lang w:val="en-GB"/>
        </w:rPr>
        <w:t xml:space="preserve">. </w:t>
      </w:r>
      <w:r w:rsidR="00A97B39" w:rsidRPr="00046517">
        <w:rPr>
          <w:rFonts w:ascii="Verdana" w:eastAsia="Times New Roman" w:hAnsi="Verdana" w:cs="Segoe UI"/>
          <w:sz w:val="20"/>
          <w:szCs w:val="20"/>
          <w:lang w:val="en-GB"/>
        </w:rPr>
        <w:t xml:space="preserve">Therefore, it would be advisable to delay the adoption of this set of guidelines in order </w:t>
      </w:r>
      <w:r w:rsidR="00DB4BEB" w:rsidRPr="00046517">
        <w:rPr>
          <w:rFonts w:ascii="Verdana" w:eastAsia="Times New Roman" w:hAnsi="Verdana" w:cs="Segoe UI"/>
          <w:sz w:val="20"/>
          <w:szCs w:val="20"/>
          <w:lang w:val="en-GB"/>
        </w:rPr>
        <w:t>to increase the reliability and practicability for financial institutions</w:t>
      </w:r>
      <w:r w:rsidR="00A97B39" w:rsidRPr="00046517">
        <w:rPr>
          <w:rFonts w:ascii="Verdana" w:eastAsia="Times New Roman" w:hAnsi="Verdana" w:cs="Segoe UI"/>
          <w:sz w:val="20"/>
          <w:szCs w:val="20"/>
          <w:lang w:val="en-GB"/>
        </w:rPr>
        <w:t>.</w:t>
      </w:r>
    </w:p>
    <w:p w14:paraId="3011F387" w14:textId="77777777" w:rsidR="00FF096C" w:rsidRPr="00046517" w:rsidRDefault="00FF096C" w:rsidP="00C4060F">
      <w:pPr>
        <w:spacing w:after="0" w:line="240" w:lineRule="auto"/>
        <w:jc w:val="both"/>
        <w:textAlignment w:val="baseline"/>
        <w:rPr>
          <w:rFonts w:ascii="Verdana" w:eastAsia="Times New Roman" w:hAnsi="Verdana" w:cs="Segoe UI"/>
          <w:sz w:val="20"/>
          <w:szCs w:val="20"/>
          <w:lang w:val="en-GB"/>
        </w:rPr>
      </w:pPr>
    </w:p>
    <w:p w14:paraId="49EC968A" w14:textId="198F51CC" w:rsidR="00BC40D8" w:rsidRPr="00046517" w:rsidRDefault="00EB1F96" w:rsidP="00C4060F">
      <w:pPr>
        <w:spacing w:after="0" w:line="240" w:lineRule="auto"/>
        <w:jc w:val="both"/>
        <w:textAlignment w:val="baseline"/>
        <w:rPr>
          <w:rFonts w:ascii="Verdana" w:eastAsia="Times New Roman" w:hAnsi="Verdana" w:cs="Segoe UI"/>
          <w:sz w:val="20"/>
          <w:szCs w:val="20"/>
          <w:lang w:val="en-GB"/>
        </w:rPr>
      </w:pPr>
      <w:r w:rsidRPr="00046517">
        <w:rPr>
          <w:rFonts w:ascii="Verdana" w:eastAsia="Times New Roman" w:hAnsi="Verdana" w:cs="Segoe UI"/>
          <w:b/>
          <w:sz w:val="20"/>
          <w:szCs w:val="20"/>
          <w:lang w:val="en-GB"/>
        </w:rPr>
        <w:t>Paragraph 1</w:t>
      </w:r>
      <w:r w:rsidR="00A97B39" w:rsidRPr="00046517">
        <w:rPr>
          <w:rFonts w:ascii="Verdana" w:eastAsia="Times New Roman" w:hAnsi="Verdana" w:cs="Segoe UI"/>
          <w:sz w:val="20"/>
          <w:szCs w:val="20"/>
          <w:lang w:val="en-GB"/>
        </w:rPr>
        <w:t xml:space="preserve">: </w:t>
      </w:r>
      <w:r w:rsidR="00BC40D8" w:rsidRPr="00046517">
        <w:rPr>
          <w:rFonts w:ascii="Verdana" w:eastAsia="Times New Roman" w:hAnsi="Verdana" w:cs="Segoe UI"/>
          <w:sz w:val="20"/>
          <w:szCs w:val="20"/>
          <w:lang w:val="en-GB"/>
        </w:rPr>
        <w:t xml:space="preserve">We wish to highlight that in the </w:t>
      </w:r>
      <w:r w:rsidR="00E7237A" w:rsidRPr="00046517">
        <w:rPr>
          <w:rFonts w:ascii="Verdana" w:eastAsia="Times New Roman" w:hAnsi="Verdana" w:cs="Segoe UI"/>
          <w:sz w:val="20"/>
          <w:szCs w:val="20"/>
          <w:lang w:val="en-GB"/>
        </w:rPr>
        <w:t xml:space="preserve">existing </w:t>
      </w:r>
      <w:r w:rsidR="00BC40D8" w:rsidRPr="00046517">
        <w:rPr>
          <w:rFonts w:ascii="Verdana" w:eastAsia="Times New Roman" w:hAnsi="Verdana" w:cs="Segoe UI"/>
          <w:sz w:val="20"/>
          <w:szCs w:val="20"/>
          <w:lang w:val="en-GB"/>
        </w:rPr>
        <w:t>legal framework</w:t>
      </w:r>
      <w:r w:rsidR="00E7237A" w:rsidRPr="00046517">
        <w:rPr>
          <w:rFonts w:ascii="Verdana" w:eastAsia="Times New Roman" w:hAnsi="Verdana" w:cs="Segoe UI"/>
          <w:sz w:val="20"/>
          <w:szCs w:val="20"/>
          <w:lang w:val="en-GB"/>
        </w:rPr>
        <w:t xml:space="preserve"> for restrictive measure</w:t>
      </w:r>
      <w:r w:rsidR="006B02E6" w:rsidRPr="00046517">
        <w:rPr>
          <w:rFonts w:ascii="Verdana" w:eastAsia="Times New Roman" w:hAnsi="Verdana" w:cs="Segoe UI"/>
          <w:sz w:val="20"/>
          <w:szCs w:val="20"/>
          <w:lang w:val="en-GB"/>
        </w:rPr>
        <w:t>s</w:t>
      </w:r>
      <w:r w:rsidR="00BC40D8" w:rsidRPr="00046517">
        <w:rPr>
          <w:rFonts w:ascii="Verdana" w:eastAsia="Times New Roman" w:hAnsi="Verdana" w:cs="Segoe UI"/>
          <w:sz w:val="20"/>
          <w:szCs w:val="20"/>
          <w:lang w:val="en-GB"/>
        </w:rPr>
        <w:t xml:space="preserve">, there is no mandatory requirement </w:t>
      </w:r>
      <w:r w:rsidR="00E7237A" w:rsidRPr="00046517">
        <w:rPr>
          <w:rFonts w:ascii="Verdana" w:eastAsia="Times New Roman" w:hAnsi="Verdana" w:cs="Segoe UI"/>
          <w:sz w:val="20"/>
          <w:szCs w:val="20"/>
          <w:lang w:val="en-GB"/>
        </w:rPr>
        <w:t xml:space="preserve">for financial institutions </w:t>
      </w:r>
      <w:r w:rsidR="00BC40D8" w:rsidRPr="00046517">
        <w:rPr>
          <w:rFonts w:ascii="Verdana" w:eastAsia="Times New Roman" w:hAnsi="Verdana" w:cs="Segoe UI"/>
          <w:sz w:val="20"/>
          <w:szCs w:val="20"/>
          <w:lang w:val="en-GB"/>
        </w:rPr>
        <w:t xml:space="preserve">to implement a risk-based approach and evaluate the </w:t>
      </w:r>
      <w:r w:rsidR="00E7237A" w:rsidRPr="00046517">
        <w:rPr>
          <w:rFonts w:ascii="Verdana" w:eastAsia="Times New Roman" w:hAnsi="Verdana" w:cs="Segoe UI"/>
          <w:sz w:val="20"/>
          <w:szCs w:val="20"/>
          <w:lang w:val="en-GB"/>
        </w:rPr>
        <w:t>vulnerability of business areas</w:t>
      </w:r>
      <w:r w:rsidR="00BC40D8" w:rsidRPr="00046517">
        <w:rPr>
          <w:rFonts w:ascii="Verdana" w:eastAsia="Times New Roman" w:hAnsi="Verdana" w:cs="Segoe UI"/>
          <w:sz w:val="20"/>
          <w:szCs w:val="20"/>
          <w:lang w:val="en-GB"/>
        </w:rPr>
        <w:t xml:space="preserve">. Therefore, it would be more fitting to employ an alternative term instead of "should," as it implies </w:t>
      </w:r>
      <w:r w:rsidR="006B02E6" w:rsidRPr="00046517">
        <w:rPr>
          <w:rFonts w:ascii="Verdana" w:eastAsia="Times New Roman" w:hAnsi="Verdana" w:cs="Segoe UI"/>
          <w:sz w:val="20"/>
          <w:szCs w:val="20"/>
          <w:lang w:val="en-GB"/>
        </w:rPr>
        <w:t xml:space="preserve">the </w:t>
      </w:r>
      <w:r w:rsidR="00BC40D8" w:rsidRPr="00046517">
        <w:rPr>
          <w:rFonts w:ascii="Verdana" w:eastAsia="Times New Roman" w:hAnsi="Verdana" w:cs="Segoe UI"/>
          <w:sz w:val="20"/>
          <w:szCs w:val="20"/>
          <w:lang w:val="en-GB"/>
        </w:rPr>
        <w:t>obligatory nature in this paragraph.</w:t>
      </w:r>
    </w:p>
    <w:p w14:paraId="3624F964" w14:textId="77777777" w:rsidR="006B02E6" w:rsidRPr="00046517" w:rsidRDefault="006B02E6" w:rsidP="00C4060F">
      <w:pPr>
        <w:spacing w:after="0" w:line="240" w:lineRule="auto"/>
        <w:jc w:val="both"/>
        <w:textAlignment w:val="baseline"/>
        <w:rPr>
          <w:rFonts w:ascii="Verdana" w:eastAsia="Times New Roman" w:hAnsi="Verdana" w:cs="Segoe UI"/>
          <w:sz w:val="20"/>
          <w:szCs w:val="20"/>
          <w:lang w:val="en-GB"/>
        </w:rPr>
      </w:pPr>
    </w:p>
    <w:p w14:paraId="5EA8315F" w14:textId="77777777" w:rsidR="00A97B39" w:rsidRPr="00046517" w:rsidRDefault="00A97B39" w:rsidP="00C4060F">
      <w:pPr>
        <w:spacing w:after="0" w:line="240" w:lineRule="auto"/>
        <w:jc w:val="both"/>
        <w:textAlignment w:val="baseline"/>
        <w:rPr>
          <w:rFonts w:ascii="Verdana" w:eastAsia="Times New Roman" w:hAnsi="Verdana" w:cs="Segoe UI"/>
          <w:sz w:val="20"/>
          <w:szCs w:val="20"/>
          <w:lang w:val="en-GB"/>
        </w:rPr>
      </w:pPr>
    </w:p>
    <w:p w14:paraId="7487374B" w14:textId="735EFECD" w:rsidR="001D3C52" w:rsidRPr="00046517" w:rsidRDefault="008A3481" w:rsidP="001D3C52">
      <w:pPr>
        <w:jc w:val="both"/>
        <w:rPr>
          <w:rFonts w:ascii="Verdana" w:hAnsi="Verdana" w:cstheme="minorHAnsi"/>
          <w:sz w:val="20"/>
          <w:szCs w:val="20"/>
          <w:lang w:val="en-GB"/>
        </w:rPr>
      </w:pPr>
      <w:r w:rsidRPr="00046517">
        <w:rPr>
          <w:rFonts w:ascii="Verdana" w:hAnsi="Verdana" w:cstheme="minorHAnsi"/>
          <w:sz w:val="20"/>
          <w:szCs w:val="20"/>
          <w:lang w:val="en-GB"/>
        </w:rPr>
        <w:t>4.</w:t>
      </w:r>
      <w:r w:rsidR="003B3CAB" w:rsidRPr="00046517">
        <w:rPr>
          <w:rFonts w:ascii="Verdana" w:hAnsi="Verdana" w:cstheme="minorHAnsi"/>
          <w:sz w:val="20"/>
          <w:szCs w:val="20"/>
          <w:lang w:val="en-GB"/>
        </w:rPr>
        <w:t xml:space="preserve">1 </w:t>
      </w:r>
      <w:r w:rsidR="001D3C52" w:rsidRPr="00046517">
        <w:rPr>
          <w:rFonts w:ascii="Verdana" w:hAnsi="Verdana" w:cstheme="minorHAnsi"/>
          <w:sz w:val="20"/>
          <w:szCs w:val="20"/>
          <w:lang w:val="en-GB"/>
        </w:rPr>
        <w:t>Governance framework and the role of the management body</w:t>
      </w:r>
    </w:p>
    <w:p w14:paraId="0261384D" w14:textId="2D0A24F2" w:rsidR="001D3C52" w:rsidRPr="00046517" w:rsidRDefault="001D3C52" w:rsidP="001D3C52">
      <w:pPr>
        <w:jc w:val="both"/>
        <w:rPr>
          <w:rFonts w:ascii="Verdana" w:hAnsi="Verdana" w:cstheme="minorHAnsi"/>
          <w:sz w:val="20"/>
          <w:szCs w:val="20"/>
          <w:lang w:val="en-GB"/>
        </w:rPr>
      </w:pPr>
      <w:r w:rsidRPr="00046517">
        <w:rPr>
          <w:rFonts w:ascii="Verdana" w:hAnsi="Verdana" w:cstheme="minorHAnsi"/>
          <w:sz w:val="20"/>
          <w:szCs w:val="20"/>
          <w:lang w:val="en-GB"/>
        </w:rPr>
        <w:t>4.1.1 The role of the management body in its supervisory function</w:t>
      </w:r>
    </w:p>
    <w:p w14:paraId="137C68FD" w14:textId="3352CDEE" w:rsidR="00E7237A" w:rsidRPr="00046517" w:rsidRDefault="00E90C68" w:rsidP="00C4060F">
      <w:pPr>
        <w:spacing w:after="0" w:line="240" w:lineRule="auto"/>
        <w:jc w:val="both"/>
        <w:textAlignment w:val="baseline"/>
        <w:rPr>
          <w:rFonts w:ascii="Verdana" w:eastAsia="Times New Roman" w:hAnsi="Verdana" w:cs="Segoe UI"/>
          <w:sz w:val="20"/>
          <w:szCs w:val="20"/>
          <w:lang w:val="en-GB"/>
        </w:rPr>
      </w:pPr>
      <w:r w:rsidRPr="00046517">
        <w:rPr>
          <w:rFonts w:ascii="Verdana" w:eastAsia="Times New Roman" w:hAnsi="Verdana" w:cs="Segoe UI"/>
          <w:b/>
          <w:sz w:val="20"/>
          <w:szCs w:val="20"/>
          <w:lang w:val="en-GB"/>
        </w:rPr>
        <w:t>Paragraph 9</w:t>
      </w:r>
      <w:r w:rsidR="009C3AF2" w:rsidRPr="00046517">
        <w:rPr>
          <w:rFonts w:ascii="Verdana" w:eastAsia="Times New Roman" w:hAnsi="Verdana" w:cs="Segoe UI"/>
          <w:b/>
          <w:sz w:val="20"/>
          <w:szCs w:val="20"/>
          <w:lang w:val="en-GB"/>
        </w:rPr>
        <w:t>.</w:t>
      </w:r>
      <w:r w:rsidRPr="00046517">
        <w:rPr>
          <w:rFonts w:ascii="Verdana" w:eastAsia="Times New Roman" w:hAnsi="Verdana" w:cs="Segoe UI"/>
          <w:b/>
          <w:sz w:val="20"/>
          <w:szCs w:val="20"/>
          <w:lang w:val="en-GB"/>
        </w:rPr>
        <w:t>a</w:t>
      </w:r>
      <w:r w:rsidR="009C3AF2" w:rsidRPr="00046517">
        <w:rPr>
          <w:rFonts w:ascii="Verdana" w:eastAsia="Times New Roman" w:hAnsi="Verdana" w:cs="Segoe UI"/>
          <w:b/>
          <w:sz w:val="20"/>
          <w:szCs w:val="20"/>
          <w:lang w:val="en-GB"/>
        </w:rPr>
        <w:t>.</w:t>
      </w:r>
      <w:r w:rsidR="00A97B39" w:rsidRPr="00046517">
        <w:rPr>
          <w:rFonts w:ascii="Verdana" w:eastAsia="Times New Roman" w:hAnsi="Verdana" w:cs="Segoe UI"/>
          <w:b/>
          <w:sz w:val="20"/>
          <w:szCs w:val="20"/>
          <w:lang w:val="en-GB"/>
        </w:rPr>
        <w:t xml:space="preserve">: </w:t>
      </w:r>
      <w:r w:rsidRPr="00046517">
        <w:rPr>
          <w:rFonts w:ascii="Verdana" w:eastAsia="Times New Roman" w:hAnsi="Verdana" w:cs="Segoe UI"/>
          <w:sz w:val="20"/>
          <w:szCs w:val="20"/>
          <w:lang w:val="en-GB"/>
        </w:rPr>
        <w:t>This paragraph create</w:t>
      </w:r>
      <w:r w:rsidR="00FF3795" w:rsidRPr="00046517">
        <w:rPr>
          <w:rFonts w:ascii="Verdana" w:eastAsia="Times New Roman" w:hAnsi="Verdana" w:cs="Segoe UI"/>
          <w:sz w:val="20"/>
          <w:szCs w:val="20"/>
          <w:lang w:val="en-GB"/>
        </w:rPr>
        <w:t>s</w:t>
      </w:r>
      <w:r w:rsidRPr="00046517">
        <w:rPr>
          <w:rFonts w:ascii="Verdana" w:eastAsia="Times New Roman" w:hAnsi="Verdana" w:cs="Segoe UI"/>
          <w:sz w:val="20"/>
          <w:szCs w:val="20"/>
          <w:lang w:val="en-GB"/>
        </w:rPr>
        <w:t xml:space="preserve"> a new reporting requirement </w:t>
      </w:r>
      <w:r w:rsidR="00FF3795" w:rsidRPr="00046517">
        <w:rPr>
          <w:rFonts w:ascii="Verdana" w:eastAsia="Times New Roman" w:hAnsi="Verdana" w:cs="Segoe UI"/>
          <w:sz w:val="20"/>
          <w:szCs w:val="20"/>
          <w:lang w:val="en-GB"/>
        </w:rPr>
        <w:t xml:space="preserve">not substantiated with a </w:t>
      </w:r>
      <w:r w:rsidR="00DB4BEB" w:rsidRPr="00046517">
        <w:rPr>
          <w:rFonts w:ascii="Verdana" w:eastAsia="Times New Roman" w:hAnsi="Verdana" w:cs="Segoe UI"/>
          <w:sz w:val="20"/>
          <w:szCs w:val="20"/>
          <w:lang w:val="en-GB"/>
        </w:rPr>
        <w:t xml:space="preserve">relevant </w:t>
      </w:r>
      <w:r w:rsidR="00FF3795" w:rsidRPr="00046517">
        <w:rPr>
          <w:rFonts w:ascii="Verdana" w:eastAsia="Times New Roman" w:hAnsi="Verdana" w:cs="Segoe UI"/>
          <w:sz w:val="20"/>
          <w:szCs w:val="20"/>
          <w:lang w:val="en-GB"/>
        </w:rPr>
        <w:t xml:space="preserve">legal </w:t>
      </w:r>
      <w:r w:rsidR="006B02E6" w:rsidRPr="00046517">
        <w:rPr>
          <w:rFonts w:ascii="Verdana" w:eastAsia="Times New Roman" w:hAnsi="Verdana" w:cs="Segoe UI"/>
          <w:sz w:val="20"/>
          <w:szCs w:val="20"/>
          <w:lang w:val="en-GB"/>
        </w:rPr>
        <w:t>basis</w:t>
      </w:r>
      <w:r w:rsidRPr="00046517">
        <w:rPr>
          <w:rFonts w:ascii="Verdana" w:eastAsia="Times New Roman" w:hAnsi="Verdana" w:cs="Segoe UI"/>
          <w:sz w:val="20"/>
          <w:szCs w:val="20"/>
          <w:lang w:val="en-GB"/>
        </w:rPr>
        <w:t xml:space="preserve">. </w:t>
      </w:r>
      <w:r w:rsidR="00E7237A" w:rsidRPr="00046517">
        <w:rPr>
          <w:rFonts w:ascii="Verdana" w:eastAsia="Times New Roman" w:hAnsi="Verdana" w:cs="Segoe UI"/>
          <w:sz w:val="20"/>
          <w:szCs w:val="20"/>
          <w:lang w:val="en-GB"/>
        </w:rPr>
        <w:t>This</w:t>
      </w:r>
      <w:r w:rsidR="00FF3795" w:rsidRPr="00046517">
        <w:rPr>
          <w:rFonts w:ascii="Verdana" w:eastAsia="Times New Roman" w:hAnsi="Verdana" w:cs="Segoe UI"/>
          <w:sz w:val="20"/>
          <w:szCs w:val="20"/>
          <w:lang w:val="en-GB"/>
        </w:rPr>
        <w:t xml:space="preserve"> requirement </w:t>
      </w:r>
      <w:r w:rsidR="00DB4BEB" w:rsidRPr="00046517">
        <w:rPr>
          <w:rFonts w:ascii="Verdana" w:eastAsia="Times New Roman" w:hAnsi="Verdana" w:cs="Segoe UI"/>
          <w:sz w:val="20"/>
          <w:szCs w:val="20"/>
          <w:lang w:val="en-GB"/>
        </w:rPr>
        <w:t>does not seem related</w:t>
      </w:r>
      <w:r w:rsidR="00FF3795" w:rsidRPr="00046517">
        <w:rPr>
          <w:rFonts w:ascii="Verdana" w:eastAsia="Times New Roman" w:hAnsi="Verdana" w:cs="Segoe UI"/>
          <w:sz w:val="20"/>
          <w:szCs w:val="20"/>
          <w:lang w:val="en-GB"/>
        </w:rPr>
        <w:t xml:space="preserve"> to existing expectations of the European Commission</w:t>
      </w:r>
      <w:r w:rsidR="00DB4BEB" w:rsidRPr="00046517">
        <w:rPr>
          <w:rFonts w:ascii="Verdana" w:eastAsia="Times New Roman" w:hAnsi="Verdana" w:cs="Segoe UI"/>
          <w:sz w:val="20"/>
          <w:szCs w:val="20"/>
          <w:lang w:val="en-GB"/>
        </w:rPr>
        <w:t xml:space="preserve"> either</w:t>
      </w:r>
      <w:r w:rsidR="00FF3795" w:rsidRPr="00046517">
        <w:rPr>
          <w:rFonts w:ascii="Verdana" w:eastAsia="Times New Roman" w:hAnsi="Verdana" w:cs="Segoe UI"/>
          <w:sz w:val="20"/>
          <w:szCs w:val="20"/>
          <w:lang w:val="en-GB"/>
        </w:rPr>
        <w:t xml:space="preserve">. </w:t>
      </w:r>
    </w:p>
    <w:p w14:paraId="0603F6BD" w14:textId="77777777" w:rsidR="00E7237A" w:rsidRPr="00046517" w:rsidRDefault="00E7237A" w:rsidP="00C4060F">
      <w:pPr>
        <w:spacing w:after="0" w:line="240" w:lineRule="auto"/>
        <w:jc w:val="both"/>
        <w:textAlignment w:val="baseline"/>
        <w:rPr>
          <w:rFonts w:ascii="Verdana" w:eastAsia="Times New Roman" w:hAnsi="Verdana" w:cs="Segoe UI"/>
          <w:sz w:val="20"/>
          <w:szCs w:val="20"/>
          <w:lang w:val="en-GB"/>
        </w:rPr>
      </w:pPr>
    </w:p>
    <w:p w14:paraId="731F42E1" w14:textId="2210A988" w:rsidR="00E90C68" w:rsidRPr="00046517" w:rsidRDefault="00FF3795" w:rsidP="00C4060F">
      <w:pPr>
        <w:spacing w:after="0" w:line="240" w:lineRule="auto"/>
        <w:jc w:val="both"/>
        <w:textAlignment w:val="baseline"/>
        <w:rPr>
          <w:rFonts w:ascii="Verdana" w:eastAsia="Times New Roman" w:hAnsi="Verdana" w:cs="Segoe UI"/>
          <w:sz w:val="20"/>
          <w:szCs w:val="20"/>
          <w:lang w:val="en-GB"/>
        </w:rPr>
      </w:pPr>
      <w:r w:rsidRPr="00046517">
        <w:rPr>
          <w:rFonts w:ascii="Verdana" w:eastAsia="Times New Roman" w:hAnsi="Verdana" w:cs="Segoe UI"/>
          <w:sz w:val="20"/>
          <w:szCs w:val="20"/>
          <w:lang w:val="en-GB"/>
        </w:rPr>
        <w:t>Therefore</w:t>
      </w:r>
      <w:r w:rsidR="00E7237A" w:rsidRPr="00046517">
        <w:rPr>
          <w:rFonts w:ascii="Verdana" w:eastAsia="Times New Roman" w:hAnsi="Verdana" w:cs="Segoe UI"/>
          <w:sz w:val="20"/>
          <w:szCs w:val="20"/>
          <w:lang w:val="en-GB"/>
        </w:rPr>
        <w:t>,</w:t>
      </w:r>
      <w:r w:rsidRPr="00046517">
        <w:rPr>
          <w:rFonts w:ascii="Verdana" w:eastAsia="Times New Roman" w:hAnsi="Verdana" w:cs="Segoe UI"/>
          <w:sz w:val="20"/>
          <w:szCs w:val="20"/>
          <w:lang w:val="en-GB"/>
        </w:rPr>
        <w:t xml:space="preserve"> this paragraph creates uncertainty for obliged entities as regard the binding force and the content of this new obligation.</w:t>
      </w:r>
    </w:p>
    <w:p w14:paraId="0C67CA48" w14:textId="77777777" w:rsidR="006B02E6" w:rsidRPr="00046517" w:rsidRDefault="006B02E6" w:rsidP="00C4060F">
      <w:pPr>
        <w:spacing w:after="0" w:line="240" w:lineRule="auto"/>
        <w:jc w:val="both"/>
        <w:textAlignment w:val="baseline"/>
        <w:rPr>
          <w:rFonts w:ascii="Verdana" w:eastAsia="Times New Roman" w:hAnsi="Verdana" w:cs="Segoe UI"/>
          <w:sz w:val="20"/>
          <w:szCs w:val="20"/>
          <w:lang w:val="en-GB"/>
        </w:rPr>
      </w:pPr>
    </w:p>
    <w:p w14:paraId="26ECE36D" w14:textId="77777777" w:rsidR="009C3AF2" w:rsidRPr="00046517" w:rsidRDefault="009C3AF2" w:rsidP="00C4060F">
      <w:pPr>
        <w:spacing w:after="0" w:line="240" w:lineRule="auto"/>
        <w:jc w:val="both"/>
        <w:textAlignment w:val="baseline"/>
        <w:rPr>
          <w:rFonts w:ascii="Verdana" w:eastAsia="Times New Roman" w:hAnsi="Verdana" w:cs="Segoe UI"/>
          <w:sz w:val="20"/>
          <w:szCs w:val="20"/>
          <w:lang w:val="en-GB"/>
        </w:rPr>
      </w:pPr>
    </w:p>
    <w:p w14:paraId="66B9A5C8" w14:textId="77777777" w:rsidR="001D3C52" w:rsidRPr="00046517" w:rsidRDefault="001D3C52" w:rsidP="001D3C52">
      <w:pPr>
        <w:jc w:val="both"/>
        <w:rPr>
          <w:rFonts w:ascii="Verdana" w:hAnsi="Verdana" w:cstheme="minorHAnsi"/>
          <w:sz w:val="20"/>
          <w:szCs w:val="20"/>
          <w:lang w:val="en-GB"/>
        </w:rPr>
      </w:pPr>
      <w:r w:rsidRPr="00046517">
        <w:rPr>
          <w:rFonts w:ascii="Verdana" w:hAnsi="Verdana" w:cstheme="minorHAnsi"/>
          <w:sz w:val="20"/>
          <w:szCs w:val="20"/>
          <w:lang w:val="en-GB"/>
        </w:rPr>
        <w:t>4.1.2 The role of the management body in its management function</w:t>
      </w:r>
    </w:p>
    <w:p w14:paraId="28A40E56" w14:textId="3399AD40" w:rsidR="001D3C52" w:rsidRPr="00046517" w:rsidRDefault="001D3C52" w:rsidP="001D3C52">
      <w:pPr>
        <w:jc w:val="both"/>
        <w:rPr>
          <w:rFonts w:ascii="Verdana" w:hAnsi="Verdana" w:cstheme="minorHAnsi"/>
          <w:sz w:val="20"/>
          <w:szCs w:val="20"/>
          <w:lang w:val="en-GB"/>
        </w:rPr>
      </w:pPr>
      <w:r w:rsidRPr="00046517">
        <w:rPr>
          <w:rFonts w:ascii="Verdana" w:hAnsi="Verdana" w:cstheme="minorHAnsi"/>
          <w:sz w:val="20"/>
          <w:szCs w:val="20"/>
          <w:lang w:val="en-GB"/>
        </w:rPr>
        <w:t>4.1.3 The role of the senior staff member in charge of compliance with restrictive measures</w:t>
      </w:r>
    </w:p>
    <w:p w14:paraId="1F384A0D" w14:textId="60BE29B6" w:rsidR="00E90C68" w:rsidRPr="00046517" w:rsidRDefault="00E90C68" w:rsidP="00C4060F">
      <w:pPr>
        <w:spacing w:after="0" w:line="240" w:lineRule="auto"/>
        <w:jc w:val="both"/>
        <w:textAlignment w:val="baseline"/>
        <w:rPr>
          <w:rFonts w:ascii="Verdana" w:eastAsia="Times New Roman" w:hAnsi="Verdana" w:cs="Segoe UI"/>
          <w:sz w:val="20"/>
          <w:szCs w:val="20"/>
          <w:lang w:val="en-GB"/>
        </w:rPr>
      </w:pPr>
      <w:r w:rsidRPr="00046517">
        <w:rPr>
          <w:rFonts w:ascii="Verdana" w:eastAsia="Times New Roman" w:hAnsi="Verdana" w:cs="Segoe UI"/>
          <w:b/>
          <w:sz w:val="20"/>
          <w:szCs w:val="20"/>
          <w:lang w:val="en-GB"/>
        </w:rPr>
        <w:t>Paragraph 13</w:t>
      </w:r>
      <w:r w:rsidR="00FF096C" w:rsidRPr="00046517">
        <w:rPr>
          <w:rFonts w:ascii="Verdana" w:eastAsia="Times New Roman" w:hAnsi="Verdana" w:cs="Segoe UI"/>
          <w:sz w:val="20"/>
          <w:szCs w:val="20"/>
          <w:lang w:val="en-GB"/>
        </w:rPr>
        <w:t xml:space="preserve">: </w:t>
      </w:r>
      <w:r w:rsidRPr="00046517">
        <w:rPr>
          <w:rFonts w:ascii="Verdana" w:eastAsia="Times New Roman" w:hAnsi="Verdana" w:cs="Segoe UI"/>
          <w:sz w:val="20"/>
          <w:szCs w:val="20"/>
          <w:lang w:val="en-GB"/>
        </w:rPr>
        <w:t>The</w:t>
      </w:r>
      <w:r w:rsidR="00D94012" w:rsidRPr="00046517">
        <w:rPr>
          <w:rFonts w:ascii="Verdana" w:eastAsia="Times New Roman" w:hAnsi="Verdana" w:cs="Segoe UI"/>
          <w:sz w:val="20"/>
          <w:szCs w:val="20"/>
          <w:lang w:val="en-GB"/>
        </w:rPr>
        <w:t xml:space="preserve"> draft</w:t>
      </w:r>
      <w:r w:rsidRPr="00046517">
        <w:rPr>
          <w:rFonts w:ascii="Verdana" w:eastAsia="Times New Roman" w:hAnsi="Verdana" w:cs="Segoe UI"/>
          <w:sz w:val="20"/>
          <w:szCs w:val="20"/>
          <w:lang w:val="en-GB"/>
        </w:rPr>
        <w:t xml:space="preserve"> guidelines introduce </w:t>
      </w:r>
      <w:r w:rsidR="006B02E6" w:rsidRPr="00046517">
        <w:rPr>
          <w:rFonts w:ascii="Verdana" w:eastAsia="Times New Roman" w:hAnsi="Verdana" w:cs="Segoe UI"/>
          <w:sz w:val="20"/>
          <w:szCs w:val="20"/>
          <w:lang w:val="en-GB"/>
        </w:rPr>
        <w:t xml:space="preserve">the </w:t>
      </w:r>
      <w:r w:rsidRPr="00046517">
        <w:rPr>
          <w:rFonts w:ascii="Verdana" w:eastAsia="Times New Roman" w:hAnsi="Verdana" w:cs="Segoe UI"/>
          <w:sz w:val="20"/>
          <w:szCs w:val="20"/>
          <w:lang w:val="en-GB"/>
        </w:rPr>
        <w:t>new concept</w:t>
      </w:r>
      <w:r w:rsidR="006B02E6" w:rsidRPr="00046517">
        <w:rPr>
          <w:rFonts w:ascii="Verdana" w:eastAsia="Times New Roman" w:hAnsi="Verdana" w:cs="Segoe UI"/>
          <w:sz w:val="20"/>
          <w:szCs w:val="20"/>
          <w:lang w:val="en-GB"/>
        </w:rPr>
        <w:t xml:space="preserve"> of</w:t>
      </w:r>
      <w:r w:rsidRPr="00046517">
        <w:rPr>
          <w:rFonts w:ascii="Verdana" w:eastAsia="Times New Roman" w:hAnsi="Verdana" w:cs="Segoe UI"/>
          <w:sz w:val="20"/>
          <w:szCs w:val="20"/>
          <w:lang w:val="en-GB"/>
        </w:rPr>
        <w:t xml:space="preserve"> </w:t>
      </w:r>
      <w:r w:rsidR="00CA6C1E" w:rsidRPr="00046517">
        <w:rPr>
          <w:rFonts w:ascii="Verdana" w:eastAsia="Times New Roman" w:hAnsi="Verdana" w:cs="Segoe UI"/>
          <w:sz w:val="20"/>
          <w:szCs w:val="20"/>
          <w:lang w:val="en-GB"/>
        </w:rPr>
        <w:t>“</w:t>
      </w:r>
      <w:r w:rsidRPr="00046517">
        <w:rPr>
          <w:rFonts w:ascii="Verdana" w:eastAsia="Times New Roman" w:hAnsi="Verdana" w:cs="Segoe UI"/>
          <w:sz w:val="20"/>
          <w:szCs w:val="20"/>
          <w:lang w:val="en-GB"/>
        </w:rPr>
        <w:t>senior staff member</w:t>
      </w:r>
      <w:r w:rsidR="00CA6C1E" w:rsidRPr="00046517">
        <w:rPr>
          <w:rFonts w:ascii="Verdana" w:eastAsia="Times New Roman" w:hAnsi="Verdana" w:cs="Segoe UI"/>
          <w:sz w:val="20"/>
          <w:szCs w:val="20"/>
          <w:lang w:val="en-GB"/>
        </w:rPr>
        <w:t>”</w:t>
      </w:r>
      <w:r w:rsidR="006B02E6" w:rsidRPr="00046517">
        <w:rPr>
          <w:rFonts w:ascii="Verdana" w:eastAsia="Times New Roman" w:hAnsi="Verdana" w:cs="Segoe UI"/>
          <w:sz w:val="20"/>
          <w:szCs w:val="20"/>
          <w:lang w:val="en-GB"/>
        </w:rPr>
        <w:t>,</w:t>
      </w:r>
      <w:r w:rsidR="00D94012" w:rsidRPr="00046517">
        <w:rPr>
          <w:rFonts w:ascii="Verdana" w:eastAsia="Times New Roman" w:hAnsi="Verdana" w:cs="Segoe UI"/>
          <w:sz w:val="20"/>
          <w:szCs w:val="20"/>
          <w:lang w:val="en-GB"/>
        </w:rPr>
        <w:t xml:space="preserve"> wit</w:t>
      </w:r>
      <w:r w:rsidR="006B02E6" w:rsidRPr="00046517">
        <w:rPr>
          <w:rFonts w:ascii="Verdana" w:eastAsia="Times New Roman" w:hAnsi="Verdana" w:cs="Segoe UI"/>
          <w:sz w:val="20"/>
          <w:szCs w:val="20"/>
          <w:lang w:val="en-GB"/>
        </w:rPr>
        <w:t>hout including a clear definition</w:t>
      </w:r>
      <w:r w:rsidRPr="00046517">
        <w:rPr>
          <w:rFonts w:ascii="Verdana" w:eastAsia="Times New Roman" w:hAnsi="Verdana" w:cs="Segoe UI"/>
          <w:sz w:val="20"/>
          <w:szCs w:val="20"/>
          <w:lang w:val="en-GB"/>
        </w:rPr>
        <w:t xml:space="preserve">. </w:t>
      </w:r>
      <w:r w:rsidR="006B02E6" w:rsidRPr="00046517">
        <w:rPr>
          <w:rFonts w:ascii="Verdana" w:eastAsia="Times New Roman" w:hAnsi="Verdana" w:cs="Segoe UI"/>
          <w:sz w:val="20"/>
          <w:szCs w:val="20"/>
          <w:lang w:val="en-GB"/>
        </w:rPr>
        <w:t xml:space="preserve">Nevertheless, </w:t>
      </w:r>
      <w:r w:rsidRPr="00046517">
        <w:rPr>
          <w:rFonts w:ascii="Verdana" w:eastAsia="Times New Roman" w:hAnsi="Verdana" w:cs="Segoe UI"/>
          <w:sz w:val="20"/>
          <w:szCs w:val="20"/>
          <w:lang w:val="en-GB"/>
        </w:rPr>
        <w:t>in these terms, we understand that anyone who is senior could be</w:t>
      </w:r>
      <w:r w:rsidR="009C3AF2" w:rsidRPr="00046517">
        <w:rPr>
          <w:rFonts w:ascii="Verdana" w:eastAsia="Times New Roman" w:hAnsi="Verdana" w:cs="Segoe UI"/>
          <w:sz w:val="20"/>
          <w:szCs w:val="20"/>
          <w:lang w:val="en-GB"/>
        </w:rPr>
        <w:t xml:space="preserve"> considered</w:t>
      </w:r>
      <w:r w:rsidRPr="00046517">
        <w:rPr>
          <w:rFonts w:ascii="Verdana" w:eastAsia="Times New Roman" w:hAnsi="Verdana" w:cs="Segoe UI"/>
          <w:sz w:val="20"/>
          <w:szCs w:val="20"/>
          <w:lang w:val="en-GB"/>
        </w:rPr>
        <w:t xml:space="preserve"> senior staff member and exercise the functions and tasks mentioned in these guidelines. </w:t>
      </w:r>
      <w:r w:rsidR="006B02E6" w:rsidRPr="00046517">
        <w:rPr>
          <w:rFonts w:ascii="Verdana" w:eastAsia="Times New Roman" w:hAnsi="Verdana" w:cs="Segoe UI"/>
          <w:sz w:val="20"/>
          <w:szCs w:val="20"/>
          <w:lang w:val="en-GB"/>
        </w:rPr>
        <w:t>We therefore believe that it would be useful to define this notion precisely.</w:t>
      </w:r>
    </w:p>
    <w:p w14:paraId="609B3E06" w14:textId="77777777" w:rsidR="006B02E6" w:rsidRPr="00046517" w:rsidRDefault="006B02E6" w:rsidP="00C4060F">
      <w:pPr>
        <w:spacing w:after="0" w:line="240" w:lineRule="auto"/>
        <w:jc w:val="both"/>
        <w:textAlignment w:val="baseline"/>
        <w:rPr>
          <w:rFonts w:ascii="Verdana" w:eastAsia="Times New Roman" w:hAnsi="Verdana" w:cs="Segoe UI"/>
          <w:sz w:val="20"/>
          <w:szCs w:val="20"/>
          <w:lang w:val="en-GB"/>
        </w:rPr>
      </w:pPr>
    </w:p>
    <w:p w14:paraId="09866355" w14:textId="77777777" w:rsidR="00FF096C" w:rsidRPr="00046517" w:rsidRDefault="00FF096C" w:rsidP="00C4060F">
      <w:pPr>
        <w:spacing w:after="0" w:line="240" w:lineRule="auto"/>
        <w:jc w:val="both"/>
        <w:textAlignment w:val="baseline"/>
        <w:rPr>
          <w:rFonts w:ascii="Verdana" w:eastAsia="Times New Roman" w:hAnsi="Verdana" w:cs="Segoe UI"/>
          <w:sz w:val="20"/>
          <w:szCs w:val="20"/>
          <w:lang w:val="en-GB"/>
        </w:rPr>
      </w:pPr>
    </w:p>
    <w:p w14:paraId="38C6C37F" w14:textId="16CE1F1C" w:rsidR="001D3C52" w:rsidRPr="00046517" w:rsidRDefault="001D3C52" w:rsidP="001D3C52">
      <w:pPr>
        <w:jc w:val="both"/>
        <w:rPr>
          <w:rFonts w:ascii="Verdana" w:hAnsi="Verdana" w:cstheme="minorHAnsi"/>
          <w:sz w:val="20"/>
          <w:szCs w:val="20"/>
          <w:lang w:val="en-GB"/>
        </w:rPr>
      </w:pPr>
      <w:r w:rsidRPr="00046517">
        <w:rPr>
          <w:rFonts w:ascii="Verdana" w:hAnsi="Verdana" w:cstheme="minorHAnsi"/>
          <w:sz w:val="20"/>
          <w:szCs w:val="20"/>
          <w:lang w:val="en-GB"/>
        </w:rPr>
        <w:t>4.2 Conducting a restrictive measures exposure assessment</w:t>
      </w:r>
    </w:p>
    <w:p w14:paraId="7B3F4103" w14:textId="3FF1BF74" w:rsidR="00D85D52" w:rsidRPr="00046517" w:rsidRDefault="00E90C68" w:rsidP="001D3C52">
      <w:pPr>
        <w:jc w:val="both"/>
        <w:rPr>
          <w:rFonts w:ascii="Verdana" w:eastAsia="Times New Roman" w:hAnsi="Verdana" w:cs="Segoe UI"/>
          <w:sz w:val="20"/>
          <w:szCs w:val="20"/>
          <w:lang w:val="en-GB"/>
        </w:rPr>
      </w:pPr>
      <w:r w:rsidRPr="00046517">
        <w:rPr>
          <w:rFonts w:ascii="Verdana" w:eastAsia="Times New Roman" w:hAnsi="Verdana" w:cs="Segoe UI"/>
          <w:b/>
          <w:sz w:val="20"/>
          <w:szCs w:val="20"/>
          <w:lang w:val="en-GB"/>
        </w:rPr>
        <w:t>Paragraph 22</w:t>
      </w:r>
      <w:r w:rsidR="00FF096C" w:rsidRPr="00046517">
        <w:rPr>
          <w:rFonts w:ascii="Verdana" w:eastAsia="Times New Roman" w:hAnsi="Verdana" w:cs="Segoe UI"/>
          <w:sz w:val="20"/>
          <w:szCs w:val="20"/>
          <w:lang w:val="en-GB"/>
        </w:rPr>
        <w:t>:</w:t>
      </w:r>
      <w:r w:rsidRPr="00046517">
        <w:rPr>
          <w:rFonts w:ascii="Verdana" w:eastAsia="Times New Roman" w:hAnsi="Verdana" w:cs="Segoe UI"/>
          <w:sz w:val="20"/>
          <w:szCs w:val="20"/>
          <w:lang w:val="en-GB"/>
        </w:rPr>
        <w:t xml:space="preserve"> </w:t>
      </w:r>
      <w:r w:rsidR="00896690" w:rsidRPr="00046517">
        <w:rPr>
          <w:rFonts w:ascii="Verdana" w:eastAsia="Times New Roman" w:hAnsi="Verdana" w:cs="Segoe UI"/>
          <w:sz w:val="20"/>
          <w:szCs w:val="20"/>
          <w:lang w:val="en-GB"/>
        </w:rPr>
        <w:t>Same comment as for Paragraph 9</w:t>
      </w:r>
      <w:r w:rsidR="009C3AF2" w:rsidRPr="00046517">
        <w:rPr>
          <w:rFonts w:ascii="Verdana" w:eastAsia="Times New Roman" w:hAnsi="Verdana" w:cs="Segoe UI"/>
          <w:sz w:val="20"/>
          <w:szCs w:val="20"/>
          <w:lang w:val="en-GB"/>
        </w:rPr>
        <w:t>.</w:t>
      </w:r>
      <w:r w:rsidR="00896690" w:rsidRPr="00046517">
        <w:rPr>
          <w:rFonts w:ascii="Verdana" w:eastAsia="Times New Roman" w:hAnsi="Verdana" w:cs="Segoe UI"/>
          <w:sz w:val="20"/>
          <w:szCs w:val="20"/>
          <w:lang w:val="en-GB"/>
        </w:rPr>
        <w:t xml:space="preserve">a. </w:t>
      </w:r>
    </w:p>
    <w:p w14:paraId="3E607E6F" w14:textId="5A141375" w:rsidR="009C3AF2" w:rsidRPr="00046517" w:rsidRDefault="009C35E8" w:rsidP="001D3C52">
      <w:pPr>
        <w:jc w:val="both"/>
        <w:rPr>
          <w:rFonts w:ascii="Verdana" w:eastAsia="Times New Roman" w:hAnsi="Verdana" w:cs="Segoe UI"/>
          <w:sz w:val="20"/>
          <w:szCs w:val="20"/>
          <w:lang w:val="en-GB"/>
        </w:rPr>
      </w:pPr>
      <w:r w:rsidRPr="00046517">
        <w:rPr>
          <w:rFonts w:ascii="Verdana" w:eastAsia="Times New Roman" w:hAnsi="Verdana" w:cs="Segoe UI"/>
          <w:sz w:val="20"/>
          <w:szCs w:val="20"/>
          <w:lang w:val="en-GB"/>
        </w:rPr>
        <w:t xml:space="preserve">In addition, </w:t>
      </w:r>
      <w:r w:rsidR="00D85D52" w:rsidRPr="00046517">
        <w:rPr>
          <w:rFonts w:ascii="Verdana" w:eastAsia="Times New Roman" w:hAnsi="Verdana" w:cs="Segoe UI"/>
          <w:sz w:val="20"/>
          <w:szCs w:val="20"/>
          <w:lang w:val="en-GB"/>
        </w:rPr>
        <w:t>it seems that this paragraph does not sufficiently take into account the divers</w:t>
      </w:r>
      <w:r w:rsidR="009C3AF2" w:rsidRPr="00046517">
        <w:rPr>
          <w:rFonts w:ascii="Verdana" w:eastAsia="Times New Roman" w:hAnsi="Verdana" w:cs="Segoe UI"/>
          <w:sz w:val="20"/>
          <w:szCs w:val="20"/>
          <w:lang w:val="en-GB"/>
        </w:rPr>
        <w:t>e</w:t>
      </w:r>
      <w:r w:rsidR="00634640" w:rsidRPr="00046517">
        <w:rPr>
          <w:rFonts w:ascii="Verdana" w:eastAsia="Times New Roman" w:hAnsi="Verdana" w:cs="Segoe UI"/>
          <w:sz w:val="20"/>
          <w:szCs w:val="20"/>
          <w:lang w:val="en-GB"/>
        </w:rPr>
        <w:t xml:space="preserve"> nature</w:t>
      </w:r>
      <w:r w:rsidR="00D85D52" w:rsidRPr="00046517">
        <w:rPr>
          <w:rFonts w:ascii="Verdana" w:eastAsia="Times New Roman" w:hAnsi="Verdana" w:cs="Segoe UI"/>
          <w:sz w:val="20"/>
          <w:szCs w:val="20"/>
          <w:lang w:val="en-GB"/>
        </w:rPr>
        <w:t xml:space="preserve"> of restrictive measures</w:t>
      </w:r>
      <w:r w:rsidR="00DB4BEB" w:rsidRPr="00046517">
        <w:rPr>
          <w:rFonts w:ascii="Verdana" w:eastAsia="Times New Roman" w:hAnsi="Verdana" w:cs="Segoe UI"/>
          <w:sz w:val="20"/>
          <w:szCs w:val="20"/>
          <w:lang w:val="en-GB"/>
        </w:rPr>
        <w:t xml:space="preserve"> (freezing of asset and other sanctions like sectoral restrictions)</w:t>
      </w:r>
      <w:r w:rsidR="00D85D52" w:rsidRPr="00046517">
        <w:rPr>
          <w:rFonts w:ascii="Verdana" w:eastAsia="Times New Roman" w:hAnsi="Verdana" w:cs="Segoe UI"/>
          <w:sz w:val="20"/>
          <w:szCs w:val="20"/>
          <w:lang w:val="en-GB"/>
        </w:rPr>
        <w:t>, notably as regard</w:t>
      </w:r>
      <w:r w:rsidR="006B02E6" w:rsidRPr="00046517">
        <w:rPr>
          <w:rFonts w:ascii="Verdana" w:eastAsia="Times New Roman" w:hAnsi="Verdana" w:cs="Segoe UI"/>
          <w:sz w:val="20"/>
          <w:szCs w:val="20"/>
          <w:lang w:val="en-GB"/>
        </w:rPr>
        <w:t>s</w:t>
      </w:r>
      <w:r w:rsidR="00D85D52" w:rsidRPr="00046517">
        <w:rPr>
          <w:rFonts w:ascii="Verdana" w:eastAsia="Times New Roman" w:hAnsi="Verdana" w:cs="Segoe UI"/>
          <w:sz w:val="20"/>
          <w:szCs w:val="20"/>
          <w:lang w:val="en-GB"/>
        </w:rPr>
        <w:t xml:space="preserve"> the actual capability of banks to prevent breaches in comparison with other parties/stakeholders. </w:t>
      </w:r>
      <w:r w:rsidR="00C97FBF" w:rsidRPr="00046517">
        <w:rPr>
          <w:rFonts w:ascii="Verdana" w:eastAsia="Times New Roman" w:hAnsi="Verdana" w:cs="Segoe UI"/>
          <w:sz w:val="20"/>
          <w:szCs w:val="20"/>
          <w:lang w:val="en-GB"/>
        </w:rPr>
        <w:t>B</w:t>
      </w:r>
      <w:r w:rsidR="003A0C5E" w:rsidRPr="00046517">
        <w:rPr>
          <w:rFonts w:ascii="Verdana" w:eastAsia="Times New Roman" w:hAnsi="Verdana" w:cs="Segoe UI"/>
          <w:sz w:val="20"/>
          <w:szCs w:val="20"/>
          <w:lang w:val="en-GB"/>
        </w:rPr>
        <w:t>anks are at the forefront</w:t>
      </w:r>
      <w:r w:rsidR="006B02E6" w:rsidRPr="00046517">
        <w:rPr>
          <w:rFonts w:ascii="Verdana" w:eastAsia="Times New Roman" w:hAnsi="Verdana" w:cs="Segoe UI"/>
          <w:sz w:val="20"/>
          <w:szCs w:val="20"/>
          <w:lang w:val="en-GB"/>
        </w:rPr>
        <w:t xml:space="preserve"> of the implementation of the freezing of assets and </w:t>
      </w:r>
      <w:r w:rsidR="00175653" w:rsidRPr="00046517">
        <w:rPr>
          <w:rFonts w:ascii="Verdana" w:eastAsia="Times New Roman" w:hAnsi="Verdana" w:cs="Segoe UI"/>
          <w:sz w:val="20"/>
          <w:szCs w:val="20"/>
          <w:lang w:val="en-GB"/>
        </w:rPr>
        <w:t>of the enforcement of prohibitions to make assets available</w:t>
      </w:r>
      <w:r w:rsidR="009C3AF2" w:rsidRPr="00046517">
        <w:rPr>
          <w:rFonts w:ascii="Verdana" w:eastAsia="Times New Roman" w:hAnsi="Verdana" w:cs="Segoe UI"/>
          <w:sz w:val="20"/>
          <w:szCs w:val="20"/>
          <w:lang w:val="en-GB"/>
        </w:rPr>
        <w:t xml:space="preserve"> </w:t>
      </w:r>
      <w:r w:rsidR="00C97FBF" w:rsidRPr="00046517">
        <w:rPr>
          <w:rFonts w:ascii="Verdana" w:eastAsia="Times New Roman" w:hAnsi="Verdana" w:cs="Segoe UI"/>
          <w:sz w:val="20"/>
          <w:szCs w:val="20"/>
          <w:lang w:val="en-GB"/>
        </w:rPr>
        <w:t xml:space="preserve">to designated persons. </w:t>
      </w:r>
    </w:p>
    <w:p w14:paraId="1018BDA2" w14:textId="29EDA000" w:rsidR="00D85D52" w:rsidRPr="00046517" w:rsidRDefault="00C97FBF" w:rsidP="001D3C52">
      <w:pPr>
        <w:jc w:val="both"/>
        <w:rPr>
          <w:rFonts w:ascii="Verdana" w:eastAsia="Times New Roman" w:hAnsi="Verdana" w:cs="Segoe UI"/>
          <w:sz w:val="20"/>
          <w:szCs w:val="20"/>
          <w:lang w:val="en-GB"/>
        </w:rPr>
      </w:pPr>
      <w:r w:rsidRPr="00046517">
        <w:rPr>
          <w:rFonts w:ascii="Verdana" w:eastAsia="Times New Roman" w:hAnsi="Verdana" w:cs="Segoe UI"/>
          <w:sz w:val="20"/>
          <w:szCs w:val="20"/>
          <w:lang w:val="en-GB"/>
        </w:rPr>
        <w:t>However,</w:t>
      </w:r>
      <w:r w:rsidR="003573D8" w:rsidRPr="00046517">
        <w:rPr>
          <w:rFonts w:ascii="Verdana" w:eastAsia="Times New Roman" w:hAnsi="Verdana" w:cs="Segoe UI"/>
          <w:sz w:val="20"/>
          <w:szCs w:val="20"/>
          <w:lang w:val="en-GB"/>
        </w:rPr>
        <w:t xml:space="preserve"> they do not often play a major part in the implementation of sectoral restrictions/prohibitions</w:t>
      </w:r>
      <w:r w:rsidR="00D94012" w:rsidRPr="00046517">
        <w:rPr>
          <w:rFonts w:ascii="Verdana" w:eastAsia="Times New Roman" w:hAnsi="Verdana" w:cs="Segoe UI"/>
          <w:sz w:val="20"/>
          <w:szCs w:val="20"/>
          <w:lang w:val="en-GB"/>
        </w:rPr>
        <w:t>.</w:t>
      </w:r>
      <w:r w:rsidR="003573D8" w:rsidRPr="00046517">
        <w:rPr>
          <w:rFonts w:ascii="Verdana" w:eastAsia="Times New Roman" w:hAnsi="Verdana" w:cs="Segoe UI"/>
          <w:sz w:val="20"/>
          <w:szCs w:val="20"/>
          <w:lang w:val="en-GB"/>
        </w:rPr>
        <w:t xml:space="preserve"> </w:t>
      </w:r>
      <w:r w:rsidR="001C0BCA" w:rsidRPr="00046517">
        <w:rPr>
          <w:rFonts w:ascii="Verdana" w:eastAsia="Times New Roman" w:hAnsi="Verdana" w:cs="Segoe UI"/>
          <w:sz w:val="20"/>
          <w:szCs w:val="20"/>
          <w:lang w:val="en-GB"/>
        </w:rPr>
        <w:t>For instance, in the course of their trade finance/account</w:t>
      </w:r>
      <w:r w:rsidR="00BC0BE1" w:rsidRPr="00046517">
        <w:rPr>
          <w:rFonts w:ascii="Verdana" w:eastAsia="Times New Roman" w:hAnsi="Verdana" w:cs="Segoe UI"/>
          <w:sz w:val="20"/>
          <w:szCs w:val="20"/>
          <w:lang w:val="en-GB"/>
        </w:rPr>
        <w:t xml:space="preserve"> service</w:t>
      </w:r>
      <w:r w:rsidR="008A7FE9" w:rsidRPr="00046517">
        <w:rPr>
          <w:rFonts w:ascii="Verdana" w:eastAsia="Times New Roman" w:hAnsi="Verdana" w:cs="Segoe UI"/>
          <w:sz w:val="20"/>
          <w:szCs w:val="20"/>
          <w:lang w:val="en-GB"/>
        </w:rPr>
        <w:t xml:space="preserve"> </w:t>
      </w:r>
      <w:r w:rsidR="001C0BCA" w:rsidRPr="00046517">
        <w:rPr>
          <w:rFonts w:ascii="Verdana" w:eastAsia="Times New Roman" w:hAnsi="Verdana" w:cs="Segoe UI"/>
          <w:sz w:val="20"/>
          <w:szCs w:val="20"/>
          <w:lang w:val="en-GB"/>
        </w:rPr>
        <w:t xml:space="preserve">activities, banks do not generally have sufficient information </w:t>
      </w:r>
      <w:r w:rsidR="009C323D" w:rsidRPr="00046517">
        <w:rPr>
          <w:rFonts w:ascii="Verdana" w:eastAsia="Times New Roman" w:hAnsi="Verdana" w:cs="Segoe UI"/>
          <w:sz w:val="20"/>
          <w:szCs w:val="20"/>
          <w:lang w:val="en-GB"/>
        </w:rPr>
        <w:t>on</w:t>
      </w:r>
      <w:r w:rsidR="001C0BCA" w:rsidRPr="00046517">
        <w:rPr>
          <w:rFonts w:ascii="Verdana" w:eastAsia="Times New Roman" w:hAnsi="Verdana" w:cs="Segoe UI"/>
          <w:sz w:val="20"/>
          <w:szCs w:val="20"/>
          <w:lang w:val="en-GB"/>
        </w:rPr>
        <w:t xml:space="preserve"> </w:t>
      </w:r>
      <w:r w:rsidRPr="00046517">
        <w:rPr>
          <w:rFonts w:ascii="Verdana" w:eastAsia="Times New Roman" w:hAnsi="Verdana" w:cs="Segoe UI"/>
          <w:sz w:val="20"/>
          <w:szCs w:val="20"/>
          <w:lang w:val="en-GB"/>
        </w:rPr>
        <w:t>trades/commodities type</w:t>
      </w:r>
      <w:r w:rsidR="003573D8" w:rsidRPr="00046517">
        <w:rPr>
          <w:rFonts w:ascii="Verdana" w:eastAsia="Times New Roman" w:hAnsi="Verdana" w:cs="Segoe UI"/>
          <w:sz w:val="20"/>
          <w:szCs w:val="20"/>
          <w:lang w:val="en-GB"/>
        </w:rPr>
        <w:t xml:space="preserve"> </w:t>
      </w:r>
      <w:r w:rsidR="001C0BCA" w:rsidRPr="00046517">
        <w:rPr>
          <w:rFonts w:ascii="Verdana" w:eastAsia="Times New Roman" w:hAnsi="Verdana" w:cs="Segoe UI"/>
          <w:sz w:val="20"/>
          <w:szCs w:val="20"/>
          <w:lang w:val="en-GB"/>
        </w:rPr>
        <w:t>to</w:t>
      </w:r>
      <w:r w:rsidR="003573D8" w:rsidRPr="00046517">
        <w:rPr>
          <w:rFonts w:ascii="Verdana" w:eastAsia="Times New Roman" w:hAnsi="Verdana" w:cs="Segoe UI"/>
          <w:sz w:val="20"/>
          <w:szCs w:val="20"/>
          <w:lang w:val="en-GB"/>
        </w:rPr>
        <w:t xml:space="preserve"> </w:t>
      </w:r>
      <w:r w:rsidR="008F24D5" w:rsidRPr="00046517">
        <w:rPr>
          <w:rFonts w:ascii="Verdana" w:eastAsia="Times New Roman" w:hAnsi="Verdana" w:cs="Segoe UI"/>
          <w:sz w:val="20"/>
          <w:szCs w:val="20"/>
          <w:lang w:val="en-GB"/>
        </w:rPr>
        <w:t>conduct</w:t>
      </w:r>
      <w:r w:rsidR="003573D8" w:rsidRPr="00046517">
        <w:rPr>
          <w:rFonts w:ascii="Verdana" w:eastAsia="Times New Roman" w:hAnsi="Verdana" w:cs="Segoe UI"/>
          <w:sz w:val="20"/>
          <w:szCs w:val="20"/>
          <w:lang w:val="en-GB"/>
        </w:rPr>
        <w:t xml:space="preserve"> </w:t>
      </w:r>
      <w:r w:rsidR="001C0BCA" w:rsidRPr="00046517">
        <w:rPr>
          <w:rFonts w:ascii="Verdana" w:eastAsia="Times New Roman" w:hAnsi="Verdana" w:cs="Segoe UI"/>
          <w:sz w:val="20"/>
          <w:szCs w:val="20"/>
          <w:lang w:val="en-GB"/>
        </w:rPr>
        <w:t xml:space="preserve">a </w:t>
      </w:r>
      <w:r w:rsidR="003573D8" w:rsidRPr="00046517">
        <w:rPr>
          <w:rFonts w:ascii="Verdana" w:eastAsia="Times New Roman" w:hAnsi="Verdana" w:cs="Segoe UI"/>
          <w:sz w:val="20"/>
          <w:szCs w:val="20"/>
          <w:lang w:val="en-GB"/>
        </w:rPr>
        <w:t xml:space="preserve">thorough analysis </w:t>
      </w:r>
      <w:r w:rsidR="001C0BCA" w:rsidRPr="00046517">
        <w:rPr>
          <w:rFonts w:ascii="Verdana" w:eastAsia="Times New Roman" w:hAnsi="Verdana" w:cs="Segoe UI"/>
          <w:sz w:val="20"/>
          <w:szCs w:val="20"/>
          <w:lang w:val="en-GB"/>
        </w:rPr>
        <w:t xml:space="preserve">and </w:t>
      </w:r>
      <w:r w:rsidR="001B3CE2" w:rsidRPr="00046517">
        <w:rPr>
          <w:rFonts w:ascii="Verdana" w:eastAsia="Times New Roman" w:hAnsi="Verdana" w:cs="Segoe UI"/>
          <w:sz w:val="20"/>
          <w:szCs w:val="20"/>
          <w:lang w:val="en-GB"/>
        </w:rPr>
        <w:t>properly assess the</w:t>
      </w:r>
      <w:r w:rsidR="001C0BCA" w:rsidRPr="00046517">
        <w:rPr>
          <w:rFonts w:ascii="Verdana" w:eastAsia="Times New Roman" w:hAnsi="Verdana" w:cs="Segoe UI"/>
          <w:sz w:val="20"/>
          <w:szCs w:val="20"/>
          <w:lang w:val="en-GB"/>
        </w:rPr>
        <w:t xml:space="preserve"> compliance of </w:t>
      </w:r>
      <w:r w:rsidR="001B3CE2" w:rsidRPr="00046517">
        <w:rPr>
          <w:rFonts w:ascii="Verdana" w:eastAsia="Times New Roman" w:hAnsi="Verdana" w:cs="Segoe UI"/>
          <w:sz w:val="20"/>
          <w:szCs w:val="20"/>
          <w:lang w:val="en-GB"/>
        </w:rPr>
        <w:t>the</w:t>
      </w:r>
      <w:r w:rsidRPr="00046517">
        <w:rPr>
          <w:rFonts w:ascii="Verdana" w:eastAsia="Times New Roman" w:hAnsi="Verdana" w:cs="Segoe UI"/>
          <w:sz w:val="20"/>
          <w:szCs w:val="20"/>
          <w:lang w:val="en-GB"/>
        </w:rPr>
        <w:t>ir client</w:t>
      </w:r>
      <w:r w:rsidR="008F24D5" w:rsidRPr="00046517">
        <w:rPr>
          <w:rFonts w:ascii="Verdana" w:eastAsia="Times New Roman" w:hAnsi="Verdana" w:cs="Segoe UI"/>
          <w:sz w:val="20"/>
          <w:szCs w:val="20"/>
          <w:lang w:val="en-GB"/>
        </w:rPr>
        <w:t>s</w:t>
      </w:r>
      <w:r w:rsidR="008A7FE9" w:rsidRPr="00046517">
        <w:rPr>
          <w:rFonts w:ascii="Verdana" w:eastAsia="Times New Roman" w:hAnsi="Verdana" w:cs="Segoe UI"/>
          <w:sz w:val="20"/>
          <w:szCs w:val="20"/>
          <w:lang w:val="en-GB"/>
        </w:rPr>
        <w:t>’</w:t>
      </w:r>
      <w:r w:rsidR="001B3CE2" w:rsidRPr="00046517">
        <w:rPr>
          <w:rFonts w:ascii="Verdana" w:eastAsia="Times New Roman" w:hAnsi="Verdana" w:cs="Segoe UI"/>
          <w:sz w:val="20"/>
          <w:szCs w:val="20"/>
          <w:lang w:val="en-GB"/>
        </w:rPr>
        <w:t xml:space="preserve"> </w:t>
      </w:r>
      <w:r w:rsidR="001C0BCA" w:rsidRPr="00046517">
        <w:rPr>
          <w:rFonts w:ascii="Verdana" w:eastAsia="Times New Roman" w:hAnsi="Verdana" w:cs="Segoe UI"/>
          <w:sz w:val="20"/>
          <w:szCs w:val="20"/>
          <w:lang w:val="en-GB"/>
        </w:rPr>
        <w:t>transaction</w:t>
      </w:r>
      <w:r w:rsidR="003573D8" w:rsidRPr="00046517">
        <w:rPr>
          <w:rFonts w:ascii="Verdana" w:eastAsia="Times New Roman" w:hAnsi="Verdana" w:cs="Segoe UI"/>
          <w:sz w:val="20"/>
          <w:szCs w:val="20"/>
          <w:lang w:val="en-GB"/>
        </w:rPr>
        <w:t xml:space="preserve">. </w:t>
      </w:r>
    </w:p>
    <w:p w14:paraId="29D85728" w14:textId="6C3BF84F" w:rsidR="00E90C68" w:rsidRPr="00046517" w:rsidRDefault="00BC0BE1">
      <w:pPr>
        <w:jc w:val="both"/>
        <w:rPr>
          <w:rFonts w:ascii="Verdana" w:eastAsia="Times New Roman" w:hAnsi="Verdana" w:cs="Segoe UI"/>
          <w:sz w:val="20"/>
          <w:szCs w:val="20"/>
          <w:lang w:val="en-GB"/>
        </w:rPr>
      </w:pPr>
      <w:r w:rsidRPr="00046517">
        <w:rPr>
          <w:rFonts w:ascii="Verdana" w:eastAsia="Times New Roman" w:hAnsi="Verdana" w:cs="Segoe UI"/>
          <w:sz w:val="20"/>
          <w:szCs w:val="20"/>
          <w:lang w:val="en-GB"/>
        </w:rPr>
        <w:t xml:space="preserve">Therefore, </w:t>
      </w:r>
      <w:r w:rsidR="009C35E8" w:rsidRPr="00046517">
        <w:rPr>
          <w:rFonts w:ascii="Verdana" w:eastAsia="Times New Roman" w:hAnsi="Verdana" w:cs="Segoe UI"/>
          <w:sz w:val="20"/>
          <w:szCs w:val="20"/>
          <w:lang w:val="en-GB"/>
        </w:rPr>
        <w:t xml:space="preserve">we anticipate </w:t>
      </w:r>
      <w:r w:rsidRPr="00046517">
        <w:rPr>
          <w:rFonts w:ascii="Verdana" w:eastAsia="Times New Roman" w:hAnsi="Verdana" w:cs="Segoe UI"/>
          <w:sz w:val="20"/>
          <w:szCs w:val="20"/>
          <w:lang w:val="en-GB"/>
        </w:rPr>
        <w:t xml:space="preserve">that </w:t>
      </w:r>
      <w:r w:rsidR="009C35E8" w:rsidRPr="00046517">
        <w:rPr>
          <w:rFonts w:ascii="Verdana" w:eastAsia="Times New Roman" w:hAnsi="Verdana" w:cs="Segoe UI"/>
          <w:sz w:val="20"/>
          <w:szCs w:val="20"/>
          <w:lang w:val="en-GB"/>
        </w:rPr>
        <w:t xml:space="preserve">this obligation may create </w:t>
      </w:r>
      <w:r w:rsidR="008A7FE9" w:rsidRPr="00046517">
        <w:rPr>
          <w:rFonts w:ascii="Verdana" w:eastAsia="Times New Roman" w:hAnsi="Verdana" w:cs="Segoe UI"/>
          <w:sz w:val="20"/>
          <w:szCs w:val="20"/>
          <w:lang w:val="en-GB"/>
        </w:rPr>
        <w:t>excessive</w:t>
      </w:r>
      <w:r w:rsidR="009C35E8" w:rsidRPr="00046517">
        <w:rPr>
          <w:rFonts w:ascii="Verdana" w:eastAsia="Times New Roman" w:hAnsi="Verdana" w:cs="Segoe UI"/>
          <w:sz w:val="20"/>
          <w:szCs w:val="20"/>
          <w:lang w:val="en-GB"/>
        </w:rPr>
        <w:t xml:space="preserve"> expectations for banks in the detection and prevention of attempts to circumvent </w:t>
      </w:r>
      <w:r w:rsidRPr="00046517">
        <w:rPr>
          <w:rFonts w:ascii="Verdana" w:eastAsia="Times New Roman" w:hAnsi="Verdana" w:cs="Segoe UI"/>
          <w:sz w:val="20"/>
          <w:szCs w:val="20"/>
          <w:lang w:val="en-GB"/>
        </w:rPr>
        <w:t>certain restrictive measures</w:t>
      </w:r>
      <w:r w:rsidR="00C97FBF" w:rsidRPr="00046517">
        <w:rPr>
          <w:rFonts w:ascii="Verdana" w:eastAsia="Times New Roman" w:hAnsi="Verdana" w:cs="Segoe UI"/>
          <w:sz w:val="20"/>
          <w:szCs w:val="20"/>
          <w:lang w:val="en-GB"/>
        </w:rPr>
        <w:t>,</w:t>
      </w:r>
      <w:r w:rsidR="009C35E8" w:rsidRPr="00046517">
        <w:rPr>
          <w:rFonts w:ascii="Verdana" w:eastAsia="Times New Roman" w:hAnsi="Verdana" w:cs="Segoe UI"/>
          <w:sz w:val="20"/>
          <w:szCs w:val="20"/>
          <w:lang w:val="en-GB"/>
        </w:rPr>
        <w:t xml:space="preserve"> </w:t>
      </w:r>
      <w:r w:rsidR="00C97FBF" w:rsidRPr="00046517">
        <w:rPr>
          <w:rFonts w:ascii="Verdana" w:eastAsia="Times New Roman" w:hAnsi="Verdana" w:cs="Segoe UI"/>
          <w:sz w:val="20"/>
          <w:szCs w:val="20"/>
          <w:lang w:val="en-GB"/>
        </w:rPr>
        <w:t xml:space="preserve">which would not be in line with </w:t>
      </w:r>
      <w:r w:rsidR="009C35E8" w:rsidRPr="00046517">
        <w:rPr>
          <w:rFonts w:ascii="Verdana" w:eastAsia="Times New Roman" w:hAnsi="Verdana" w:cs="Segoe UI"/>
          <w:sz w:val="20"/>
          <w:szCs w:val="20"/>
          <w:lang w:val="en-GB"/>
        </w:rPr>
        <w:t>the European Commission</w:t>
      </w:r>
      <w:r w:rsidR="00C97FBF" w:rsidRPr="00046517">
        <w:rPr>
          <w:rFonts w:ascii="Verdana" w:eastAsia="Times New Roman" w:hAnsi="Verdana" w:cs="Segoe UI"/>
          <w:sz w:val="20"/>
          <w:szCs w:val="20"/>
          <w:lang w:val="en-GB"/>
        </w:rPr>
        <w:t>’s position</w:t>
      </w:r>
      <w:r w:rsidR="009C35E8" w:rsidRPr="00046517">
        <w:rPr>
          <w:rFonts w:ascii="Verdana" w:eastAsia="Times New Roman" w:hAnsi="Verdana" w:cs="Segoe UI"/>
          <w:sz w:val="20"/>
          <w:szCs w:val="20"/>
          <w:lang w:val="en-GB"/>
        </w:rPr>
        <w:t xml:space="preserve">. </w:t>
      </w:r>
      <w:r w:rsidR="00E10CD7" w:rsidRPr="00046517">
        <w:rPr>
          <w:rFonts w:ascii="Verdana" w:eastAsia="Times New Roman" w:hAnsi="Verdana" w:cs="Segoe UI"/>
          <w:sz w:val="20"/>
          <w:szCs w:val="20"/>
          <w:highlight w:val="yellow"/>
          <w:lang w:val="en-GB"/>
        </w:rPr>
        <w:t xml:space="preserve"> </w:t>
      </w:r>
      <w:r w:rsidR="00FF2808" w:rsidRPr="00046517">
        <w:rPr>
          <w:rFonts w:ascii="Verdana" w:eastAsia="Times New Roman" w:hAnsi="Verdana" w:cs="Segoe UI"/>
          <w:sz w:val="20"/>
          <w:szCs w:val="20"/>
          <w:highlight w:val="yellow"/>
          <w:lang w:val="en-GB"/>
        </w:rPr>
        <w:t xml:space="preserve"> </w:t>
      </w:r>
    </w:p>
    <w:p w14:paraId="38BB7EB8" w14:textId="0F35F8E0" w:rsidR="008A7FE9" w:rsidRPr="00046517" w:rsidRDefault="00E10CD7" w:rsidP="001D3C52">
      <w:pPr>
        <w:jc w:val="both"/>
        <w:rPr>
          <w:rFonts w:ascii="Verdana" w:eastAsia="Times New Roman" w:hAnsi="Verdana" w:cs="Segoe UI"/>
          <w:sz w:val="20"/>
          <w:szCs w:val="20"/>
          <w:lang w:val="en-GB"/>
        </w:rPr>
      </w:pPr>
      <w:r w:rsidRPr="00046517">
        <w:rPr>
          <w:rFonts w:ascii="Verdana" w:eastAsia="Times New Roman" w:hAnsi="Verdana" w:cs="Segoe UI"/>
          <w:b/>
          <w:sz w:val="20"/>
          <w:szCs w:val="20"/>
          <w:lang w:val="en-GB"/>
        </w:rPr>
        <w:t>Paragraph 23</w:t>
      </w:r>
      <w:r w:rsidR="00FF096C" w:rsidRPr="00046517">
        <w:rPr>
          <w:rFonts w:ascii="Verdana" w:eastAsia="Times New Roman" w:hAnsi="Verdana" w:cs="Segoe UI"/>
          <w:sz w:val="20"/>
          <w:szCs w:val="20"/>
          <w:lang w:val="en-GB"/>
        </w:rPr>
        <w:t>:</w:t>
      </w:r>
      <w:r w:rsidRPr="00046517">
        <w:rPr>
          <w:rFonts w:ascii="Verdana" w:eastAsia="Times New Roman" w:hAnsi="Verdana" w:cs="Segoe UI"/>
          <w:sz w:val="20"/>
          <w:szCs w:val="20"/>
          <w:lang w:val="en-GB"/>
        </w:rPr>
        <w:t xml:space="preserve"> </w:t>
      </w:r>
      <w:r w:rsidR="008F24D5" w:rsidRPr="00046517">
        <w:rPr>
          <w:rFonts w:ascii="Verdana" w:eastAsia="Times New Roman" w:hAnsi="Verdana" w:cs="Segoe UI"/>
          <w:sz w:val="20"/>
          <w:szCs w:val="20"/>
          <w:lang w:val="en-GB"/>
        </w:rPr>
        <w:t xml:space="preserve">Considering </w:t>
      </w:r>
      <w:r w:rsidR="009C35E8" w:rsidRPr="00046517">
        <w:rPr>
          <w:rFonts w:ascii="Verdana" w:eastAsia="Times New Roman" w:hAnsi="Verdana" w:cs="Segoe UI"/>
          <w:sz w:val="20"/>
          <w:szCs w:val="20"/>
          <w:lang w:val="en-GB"/>
        </w:rPr>
        <w:t xml:space="preserve">our </w:t>
      </w:r>
      <w:r w:rsidR="008F24D5" w:rsidRPr="00046517">
        <w:rPr>
          <w:rFonts w:ascii="Verdana" w:eastAsia="Times New Roman" w:hAnsi="Verdana" w:cs="Segoe UI"/>
          <w:sz w:val="20"/>
          <w:szCs w:val="20"/>
          <w:lang w:val="en-GB"/>
        </w:rPr>
        <w:t xml:space="preserve">comments on </w:t>
      </w:r>
      <w:r w:rsidR="009C35E8" w:rsidRPr="00046517">
        <w:rPr>
          <w:rFonts w:ascii="Verdana" w:eastAsia="Times New Roman" w:hAnsi="Verdana" w:cs="Segoe UI"/>
          <w:sz w:val="20"/>
          <w:szCs w:val="20"/>
          <w:lang w:val="en-GB"/>
        </w:rPr>
        <w:t>Paragraph 22 above, w</w:t>
      </w:r>
      <w:r w:rsidRPr="00046517">
        <w:rPr>
          <w:rFonts w:ascii="Verdana" w:eastAsia="Times New Roman" w:hAnsi="Verdana" w:cs="Segoe UI"/>
          <w:sz w:val="20"/>
          <w:szCs w:val="20"/>
          <w:lang w:val="en-GB"/>
        </w:rPr>
        <w:t xml:space="preserve">e </w:t>
      </w:r>
      <w:r w:rsidR="008F24D5" w:rsidRPr="00046517">
        <w:rPr>
          <w:rFonts w:ascii="Verdana" w:eastAsia="Times New Roman" w:hAnsi="Verdana" w:cs="Segoe UI"/>
          <w:sz w:val="20"/>
          <w:szCs w:val="20"/>
          <w:lang w:val="en-GB"/>
        </w:rPr>
        <w:t xml:space="preserve">believe that providing a clear definition of </w:t>
      </w:r>
      <w:r w:rsidR="008A6D64" w:rsidRPr="00046517">
        <w:rPr>
          <w:rFonts w:ascii="Verdana" w:eastAsia="Times New Roman" w:hAnsi="Verdana" w:cs="Segoe UI"/>
          <w:sz w:val="20"/>
          <w:szCs w:val="20"/>
          <w:lang w:val="en-GB"/>
        </w:rPr>
        <w:t xml:space="preserve">the term </w:t>
      </w:r>
      <w:r w:rsidR="008F24D5" w:rsidRPr="00046517">
        <w:rPr>
          <w:rFonts w:ascii="Verdana" w:eastAsia="Times New Roman" w:hAnsi="Verdana" w:cs="Segoe UI"/>
          <w:sz w:val="20"/>
          <w:szCs w:val="20"/>
          <w:lang w:val="en-GB"/>
        </w:rPr>
        <w:t xml:space="preserve"> </w:t>
      </w:r>
      <w:r w:rsidR="008A6D64" w:rsidRPr="00046517">
        <w:rPr>
          <w:rFonts w:ascii="Verdana" w:eastAsia="Times New Roman" w:hAnsi="Verdana" w:cs="Segoe UI"/>
          <w:sz w:val="20"/>
          <w:szCs w:val="20"/>
          <w:lang w:val="en-GB"/>
        </w:rPr>
        <w:t xml:space="preserve">“exposure” and clarifying criteria </w:t>
      </w:r>
      <w:r w:rsidR="008F24D5" w:rsidRPr="00046517">
        <w:rPr>
          <w:rFonts w:ascii="Verdana" w:eastAsia="Times New Roman" w:hAnsi="Verdana" w:cs="Segoe UI"/>
          <w:sz w:val="20"/>
          <w:szCs w:val="20"/>
          <w:lang w:val="en-GB"/>
        </w:rPr>
        <w:t xml:space="preserve">for carrying out </w:t>
      </w:r>
      <w:r w:rsidR="008A6D64" w:rsidRPr="00046517">
        <w:rPr>
          <w:rFonts w:ascii="Verdana" w:eastAsia="Times New Roman" w:hAnsi="Verdana" w:cs="Segoe UI"/>
          <w:sz w:val="20"/>
          <w:szCs w:val="20"/>
          <w:lang w:val="en-GB"/>
        </w:rPr>
        <w:t xml:space="preserve"> the assessment </w:t>
      </w:r>
      <w:r w:rsidR="008F24D5" w:rsidRPr="00046517">
        <w:rPr>
          <w:rFonts w:ascii="Verdana" w:eastAsia="Times New Roman" w:hAnsi="Verdana" w:cs="Segoe UI"/>
          <w:sz w:val="20"/>
          <w:szCs w:val="20"/>
          <w:lang w:val="en-GB"/>
        </w:rPr>
        <w:t xml:space="preserve">would be beneficial and </w:t>
      </w:r>
      <w:r w:rsidR="008A7FE9" w:rsidRPr="00046517">
        <w:rPr>
          <w:rFonts w:ascii="Verdana" w:eastAsia="Times New Roman" w:hAnsi="Verdana" w:cs="Segoe UI"/>
          <w:sz w:val="20"/>
          <w:szCs w:val="20"/>
          <w:lang w:val="en-GB"/>
        </w:rPr>
        <w:t xml:space="preserve">would </w:t>
      </w:r>
      <w:r w:rsidR="008F24D5" w:rsidRPr="00046517">
        <w:rPr>
          <w:rFonts w:ascii="Verdana" w:eastAsia="Times New Roman" w:hAnsi="Verdana" w:cs="Segoe UI"/>
          <w:sz w:val="20"/>
          <w:szCs w:val="20"/>
          <w:lang w:val="en-GB"/>
        </w:rPr>
        <w:t xml:space="preserve">enhance certainty for financial institutions. </w:t>
      </w:r>
    </w:p>
    <w:p w14:paraId="19E52927" w14:textId="3926F3CC" w:rsidR="008A7FE9" w:rsidRPr="00046517" w:rsidRDefault="00E10CD7" w:rsidP="001D3C52">
      <w:pPr>
        <w:jc w:val="both"/>
        <w:rPr>
          <w:rFonts w:ascii="Verdana" w:eastAsia="Times New Roman" w:hAnsi="Verdana" w:cs="Segoe UI"/>
          <w:sz w:val="20"/>
          <w:szCs w:val="20"/>
          <w:lang w:val="en-GB"/>
        </w:rPr>
      </w:pPr>
      <w:r w:rsidRPr="00046517">
        <w:rPr>
          <w:rFonts w:ascii="Verdana" w:eastAsia="Times New Roman" w:hAnsi="Verdana" w:cs="Segoe UI"/>
          <w:b/>
          <w:sz w:val="20"/>
          <w:szCs w:val="20"/>
          <w:lang w:val="en-GB"/>
        </w:rPr>
        <w:t>Paragraph 25</w:t>
      </w:r>
      <w:r w:rsidR="00FF096C" w:rsidRPr="00046517">
        <w:rPr>
          <w:rFonts w:ascii="Verdana" w:eastAsia="Times New Roman" w:hAnsi="Verdana" w:cs="Segoe UI"/>
          <w:sz w:val="20"/>
          <w:szCs w:val="20"/>
          <w:lang w:val="en-GB"/>
        </w:rPr>
        <w:t xml:space="preserve">: </w:t>
      </w:r>
      <w:r w:rsidRPr="00046517">
        <w:rPr>
          <w:rFonts w:ascii="Verdana" w:eastAsia="Times New Roman" w:hAnsi="Verdana" w:cs="Segoe UI"/>
          <w:sz w:val="20"/>
          <w:szCs w:val="20"/>
          <w:lang w:val="en-GB"/>
        </w:rPr>
        <w:t xml:space="preserve">This paragraph requires financial institutions to carry out </w:t>
      </w:r>
      <w:r w:rsidR="008A7FE9" w:rsidRPr="00046517">
        <w:rPr>
          <w:rFonts w:ascii="Verdana" w:eastAsia="Times New Roman" w:hAnsi="Verdana" w:cs="Segoe UI"/>
          <w:sz w:val="20"/>
          <w:szCs w:val="20"/>
          <w:lang w:val="en-GB"/>
        </w:rPr>
        <w:t xml:space="preserve">a </w:t>
      </w:r>
      <w:r w:rsidR="008A6D64" w:rsidRPr="00046517">
        <w:rPr>
          <w:rFonts w:ascii="Verdana" w:eastAsia="Times New Roman" w:hAnsi="Verdana" w:cs="Segoe UI"/>
          <w:sz w:val="20"/>
          <w:szCs w:val="20"/>
          <w:lang w:val="en-GB"/>
        </w:rPr>
        <w:t>“</w:t>
      </w:r>
      <w:r w:rsidRPr="00046517">
        <w:rPr>
          <w:rFonts w:ascii="Verdana" w:eastAsia="Times New Roman" w:hAnsi="Verdana" w:cs="Segoe UI"/>
          <w:sz w:val="20"/>
          <w:szCs w:val="20"/>
          <w:lang w:val="en-GB"/>
        </w:rPr>
        <w:t>retroactive screening</w:t>
      </w:r>
      <w:r w:rsidR="008A6D64" w:rsidRPr="00046517">
        <w:rPr>
          <w:rFonts w:ascii="Verdana" w:eastAsia="Times New Roman" w:hAnsi="Verdana" w:cs="Segoe UI"/>
          <w:sz w:val="20"/>
          <w:szCs w:val="20"/>
          <w:lang w:val="en-GB"/>
        </w:rPr>
        <w:t>”</w:t>
      </w:r>
      <w:r w:rsidRPr="00046517">
        <w:rPr>
          <w:rFonts w:ascii="Verdana" w:eastAsia="Times New Roman" w:hAnsi="Verdana" w:cs="Segoe UI"/>
          <w:sz w:val="20"/>
          <w:szCs w:val="20"/>
          <w:lang w:val="en-GB"/>
        </w:rPr>
        <w:t xml:space="preserve"> of their customer database and past transaction record </w:t>
      </w:r>
      <w:r w:rsidR="009A5C6D" w:rsidRPr="00046517">
        <w:rPr>
          <w:rFonts w:ascii="Verdana" w:eastAsia="Times New Roman" w:hAnsi="Verdana" w:cs="Segoe UI"/>
          <w:sz w:val="20"/>
          <w:szCs w:val="20"/>
          <w:lang w:val="en-GB"/>
        </w:rPr>
        <w:t>but does</w:t>
      </w:r>
      <w:r w:rsidR="0096474D" w:rsidRPr="00046517">
        <w:rPr>
          <w:rFonts w:ascii="Verdana" w:eastAsia="Times New Roman" w:hAnsi="Verdana" w:cs="Segoe UI"/>
          <w:sz w:val="20"/>
          <w:szCs w:val="20"/>
          <w:lang w:val="en-GB"/>
        </w:rPr>
        <w:t xml:space="preserve"> </w:t>
      </w:r>
      <w:r w:rsidR="009A5C6D" w:rsidRPr="00046517">
        <w:rPr>
          <w:rFonts w:ascii="Verdana" w:eastAsia="Times New Roman" w:hAnsi="Verdana" w:cs="Segoe UI"/>
          <w:sz w:val="20"/>
          <w:szCs w:val="20"/>
          <w:lang w:val="en-GB"/>
        </w:rPr>
        <w:t>n</w:t>
      </w:r>
      <w:r w:rsidR="0096474D" w:rsidRPr="00046517">
        <w:rPr>
          <w:rFonts w:ascii="Verdana" w:eastAsia="Times New Roman" w:hAnsi="Verdana" w:cs="Segoe UI"/>
          <w:sz w:val="20"/>
          <w:szCs w:val="20"/>
          <w:lang w:val="en-GB"/>
        </w:rPr>
        <w:t>o</w:t>
      </w:r>
      <w:r w:rsidR="009A5C6D" w:rsidRPr="00046517">
        <w:rPr>
          <w:rFonts w:ascii="Verdana" w:eastAsia="Times New Roman" w:hAnsi="Verdana" w:cs="Segoe UI"/>
          <w:sz w:val="20"/>
          <w:szCs w:val="20"/>
          <w:lang w:val="en-GB"/>
        </w:rPr>
        <w:t xml:space="preserve">t define the </w:t>
      </w:r>
      <w:r w:rsidR="008F24D5" w:rsidRPr="00046517">
        <w:rPr>
          <w:rFonts w:ascii="Verdana" w:eastAsia="Times New Roman" w:hAnsi="Verdana" w:cs="Segoe UI"/>
          <w:sz w:val="20"/>
          <w:szCs w:val="20"/>
          <w:lang w:val="en-GB"/>
        </w:rPr>
        <w:t xml:space="preserve">criterion </w:t>
      </w:r>
      <w:r w:rsidR="008D0D40" w:rsidRPr="00046517">
        <w:rPr>
          <w:rFonts w:ascii="Verdana" w:eastAsia="Times New Roman" w:hAnsi="Verdana" w:cs="Segoe UI"/>
          <w:sz w:val="20"/>
          <w:szCs w:val="20"/>
          <w:lang w:val="en-GB"/>
        </w:rPr>
        <w:t>to be used as the basis for this</w:t>
      </w:r>
      <w:r w:rsidR="009A5C6D" w:rsidRPr="00046517">
        <w:rPr>
          <w:rFonts w:ascii="Verdana" w:eastAsia="Times New Roman" w:hAnsi="Verdana" w:cs="Segoe UI"/>
          <w:sz w:val="20"/>
          <w:szCs w:val="20"/>
          <w:lang w:val="en-GB"/>
        </w:rPr>
        <w:t xml:space="preserve"> retroactive screening. Is the</w:t>
      </w:r>
      <w:r w:rsidR="000D0884" w:rsidRPr="00046517">
        <w:rPr>
          <w:rFonts w:ascii="Verdana" w:eastAsia="Times New Roman" w:hAnsi="Verdana" w:cs="Segoe UI"/>
          <w:sz w:val="20"/>
          <w:szCs w:val="20"/>
          <w:lang w:val="en-GB"/>
        </w:rPr>
        <w:t xml:space="preserve"> basis for this retroactive screening the entry into force of</w:t>
      </w:r>
      <w:r w:rsidR="009A5C6D" w:rsidRPr="00046517">
        <w:rPr>
          <w:rFonts w:ascii="Verdana" w:eastAsia="Times New Roman" w:hAnsi="Verdana" w:cs="Segoe UI"/>
          <w:sz w:val="20"/>
          <w:szCs w:val="20"/>
          <w:lang w:val="en-GB"/>
        </w:rPr>
        <w:t xml:space="preserve"> </w:t>
      </w:r>
      <w:r w:rsidR="00491EAE" w:rsidRPr="00046517">
        <w:rPr>
          <w:rFonts w:ascii="Verdana" w:eastAsia="Times New Roman" w:hAnsi="Verdana" w:cs="Segoe UI"/>
          <w:sz w:val="20"/>
          <w:szCs w:val="20"/>
          <w:lang w:val="en-GB"/>
        </w:rPr>
        <w:t>the restrictive measure</w:t>
      </w:r>
      <w:r w:rsidR="009A5C6D" w:rsidRPr="00046517">
        <w:rPr>
          <w:rFonts w:ascii="Verdana" w:eastAsia="Times New Roman" w:hAnsi="Verdana" w:cs="Segoe UI"/>
          <w:sz w:val="20"/>
          <w:szCs w:val="20"/>
          <w:lang w:val="en-GB"/>
        </w:rPr>
        <w:t xml:space="preserve">? If </w:t>
      </w:r>
      <w:r w:rsidR="000D0884" w:rsidRPr="00046517">
        <w:rPr>
          <w:rFonts w:ascii="Verdana" w:eastAsia="Times New Roman" w:hAnsi="Verdana" w:cs="Segoe UI"/>
          <w:sz w:val="20"/>
          <w:szCs w:val="20"/>
          <w:lang w:val="en-GB"/>
        </w:rPr>
        <w:t>so</w:t>
      </w:r>
      <w:r w:rsidR="009A5C6D" w:rsidRPr="00046517">
        <w:rPr>
          <w:rFonts w:ascii="Verdana" w:eastAsia="Times New Roman" w:hAnsi="Verdana" w:cs="Segoe UI"/>
          <w:sz w:val="20"/>
          <w:szCs w:val="20"/>
          <w:lang w:val="en-GB"/>
        </w:rPr>
        <w:t xml:space="preserve">, we </w:t>
      </w:r>
      <w:r w:rsidR="000D0884" w:rsidRPr="00046517">
        <w:rPr>
          <w:rFonts w:ascii="Verdana" w:eastAsia="Times New Roman" w:hAnsi="Verdana" w:cs="Segoe UI"/>
          <w:sz w:val="20"/>
          <w:szCs w:val="20"/>
          <w:lang w:val="en-GB"/>
        </w:rPr>
        <w:t xml:space="preserve">believe </w:t>
      </w:r>
      <w:r w:rsidR="009A5C6D" w:rsidRPr="00046517">
        <w:rPr>
          <w:rFonts w:ascii="Verdana" w:eastAsia="Times New Roman" w:hAnsi="Verdana" w:cs="Segoe UI"/>
          <w:sz w:val="20"/>
          <w:szCs w:val="20"/>
          <w:lang w:val="en-GB"/>
        </w:rPr>
        <w:t xml:space="preserve">that the example given in the second sentence is not </w:t>
      </w:r>
      <w:r w:rsidR="000D0884" w:rsidRPr="00046517">
        <w:rPr>
          <w:rFonts w:ascii="Verdana" w:eastAsia="Times New Roman" w:hAnsi="Verdana" w:cs="Segoe UI"/>
          <w:sz w:val="20"/>
          <w:szCs w:val="20"/>
          <w:lang w:val="en-GB"/>
        </w:rPr>
        <w:t>suitable</w:t>
      </w:r>
      <w:r w:rsidR="008A7FE9" w:rsidRPr="00046517">
        <w:rPr>
          <w:rFonts w:ascii="Verdana" w:eastAsia="Times New Roman" w:hAnsi="Verdana" w:cs="Segoe UI"/>
          <w:sz w:val="20"/>
          <w:szCs w:val="20"/>
          <w:lang w:val="en-GB"/>
        </w:rPr>
        <w:t xml:space="preserve">. Indeed, </w:t>
      </w:r>
      <w:r w:rsidR="009A5C6D" w:rsidRPr="00046517">
        <w:rPr>
          <w:rFonts w:ascii="Verdana" w:eastAsia="Times New Roman" w:hAnsi="Verdana" w:cs="Segoe UI"/>
          <w:sz w:val="20"/>
          <w:szCs w:val="20"/>
          <w:lang w:val="en-GB"/>
        </w:rPr>
        <w:t xml:space="preserve">financial institutions cannot </w:t>
      </w:r>
      <w:r w:rsidR="000D0884" w:rsidRPr="00046517">
        <w:rPr>
          <w:rFonts w:ascii="Verdana" w:eastAsia="Times New Roman" w:hAnsi="Verdana" w:cs="Segoe UI"/>
          <w:sz w:val="20"/>
          <w:szCs w:val="20"/>
          <w:lang w:val="en-GB"/>
        </w:rPr>
        <w:t xml:space="preserve">reasonably </w:t>
      </w:r>
      <w:r w:rsidR="009A5C6D" w:rsidRPr="00046517">
        <w:rPr>
          <w:rFonts w:ascii="Verdana" w:eastAsia="Times New Roman" w:hAnsi="Verdana" w:cs="Segoe UI"/>
          <w:sz w:val="20"/>
          <w:szCs w:val="20"/>
          <w:lang w:val="en-GB"/>
        </w:rPr>
        <w:t xml:space="preserve">suspect that their previous screening system was inadequate or ineffective whereas the sanctioned person wat not sanctioned at that time. </w:t>
      </w:r>
    </w:p>
    <w:p w14:paraId="55431289" w14:textId="224B47D6" w:rsidR="0096474D" w:rsidRPr="00046517" w:rsidRDefault="009A5C6D" w:rsidP="001D3C52">
      <w:pPr>
        <w:jc w:val="both"/>
        <w:rPr>
          <w:rFonts w:ascii="Verdana" w:eastAsia="Times New Roman" w:hAnsi="Verdana" w:cs="Segoe UI"/>
          <w:sz w:val="20"/>
          <w:szCs w:val="20"/>
          <w:lang w:val="en-GB"/>
        </w:rPr>
      </w:pPr>
      <w:r w:rsidRPr="00046517">
        <w:rPr>
          <w:rFonts w:ascii="Verdana" w:eastAsia="Times New Roman" w:hAnsi="Verdana" w:cs="Segoe UI"/>
          <w:b/>
          <w:sz w:val="20"/>
          <w:szCs w:val="20"/>
          <w:lang w:val="en-GB"/>
        </w:rPr>
        <w:t>Paragraph 29</w:t>
      </w:r>
      <w:r w:rsidR="00FF096C" w:rsidRPr="00046517">
        <w:rPr>
          <w:rFonts w:ascii="Verdana" w:eastAsia="Times New Roman" w:hAnsi="Verdana" w:cs="Segoe UI"/>
          <w:sz w:val="20"/>
          <w:szCs w:val="20"/>
          <w:lang w:val="en-GB"/>
        </w:rPr>
        <w:t xml:space="preserve">: </w:t>
      </w:r>
      <w:r w:rsidRPr="00046517">
        <w:rPr>
          <w:rFonts w:ascii="Verdana" w:eastAsia="Times New Roman" w:hAnsi="Verdana" w:cs="Segoe UI"/>
          <w:sz w:val="20"/>
          <w:szCs w:val="20"/>
          <w:lang w:val="en-GB"/>
        </w:rPr>
        <w:t>It seems difficult at this stage to require a common methodology for restrictive measures exposure assessment</w:t>
      </w:r>
      <w:r w:rsidR="000D0884" w:rsidRPr="00046517">
        <w:rPr>
          <w:rFonts w:ascii="Verdana" w:eastAsia="Times New Roman" w:hAnsi="Verdana" w:cs="Segoe UI"/>
          <w:sz w:val="20"/>
          <w:szCs w:val="20"/>
          <w:lang w:val="en-GB"/>
        </w:rPr>
        <w:t>s</w:t>
      </w:r>
      <w:r w:rsidRPr="00046517">
        <w:rPr>
          <w:rFonts w:ascii="Verdana" w:eastAsia="Times New Roman" w:hAnsi="Verdana" w:cs="Segoe UI"/>
          <w:sz w:val="20"/>
          <w:szCs w:val="20"/>
          <w:lang w:val="en-GB"/>
        </w:rPr>
        <w:t xml:space="preserve"> because </w:t>
      </w:r>
      <w:r w:rsidR="00A834AE" w:rsidRPr="00046517">
        <w:rPr>
          <w:rFonts w:ascii="Verdana" w:eastAsia="Times New Roman" w:hAnsi="Verdana" w:cs="Segoe UI"/>
          <w:sz w:val="20"/>
          <w:szCs w:val="20"/>
          <w:lang w:val="en-GB"/>
        </w:rPr>
        <w:t>it</w:t>
      </w:r>
      <w:r w:rsidR="00FF3795" w:rsidRPr="00046517">
        <w:rPr>
          <w:rFonts w:ascii="Verdana" w:eastAsia="Times New Roman" w:hAnsi="Verdana" w:cs="Segoe UI"/>
          <w:sz w:val="20"/>
          <w:szCs w:val="20"/>
          <w:lang w:val="en-GB"/>
        </w:rPr>
        <w:t xml:space="preserve"> i</w:t>
      </w:r>
      <w:r w:rsidR="00A834AE" w:rsidRPr="00046517">
        <w:rPr>
          <w:rFonts w:ascii="Verdana" w:eastAsia="Times New Roman" w:hAnsi="Verdana" w:cs="Segoe UI"/>
          <w:sz w:val="20"/>
          <w:szCs w:val="20"/>
          <w:lang w:val="en-GB"/>
        </w:rPr>
        <w:t>s something new</w:t>
      </w:r>
      <w:r w:rsidR="00DB4BEB" w:rsidRPr="00046517">
        <w:rPr>
          <w:rFonts w:ascii="Verdana" w:eastAsia="Times New Roman" w:hAnsi="Verdana" w:cs="Segoe UI"/>
          <w:sz w:val="20"/>
          <w:szCs w:val="20"/>
          <w:lang w:val="en-GB"/>
        </w:rPr>
        <w:t xml:space="preserve"> and banks were not required</w:t>
      </w:r>
      <w:r w:rsidR="004E05B7" w:rsidRPr="00046517">
        <w:rPr>
          <w:rFonts w:ascii="Verdana" w:eastAsia="Times New Roman" w:hAnsi="Verdana" w:cs="Segoe UI"/>
          <w:sz w:val="20"/>
          <w:szCs w:val="20"/>
          <w:lang w:val="en-GB"/>
        </w:rPr>
        <w:t xml:space="preserve"> before</w:t>
      </w:r>
      <w:r w:rsidR="00DB4BEB" w:rsidRPr="00046517">
        <w:rPr>
          <w:rFonts w:ascii="Verdana" w:eastAsia="Times New Roman" w:hAnsi="Verdana" w:cs="Segoe UI"/>
          <w:sz w:val="20"/>
          <w:szCs w:val="20"/>
          <w:lang w:val="en-GB"/>
        </w:rPr>
        <w:t xml:space="preserve"> to </w:t>
      </w:r>
      <w:r w:rsidR="004E05B7" w:rsidRPr="00046517">
        <w:rPr>
          <w:rFonts w:ascii="Verdana" w:eastAsia="Times New Roman" w:hAnsi="Verdana" w:cs="Segoe UI"/>
          <w:sz w:val="20"/>
          <w:szCs w:val="20"/>
          <w:lang w:val="en-GB"/>
        </w:rPr>
        <w:t xml:space="preserve">document such assessment </w:t>
      </w:r>
      <w:r w:rsidR="004E05B7" w:rsidRPr="00046517">
        <w:rPr>
          <w:rFonts w:ascii="Verdana" w:eastAsia="Times New Roman" w:hAnsi="Verdana" w:cs="Segoe UI"/>
          <w:sz w:val="20"/>
          <w:szCs w:val="20"/>
          <w:u w:val="single"/>
          <w:lang w:val="en-GB"/>
        </w:rPr>
        <w:t>separately</w:t>
      </w:r>
      <w:r w:rsidR="004E05B7" w:rsidRPr="00046517">
        <w:rPr>
          <w:rFonts w:ascii="Verdana" w:eastAsia="Times New Roman" w:hAnsi="Verdana" w:cs="Segoe UI"/>
          <w:sz w:val="20"/>
          <w:szCs w:val="20"/>
          <w:lang w:val="en-GB"/>
        </w:rPr>
        <w:t xml:space="preserve"> from their </w:t>
      </w:r>
      <w:r w:rsidR="000D0884" w:rsidRPr="00046517">
        <w:rPr>
          <w:rFonts w:ascii="Verdana" w:eastAsia="Times New Roman" w:hAnsi="Verdana" w:cs="Segoe UI"/>
          <w:sz w:val="20"/>
          <w:szCs w:val="20"/>
          <w:lang w:val="en-GB"/>
        </w:rPr>
        <w:t xml:space="preserve">financial security risk </w:t>
      </w:r>
      <w:r w:rsidR="004E05B7" w:rsidRPr="00046517">
        <w:rPr>
          <w:rFonts w:ascii="Verdana" w:eastAsia="Times New Roman" w:hAnsi="Verdana" w:cs="Segoe UI"/>
          <w:sz w:val="20"/>
          <w:szCs w:val="20"/>
          <w:lang w:val="en-GB"/>
        </w:rPr>
        <w:t>overall assessment</w:t>
      </w:r>
      <w:r w:rsidR="00DB4BEB" w:rsidRPr="00046517">
        <w:rPr>
          <w:rFonts w:ascii="Verdana" w:eastAsia="Times New Roman" w:hAnsi="Verdana" w:cs="Segoe UI"/>
          <w:sz w:val="20"/>
          <w:szCs w:val="20"/>
          <w:lang w:val="en-GB"/>
        </w:rPr>
        <w:t xml:space="preserve">. </w:t>
      </w:r>
      <w:r w:rsidR="004E05B7" w:rsidRPr="00046517">
        <w:rPr>
          <w:rFonts w:ascii="Verdana" w:eastAsia="Times New Roman" w:hAnsi="Verdana" w:cs="Segoe UI"/>
          <w:sz w:val="20"/>
          <w:szCs w:val="20"/>
          <w:lang w:val="en-GB"/>
        </w:rPr>
        <w:t>Given</w:t>
      </w:r>
      <w:r w:rsidR="00DB4BEB" w:rsidRPr="00046517">
        <w:rPr>
          <w:rFonts w:ascii="Verdana" w:eastAsia="Times New Roman" w:hAnsi="Verdana" w:cs="Segoe UI"/>
          <w:sz w:val="20"/>
          <w:szCs w:val="20"/>
          <w:lang w:val="en-GB"/>
        </w:rPr>
        <w:t xml:space="preserve"> the lack of past </w:t>
      </w:r>
      <w:r w:rsidR="004E05B7" w:rsidRPr="00046517">
        <w:rPr>
          <w:rFonts w:ascii="Verdana" w:eastAsia="Times New Roman" w:hAnsi="Verdana" w:cs="Segoe UI"/>
          <w:sz w:val="20"/>
          <w:szCs w:val="20"/>
          <w:lang w:val="en-GB"/>
        </w:rPr>
        <w:t>experiment</w:t>
      </w:r>
      <w:r w:rsidR="008A7FE9" w:rsidRPr="00046517">
        <w:rPr>
          <w:rFonts w:ascii="Verdana" w:eastAsia="Times New Roman" w:hAnsi="Verdana" w:cs="Segoe UI"/>
          <w:sz w:val="20"/>
          <w:szCs w:val="20"/>
          <w:lang w:val="en-GB"/>
        </w:rPr>
        <w:t>s</w:t>
      </w:r>
      <w:r w:rsidR="004E05B7" w:rsidRPr="00046517">
        <w:rPr>
          <w:rFonts w:ascii="Verdana" w:eastAsia="Times New Roman" w:hAnsi="Verdana" w:cs="Segoe UI"/>
          <w:sz w:val="20"/>
          <w:szCs w:val="20"/>
          <w:lang w:val="en-GB"/>
        </w:rPr>
        <w:t xml:space="preserve">, we think that such common methodology </w:t>
      </w:r>
      <w:r w:rsidR="000D0884" w:rsidRPr="00046517">
        <w:rPr>
          <w:rFonts w:ascii="Verdana" w:eastAsia="Times New Roman" w:hAnsi="Verdana" w:cs="Segoe UI"/>
          <w:sz w:val="20"/>
          <w:szCs w:val="20"/>
          <w:lang w:val="en-GB"/>
        </w:rPr>
        <w:t xml:space="preserve">is </w:t>
      </w:r>
      <w:r w:rsidR="004E05B7" w:rsidRPr="00046517">
        <w:rPr>
          <w:rFonts w:ascii="Verdana" w:eastAsia="Times New Roman" w:hAnsi="Verdana" w:cs="Segoe UI"/>
          <w:sz w:val="20"/>
          <w:szCs w:val="20"/>
          <w:lang w:val="en-GB"/>
        </w:rPr>
        <w:t>premature</w:t>
      </w:r>
      <w:r w:rsidR="00A834AE" w:rsidRPr="00046517">
        <w:rPr>
          <w:rFonts w:ascii="Verdana" w:eastAsia="Times New Roman" w:hAnsi="Verdana" w:cs="Segoe UI"/>
          <w:sz w:val="20"/>
          <w:szCs w:val="20"/>
          <w:lang w:val="en-GB"/>
        </w:rPr>
        <w:t xml:space="preserve">. </w:t>
      </w:r>
    </w:p>
    <w:p w14:paraId="5F50C8CE" w14:textId="5B30B64D" w:rsidR="009A5C6D" w:rsidRPr="00046517" w:rsidRDefault="000D0884" w:rsidP="001D3C52">
      <w:pPr>
        <w:jc w:val="both"/>
        <w:rPr>
          <w:rFonts w:ascii="Verdana" w:eastAsia="Times New Roman" w:hAnsi="Verdana" w:cs="Segoe UI"/>
          <w:sz w:val="20"/>
          <w:szCs w:val="20"/>
          <w:lang w:val="en-GB"/>
        </w:rPr>
      </w:pPr>
      <w:r w:rsidRPr="00046517">
        <w:rPr>
          <w:rFonts w:ascii="Verdana" w:eastAsia="Times New Roman" w:hAnsi="Verdana" w:cs="Segoe UI"/>
          <w:sz w:val="20"/>
          <w:szCs w:val="20"/>
          <w:lang w:val="en-GB"/>
        </w:rPr>
        <w:t>Additionally</w:t>
      </w:r>
      <w:r w:rsidR="00A834AE" w:rsidRPr="00046517">
        <w:rPr>
          <w:rFonts w:ascii="Verdana" w:eastAsia="Times New Roman" w:hAnsi="Verdana" w:cs="Segoe UI"/>
          <w:sz w:val="20"/>
          <w:szCs w:val="20"/>
          <w:lang w:val="en-GB"/>
        </w:rPr>
        <w:t xml:space="preserve">, </w:t>
      </w:r>
      <w:r w:rsidR="0096474D" w:rsidRPr="00046517">
        <w:rPr>
          <w:rFonts w:ascii="Verdana" w:eastAsia="Times New Roman" w:hAnsi="Verdana" w:cs="Segoe UI"/>
          <w:sz w:val="20"/>
          <w:szCs w:val="20"/>
          <w:lang w:val="en-GB"/>
        </w:rPr>
        <w:t>requiring parent ent</w:t>
      </w:r>
      <w:r w:rsidR="00C30AAA" w:rsidRPr="00046517">
        <w:rPr>
          <w:rFonts w:ascii="Verdana" w:eastAsia="Times New Roman" w:hAnsi="Verdana" w:cs="Segoe UI"/>
          <w:sz w:val="20"/>
          <w:szCs w:val="20"/>
          <w:lang w:val="en-GB"/>
        </w:rPr>
        <w:t>ities of groups</w:t>
      </w:r>
      <w:r w:rsidR="0096474D" w:rsidRPr="00046517">
        <w:rPr>
          <w:rFonts w:ascii="Verdana" w:eastAsia="Times New Roman" w:hAnsi="Verdana" w:cs="Segoe UI"/>
          <w:sz w:val="20"/>
          <w:szCs w:val="20"/>
          <w:lang w:val="en-GB"/>
        </w:rPr>
        <w:t xml:space="preserve"> to impose a common methodology</w:t>
      </w:r>
      <w:r w:rsidR="004E05B7" w:rsidRPr="00046517">
        <w:rPr>
          <w:rFonts w:ascii="Verdana" w:eastAsia="Times New Roman" w:hAnsi="Verdana" w:cs="Segoe UI"/>
          <w:sz w:val="20"/>
          <w:szCs w:val="20"/>
          <w:lang w:val="en-GB"/>
        </w:rPr>
        <w:t xml:space="preserve"> </w:t>
      </w:r>
      <w:r w:rsidR="0096474D" w:rsidRPr="00046517">
        <w:rPr>
          <w:rFonts w:ascii="Verdana" w:eastAsia="Times New Roman" w:hAnsi="Verdana" w:cs="Segoe UI"/>
          <w:sz w:val="20"/>
          <w:szCs w:val="20"/>
          <w:lang w:val="en-GB"/>
        </w:rPr>
        <w:t xml:space="preserve">for the entire group may not be </w:t>
      </w:r>
      <w:r w:rsidR="00C30AAA" w:rsidRPr="00046517">
        <w:rPr>
          <w:rFonts w:ascii="Verdana" w:eastAsia="Times New Roman" w:hAnsi="Verdana" w:cs="Segoe UI"/>
          <w:sz w:val="20"/>
          <w:szCs w:val="20"/>
          <w:lang w:val="en-GB"/>
        </w:rPr>
        <w:t>practicable in decentralized cooperative groups</w:t>
      </w:r>
      <w:r w:rsidRPr="00046517">
        <w:rPr>
          <w:rFonts w:ascii="Verdana" w:eastAsia="Times New Roman" w:hAnsi="Verdana" w:cs="Segoe UI"/>
          <w:sz w:val="20"/>
          <w:szCs w:val="20"/>
          <w:lang w:val="en-GB"/>
        </w:rPr>
        <w:t>, especially in cases</w:t>
      </w:r>
      <w:r w:rsidR="00C30AAA" w:rsidRPr="00046517">
        <w:rPr>
          <w:rFonts w:ascii="Verdana" w:eastAsia="Times New Roman" w:hAnsi="Verdana" w:cs="Segoe UI"/>
          <w:sz w:val="20"/>
          <w:szCs w:val="20"/>
          <w:lang w:val="en-GB"/>
        </w:rPr>
        <w:t xml:space="preserve"> w</w:t>
      </w:r>
      <w:r w:rsidR="00B86EE9" w:rsidRPr="00046517">
        <w:rPr>
          <w:rFonts w:ascii="Verdana" w:eastAsia="Times New Roman" w:hAnsi="Verdana" w:cs="Segoe UI"/>
          <w:sz w:val="20"/>
          <w:szCs w:val="20"/>
          <w:lang w:val="en-GB"/>
        </w:rPr>
        <w:t xml:space="preserve">here </w:t>
      </w:r>
      <w:r w:rsidR="00C30AAA" w:rsidRPr="00046517">
        <w:rPr>
          <w:rFonts w:ascii="Verdana" w:eastAsia="Times New Roman" w:hAnsi="Verdana" w:cs="Segoe UI"/>
          <w:sz w:val="20"/>
          <w:szCs w:val="20"/>
          <w:lang w:val="en-GB"/>
        </w:rPr>
        <w:t>organizational principles</w:t>
      </w:r>
      <w:r w:rsidR="00B86EE9" w:rsidRPr="00046517">
        <w:rPr>
          <w:rFonts w:ascii="Verdana" w:eastAsia="Times New Roman" w:hAnsi="Verdana" w:cs="Segoe UI"/>
          <w:sz w:val="20"/>
          <w:szCs w:val="20"/>
          <w:lang w:val="en-GB"/>
        </w:rPr>
        <w:t xml:space="preserve"> provide that operational compliance matters </w:t>
      </w:r>
      <w:r w:rsidR="007E0030" w:rsidRPr="00046517">
        <w:rPr>
          <w:rFonts w:ascii="Verdana" w:eastAsia="Times New Roman" w:hAnsi="Verdana" w:cs="Segoe UI"/>
          <w:sz w:val="20"/>
          <w:szCs w:val="20"/>
          <w:lang w:val="en-GB"/>
        </w:rPr>
        <w:t xml:space="preserve">are </w:t>
      </w:r>
      <w:r w:rsidR="00B86EE9" w:rsidRPr="00046517">
        <w:rPr>
          <w:rFonts w:ascii="Verdana" w:eastAsia="Times New Roman" w:hAnsi="Verdana" w:cs="Segoe UI"/>
          <w:sz w:val="20"/>
          <w:szCs w:val="20"/>
          <w:lang w:val="en-GB"/>
        </w:rPr>
        <w:t xml:space="preserve">addressed </w:t>
      </w:r>
      <w:r w:rsidR="00C30AAA" w:rsidRPr="00046517">
        <w:rPr>
          <w:rFonts w:ascii="Verdana" w:eastAsia="Times New Roman" w:hAnsi="Verdana" w:cs="Segoe UI"/>
          <w:sz w:val="20"/>
          <w:szCs w:val="20"/>
          <w:lang w:val="en-GB"/>
        </w:rPr>
        <w:t>at local/sub-consolidated level</w:t>
      </w:r>
      <w:r w:rsidR="00A834AE" w:rsidRPr="00046517">
        <w:rPr>
          <w:rFonts w:ascii="Verdana" w:eastAsia="Times New Roman" w:hAnsi="Verdana" w:cs="Segoe UI"/>
          <w:sz w:val="20"/>
          <w:szCs w:val="20"/>
          <w:lang w:val="en-GB"/>
        </w:rPr>
        <w:t xml:space="preserve">. </w:t>
      </w:r>
    </w:p>
    <w:p w14:paraId="6B487AE1" w14:textId="77777777" w:rsidR="008A7FE9" w:rsidRPr="00046517" w:rsidRDefault="008A7FE9" w:rsidP="001D3C52">
      <w:pPr>
        <w:jc w:val="both"/>
        <w:rPr>
          <w:rFonts w:ascii="Verdana" w:eastAsia="Times New Roman" w:hAnsi="Verdana" w:cs="Segoe UI"/>
          <w:sz w:val="20"/>
          <w:szCs w:val="20"/>
          <w:lang w:val="en-GB"/>
        </w:rPr>
      </w:pPr>
    </w:p>
    <w:p w14:paraId="3C46B933" w14:textId="77777777" w:rsidR="001D3C52" w:rsidRPr="00046517" w:rsidRDefault="001D3C52" w:rsidP="001D3C52">
      <w:pPr>
        <w:jc w:val="both"/>
        <w:rPr>
          <w:rFonts w:ascii="Verdana" w:hAnsi="Verdana" w:cstheme="minorHAnsi"/>
          <w:sz w:val="20"/>
          <w:szCs w:val="20"/>
          <w:lang w:val="en-GB"/>
        </w:rPr>
      </w:pPr>
      <w:r w:rsidRPr="00046517">
        <w:rPr>
          <w:rFonts w:ascii="Verdana" w:hAnsi="Verdana" w:cstheme="minorHAnsi"/>
          <w:sz w:val="20"/>
          <w:szCs w:val="20"/>
          <w:lang w:val="en-GB"/>
        </w:rPr>
        <w:t>4.3 Effective restrictive measures policies and procedures</w:t>
      </w:r>
    </w:p>
    <w:p w14:paraId="7FDA3ED5" w14:textId="4D05002C" w:rsidR="00491EAE" w:rsidRPr="00046517" w:rsidRDefault="001D3C52" w:rsidP="001D3C52">
      <w:pPr>
        <w:jc w:val="both"/>
        <w:rPr>
          <w:rFonts w:ascii="Verdana" w:hAnsi="Verdana" w:cstheme="minorHAnsi"/>
          <w:sz w:val="20"/>
          <w:szCs w:val="20"/>
          <w:lang w:val="en-GB"/>
        </w:rPr>
      </w:pPr>
      <w:r w:rsidRPr="00046517">
        <w:rPr>
          <w:rFonts w:ascii="Verdana" w:hAnsi="Verdana" w:cstheme="minorHAnsi"/>
          <w:sz w:val="20"/>
          <w:szCs w:val="20"/>
          <w:lang w:val="en-GB"/>
        </w:rPr>
        <w:t>4.4 Training</w:t>
      </w:r>
    </w:p>
    <w:p w14:paraId="192F6206" w14:textId="00BE9EB2" w:rsidR="00FF096C" w:rsidRPr="00046517" w:rsidRDefault="00491EAE" w:rsidP="001D3C52">
      <w:pPr>
        <w:jc w:val="both"/>
        <w:rPr>
          <w:rFonts w:ascii="Verdana" w:eastAsia="Times New Roman" w:hAnsi="Verdana" w:cs="Segoe UI"/>
          <w:sz w:val="20"/>
          <w:szCs w:val="20"/>
          <w:lang w:val="en-GB"/>
        </w:rPr>
      </w:pPr>
      <w:r w:rsidRPr="00046517">
        <w:rPr>
          <w:rFonts w:ascii="Verdana" w:eastAsia="Times New Roman" w:hAnsi="Verdana" w:cs="Segoe UI"/>
          <w:b/>
          <w:sz w:val="20"/>
          <w:szCs w:val="20"/>
          <w:lang w:val="en-GB"/>
        </w:rPr>
        <w:t>Paragraph 32</w:t>
      </w:r>
      <w:r w:rsidR="00FF096C" w:rsidRPr="00046517">
        <w:rPr>
          <w:rFonts w:ascii="Verdana" w:eastAsia="Times New Roman" w:hAnsi="Verdana" w:cs="Segoe UI"/>
          <w:sz w:val="20"/>
          <w:szCs w:val="20"/>
          <w:lang w:val="en-GB"/>
        </w:rPr>
        <w:t xml:space="preserve">: </w:t>
      </w:r>
      <w:r w:rsidRPr="00046517">
        <w:rPr>
          <w:rFonts w:ascii="Verdana" w:eastAsia="Times New Roman" w:hAnsi="Verdana" w:cs="Segoe UI"/>
          <w:sz w:val="20"/>
          <w:szCs w:val="20"/>
          <w:lang w:val="en-GB"/>
        </w:rPr>
        <w:t>It would be appropriate to distinguish the nature and the scope of the restrictive measures</w:t>
      </w:r>
      <w:r w:rsidR="00B86EE9" w:rsidRPr="00046517">
        <w:rPr>
          <w:rFonts w:ascii="Verdana" w:eastAsia="Times New Roman" w:hAnsi="Verdana" w:cs="Segoe UI"/>
          <w:sz w:val="20"/>
          <w:szCs w:val="20"/>
          <w:lang w:val="en-GB"/>
        </w:rPr>
        <w:t xml:space="preserve"> (See our comment under paragraph 22 above)</w:t>
      </w:r>
      <w:r w:rsidRPr="00046517">
        <w:rPr>
          <w:rFonts w:ascii="Verdana" w:eastAsia="Times New Roman" w:hAnsi="Verdana" w:cs="Segoe UI"/>
          <w:sz w:val="20"/>
          <w:szCs w:val="20"/>
          <w:lang w:val="en-GB"/>
        </w:rPr>
        <w:t xml:space="preserve">.   </w:t>
      </w:r>
    </w:p>
    <w:p w14:paraId="7CE7B273" w14:textId="569EF7CF" w:rsidR="00FF096C" w:rsidRPr="00046517" w:rsidRDefault="00FF096C">
      <w:pPr>
        <w:rPr>
          <w:rFonts w:ascii="Verdana" w:hAnsi="Verdana" w:cstheme="minorHAnsi"/>
          <w:b/>
          <w:bCs/>
          <w:sz w:val="20"/>
          <w:szCs w:val="20"/>
          <w:lang w:val="en-GB"/>
        </w:rPr>
      </w:pPr>
    </w:p>
    <w:p w14:paraId="29F2C477" w14:textId="351B8C72" w:rsidR="001D3C52" w:rsidRPr="00046517" w:rsidRDefault="001D3C52" w:rsidP="00CB690F">
      <w:pPr>
        <w:jc w:val="center"/>
        <w:rPr>
          <w:rFonts w:ascii="Verdana" w:hAnsi="Verdana" w:cstheme="minorHAnsi"/>
          <w:b/>
          <w:bCs/>
          <w:sz w:val="20"/>
          <w:szCs w:val="20"/>
          <w:lang w:val="en-GB"/>
        </w:rPr>
      </w:pPr>
      <w:bookmarkStart w:id="0" w:name="_Hlk161414334"/>
      <w:r w:rsidRPr="00046517">
        <w:rPr>
          <w:rFonts w:ascii="Verdana" w:hAnsi="Verdana" w:cstheme="minorHAnsi"/>
          <w:b/>
          <w:bCs/>
          <w:sz w:val="20"/>
          <w:szCs w:val="20"/>
          <w:lang w:val="en-GB"/>
        </w:rPr>
        <w:t xml:space="preserve">Guidelines on internal policies, procedures and controls to ensure the implementation of Union and national restrictive measures under </w:t>
      </w:r>
      <w:bookmarkStart w:id="1" w:name="_Hlk161414395"/>
      <w:r w:rsidRPr="00046517">
        <w:rPr>
          <w:rFonts w:ascii="Verdana" w:hAnsi="Verdana" w:cstheme="minorHAnsi"/>
          <w:b/>
          <w:bCs/>
          <w:sz w:val="20"/>
          <w:szCs w:val="20"/>
          <w:lang w:val="en-GB"/>
        </w:rPr>
        <w:t xml:space="preserve">Regulation </w:t>
      </w:r>
      <w:bookmarkEnd w:id="0"/>
      <w:r w:rsidRPr="00046517">
        <w:rPr>
          <w:rFonts w:ascii="Verdana" w:hAnsi="Verdana" w:cstheme="minorHAnsi"/>
          <w:b/>
          <w:bCs/>
          <w:sz w:val="20"/>
          <w:szCs w:val="20"/>
          <w:lang w:val="en-GB"/>
        </w:rPr>
        <w:t>(EU) 2023/1113</w:t>
      </w:r>
      <w:bookmarkEnd w:id="1"/>
    </w:p>
    <w:p w14:paraId="6D2DF0A3" w14:textId="77777777" w:rsidR="00CB690F" w:rsidRPr="00046517" w:rsidRDefault="00CB690F" w:rsidP="001D3C52">
      <w:pPr>
        <w:jc w:val="both"/>
        <w:rPr>
          <w:rFonts w:ascii="Verdana" w:hAnsi="Verdana" w:cstheme="minorHAnsi"/>
          <w:sz w:val="20"/>
          <w:szCs w:val="20"/>
          <w:lang w:val="en-GB"/>
        </w:rPr>
      </w:pPr>
    </w:p>
    <w:p w14:paraId="244C0E6E" w14:textId="61C49849" w:rsidR="008A7FE9" w:rsidRPr="00046517" w:rsidRDefault="001D3C52" w:rsidP="001D3C52">
      <w:pPr>
        <w:jc w:val="both"/>
        <w:rPr>
          <w:rFonts w:ascii="Verdana" w:hAnsi="Verdana" w:cstheme="minorHAnsi"/>
          <w:sz w:val="20"/>
          <w:szCs w:val="20"/>
          <w:lang w:val="en-GB"/>
        </w:rPr>
      </w:pPr>
      <w:r w:rsidRPr="00046517">
        <w:rPr>
          <w:rFonts w:ascii="Verdana" w:hAnsi="Verdana" w:cstheme="minorHAnsi"/>
          <w:sz w:val="20"/>
          <w:szCs w:val="20"/>
          <w:lang w:val="en-GB"/>
        </w:rPr>
        <w:t>4.1 Restrictive measures screening</w:t>
      </w:r>
    </w:p>
    <w:p w14:paraId="3BB1704E" w14:textId="2B959399" w:rsidR="001D3C52" w:rsidRPr="00046517" w:rsidRDefault="001D3C52" w:rsidP="001D3C52">
      <w:pPr>
        <w:jc w:val="both"/>
        <w:rPr>
          <w:rFonts w:ascii="Verdana" w:hAnsi="Verdana" w:cstheme="minorHAnsi"/>
          <w:sz w:val="20"/>
          <w:szCs w:val="20"/>
          <w:lang w:val="en-GB"/>
        </w:rPr>
      </w:pPr>
      <w:r w:rsidRPr="00046517">
        <w:rPr>
          <w:rFonts w:ascii="Verdana" w:hAnsi="Verdana" w:cstheme="minorHAnsi"/>
          <w:sz w:val="20"/>
          <w:szCs w:val="20"/>
          <w:lang w:val="en-GB"/>
        </w:rPr>
        <w:t>4.1.1 Choice of screening system</w:t>
      </w:r>
    </w:p>
    <w:p w14:paraId="551A8C89" w14:textId="4F688EC6" w:rsidR="003F3C0E" w:rsidRPr="00046517" w:rsidRDefault="00CA6C1E" w:rsidP="001D3C52">
      <w:pPr>
        <w:jc w:val="both"/>
        <w:rPr>
          <w:rFonts w:ascii="Verdana" w:eastAsia="Times New Roman" w:hAnsi="Verdana" w:cs="Segoe UI"/>
          <w:sz w:val="20"/>
          <w:szCs w:val="20"/>
          <w:lang w:val="en-GB"/>
        </w:rPr>
      </w:pPr>
      <w:r w:rsidRPr="00046517">
        <w:rPr>
          <w:rFonts w:ascii="Verdana" w:eastAsia="Times New Roman" w:hAnsi="Verdana" w:cs="Segoe UI"/>
          <w:sz w:val="20"/>
          <w:szCs w:val="20"/>
          <w:lang w:val="en-GB"/>
        </w:rPr>
        <w:t xml:space="preserve">As a </w:t>
      </w:r>
      <w:r w:rsidRPr="00046517">
        <w:rPr>
          <w:rFonts w:ascii="Verdana" w:eastAsia="Times New Roman" w:hAnsi="Verdana" w:cs="Segoe UI"/>
          <w:b/>
          <w:sz w:val="20"/>
          <w:szCs w:val="20"/>
          <w:lang w:val="en-GB"/>
        </w:rPr>
        <w:t>general comment</w:t>
      </w:r>
      <w:r w:rsidRPr="00046517">
        <w:rPr>
          <w:rFonts w:ascii="Verdana" w:eastAsia="Times New Roman" w:hAnsi="Verdana" w:cs="Segoe UI"/>
          <w:sz w:val="20"/>
          <w:szCs w:val="20"/>
          <w:lang w:val="en-GB"/>
        </w:rPr>
        <w:t xml:space="preserve"> for this title, w</w:t>
      </w:r>
      <w:r w:rsidR="003F3C0E" w:rsidRPr="00046517">
        <w:rPr>
          <w:rFonts w:ascii="Verdana" w:eastAsia="Times New Roman" w:hAnsi="Verdana" w:cs="Segoe UI"/>
          <w:sz w:val="20"/>
          <w:szCs w:val="20"/>
          <w:lang w:val="en-GB"/>
        </w:rPr>
        <w:t>e think that screening</w:t>
      </w:r>
      <w:r w:rsidRPr="00046517">
        <w:rPr>
          <w:rFonts w:ascii="Verdana" w:eastAsia="Times New Roman" w:hAnsi="Verdana" w:cs="Segoe UI"/>
          <w:sz w:val="20"/>
          <w:szCs w:val="20"/>
          <w:lang w:val="en-GB"/>
        </w:rPr>
        <w:t xml:space="preserve"> systems</w:t>
      </w:r>
      <w:r w:rsidR="003F3C0E" w:rsidRPr="00046517">
        <w:rPr>
          <w:rFonts w:ascii="Verdana" w:eastAsia="Times New Roman" w:hAnsi="Verdana" w:cs="Segoe UI"/>
          <w:sz w:val="20"/>
          <w:szCs w:val="20"/>
          <w:lang w:val="en-GB"/>
        </w:rPr>
        <w:t xml:space="preserve"> </w:t>
      </w:r>
      <w:r w:rsidRPr="00046517">
        <w:rPr>
          <w:rFonts w:ascii="Verdana" w:eastAsia="Times New Roman" w:hAnsi="Verdana" w:cs="Segoe UI"/>
          <w:sz w:val="20"/>
          <w:szCs w:val="20"/>
          <w:lang w:val="en-GB"/>
        </w:rPr>
        <w:t>are</w:t>
      </w:r>
      <w:r w:rsidR="003F3C0E" w:rsidRPr="00046517">
        <w:rPr>
          <w:rFonts w:ascii="Verdana" w:eastAsia="Times New Roman" w:hAnsi="Verdana" w:cs="Segoe UI"/>
          <w:sz w:val="20"/>
          <w:szCs w:val="20"/>
          <w:lang w:val="en-GB"/>
        </w:rPr>
        <w:t xml:space="preserve"> not the only </w:t>
      </w:r>
      <w:r w:rsidRPr="00046517">
        <w:rPr>
          <w:rFonts w:ascii="Verdana" w:eastAsia="Times New Roman" w:hAnsi="Verdana" w:cs="Segoe UI"/>
          <w:sz w:val="20"/>
          <w:szCs w:val="20"/>
          <w:lang w:val="en-GB"/>
        </w:rPr>
        <w:t>tool at the disposal of banks</w:t>
      </w:r>
      <w:r w:rsidR="004808D5" w:rsidRPr="00046517">
        <w:rPr>
          <w:rFonts w:ascii="Verdana" w:eastAsia="Times New Roman" w:hAnsi="Verdana" w:cs="Segoe UI"/>
          <w:sz w:val="20"/>
          <w:szCs w:val="20"/>
          <w:lang w:val="en-GB"/>
        </w:rPr>
        <w:t xml:space="preserve"> to comply with applicable restrictive measures. It could be useful to </w:t>
      </w:r>
      <w:r w:rsidRPr="00046517">
        <w:rPr>
          <w:rFonts w:ascii="Verdana" w:eastAsia="Times New Roman" w:hAnsi="Verdana" w:cs="Segoe UI"/>
          <w:sz w:val="20"/>
          <w:szCs w:val="20"/>
          <w:lang w:val="en-GB"/>
        </w:rPr>
        <w:t>specify</w:t>
      </w:r>
      <w:r w:rsidR="004808D5" w:rsidRPr="00046517">
        <w:rPr>
          <w:rFonts w:ascii="Verdana" w:eastAsia="Times New Roman" w:hAnsi="Verdana" w:cs="Segoe UI"/>
          <w:sz w:val="20"/>
          <w:szCs w:val="20"/>
          <w:lang w:val="en-GB"/>
        </w:rPr>
        <w:t xml:space="preserve"> that other due diligence</w:t>
      </w:r>
      <w:r w:rsidR="008A7FE9" w:rsidRPr="00046517">
        <w:rPr>
          <w:rFonts w:ascii="Verdana" w:eastAsia="Times New Roman" w:hAnsi="Verdana" w:cs="Segoe UI"/>
          <w:sz w:val="20"/>
          <w:szCs w:val="20"/>
          <w:lang w:val="en-GB"/>
        </w:rPr>
        <w:t xml:space="preserve"> measures</w:t>
      </w:r>
      <w:r w:rsidR="00CB690F" w:rsidRPr="00046517">
        <w:rPr>
          <w:rFonts w:ascii="Verdana" w:eastAsia="Times New Roman" w:hAnsi="Verdana" w:cs="Segoe UI"/>
          <w:sz w:val="20"/>
          <w:szCs w:val="20"/>
          <w:lang w:val="en-GB"/>
        </w:rPr>
        <w:t xml:space="preserve">, which </w:t>
      </w:r>
      <w:r w:rsidRPr="00046517">
        <w:rPr>
          <w:rFonts w:ascii="Verdana" w:eastAsia="Times New Roman" w:hAnsi="Verdana" w:cs="Segoe UI"/>
          <w:sz w:val="20"/>
          <w:szCs w:val="20"/>
          <w:lang w:val="en-GB"/>
        </w:rPr>
        <w:t xml:space="preserve">banks deem appropriate in order </w:t>
      </w:r>
      <w:r w:rsidR="004808D5" w:rsidRPr="00046517">
        <w:rPr>
          <w:rFonts w:ascii="Verdana" w:eastAsia="Times New Roman" w:hAnsi="Verdana" w:cs="Segoe UI"/>
          <w:sz w:val="20"/>
          <w:szCs w:val="20"/>
          <w:lang w:val="en-GB"/>
        </w:rPr>
        <w:t xml:space="preserve">to </w:t>
      </w:r>
      <w:r w:rsidRPr="00046517">
        <w:rPr>
          <w:rFonts w:ascii="Verdana" w:eastAsia="Times New Roman" w:hAnsi="Verdana" w:cs="Segoe UI"/>
          <w:sz w:val="20"/>
          <w:szCs w:val="20"/>
          <w:lang w:val="en-GB"/>
        </w:rPr>
        <w:t>ensure compliance with</w:t>
      </w:r>
      <w:r w:rsidR="004808D5" w:rsidRPr="00046517">
        <w:rPr>
          <w:rFonts w:ascii="Verdana" w:eastAsia="Times New Roman" w:hAnsi="Verdana" w:cs="Segoe UI"/>
          <w:sz w:val="20"/>
          <w:szCs w:val="20"/>
          <w:lang w:val="en-GB"/>
        </w:rPr>
        <w:t xml:space="preserve"> restrictive measures</w:t>
      </w:r>
      <w:r w:rsidR="00CB690F" w:rsidRPr="00046517">
        <w:rPr>
          <w:rFonts w:ascii="Verdana" w:eastAsia="Times New Roman" w:hAnsi="Verdana" w:cs="Segoe UI"/>
          <w:sz w:val="20"/>
          <w:szCs w:val="20"/>
          <w:lang w:val="en-GB"/>
        </w:rPr>
        <w:t>,</w:t>
      </w:r>
      <w:r w:rsidR="004808D5" w:rsidRPr="00046517">
        <w:rPr>
          <w:rFonts w:ascii="Verdana" w:eastAsia="Times New Roman" w:hAnsi="Verdana" w:cs="Segoe UI"/>
          <w:sz w:val="20"/>
          <w:szCs w:val="20"/>
          <w:lang w:val="en-GB"/>
        </w:rPr>
        <w:t xml:space="preserve"> </w:t>
      </w:r>
      <w:r w:rsidRPr="00046517">
        <w:rPr>
          <w:rFonts w:ascii="Verdana" w:eastAsia="Times New Roman" w:hAnsi="Verdana" w:cs="Segoe UI"/>
          <w:sz w:val="20"/>
          <w:szCs w:val="20"/>
          <w:lang w:val="en-GB"/>
        </w:rPr>
        <w:t>should also be implemented</w:t>
      </w:r>
      <w:r w:rsidR="004808D5" w:rsidRPr="00046517">
        <w:rPr>
          <w:rFonts w:ascii="Verdana" w:eastAsia="Times New Roman" w:hAnsi="Verdana" w:cs="Segoe UI"/>
          <w:sz w:val="20"/>
          <w:szCs w:val="20"/>
          <w:lang w:val="en-GB"/>
        </w:rPr>
        <w:t xml:space="preserve">. </w:t>
      </w:r>
    </w:p>
    <w:p w14:paraId="46B535D0" w14:textId="77777777" w:rsidR="00CB690F" w:rsidRPr="00046517" w:rsidRDefault="00CB690F" w:rsidP="744C1821">
      <w:pPr>
        <w:jc w:val="both"/>
        <w:rPr>
          <w:rFonts w:ascii="Verdana" w:hAnsi="Verdana" w:cstheme="minorHAnsi"/>
          <w:sz w:val="20"/>
          <w:szCs w:val="20"/>
          <w:lang w:val="en-GB"/>
        </w:rPr>
      </w:pPr>
    </w:p>
    <w:p w14:paraId="7FC1D9E3" w14:textId="3746A71E" w:rsidR="6830C796" w:rsidRDefault="6830C796" w:rsidP="069E91D7">
      <w:pPr>
        <w:jc w:val="both"/>
        <w:rPr>
          <w:rFonts w:ascii="Verdana" w:hAnsi="Verdana"/>
          <w:color w:val="000000" w:themeColor="text1"/>
          <w:sz w:val="20"/>
          <w:szCs w:val="20"/>
          <w:lang w:val="en-GB"/>
        </w:rPr>
      </w:pPr>
      <w:bookmarkStart w:id="2" w:name="_Hlk161414438"/>
      <w:r w:rsidRPr="00046517">
        <w:rPr>
          <w:rFonts w:ascii="Verdana" w:hAnsi="Verdana"/>
          <w:color w:val="000000" w:themeColor="text1"/>
          <w:sz w:val="20"/>
          <w:szCs w:val="20"/>
          <w:lang w:val="en-GB"/>
        </w:rPr>
        <w:t>4.1.3 Defining the set of data to be screened</w:t>
      </w:r>
    </w:p>
    <w:p w14:paraId="2B2E0863" w14:textId="77777777" w:rsidR="008F2EBE" w:rsidRPr="008F2EBE" w:rsidRDefault="008F2EBE" w:rsidP="008F2EBE">
      <w:pPr>
        <w:jc w:val="both"/>
        <w:rPr>
          <w:rFonts w:ascii="Verdana" w:hAnsi="Verdana"/>
          <w:color w:val="000000" w:themeColor="text1"/>
          <w:sz w:val="20"/>
          <w:szCs w:val="20"/>
          <w:lang w:val="en-GB"/>
        </w:rPr>
      </w:pPr>
      <w:r w:rsidRPr="008F2EBE">
        <w:rPr>
          <w:rFonts w:ascii="Verdana" w:hAnsi="Verdana"/>
          <w:color w:val="000000" w:themeColor="text1"/>
          <w:sz w:val="20"/>
          <w:szCs w:val="20"/>
          <w:lang w:val="en-GB"/>
        </w:rPr>
        <w:t xml:space="preserve">Paragraph 13: It is possible that the screening solution has been built in a way that white listing would automatically stop working if the white listed person would get designated or customer information has changed. Thus, the suggested review would be unnecessary in this case. We suggest that the wording of the paragraph is modified and replaced by the following: </w:t>
      </w:r>
    </w:p>
    <w:p w14:paraId="4E43FD63" w14:textId="685CBAAD" w:rsidR="00EE70AD" w:rsidRDefault="008F2EBE" w:rsidP="008F2EBE">
      <w:pPr>
        <w:jc w:val="both"/>
        <w:rPr>
          <w:rFonts w:ascii="Verdana" w:hAnsi="Verdana"/>
          <w:color w:val="000000" w:themeColor="text1"/>
          <w:sz w:val="20"/>
          <w:szCs w:val="20"/>
          <w:lang w:val="en-GB"/>
        </w:rPr>
      </w:pPr>
      <w:r w:rsidRPr="008F2EBE">
        <w:rPr>
          <w:rFonts w:ascii="Verdana" w:hAnsi="Verdana"/>
          <w:color w:val="000000" w:themeColor="text1"/>
          <w:sz w:val="20"/>
          <w:szCs w:val="20"/>
          <w:lang w:val="en-GB"/>
        </w:rPr>
        <w:t xml:space="preserve">"Once a new restrictive measure is published, a restrictive measures-related list is amended, or if the customer information has changed, PSPs and CASPs should </w:t>
      </w:r>
      <w:r w:rsidRPr="008F2EBE">
        <w:rPr>
          <w:rFonts w:ascii="Verdana" w:hAnsi="Verdana"/>
          <w:b/>
          <w:bCs/>
          <w:color w:val="000000" w:themeColor="text1"/>
          <w:sz w:val="20"/>
          <w:szCs w:val="20"/>
          <w:lang w:val="en-GB"/>
        </w:rPr>
        <w:t>immediately ensure</w:t>
      </w:r>
      <w:r w:rsidRPr="008F2EBE">
        <w:rPr>
          <w:rFonts w:ascii="Verdana" w:hAnsi="Verdana"/>
          <w:color w:val="000000" w:themeColor="text1"/>
          <w:sz w:val="20"/>
          <w:szCs w:val="20"/>
          <w:lang w:val="en-GB"/>
        </w:rPr>
        <w:t xml:space="preserve"> that persons on the ‘white list’ are not designated."</w:t>
      </w:r>
      <w:bookmarkEnd w:id="2"/>
    </w:p>
    <w:p w14:paraId="3D7794DA" w14:textId="77777777" w:rsidR="008F2EBE" w:rsidRPr="008F2EBE" w:rsidRDefault="008F2EBE" w:rsidP="008F2EBE">
      <w:pPr>
        <w:jc w:val="both"/>
        <w:rPr>
          <w:rFonts w:ascii="Verdana" w:hAnsi="Verdana"/>
          <w:color w:val="000000" w:themeColor="text1"/>
          <w:sz w:val="20"/>
          <w:szCs w:val="20"/>
          <w:lang w:val="en-GB"/>
        </w:rPr>
      </w:pPr>
    </w:p>
    <w:p w14:paraId="4F1D11C3" w14:textId="793A2548" w:rsidR="001D3C52" w:rsidRDefault="001D3C52" w:rsidP="008F2EBE">
      <w:pPr>
        <w:shd w:val="clear" w:color="auto" w:fill="FFFFFF" w:themeFill="background1"/>
        <w:jc w:val="both"/>
        <w:rPr>
          <w:rFonts w:ascii="Verdana" w:hAnsi="Verdana" w:cstheme="minorHAnsi"/>
          <w:sz w:val="20"/>
          <w:szCs w:val="20"/>
          <w:lang w:val="en-GB"/>
        </w:rPr>
      </w:pPr>
      <w:bookmarkStart w:id="3" w:name="_Hlk161414445"/>
      <w:r w:rsidRPr="00046517">
        <w:rPr>
          <w:rFonts w:ascii="Verdana" w:hAnsi="Verdana" w:cstheme="minorHAnsi"/>
          <w:sz w:val="20"/>
          <w:szCs w:val="20"/>
          <w:lang w:val="en-GB"/>
        </w:rPr>
        <w:t>4.1.5 Screening of transfers of funds and crypto-assets</w:t>
      </w:r>
    </w:p>
    <w:p w14:paraId="66DAE31E" w14:textId="77777777" w:rsidR="008F2EBE" w:rsidRPr="008F2EBE" w:rsidRDefault="008F2EBE" w:rsidP="008F2EBE">
      <w:pPr>
        <w:shd w:val="clear" w:color="auto" w:fill="FFFFFF" w:themeFill="background1"/>
        <w:jc w:val="both"/>
        <w:rPr>
          <w:rFonts w:ascii="Verdana" w:hAnsi="Verdana" w:cstheme="minorHAnsi"/>
          <w:sz w:val="20"/>
          <w:szCs w:val="20"/>
          <w:lang w:val="en-GB"/>
        </w:rPr>
      </w:pPr>
      <w:r w:rsidRPr="008F2EBE">
        <w:rPr>
          <w:rFonts w:ascii="Verdana" w:hAnsi="Verdana" w:cstheme="minorHAnsi"/>
          <w:sz w:val="20"/>
          <w:szCs w:val="20"/>
          <w:lang w:val="en-GB"/>
        </w:rPr>
        <w:t>Paragraph 21: PSPs and CASPs should screen all parties to transfers of funds or crypto-assets against the restrictive measures-related lists. Intermediary PSPs and CASPs should pay special attention in their restrictive measures exposure assessment to the soundness and reliability of the restrictive measures policies and procedures put in place by PSPs and CASPs they are doing business with to ensure compliance with restrictive measures.</w:t>
      </w:r>
    </w:p>
    <w:p w14:paraId="44B23804" w14:textId="7647F4E6" w:rsidR="008F2EBE" w:rsidRPr="00046517" w:rsidRDefault="008F2EBE" w:rsidP="008F2EBE">
      <w:pPr>
        <w:shd w:val="clear" w:color="auto" w:fill="FFFFFF" w:themeFill="background1"/>
        <w:jc w:val="both"/>
        <w:rPr>
          <w:rFonts w:ascii="Verdana" w:hAnsi="Verdana" w:cstheme="minorHAnsi"/>
          <w:sz w:val="20"/>
          <w:szCs w:val="20"/>
          <w:lang w:val="en-GB"/>
        </w:rPr>
      </w:pPr>
      <w:r w:rsidRPr="008F2EBE">
        <w:rPr>
          <w:rFonts w:ascii="Verdana" w:hAnsi="Verdana" w:cstheme="minorHAnsi"/>
          <w:sz w:val="20"/>
          <w:szCs w:val="20"/>
          <w:lang w:val="en-GB"/>
        </w:rPr>
        <w:t xml:space="preserve">Paragraph 22: On the </w:t>
      </w:r>
      <w:r w:rsidRPr="008F2EBE">
        <w:rPr>
          <w:rFonts w:ascii="Verdana" w:hAnsi="Verdana" w:cstheme="minorHAnsi"/>
          <w:i/>
          <w:iCs/>
          <w:sz w:val="20"/>
          <w:szCs w:val="20"/>
          <w:lang w:val="en-GB"/>
        </w:rPr>
        <w:t>a. identifying data of the payer/originator and the payee/beneficiary stipulated in Articles 4 and 14 of Regulation (EU) 2023/1113</w:t>
      </w:r>
      <w:r w:rsidRPr="008F2EBE">
        <w:rPr>
          <w:rFonts w:ascii="Verdana" w:hAnsi="Verdana" w:cstheme="minorHAnsi"/>
          <w:sz w:val="20"/>
          <w:szCs w:val="20"/>
          <w:lang w:val="en-GB"/>
        </w:rPr>
        <w:t>; we wish to highlight that this should recognize the coming proposal for a Regulation amending Regulations (EU) No 260/2012 and (EU) 2021/1230 as regards instant credit transfers in euro, which sets a requirement not to screen payer/payee.</w:t>
      </w:r>
    </w:p>
    <w:bookmarkEnd w:id="3"/>
    <w:p w14:paraId="66230C2F" w14:textId="478BD0FB" w:rsidR="00EE70AD" w:rsidRPr="00046517" w:rsidRDefault="00A834AE" w:rsidP="008F2EBE">
      <w:pPr>
        <w:shd w:val="clear" w:color="auto" w:fill="FFFFFF" w:themeFill="background1"/>
        <w:jc w:val="both"/>
        <w:rPr>
          <w:rFonts w:ascii="Verdana" w:eastAsia="Times New Roman" w:hAnsi="Verdana" w:cs="Segoe UI"/>
          <w:sz w:val="20"/>
          <w:szCs w:val="20"/>
          <w:lang w:val="en-GB"/>
        </w:rPr>
      </w:pPr>
      <w:r w:rsidRPr="00046517">
        <w:rPr>
          <w:rFonts w:ascii="Verdana" w:eastAsia="Times New Roman" w:hAnsi="Verdana" w:cs="Segoe UI"/>
          <w:b/>
          <w:sz w:val="20"/>
          <w:szCs w:val="20"/>
          <w:lang w:val="en-GB"/>
        </w:rPr>
        <w:t>Paragraph 22b</w:t>
      </w:r>
      <w:r w:rsidR="00FF096C" w:rsidRPr="00046517">
        <w:rPr>
          <w:rFonts w:ascii="Verdana" w:eastAsia="Times New Roman" w:hAnsi="Verdana" w:cs="Segoe UI"/>
          <w:sz w:val="20"/>
          <w:szCs w:val="20"/>
          <w:lang w:val="en-GB"/>
        </w:rPr>
        <w:t xml:space="preserve">: </w:t>
      </w:r>
      <w:r w:rsidR="00E34403" w:rsidRPr="00046517">
        <w:rPr>
          <w:rFonts w:ascii="Verdana" w:eastAsia="Times New Roman" w:hAnsi="Verdana" w:cs="Segoe UI"/>
          <w:sz w:val="20"/>
          <w:szCs w:val="20"/>
          <w:lang w:val="en-GB"/>
        </w:rPr>
        <w:t xml:space="preserve">Among the details to screen, the EBA guidelines </w:t>
      </w:r>
      <w:r w:rsidR="007F41C1" w:rsidRPr="00046517">
        <w:rPr>
          <w:rFonts w:ascii="Verdana" w:eastAsia="Times New Roman" w:hAnsi="Verdana" w:cs="Segoe UI"/>
          <w:sz w:val="20"/>
          <w:szCs w:val="20"/>
          <w:lang w:val="en-GB"/>
        </w:rPr>
        <w:t xml:space="preserve">include the purpose of the </w:t>
      </w:r>
      <w:r w:rsidR="00E34403" w:rsidRPr="00046517">
        <w:rPr>
          <w:rFonts w:ascii="Verdana" w:eastAsia="Times New Roman" w:hAnsi="Verdana" w:cs="Segoe UI"/>
          <w:sz w:val="20"/>
          <w:szCs w:val="20"/>
          <w:lang w:val="en-GB"/>
        </w:rPr>
        <w:t xml:space="preserve">transfer of funds or crypto-assets. Nevertheless, this information is not always </w:t>
      </w:r>
      <w:r w:rsidR="007F41C1" w:rsidRPr="00046517">
        <w:rPr>
          <w:rFonts w:ascii="Verdana" w:eastAsia="Times New Roman" w:hAnsi="Verdana" w:cs="Segoe UI"/>
          <w:sz w:val="20"/>
          <w:szCs w:val="20"/>
          <w:lang w:val="en-GB"/>
        </w:rPr>
        <w:t xml:space="preserve">mentioned in payment messages. It could be appropriate to specify that this information should be screened only when this information is provided.  </w:t>
      </w:r>
    </w:p>
    <w:p w14:paraId="78AF64E2" w14:textId="77777777" w:rsidR="00EE70AD" w:rsidRPr="00046517" w:rsidRDefault="00EE70AD" w:rsidP="008F2EBE">
      <w:pPr>
        <w:shd w:val="clear" w:color="auto" w:fill="FFFFFF" w:themeFill="background1"/>
        <w:jc w:val="both"/>
        <w:rPr>
          <w:rFonts w:ascii="Verdana" w:eastAsia="Times New Roman" w:hAnsi="Verdana" w:cs="Segoe UI"/>
          <w:sz w:val="20"/>
          <w:szCs w:val="20"/>
          <w:lang w:val="en-GB"/>
        </w:rPr>
      </w:pPr>
    </w:p>
    <w:p w14:paraId="18E61914" w14:textId="77777777" w:rsidR="008F2EBE" w:rsidRPr="008F2EBE" w:rsidRDefault="008F2EBE" w:rsidP="008F2EBE">
      <w:pPr>
        <w:ind w:left="-20" w:right="-20"/>
        <w:jc w:val="both"/>
        <w:rPr>
          <w:rFonts w:ascii="Verdana" w:hAnsi="Verdana"/>
          <w:color w:val="000000" w:themeColor="text1"/>
          <w:sz w:val="20"/>
          <w:szCs w:val="20"/>
          <w:lang w:val="en-GB"/>
        </w:rPr>
      </w:pPr>
      <w:r w:rsidRPr="008F2EBE">
        <w:rPr>
          <w:rFonts w:ascii="Verdana" w:hAnsi="Verdana"/>
          <w:color w:val="000000" w:themeColor="text1"/>
          <w:sz w:val="20"/>
          <w:szCs w:val="20"/>
          <w:lang w:val="en-GB"/>
        </w:rPr>
        <w:t>4.1.6 Calibration</w:t>
      </w:r>
    </w:p>
    <w:p w14:paraId="4E5CCD23" w14:textId="77777777" w:rsidR="008F2EBE" w:rsidRPr="008F2EBE" w:rsidRDefault="008F2EBE" w:rsidP="008F2EBE">
      <w:pPr>
        <w:ind w:left="-20" w:right="-20"/>
        <w:jc w:val="both"/>
        <w:rPr>
          <w:rFonts w:ascii="Verdana" w:hAnsi="Verdana"/>
          <w:color w:val="000000" w:themeColor="text1"/>
          <w:sz w:val="20"/>
          <w:szCs w:val="20"/>
          <w:lang w:val="en-GB"/>
        </w:rPr>
      </w:pPr>
      <w:r w:rsidRPr="008F2EBE">
        <w:rPr>
          <w:rFonts w:ascii="Verdana" w:hAnsi="Verdana"/>
          <w:color w:val="000000" w:themeColor="text1"/>
          <w:sz w:val="20"/>
          <w:szCs w:val="20"/>
          <w:lang w:val="en-GB"/>
        </w:rPr>
        <w:t>Paragraph 25: We think that it would be helpful to define more precisely the term “alert quality” in this paragraph as it can be understood in different manners and thus it is unclear how it should be measured.</w:t>
      </w:r>
    </w:p>
    <w:p w14:paraId="59368C62" w14:textId="77777777" w:rsidR="008F2EBE" w:rsidRPr="008F2EBE" w:rsidRDefault="008F2EBE" w:rsidP="008F2EBE">
      <w:pPr>
        <w:ind w:left="-20" w:right="-20"/>
        <w:jc w:val="both"/>
        <w:rPr>
          <w:rFonts w:ascii="Verdana" w:hAnsi="Verdana"/>
          <w:color w:val="000000" w:themeColor="text1"/>
          <w:sz w:val="20"/>
          <w:szCs w:val="20"/>
          <w:lang w:val="en-GB"/>
        </w:rPr>
      </w:pPr>
      <w:r w:rsidRPr="008F2EBE">
        <w:rPr>
          <w:rFonts w:ascii="Verdana" w:hAnsi="Verdana"/>
          <w:color w:val="000000" w:themeColor="text1"/>
          <w:sz w:val="20"/>
          <w:szCs w:val="20"/>
          <w:lang w:val="en-GB"/>
        </w:rPr>
        <w:t xml:space="preserve">Paragraph 25: We think that it would be helpful to define more precisely the term “true positive” in this paragraph. If the term "true positive" refers to a case in which investigators have investigated and found to be a true match, checking the percentage of true positive results associated with different percentages of matching (threshold) is not a feasible expectation in practice. </w:t>
      </w:r>
    </w:p>
    <w:p w14:paraId="1CB46F2F" w14:textId="77777777" w:rsidR="008F2EBE" w:rsidRPr="008F2EBE" w:rsidRDefault="008F2EBE" w:rsidP="008F2EBE">
      <w:pPr>
        <w:ind w:left="-20" w:right="-20"/>
        <w:jc w:val="both"/>
        <w:rPr>
          <w:rFonts w:ascii="Verdana" w:hAnsi="Verdana"/>
          <w:color w:val="000000" w:themeColor="text1"/>
          <w:sz w:val="20"/>
          <w:szCs w:val="20"/>
          <w:lang w:val="en-GB"/>
        </w:rPr>
      </w:pPr>
      <w:r w:rsidRPr="008F2EBE">
        <w:rPr>
          <w:rFonts w:ascii="Verdana" w:hAnsi="Verdana"/>
          <w:color w:val="000000" w:themeColor="text1"/>
          <w:sz w:val="20"/>
          <w:szCs w:val="20"/>
          <w:lang w:val="en-GB"/>
        </w:rPr>
        <w:t xml:space="preserve">Indeed, the likelihood of observing a true-match is typically very small and the different thresholds must be tested before they are implemented, to ensure that the changes do not lead to designated persons, entities and bodies not being detected. When assessing the threshold that is above the currently used threshold, the true positive percentage may be calculated from a real alert data. </w:t>
      </w:r>
    </w:p>
    <w:p w14:paraId="511A20E9" w14:textId="77777777" w:rsidR="008F2EBE" w:rsidRPr="008F2EBE" w:rsidRDefault="008F2EBE" w:rsidP="008F2EBE">
      <w:pPr>
        <w:ind w:left="-20" w:right="-20"/>
        <w:jc w:val="both"/>
        <w:rPr>
          <w:rFonts w:ascii="Verdana" w:hAnsi="Verdana"/>
          <w:color w:val="000000" w:themeColor="text1"/>
          <w:sz w:val="20"/>
          <w:szCs w:val="20"/>
          <w:lang w:val="en-GB"/>
        </w:rPr>
      </w:pPr>
      <w:r w:rsidRPr="008F2EBE">
        <w:rPr>
          <w:rFonts w:ascii="Verdana" w:hAnsi="Verdana"/>
          <w:color w:val="000000" w:themeColor="text1"/>
          <w:sz w:val="20"/>
          <w:szCs w:val="20"/>
          <w:lang w:val="en-GB"/>
        </w:rPr>
        <w:t xml:space="preserve">However, calculating the true positive percentage for thresholds that are below currently used threshold is very difficult. Indeed, no real alert data would be available since the tested threshold would be below the currently used threshold. </w:t>
      </w:r>
    </w:p>
    <w:p w14:paraId="726D6561" w14:textId="77777777" w:rsidR="008F2EBE" w:rsidRPr="008F2EBE" w:rsidRDefault="008F2EBE" w:rsidP="008F2EBE">
      <w:pPr>
        <w:ind w:left="-20" w:right="-20"/>
        <w:jc w:val="both"/>
        <w:rPr>
          <w:rFonts w:ascii="Verdana" w:hAnsi="Verdana"/>
          <w:color w:val="000000" w:themeColor="text1"/>
          <w:sz w:val="20"/>
          <w:szCs w:val="20"/>
          <w:lang w:val="en-GB"/>
        </w:rPr>
      </w:pPr>
      <w:r w:rsidRPr="008F2EBE">
        <w:rPr>
          <w:rFonts w:ascii="Verdana" w:hAnsi="Verdana"/>
          <w:color w:val="000000" w:themeColor="text1"/>
          <w:sz w:val="20"/>
          <w:szCs w:val="20"/>
          <w:lang w:val="en-GB"/>
        </w:rPr>
        <w:t>The suggested obligation to use true positive percentage as guiding measure to determine correct threshold would mean that in order to get a reliable and representative sample of true-matches, during the testing of thresholds, PSPs and CASPs would need to manually investigate very large number of alerts to be able to calculate reliable true positive percentage. This is very laborious and would not yield best results as tuning the screening based on real alert data could lead to situation where system is "overfitted" to PSPs and CASP's data. Rather, there are more feasible ways of determining the best matching threshold. Instead of using percentage of true positives, one could test how the system captures a large population of exact names and manipulated versions of such names, and based on those results, set the thresholds accordingly, which should maximise the percentage of true positives.</w:t>
      </w:r>
    </w:p>
    <w:p w14:paraId="69D7392A" w14:textId="77777777" w:rsidR="008F2EBE" w:rsidRPr="008F2EBE" w:rsidRDefault="008F2EBE" w:rsidP="008F2EBE">
      <w:pPr>
        <w:ind w:left="-20" w:right="-20"/>
        <w:jc w:val="both"/>
        <w:rPr>
          <w:rFonts w:ascii="Verdana" w:hAnsi="Verdana"/>
          <w:color w:val="000000" w:themeColor="text1"/>
          <w:sz w:val="20"/>
          <w:szCs w:val="20"/>
          <w:lang w:val="en-GB"/>
        </w:rPr>
      </w:pPr>
    </w:p>
    <w:p w14:paraId="00B8F513" w14:textId="77777777" w:rsidR="008F2EBE" w:rsidRPr="008F2EBE" w:rsidRDefault="008F2EBE" w:rsidP="008F2EBE">
      <w:pPr>
        <w:ind w:left="-20" w:right="-20"/>
        <w:jc w:val="both"/>
        <w:rPr>
          <w:rFonts w:ascii="Verdana" w:hAnsi="Verdana"/>
          <w:color w:val="000000" w:themeColor="text1"/>
          <w:sz w:val="20"/>
          <w:szCs w:val="20"/>
          <w:lang w:val="en-GB"/>
        </w:rPr>
      </w:pPr>
      <w:r w:rsidRPr="008F2EBE">
        <w:rPr>
          <w:rFonts w:ascii="Verdana" w:hAnsi="Verdana"/>
          <w:color w:val="000000" w:themeColor="text1"/>
          <w:sz w:val="20"/>
          <w:szCs w:val="20"/>
          <w:lang w:val="en-GB"/>
        </w:rPr>
        <w:t>4.2.2 Due diligence measures for alert analysis</w:t>
      </w:r>
    </w:p>
    <w:p w14:paraId="7CDE6E9D" w14:textId="529E9432" w:rsidR="009E1D13" w:rsidRDefault="008F2EBE" w:rsidP="008F2EBE">
      <w:pPr>
        <w:ind w:left="-20" w:right="-20"/>
        <w:jc w:val="both"/>
        <w:rPr>
          <w:rFonts w:ascii="Verdana" w:hAnsi="Verdana"/>
          <w:color w:val="000000" w:themeColor="text1"/>
          <w:sz w:val="20"/>
          <w:szCs w:val="20"/>
          <w:lang w:val="en-GB"/>
        </w:rPr>
      </w:pPr>
      <w:r w:rsidRPr="008F2EBE">
        <w:rPr>
          <w:rFonts w:ascii="Verdana" w:hAnsi="Verdana"/>
          <w:color w:val="000000" w:themeColor="text1"/>
          <w:sz w:val="20"/>
          <w:szCs w:val="20"/>
          <w:lang w:val="en-GB"/>
        </w:rPr>
        <w:t>Paragraph 35: The wording leaves uncertainty on to whom (“to person”) one should refrain from providing financial services. In customer screening the meaning is clear (the person who is the target of the alert) but in transaction alerts there are more than one person involved.</w:t>
      </w:r>
    </w:p>
    <w:p w14:paraId="5618DA8C" w14:textId="77777777" w:rsidR="008F2EBE" w:rsidRPr="00046517" w:rsidRDefault="008F2EBE" w:rsidP="008F2EBE">
      <w:pPr>
        <w:ind w:left="-20" w:right="-20"/>
        <w:jc w:val="both"/>
        <w:rPr>
          <w:rFonts w:ascii="Verdana" w:hAnsi="Verdana"/>
          <w:color w:val="000000" w:themeColor="text1"/>
          <w:sz w:val="20"/>
          <w:szCs w:val="20"/>
          <w:lang w:val="en-GB"/>
        </w:rPr>
      </w:pPr>
    </w:p>
    <w:p w14:paraId="1779D7B5" w14:textId="505C93AF" w:rsidR="00CB690F" w:rsidRPr="00046517" w:rsidRDefault="001D3C52" w:rsidP="001D3C52">
      <w:pPr>
        <w:jc w:val="both"/>
        <w:rPr>
          <w:rFonts w:ascii="Verdana" w:hAnsi="Verdana" w:cstheme="minorHAnsi"/>
          <w:sz w:val="20"/>
          <w:szCs w:val="20"/>
          <w:lang w:val="en-GB"/>
        </w:rPr>
      </w:pPr>
      <w:r w:rsidRPr="00046517">
        <w:rPr>
          <w:rFonts w:ascii="Verdana" w:hAnsi="Verdana" w:cstheme="minorHAnsi"/>
          <w:sz w:val="20"/>
          <w:szCs w:val="20"/>
          <w:lang w:val="en-GB"/>
        </w:rPr>
        <w:t>4.3 Freezing and reporting measures</w:t>
      </w:r>
    </w:p>
    <w:p w14:paraId="4C8C688B" w14:textId="05227F49" w:rsidR="001D3C52" w:rsidRPr="00046517" w:rsidRDefault="001D3C52" w:rsidP="001D3C52">
      <w:pPr>
        <w:jc w:val="both"/>
        <w:rPr>
          <w:rFonts w:ascii="Verdana" w:hAnsi="Verdana" w:cstheme="minorHAnsi"/>
          <w:sz w:val="20"/>
          <w:szCs w:val="20"/>
          <w:lang w:val="en-GB"/>
        </w:rPr>
      </w:pPr>
      <w:r w:rsidRPr="00046517">
        <w:rPr>
          <w:rFonts w:ascii="Verdana" w:hAnsi="Verdana" w:cstheme="minorHAnsi"/>
          <w:sz w:val="20"/>
          <w:szCs w:val="20"/>
          <w:lang w:val="en-GB"/>
        </w:rPr>
        <w:t>4.3.1 Suspending the execution of transfers of funds or crypto-assets and freezing funds or crypto-assets</w:t>
      </w:r>
    </w:p>
    <w:p w14:paraId="1021B1F8" w14:textId="4F93791C" w:rsidR="002638D5" w:rsidRPr="00046517" w:rsidRDefault="002638D5" w:rsidP="001D3C52">
      <w:pPr>
        <w:jc w:val="both"/>
        <w:rPr>
          <w:rFonts w:ascii="Verdana" w:eastAsia="Times New Roman" w:hAnsi="Verdana" w:cs="Segoe UI"/>
          <w:sz w:val="20"/>
          <w:szCs w:val="20"/>
          <w:lang w:val="en-GB"/>
        </w:rPr>
      </w:pPr>
      <w:r w:rsidRPr="00046517">
        <w:rPr>
          <w:rFonts w:ascii="Verdana" w:eastAsia="Times New Roman" w:hAnsi="Verdana" w:cs="Segoe UI"/>
          <w:b/>
          <w:sz w:val="20"/>
          <w:szCs w:val="20"/>
          <w:lang w:val="en-GB"/>
        </w:rPr>
        <w:t>Paragraph 47</w:t>
      </w:r>
      <w:r w:rsidR="00FF096C" w:rsidRPr="00046517">
        <w:rPr>
          <w:rFonts w:ascii="Verdana" w:eastAsia="Times New Roman" w:hAnsi="Verdana" w:cs="Segoe UI"/>
          <w:sz w:val="20"/>
          <w:szCs w:val="20"/>
          <w:lang w:val="en-GB"/>
        </w:rPr>
        <w:t xml:space="preserve">: </w:t>
      </w:r>
      <w:r w:rsidRPr="00046517">
        <w:rPr>
          <w:rFonts w:ascii="Verdana" w:eastAsia="Times New Roman" w:hAnsi="Verdana" w:cs="Segoe UI"/>
          <w:sz w:val="20"/>
          <w:szCs w:val="20"/>
          <w:lang w:val="en-GB"/>
        </w:rPr>
        <w:t xml:space="preserve">We think that it would be helpful to define more precisely the </w:t>
      </w:r>
      <w:r w:rsidR="00913B7B" w:rsidRPr="00046517">
        <w:rPr>
          <w:rFonts w:ascii="Verdana" w:eastAsia="Times New Roman" w:hAnsi="Verdana" w:cs="Segoe UI"/>
          <w:sz w:val="20"/>
          <w:szCs w:val="20"/>
          <w:lang w:val="en-GB"/>
        </w:rPr>
        <w:t>word</w:t>
      </w:r>
      <w:r w:rsidRPr="00046517">
        <w:rPr>
          <w:rFonts w:ascii="Verdana" w:eastAsia="Times New Roman" w:hAnsi="Verdana" w:cs="Segoe UI"/>
          <w:sz w:val="20"/>
          <w:szCs w:val="20"/>
          <w:lang w:val="en-GB"/>
        </w:rPr>
        <w:t xml:space="preserve"> “freeze” in this paragraph</w:t>
      </w:r>
      <w:r w:rsidR="00913B7B" w:rsidRPr="00046517">
        <w:rPr>
          <w:rFonts w:ascii="Verdana" w:eastAsia="Times New Roman" w:hAnsi="Verdana" w:cs="Segoe UI"/>
          <w:sz w:val="20"/>
          <w:szCs w:val="20"/>
          <w:lang w:val="en-GB"/>
        </w:rPr>
        <w:t xml:space="preserve"> and clarify whether it is also included in the definition of “restrictive measures”. </w:t>
      </w:r>
      <w:r w:rsidR="00913B7B" w:rsidRPr="00046517" w:rsidDel="00913B7B">
        <w:rPr>
          <w:rFonts w:ascii="Verdana" w:eastAsia="Times New Roman" w:hAnsi="Verdana" w:cs="Segoe UI"/>
          <w:sz w:val="20"/>
          <w:szCs w:val="20"/>
          <w:lang w:val="en-GB"/>
        </w:rPr>
        <w:t xml:space="preserve"> </w:t>
      </w:r>
    </w:p>
    <w:p w14:paraId="57FB99AF" w14:textId="0A9A6FED" w:rsidR="00D5003A" w:rsidRPr="00046517" w:rsidRDefault="00D5003A" w:rsidP="001D3C52">
      <w:pPr>
        <w:jc w:val="both"/>
        <w:rPr>
          <w:rFonts w:ascii="Verdana" w:hAnsi="Verdana" w:cstheme="minorHAnsi"/>
          <w:sz w:val="20"/>
          <w:szCs w:val="20"/>
          <w:lang w:val="en-GB"/>
        </w:rPr>
      </w:pPr>
    </w:p>
    <w:sectPr w:rsidR="00D5003A" w:rsidRPr="00046517" w:rsidSect="00B214D8">
      <w:headerReference w:type="default" r:id="rId13"/>
      <w:footerReference w:type="default" r:id="rId14"/>
      <w:headerReference w:type="first" r:id="rId15"/>
      <w:footerReference w:type="first" r:id="rId16"/>
      <w:pgSz w:w="11907" w:h="16839" w:code="9"/>
      <w:pgMar w:top="567" w:right="1077" w:bottom="1440" w:left="1077"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01C56" w14:textId="77777777" w:rsidR="00B214D8" w:rsidRDefault="00B214D8" w:rsidP="00F75CEC">
      <w:pPr>
        <w:spacing w:after="0" w:line="240" w:lineRule="auto"/>
      </w:pPr>
      <w:r>
        <w:separator/>
      </w:r>
    </w:p>
  </w:endnote>
  <w:endnote w:type="continuationSeparator" w:id="0">
    <w:p w14:paraId="75CD7F54" w14:textId="77777777" w:rsidR="00B214D8" w:rsidRDefault="00B214D8" w:rsidP="00F75CEC">
      <w:pPr>
        <w:spacing w:after="0" w:line="240" w:lineRule="auto"/>
      </w:pPr>
      <w:r>
        <w:continuationSeparator/>
      </w:r>
    </w:p>
  </w:endnote>
  <w:endnote w:type="continuationNotice" w:id="1">
    <w:p w14:paraId="35665E82" w14:textId="77777777" w:rsidR="00B214D8" w:rsidRDefault="00B214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033315"/>
      <w:docPartObj>
        <w:docPartGallery w:val="Page Numbers (Bottom of Page)"/>
        <w:docPartUnique/>
      </w:docPartObj>
    </w:sdtPr>
    <w:sdtEndPr>
      <w:rPr>
        <w:noProof/>
      </w:rPr>
    </w:sdtEndPr>
    <w:sdtContent>
      <w:p w14:paraId="60DFC832" w14:textId="14A804F4" w:rsidR="00E505FE" w:rsidRDefault="00E505FE">
        <w:pPr>
          <w:pStyle w:val="Footer"/>
          <w:jc w:val="right"/>
        </w:pPr>
        <w:r>
          <w:fldChar w:fldCharType="begin"/>
        </w:r>
        <w:r>
          <w:instrText xml:space="preserve"> PAGE   \* MERGEFORMAT </w:instrText>
        </w:r>
        <w:r>
          <w:fldChar w:fldCharType="separate"/>
        </w:r>
        <w:r w:rsidR="008E5F6E">
          <w:rPr>
            <w:noProof/>
          </w:rPr>
          <w:t>4</w:t>
        </w:r>
        <w:r>
          <w:rPr>
            <w:noProof/>
          </w:rPr>
          <w:fldChar w:fldCharType="end"/>
        </w:r>
      </w:p>
    </w:sdtContent>
  </w:sdt>
  <w:p w14:paraId="04100C25" w14:textId="77777777" w:rsidR="00E505FE" w:rsidRDefault="00E505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FB1B2" w14:textId="77777777" w:rsidR="00E505FE" w:rsidRPr="00B01607" w:rsidRDefault="00E505FE" w:rsidP="000429C9">
    <w:pPr>
      <w:pBdr>
        <w:bottom w:val="single" w:sz="4" w:space="1" w:color="6A8B9E"/>
      </w:pBdr>
      <w:tabs>
        <w:tab w:val="center" w:pos="4703"/>
        <w:tab w:val="right" w:pos="9406"/>
      </w:tabs>
      <w:spacing w:after="0" w:line="240" w:lineRule="auto"/>
      <w:ind w:left="851" w:right="964"/>
      <w:jc w:val="center"/>
      <w:rPr>
        <w:b/>
        <w:color w:val="943931"/>
        <w:sz w:val="20"/>
        <w:szCs w:val="20"/>
      </w:rPr>
    </w:pPr>
    <w:bookmarkStart w:id="4" w:name="_Hlk128732938"/>
    <w:bookmarkStart w:id="5" w:name="_Hlk128732705"/>
    <w:bookmarkStart w:id="6" w:name="_Hlk128732493"/>
    <w:bookmarkStart w:id="7" w:name="_Hlk128732494"/>
    <w:bookmarkStart w:id="8" w:name="_Hlk128732499"/>
    <w:bookmarkStart w:id="9" w:name="_Hlk128732500"/>
    <w:bookmarkStart w:id="10" w:name="_Hlk128732501"/>
    <w:bookmarkStart w:id="11" w:name="_Hlk128732502"/>
    <w:bookmarkStart w:id="12" w:name="_Hlk128732503"/>
    <w:bookmarkStart w:id="13" w:name="_Hlk128732504"/>
    <w:bookmarkStart w:id="14" w:name="_Hlk128732505"/>
    <w:bookmarkStart w:id="15" w:name="_Hlk128732506"/>
    <w:bookmarkStart w:id="16" w:name="_Hlk128732507"/>
    <w:bookmarkStart w:id="17" w:name="_Hlk128732508"/>
    <w:bookmarkStart w:id="18" w:name="_Hlk128732509"/>
    <w:bookmarkStart w:id="19" w:name="_Hlk128732510"/>
    <w:bookmarkStart w:id="20" w:name="_Hlk128732511"/>
    <w:bookmarkStart w:id="21" w:name="_Hlk128732512"/>
    <w:bookmarkStart w:id="22" w:name="_Hlk128732513"/>
    <w:bookmarkStart w:id="23" w:name="_Hlk128732514"/>
    <w:bookmarkStart w:id="24" w:name="_Hlk128732515"/>
    <w:bookmarkStart w:id="25" w:name="_Hlk128732516"/>
    <w:bookmarkStart w:id="26" w:name="_Hlk128732517"/>
    <w:bookmarkStart w:id="27" w:name="_Hlk128732518"/>
    <w:bookmarkStart w:id="28" w:name="_Hlk128732519"/>
    <w:bookmarkStart w:id="29" w:name="_Hlk128732520"/>
    <w:bookmarkStart w:id="30" w:name="_Hlk128732521"/>
    <w:bookmarkStart w:id="31" w:name="_Hlk128732522"/>
    <w:bookmarkStart w:id="32" w:name="_Hlk128733095"/>
    <w:bookmarkStart w:id="33" w:name="_Hlk128733096"/>
    <w:bookmarkStart w:id="34" w:name="_Hlk128733126"/>
    <w:bookmarkStart w:id="35" w:name="_Hlk128733127"/>
    <w:bookmarkStart w:id="36" w:name="_Hlk128734176"/>
    <w:bookmarkStart w:id="37" w:name="_Hlk128734177"/>
    <w:bookmarkStart w:id="38" w:name="_Hlk128734197"/>
    <w:bookmarkStart w:id="39" w:name="_Hlk128734198"/>
    <w:bookmarkStart w:id="40" w:name="_Hlk128734343"/>
    <w:bookmarkStart w:id="41" w:name="_Hlk128734344"/>
    <w:bookmarkStart w:id="42" w:name="_Hlk128734369"/>
    <w:bookmarkStart w:id="43" w:name="_Hlk128734370"/>
    <w:bookmarkStart w:id="44" w:name="_Hlk128734462"/>
    <w:bookmarkStart w:id="45" w:name="_Hlk128734463"/>
    <w:bookmarkStart w:id="46" w:name="_Hlk128734572"/>
    <w:bookmarkStart w:id="47" w:name="_Hlk128734573"/>
    <w:bookmarkStart w:id="48" w:name="_Hlk128734607"/>
    <w:bookmarkStart w:id="49" w:name="_Hlk128734608"/>
    <w:bookmarkStart w:id="50" w:name="_Hlk128734701"/>
    <w:bookmarkStart w:id="51" w:name="_Hlk128734702"/>
    <w:bookmarkStart w:id="52" w:name="_Hlk128734834"/>
    <w:bookmarkStart w:id="53" w:name="_Hlk128734835"/>
    <w:bookmarkStart w:id="54" w:name="_Hlk128734899"/>
    <w:bookmarkStart w:id="55" w:name="_Hlk128734900"/>
    <w:bookmarkStart w:id="56" w:name="_Hlk128735036"/>
    <w:bookmarkStart w:id="57" w:name="_Hlk128735037"/>
    <w:bookmarkStart w:id="58" w:name="_Hlk128735097"/>
    <w:bookmarkStart w:id="59" w:name="_Hlk128735098"/>
    <w:bookmarkStart w:id="60" w:name="_Hlk128735299"/>
    <w:bookmarkStart w:id="61" w:name="_Hlk128735300"/>
    <w:bookmarkStart w:id="62" w:name="_Hlk128735466"/>
    <w:bookmarkStart w:id="63" w:name="_Hlk128735467"/>
    <w:r>
      <w:rPr>
        <w:b/>
        <w:color w:val="943931"/>
        <w:sz w:val="20"/>
        <w:szCs w:val="20"/>
      </w:rPr>
      <w:t>The voice of 2.700 local and retail banks, 89</w:t>
    </w:r>
    <w:r w:rsidRPr="00B01607">
      <w:rPr>
        <w:b/>
        <w:color w:val="943931"/>
        <w:sz w:val="20"/>
        <w:szCs w:val="20"/>
      </w:rPr>
      <w:t xml:space="preserve"> million members, 2</w:t>
    </w:r>
    <w:r>
      <w:rPr>
        <w:b/>
        <w:color w:val="943931"/>
        <w:sz w:val="20"/>
        <w:szCs w:val="20"/>
      </w:rPr>
      <w:t>27</w:t>
    </w:r>
    <w:r w:rsidRPr="00B01607">
      <w:rPr>
        <w:b/>
        <w:color w:val="943931"/>
        <w:sz w:val="20"/>
        <w:szCs w:val="20"/>
      </w:rPr>
      <w:t xml:space="preserve"> million customers in E</w:t>
    </w:r>
    <w:r>
      <w:rPr>
        <w:b/>
        <w:color w:val="943931"/>
        <w:sz w:val="20"/>
        <w:szCs w:val="20"/>
      </w:rPr>
      <w:t>urope</w:t>
    </w:r>
  </w:p>
  <w:bookmarkEnd w:id="4"/>
  <w:p w14:paraId="3A20A460" w14:textId="77777777" w:rsidR="00E505FE" w:rsidRPr="00B01607" w:rsidRDefault="00E505FE" w:rsidP="000429C9">
    <w:pPr>
      <w:tabs>
        <w:tab w:val="center" w:pos="4703"/>
        <w:tab w:val="right" w:pos="9406"/>
      </w:tabs>
      <w:spacing w:after="0" w:line="240" w:lineRule="exact"/>
      <w:ind w:left="426" w:right="566"/>
      <w:jc w:val="center"/>
      <w:rPr>
        <w:rFonts w:ascii="Verdana" w:eastAsia="Calibri" w:hAnsi="Verdana" w:cs="Times New Roman"/>
        <w:color w:val="6A8B9E"/>
        <w:sz w:val="14"/>
        <w:szCs w:val="14"/>
        <w:lang w:val="fr-FR"/>
      </w:rPr>
    </w:pPr>
    <w:r w:rsidRPr="00B01607">
      <w:rPr>
        <w:rFonts w:ascii="Verdana" w:eastAsia="Calibri" w:hAnsi="Verdana" w:cs="Times New Roman"/>
        <w:b/>
        <w:color w:val="6A8B9E"/>
        <w:sz w:val="14"/>
        <w:szCs w:val="14"/>
        <w:lang w:val="fr-FR"/>
      </w:rPr>
      <w:t>EACB AISBL</w:t>
    </w:r>
    <w:r w:rsidRPr="00B01607">
      <w:rPr>
        <w:rFonts w:ascii="Verdana" w:eastAsia="Calibri" w:hAnsi="Verdana" w:cs="Times New Roman"/>
        <w:color w:val="6A8B9E"/>
        <w:sz w:val="14"/>
        <w:szCs w:val="14"/>
        <w:lang w:val="fr-FR"/>
      </w:rPr>
      <w:t xml:space="preserve"> – Secretariat </w:t>
    </w:r>
    <w:r w:rsidRPr="00B01607">
      <w:rPr>
        <w:rFonts w:ascii="Symbol" w:eastAsia="Symbol" w:hAnsi="Symbol" w:cs="Symbol"/>
        <w:color w:val="6A8B9E"/>
        <w:sz w:val="14"/>
        <w:szCs w:val="14"/>
      </w:rPr>
      <w:t>·</w:t>
    </w:r>
    <w:r w:rsidRPr="00B01607">
      <w:rPr>
        <w:rFonts w:ascii="Verdana" w:eastAsia="Calibri" w:hAnsi="Verdana" w:cs="Times New Roman"/>
        <w:color w:val="6A8B9E"/>
        <w:sz w:val="14"/>
        <w:szCs w:val="14"/>
        <w:lang w:val="fr-BE"/>
      </w:rPr>
      <w:t xml:space="preserve"> </w:t>
    </w:r>
    <w:r w:rsidRPr="00B01607">
      <w:rPr>
        <w:rFonts w:ascii="Verdana" w:eastAsia="Calibri" w:hAnsi="Verdana" w:cs="Times New Roman"/>
        <w:color w:val="6A8B9E"/>
        <w:sz w:val="14"/>
        <w:szCs w:val="14"/>
        <w:lang w:val="fr-FR"/>
      </w:rPr>
      <w:t xml:space="preserve">Rue de l’Industrie 26-38 </w:t>
    </w:r>
    <w:r w:rsidRPr="00B01607">
      <w:rPr>
        <w:rFonts w:ascii="Symbol" w:eastAsia="Symbol" w:hAnsi="Symbol" w:cs="Symbol"/>
        <w:color w:val="6A8B9E"/>
        <w:sz w:val="14"/>
        <w:szCs w:val="14"/>
      </w:rPr>
      <w:t>·</w:t>
    </w:r>
    <w:r w:rsidRPr="00B01607">
      <w:rPr>
        <w:rFonts w:ascii="Verdana" w:eastAsia="Calibri" w:hAnsi="Verdana" w:cs="Times New Roman"/>
        <w:color w:val="6A8B9E"/>
        <w:sz w:val="14"/>
        <w:szCs w:val="14"/>
        <w:lang w:val="fr-FR"/>
      </w:rPr>
      <w:t xml:space="preserve"> B-1040 Brussels </w:t>
    </w:r>
  </w:p>
  <w:p w14:paraId="114EBEE2" w14:textId="77777777" w:rsidR="00E505FE" w:rsidRPr="00B01607" w:rsidRDefault="00E505FE" w:rsidP="000429C9">
    <w:pPr>
      <w:tabs>
        <w:tab w:val="center" w:pos="4703"/>
        <w:tab w:val="right" w:pos="9406"/>
      </w:tabs>
      <w:spacing w:after="0" w:line="240" w:lineRule="exact"/>
      <w:ind w:left="426" w:right="566"/>
      <w:jc w:val="center"/>
      <w:rPr>
        <w:rFonts w:ascii="Verdana" w:eastAsia="Calibri" w:hAnsi="Verdana" w:cs="Times New Roman"/>
        <w:color w:val="6A8B9E"/>
        <w:sz w:val="14"/>
        <w:szCs w:val="14"/>
      </w:rPr>
    </w:pPr>
    <w:r w:rsidRPr="00B01607">
      <w:rPr>
        <w:rFonts w:ascii="Verdana" w:eastAsia="Calibri" w:hAnsi="Verdana" w:cs="Times New Roman"/>
        <w:color w:val="6A8B9E"/>
        <w:sz w:val="14"/>
        <w:szCs w:val="14"/>
      </w:rPr>
      <w:t xml:space="preserve">Tel: (+32 2) 230 11 24 </w:t>
    </w:r>
    <w:r w:rsidRPr="00B01607">
      <w:rPr>
        <w:rFonts w:ascii="Symbol" w:eastAsia="Symbol" w:hAnsi="Symbol" w:cs="Symbol"/>
        <w:color w:val="6A8B9E"/>
        <w:sz w:val="14"/>
        <w:szCs w:val="14"/>
      </w:rPr>
      <w:t>·</w:t>
    </w:r>
    <w:r w:rsidRPr="00B01607">
      <w:rPr>
        <w:rFonts w:ascii="Verdana" w:eastAsia="Calibri" w:hAnsi="Verdana" w:cs="Times New Roman"/>
        <w:color w:val="6A8B9E"/>
        <w:sz w:val="14"/>
        <w:szCs w:val="14"/>
      </w:rPr>
      <w:t xml:space="preserve"> Enterprise 0896.081.149 </w:t>
    </w:r>
    <w:r w:rsidRPr="00B01607">
      <w:rPr>
        <w:rFonts w:ascii="Symbol" w:eastAsia="Symbol" w:hAnsi="Symbol" w:cs="Symbol"/>
        <w:color w:val="6A8B9E"/>
        <w:sz w:val="14"/>
        <w:szCs w:val="14"/>
      </w:rPr>
      <w:t>·</w:t>
    </w:r>
    <w:r w:rsidRPr="00B01607">
      <w:rPr>
        <w:rFonts w:ascii="Verdana" w:eastAsia="Calibri" w:hAnsi="Verdana" w:cs="Times New Roman"/>
        <w:color w:val="6A8B9E"/>
        <w:sz w:val="14"/>
        <w:szCs w:val="14"/>
      </w:rPr>
      <w:t xml:space="preserve"> lobbying register 4172526951-19</w:t>
    </w:r>
  </w:p>
  <w:bookmarkEnd w:id="5"/>
  <w:p w14:paraId="14FDACEF" w14:textId="5422E7AD" w:rsidR="00E505FE" w:rsidRPr="00C4060F" w:rsidRDefault="00E505FE" w:rsidP="000429C9">
    <w:pPr>
      <w:tabs>
        <w:tab w:val="center" w:pos="4703"/>
        <w:tab w:val="right" w:pos="9406"/>
      </w:tabs>
      <w:spacing w:after="0" w:line="240" w:lineRule="auto"/>
      <w:jc w:val="center"/>
      <w:rPr>
        <w:color w:val="6A8B9E"/>
      </w:rPr>
    </w:pPr>
    <w:r>
      <w:rPr>
        <w:lang w:val="en-GB"/>
      </w:rPr>
      <w:fldChar w:fldCharType="begin"/>
    </w:r>
    <w:r w:rsidRPr="00C4060F">
      <w:instrText>HYPERLINK "http://www.eacb.coop"</w:instrText>
    </w:r>
    <w:r>
      <w:rPr>
        <w:lang w:val="en-GB"/>
      </w:rPr>
    </w:r>
    <w:r>
      <w:rPr>
        <w:lang w:val="en-GB"/>
      </w:rPr>
      <w:fldChar w:fldCharType="separate"/>
    </w:r>
    <w:r w:rsidRPr="00C4060F">
      <w:rPr>
        <w:rFonts w:ascii="Verdana" w:eastAsia="Calibri" w:hAnsi="Verdana" w:cs="Times New Roman"/>
        <w:color w:val="6A8B9E"/>
        <w:sz w:val="14"/>
        <w:szCs w:val="14"/>
        <w:u w:val="single"/>
      </w:rPr>
      <w:t>www.eacb.coop</w:t>
    </w:r>
    <w:r>
      <w:rPr>
        <w:rFonts w:ascii="Verdana" w:eastAsia="Calibri" w:hAnsi="Verdana" w:cs="Times New Roman"/>
        <w:color w:val="6A8B9E"/>
        <w:sz w:val="14"/>
        <w:szCs w:val="14"/>
        <w:u w:val="single"/>
        <w:lang w:val="it-IT"/>
      </w:rPr>
      <w:fldChar w:fldCharType="end"/>
    </w:r>
    <w:r w:rsidRPr="00C4060F">
      <w:rPr>
        <w:rFonts w:ascii="Verdana" w:eastAsia="Calibri" w:hAnsi="Verdana" w:cs="Times New Roman"/>
        <w:color w:val="6A8B9E"/>
        <w:sz w:val="14"/>
        <w:szCs w:val="14"/>
      </w:rPr>
      <w:t xml:space="preserve">  </w:t>
    </w:r>
    <w:r w:rsidRPr="00B01607">
      <w:rPr>
        <w:rFonts w:ascii="Symbol" w:eastAsia="Symbol" w:hAnsi="Symbol" w:cs="Symbol"/>
        <w:color w:val="6A8B9E"/>
        <w:sz w:val="14"/>
        <w:szCs w:val="14"/>
      </w:rPr>
      <w:t>·</w:t>
    </w:r>
    <w:r w:rsidRPr="00C4060F">
      <w:rPr>
        <w:rFonts w:ascii="Verdana" w:eastAsia="Calibri" w:hAnsi="Verdana" w:cs="Times New Roman"/>
        <w:color w:val="6A8B9E"/>
        <w:sz w:val="14"/>
        <w:szCs w:val="14"/>
      </w:rPr>
      <w:t xml:space="preserve"> e-mail : </w:t>
    </w:r>
    <w:hyperlink r:id="rId1" w:history="1">
      <w:r w:rsidRPr="00C4060F">
        <w:rPr>
          <w:rFonts w:ascii="Verdana" w:eastAsia="Calibri" w:hAnsi="Verdana" w:cs="Times New Roman"/>
          <w:color w:val="6A8B9E"/>
          <w:sz w:val="14"/>
          <w:szCs w:val="14"/>
          <w:u w:val="single"/>
        </w:rPr>
        <w:t>secretariat@eacb.coop</w:t>
      </w:r>
    </w:hyperlink>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14:paraId="62E01594" w14:textId="77777777" w:rsidR="00E505FE" w:rsidRPr="00C4060F" w:rsidRDefault="00E505FE" w:rsidP="00D525AC">
    <w:pPr>
      <w:tabs>
        <w:tab w:val="center" w:pos="4703"/>
        <w:tab w:val="right" w:pos="9406"/>
      </w:tab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3451C" w14:textId="77777777" w:rsidR="00B214D8" w:rsidRDefault="00B214D8" w:rsidP="00F75CEC">
      <w:pPr>
        <w:spacing w:after="0" w:line="240" w:lineRule="auto"/>
      </w:pPr>
      <w:r>
        <w:separator/>
      </w:r>
    </w:p>
  </w:footnote>
  <w:footnote w:type="continuationSeparator" w:id="0">
    <w:p w14:paraId="46F2F751" w14:textId="77777777" w:rsidR="00B214D8" w:rsidRDefault="00B214D8" w:rsidP="00F75CEC">
      <w:pPr>
        <w:spacing w:after="0" w:line="240" w:lineRule="auto"/>
      </w:pPr>
      <w:r>
        <w:continuationSeparator/>
      </w:r>
    </w:p>
  </w:footnote>
  <w:footnote w:type="continuationNotice" w:id="1">
    <w:p w14:paraId="057EE9E6" w14:textId="77777777" w:rsidR="00B214D8" w:rsidRDefault="00B214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single" w:sz="4" w:space="0" w:color="84A0AF"/>
        <w:left w:val="none" w:sz="0" w:space="0" w:color="auto"/>
        <w:bottom w:val="single" w:sz="4" w:space="0" w:color="84A0AF"/>
        <w:right w:val="none" w:sz="0" w:space="0" w:color="auto"/>
        <w:insideH w:val="none" w:sz="0" w:space="0" w:color="auto"/>
        <w:insideV w:val="none" w:sz="0" w:space="0" w:color="auto"/>
      </w:tblBorders>
      <w:tblLook w:val="04A0" w:firstRow="1" w:lastRow="0" w:firstColumn="1" w:lastColumn="0" w:noHBand="0" w:noVBand="1"/>
    </w:tblPr>
    <w:tblGrid>
      <w:gridCol w:w="1362"/>
      <w:gridCol w:w="8391"/>
    </w:tblGrid>
    <w:tr w:rsidR="00E505FE" w:rsidRPr="00354F99" w14:paraId="7DDE023F" w14:textId="77777777" w:rsidTr="00E505FE">
      <w:trPr>
        <w:trHeight w:val="1266"/>
        <w:jc w:val="center"/>
      </w:trPr>
      <w:tc>
        <w:tcPr>
          <w:tcW w:w="1362" w:type="dxa"/>
        </w:tcPr>
        <w:p w14:paraId="65C01C86" w14:textId="77777777" w:rsidR="00E505FE" w:rsidRPr="00354F99" w:rsidRDefault="00E505FE" w:rsidP="00F87EF2">
          <w:pPr>
            <w:tabs>
              <w:tab w:val="center" w:pos="4703"/>
              <w:tab w:val="right" w:pos="9406"/>
            </w:tabs>
            <w:rPr>
              <w:rFonts w:ascii="Calibri" w:eastAsia="Calibri" w:hAnsi="Calibri" w:cs="Times New Roman"/>
            </w:rPr>
          </w:pPr>
          <w:r>
            <w:rPr>
              <w:rFonts w:ascii="Calibri" w:eastAsia="Calibri" w:hAnsi="Calibri" w:cs="Times New Roman"/>
              <w:noProof/>
              <w:lang w:val="fr-FR" w:eastAsia="fr-FR"/>
            </w:rPr>
            <w:drawing>
              <wp:anchor distT="0" distB="0" distL="114300" distR="114300" simplePos="0" relativeHeight="251658241" behindDoc="0" locked="0" layoutInCell="1" allowOverlap="1" wp14:anchorId="48E95EB1" wp14:editId="3BE2755B">
                <wp:simplePos x="0" y="0"/>
                <wp:positionH relativeFrom="column">
                  <wp:posOffset>17145</wp:posOffset>
                </wp:positionH>
                <wp:positionV relativeFrom="paragraph">
                  <wp:posOffset>58420</wp:posOffset>
                </wp:positionV>
                <wp:extent cx="790575" cy="73026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st logo eac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730266"/>
                        </a:xfrm>
                        <a:prstGeom prst="rect">
                          <a:avLst/>
                        </a:prstGeom>
                      </pic:spPr>
                    </pic:pic>
                  </a:graphicData>
                </a:graphic>
                <wp14:sizeRelH relativeFrom="page">
                  <wp14:pctWidth>0</wp14:pctWidth>
                </wp14:sizeRelH>
                <wp14:sizeRelV relativeFrom="page">
                  <wp14:pctHeight>0</wp14:pctHeight>
                </wp14:sizeRelV>
              </wp:anchor>
            </w:drawing>
          </w:r>
        </w:p>
      </w:tc>
      <w:tc>
        <w:tcPr>
          <w:tcW w:w="8391" w:type="dxa"/>
        </w:tcPr>
        <w:p w14:paraId="161321A4" w14:textId="77777777" w:rsidR="00E505FE" w:rsidRPr="00354F99" w:rsidRDefault="00E505FE" w:rsidP="00F87EF2">
          <w:pPr>
            <w:tabs>
              <w:tab w:val="center" w:pos="4703"/>
              <w:tab w:val="right" w:pos="9406"/>
            </w:tabs>
            <w:ind w:left="798"/>
            <w:rPr>
              <w:rFonts w:ascii="Calibri" w:eastAsia="Calibri" w:hAnsi="Calibri" w:cs="Times New Roman"/>
            </w:rPr>
          </w:pPr>
        </w:p>
        <w:p w14:paraId="76FE45B3" w14:textId="77777777" w:rsidR="00E505FE" w:rsidRPr="00231EB0" w:rsidRDefault="00E505FE" w:rsidP="00F87EF2">
          <w:pPr>
            <w:tabs>
              <w:tab w:val="center" w:pos="4703"/>
              <w:tab w:val="right" w:pos="9406"/>
            </w:tabs>
            <w:ind w:left="231"/>
            <w:rPr>
              <w:rFonts w:ascii="Calibri" w:eastAsia="Calibri" w:hAnsi="Calibri" w:cs="Times New Roman"/>
              <w:b/>
              <w:color w:val="6A8B9E"/>
              <w:sz w:val="28"/>
              <w:szCs w:val="28"/>
            </w:rPr>
          </w:pPr>
          <w:r w:rsidRPr="00231EB0">
            <w:rPr>
              <w:rFonts w:ascii="Calibri" w:eastAsia="Calibri" w:hAnsi="Calibri" w:cs="Times New Roman"/>
              <w:b/>
              <w:color w:val="6A8B9E"/>
              <w:sz w:val="28"/>
              <w:szCs w:val="28"/>
            </w:rPr>
            <w:t>EUROPEAN ASSOCIATION OF CO-OPERATIVE BANKS</w:t>
          </w:r>
        </w:p>
        <w:p w14:paraId="13C4DBEA" w14:textId="77777777" w:rsidR="00E505FE" w:rsidRPr="00231EB0" w:rsidRDefault="00E505FE" w:rsidP="00F87EF2">
          <w:pPr>
            <w:tabs>
              <w:tab w:val="center" w:pos="4703"/>
              <w:tab w:val="right" w:pos="9406"/>
            </w:tabs>
            <w:ind w:left="231"/>
            <w:rPr>
              <w:rFonts w:ascii="Calibri" w:eastAsia="Calibri" w:hAnsi="Calibri" w:cs="Times New Roman"/>
              <w:b/>
              <w:color w:val="6A8B9E"/>
            </w:rPr>
          </w:pPr>
          <w:r w:rsidRPr="00231EB0">
            <w:rPr>
              <w:rFonts w:ascii="Calibri" w:eastAsia="Calibri" w:hAnsi="Calibri" w:cs="Times New Roman"/>
              <w:b/>
              <w:color w:val="6A8B9E"/>
            </w:rPr>
            <w:t xml:space="preserve">The Co-operative Difference :  </w:t>
          </w:r>
          <w:r w:rsidRPr="00B01607">
            <w:rPr>
              <w:rFonts w:ascii="Calibri" w:eastAsia="Calibri" w:hAnsi="Calibri" w:cs="Times New Roman"/>
              <w:b/>
              <w:color w:val="6A8B9E"/>
            </w:rPr>
            <w:t>Sustainability</w:t>
          </w:r>
          <w:r w:rsidRPr="00231EB0">
            <w:rPr>
              <w:rFonts w:ascii="Calibri" w:eastAsia="Calibri" w:hAnsi="Calibri" w:cs="Times New Roman"/>
              <w:b/>
              <w:color w:val="6A8B9E"/>
            </w:rPr>
            <w:t xml:space="preserve">, Proximity, Governance </w:t>
          </w:r>
        </w:p>
        <w:p w14:paraId="02356B77" w14:textId="77777777" w:rsidR="00E505FE" w:rsidRDefault="00E505FE" w:rsidP="00F87EF2">
          <w:pPr>
            <w:tabs>
              <w:tab w:val="center" w:pos="4703"/>
              <w:tab w:val="right" w:pos="9406"/>
            </w:tabs>
            <w:ind w:left="798"/>
            <w:rPr>
              <w:rFonts w:ascii="Calibri" w:eastAsia="Calibri" w:hAnsi="Calibri" w:cs="Times New Roman"/>
              <w:b/>
              <w:color w:val="767171"/>
            </w:rPr>
          </w:pPr>
        </w:p>
        <w:p w14:paraId="56686455" w14:textId="77777777" w:rsidR="00E505FE" w:rsidRPr="00EB4738" w:rsidRDefault="00E505FE" w:rsidP="00F87EF2">
          <w:pPr>
            <w:tabs>
              <w:tab w:val="center" w:pos="4703"/>
              <w:tab w:val="right" w:pos="9406"/>
            </w:tabs>
            <w:ind w:left="798"/>
            <w:rPr>
              <w:rFonts w:ascii="Calibri" w:eastAsia="Calibri" w:hAnsi="Calibri" w:cs="Times New Roman"/>
              <w:b/>
            </w:rPr>
          </w:pPr>
        </w:p>
      </w:tc>
    </w:tr>
  </w:tbl>
  <w:p w14:paraId="490914E9" w14:textId="77777777" w:rsidR="00E505FE" w:rsidRDefault="00E505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single" w:sz="4" w:space="0" w:color="84A0AF"/>
        <w:left w:val="none" w:sz="0" w:space="0" w:color="auto"/>
        <w:bottom w:val="single" w:sz="4" w:space="0" w:color="84A0AF"/>
        <w:right w:val="none" w:sz="0" w:space="0" w:color="auto"/>
        <w:insideH w:val="none" w:sz="0" w:space="0" w:color="auto"/>
        <w:insideV w:val="none" w:sz="0" w:space="0" w:color="auto"/>
      </w:tblBorders>
      <w:tblLook w:val="04A0" w:firstRow="1" w:lastRow="0" w:firstColumn="1" w:lastColumn="0" w:noHBand="0" w:noVBand="1"/>
    </w:tblPr>
    <w:tblGrid>
      <w:gridCol w:w="1362"/>
      <w:gridCol w:w="8391"/>
    </w:tblGrid>
    <w:tr w:rsidR="00E505FE" w:rsidRPr="00354F99" w14:paraId="4EA44B35" w14:textId="77777777" w:rsidTr="00E505FE">
      <w:trPr>
        <w:trHeight w:val="1266"/>
        <w:jc w:val="center"/>
      </w:trPr>
      <w:tc>
        <w:tcPr>
          <w:tcW w:w="1362" w:type="dxa"/>
        </w:tcPr>
        <w:p w14:paraId="24B34CF3" w14:textId="77777777" w:rsidR="00E505FE" w:rsidRPr="00354F99" w:rsidRDefault="00E505FE" w:rsidP="00886D1A">
          <w:pPr>
            <w:tabs>
              <w:tab w:val="center" w:pos="4703"/>
              <w:tab w:val="right" w:pos="9406"/>
            </w:tabs>
            <w:rPr>
              <w:rFonts w:ascii="Calibri" w:eastAsia="Calibri" w:hAnsi="Calibri" w:cs="Times New Roman"/>
            </w:rPr>
          </w:pPr>
          <w:r>
            <w:rPr>
              <w:rFonts w:ascii="Calibri" w:eastAsia="Calibri" w:hAnsi="Calibri" w:cs="Times New Roman"/>
              <w:noProof/>
              <w:lang w:val="fr-FR" w:eastAsia="fr-FR"/>
            </w:rPr>
            <w:drawing>
              <wp:anchor distT="0" distB="0" distL="114300" distR="114300" simplePos="0" relativeHeight="251658240" behindDoc="0" locked="0" layoutInCell="1" allowOverlap="1" wp14:anchorId="79BD01B7" wp14:editId="62F7CBA1">
                <wp:simplePos x="0" y="0"/>
                <wp:positionH relativeFrom="column">
                  <wp:posOffset>17145</wp:posOffset>
                </wp:positionH>
                <wp:positionV relativeFrom="paragraph">
                  <wp:posOffset>58420</wp:posOffset>
                </wp:positionV>
                <wp:extent cx="790575" cy="730266"/>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st logo eac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730266"/>
                        </a:xfrm>
                        <a:prstGeom prst="rect">
                          <a:avLst/>
                        </a:prstGeom>
                      </pic:spPr>
                    </pic:pic>
                  </a:graphicData>
                </a:graphic>
                <wp14:sizeRelH relativeFrom="page">
                  <wp14:pctWidth>0</wp14:pctWidth>
                </wp14:sizeRelH>
                <wp14:sizeRelV relativeFrom="page">
                  <wp14:pctHeight>0</wp14:pctHeight>
                </wp14:sizeRelV>
              </wp:anchor>
            </w:drawing>
          </w:r>
        </w:p>
      </w:tc>
      <w:tc>
        <w:tcPr>
          <w:tcW w:w="8391" w:type="dxa"/>
        </w:tcPr>
        <w:p w14:paraId="0D9BC48C" w14:textId="77777777" w:rsidR="00E505FE" w:rsidRPr="00354F99" w:rsidRDefault="00E505FE" w:rsidP="00886D1A">
          <w:pPr>
            <w:tabs>
              <w:tab w:val="center" w:pos="4703"/>
              <w:tab w:val="right" w:pos="9406"/>
            </w:tabs>
            <w:ind w:left="798"/>
            <w:rPr>
              <w:rFonts w:ascii="Calibri" w:eastAsia="Calibri" w:hAnsi="Calibri" w:cs="Times New Roman"/>
            </w:rPr>
          </w:pPr>
        </w:p>
        <w:p w14:paraId="2BCFE02A" w14:textId="77777777" w:rsidR="00E505FE" w:rsidRPr="00231EB0" w:rsidRDefault="00E505FE" w:rsidP="00886D1A">
          <w:pPr>
            <w:tabs>
              <w:tab w:val="center" w:pos="4703"/>
              <w:tab w:val="right" w:pos="9406"/>
            </w:tabs>
            <w:ind w:left="231"/>
            <w:rPr>
              <w:rFonts w:ascii="Calibri" w:eastAsia="Calibri" w:hAnsi="Calibri" w:cs="Times New Roman"/>
              <w:b/>
              <w:color w:val="6A8B9E"/>
              <w:sz w:val="28"/>
              <w:szCs w:val="28"/>
            </w:rPr>
          </w:pPr>
          <w:r w:rsidRPr="00231EB0">
            <w:rPr>
              <w:rFonts w:ascii="Calibri" w:eastAsia="Calibri" w:hAnsi="Calibri" w:cs="Times New Roman"/>
              <w:b/>
              <w:color w:val="6A8B9E"/>
              <w:sz w:val="28"/>
              <w:szCs w:val="28"/>
            </w:rPr>
            <w:t>EUROPEAN ASSOCIATION OF CO-OPERATIVE BANKS</w:t>
          </w:r>
        </w:p>
        <w:p w14:paraId="60D772AA" w14:textId="77777777" w:rsidR="00E505FE" w:rsidRPr="00231EB0" w:rsidRDefault="00E505FE" w:rsidP="00886D1A">
          <w:pPr>
            <w:tabs>
              <w:tab w:val="center" w:pos="4703"/>
              <w:tab w:val="right" w:pos="9406"/>
            </w:tabs>
            <w:ind w:left="231"/>
            <w:rPr>
              <w:rFonts w:ascii="Calibri" w:eastAsia="Calibri" w:hAnsi="Calibri" w:cs="Times New Roman"/>
              <w:b/>
              <w:color w:val="6A8B9E"/>
            </w:rPr>
          </w:pPr>
          <w:r w:rsidRPr="00231EB0">
            <w:rPr>
              <w:rFonts w:ascii="Calibri" w:eastAsia="Calibri" w:hAnsi="Calibri" w:cs="Times New Roman"/>
              <w:b/>
              <w:color w:val="6A8B9E"/>
            </w:rPr>
            <w:t xml:space="preserve">The Cooperative Difference: </w:t>
          </w:r>
          <w:r w:rsidRPr="00B01607">
            <w:rPr>
              <w:rFonts w:ascii="Calibri" w:eastAsia="Calibri" w:hAnsi="Calibri" w:cs="Times New Roman"/>
              <w:b/>
              <w:color w:val="6A8B9E"/>
            </w:rPr>
            <w:t>Sustainability</w:t>
          </w:r>
          <w:r w:rsidRPr="00231EB0">
            <w:rPr>
              <w:rFonts w:ascii="Calibri" w:eastAsia="Calibri" w:hAnsi="Calibri" w:cs="Times New Roman"/>
              <w:b/>
              <w:color w:val="6A8B9E"/>
            </w:rPr>
            <w:t xml:space="preserve">, Proximity, Governance </w:t>
          </w:r>
        </w:p>
        <w:p w14:paraId="4456C191" w14:textId="77777777" w:rsidR="00E505FE" w:rsidRDefault="00E505FE" w:rsidP="00886D1A">
          <w:pPr>
            <w:tabs>
              <w:tab w:val="center" w:pos="4703"/>
              <w:tab w:val="right" w:pos="9406"/>
            </w:tabs>
            <w:ind w:left="798"/>
            <w:rPr>
              <w:rFonts w:ascii="Calibri" w:eastAsia="Calibri" w:hAnsi="Calibri" w:cs="Times New Roman"/>
              <w:b/>
              <w:color w:val="767171"/>
            </w:rPr>
          </w:pPr>
        </w:p>
        <w:p w14:paraId="4F4CC166" w14:textId="77777777" w:rsidR="00E505FE" w:rsidRPr="00EB4738" w:rsidRDefault="00E505FE" w:rsidP="00886D1A">
          <w:pPr>
            <w:tabs>
              <w:tab w:val="center" w:pos="4703"/>
              <w:tab w:val="right" w:pos="9406"/>
            </w:tabs>
            <w:ind w:left="798"/>
            <w:rPr>
              <w:rFonts w:ascii="Calibri" w:eastAsia="Calibri" w:hAnsi="Calibri" w:cs="Times New Roman"/>
              <w:b/>
            </w:rPr>
          </w:pPr>
        </w:p>
      </w:tc>
    </w:tr>
  </w:tbl>
  <w:p w14:paraId="0FE61257" w14:textId="77777777" w:rsidR="00E505FE" w:rsidRDefault="00E5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8AC"/>
    <w:multiLevelType w:val="hybridMultilevel"/>
    <w:tmpl w:val="C28AA39C"/>
    <w:lvl w:ilvl="0" w:tplc="A66AD10E">
      <w:start w:val="1"/>
      <w:numFmt w:val="lowerLetter"/>
      <w:lvlText w:val="%1."/>
      <w:lvlJc w:val="left"/>
      <w:pPr>
        <w:ind w:left="1440" w:hanging="360"/>
      </w:pPr>
    </w:lvl>
    <w:lvl w:ilvl="1" w:tplc="20000019">
      <w:start w:val="1"/>
      <w:numFmt w:val="lowerLetter"/>
      <w:lvlText w:val="%2."/>
      <w:lvlJc w:val="left"/>
      <w:pPr>
        <w:ind w:left="2160" w:hanging="360"/>
      </w:pPr>
    </w:lvl>
    <w:lvl w:ilvl="2" w:tplc="2000001B">
      <w:start w:val="1"/>
      <w:numFmt w:val="lowerRoman"/>
      <w:lvlText w:val="%3."/>
      <w:lvlJc w:val="right"/>
      <w:pPr>
        <w:ind w:left="2880" w:hanging="180"/>
      </w:pPr>
    </w:lvl>
    <w:lvl w:ilvl="3" w:tplc="2000000F">
      <w:start w:val="1"/>
      <w:numFmt w:val="decimal"/>
      <w:lvlText w:val="%4."/>
      <w:lvlJc w:val="left"/>
      <w:pPr>
        <w:ind w:left="3600" w:hanging="360"/>
      </w:pPr>
    </w:lvl>
    <w:lvl w:ilvl="4" w:tplc="20000019">
      <w:start w:val="1"/>
      <w:numFmt w:val="lowerLetter"/>
      <w:lvlText w:val="%5."/>
      <w:lvlJc w:val="left"/>
      <w:pPr>
        <w:ind w:left="4320" w:hanging="360"/>
      </w:pPr>
    </w:lvl>
    <w:lvl w:ilvl="5" w:tplc="2000001B">
      <w:start w:val="1"/>
      <w:numFmt w:val="lowerRoman"/>
      <w:lvlText w:val="%6."/>
      <w:lvlJc w:val="right"/>
      <w:pPr>
        <w:ind w:left="5040" w:hanging="180"/>
      </w:pPr>
    </w:lvl>
    <w:lvl w:ilvl="6" w:tplc="2000000F">
      <w:start w:val="1"/>
      <w:numFmt w:val="decimal"/>
      <w:lvlText w:val="%7."/>
      <w:lvlJc w:val="left"/>
      <w:pPr>
        <w:ind w:left="5760" w:hanging="360"/>
      </w:pPr>
    </w:lvl>
    <w:lvl w:ilvl="7" w:tplc="20000019">
      <w:start w:val="1"/>
      <w:numFmt w:val="lowerLetter"/>
      <w:lvlText w:val="%8."/>
      <w:lvlJc w:val="left"/>
      <w:pPr>
        <w:ind w:left="6480" w:hanging="360"/>
      </w:pPr>
    </w:lvl>
    <w:lvl w:ilvl="8" w:tplc="2000001B">
      <w:start w:val="1"/>
      <w:numFmt w:val="lowerRoman"/>
      <w:lvlText w:val="%9."/>
      <w:lvlJc w:val="right"/>
      <w:pPr>
        <w:ind w:left="7200" w:hanging="180"/>
      </w:pPr>
    </w:lvl>
  </w:abstractNum>
  <w:abstractNum w:abstractNumId="1" w15:restartNumberingAfterBreak="0">
    <w:nsid w:val="07212644"/>
    <w:multiLevelType w:val="hybridMultilevel"/>
    <w:tmpl w:val="132E4D7C"/>
    <w:lvl w:ilvl="0" w:tplc="BFC46A80">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2A48568C"/>
    <w:multiLevelType w:val="hybridMultilevel"/>
    <w:tmpl w:val="8D90633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15:restartNumberingAfterBreak="0">
    <w:nsid w:val="2BDE2781"/>
    <w:multiLevelType w:val="multilevel"/>
    <w:tmpl w:val="59B85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F4794C"/>
    <w:multiLevelType w:val="hybridMultilevel"/>
    <w:tmpl w:val="65CA72E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 w15:restartNumberingAfterBreak="0">
    <w:nsid w:val="5B3A068C"/>
    <w:multiLevelType w:val="hybridMultilevel"/>
    <w:tmpl w:val="AFF4BEB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 w15:restartNumberingAfterBreak="0">
    <w:nsid w:val="69CC0CBB"/>
    <w:multiLevelType w:val="hybridMultilevel"/>
    <w:tmpl w:val="089C987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ED45041"/>
    <w:multiLevelType w:val="hybridMultilevel"/>
    <w:tmpl w:val="29BC775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16cid:durableId="908922463">
    <w:abstractNumId w:val="7"/>
  </w:num>
  <w:num w:numId="2" w16cid:durableId="2018268506">
    <w:abstractNumId w:val="3"/>
  </w:num>
  <w:num w:numId="3" w16cid:durableId="583495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0325163">
    <w:abstractNumId w:val="1"/>
  </w:num>
  <w:num w:numId="5" w16cid:durableId="16451627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61502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70119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6995854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EE"/>
    <w:rsid w:val="0000100D"/>
    <w:rsid w:val="00015B09"/>
    <w:rsid w:val="00017A80"/>
    <w:rsid w:val="00021A4D"/>
    <w:rsid w:val="000429C9"/>
    <w:rsid w:val="00043A28"/>
    <w:rsid w:val="00046517"/>
    <w:rsid w:val="000546C4"/>
    <w:rsid w:val="00055138"/>
    <w:rsid w:val="0005524C"/>
    <w:rsid w:val="00061EEC"/>
    <w:rsid w:val="0006707A"/>
    <w:rsid w:val="00097700"/>
    <w:rsid w:val="000C1F4E"/>
    <w:rsid w:val="000D0884"/>
    <w:rsid w:val="000D2277"/>
    <w:rsid w:val="000D3C5E"/>
    <w:rsid w:val="000D4696"/>
    <w:rsid w:val="000F3444"/>
    <w:rsid w:val="001208FC"/>
    <w:rsid w:val="001572F2"/>
    <w:rsid w:val="0017300E"/>
    <w:rsid w:val="00175653"/>
    <w:rsid w:val="001B1B30"/>
    <w:rsid w:val="001B3CE2"/>
    <w:rsid w:val="001B44D9"/>
    <w:rsid w:val="001C040A"/>
    <w:rsid w:val="001C0BCA"/>
    <w:rsid w:val="001C7697"/>
    <w:rsid w:val="001D3C52"/>
    <w:rsid w:val="001D6533"/>
    <w:rsid w:val="001E3C5A"/>
    <w:rsid w:val="001F3025"/>
    <w:rsid w:val="002022FC"/>
    <w:rsid w:val="002140A5"/>
    <w:rsid w:val="002269FE"/>
    <w:rsid w:val="002358F6"/>
    <w:rsid w:val="00245378"/>
    <w:rsid w:val="00252FFA"/>
    <w:rsid w:val="0025759E"/>
    <w:rsid w:val="002638D5"/>
    <w:rsid w:val="00264081"/>
    <w:rsid w:val="00294AC3"/>
    <w:rsid w:val="002956D8"/>
    <w:rsid w:val="0029690D"/>
    <w:rsid w:val="002B7578"/>
    <w:rsid w:val="002C2157"/>
    <w:rsid w:val="002C6C64"/>
    <w:rsid w:val="002E7990"/>
    <w:rsid w:val="00301211"/>
    <w:rsid w:val="00304542"/>
    <w:rsid w:val="00315C83"/>
    <w:rsid w:val="00317DF4"/>
    <w:rsid w:val="003331F8"/>
    <w:rsid w:val="0033547A"/>
    <w:rsid w:val="003427CC"/>
    <w:rsid w:val="00343897"/>
    <w:rsid w:val="003529FA"/>
    <w:rsid w:val="003540E6"/>
    <w:rsid w:val="003573D8"/>
    <w:rsid w:val="00375DD1"/>
    <w:rsid w:val="00376C62"/>
    <w:rsid w:val="00385421"/>
    <w:rsid w:val="00392004"/>
    <w:rsid w:val="0039486C"/>
    <w:rsid w:val="003A0C5E"/>
    <w:rsid w:val="003A1A0D"/>
    <w:rsid w:val="003B3CAB"/>
    <w:rsid w:val="003F2BDA"/>
    <w:rsid w:val="003F3C0E"/>
    <w:rsid w:val="003F5538"/>
    <w:rsid w:val="00405B8C"/>
    <w:rsid w:val="004147EC"/>
    <w:rsid w:val="00417ACF"/>
    <w:rsid w:val="004242B0"/>
    <w:rsid w:val="00432964"/>
    <w:rsid w:val="004356BF"/>
    <w:rsid w:val="00444FF3"/>
    <w:rsid w:val="00445FF6"/>
    <w:rsid w:val="00452AEA"/>
    <w:rsid w:val="00465AC9"/>
    <w:rsid w:val="004674E9"/>
    <w:rsid w:val="004723CB"/>
    <w:rsid w:val="00473881"/>
    <w:rsid w:val="00473CD8"/>
    <w:rsid w:val="004808D5"/>
    <w:rsid w:val="0048147B"/>
    <w:rsid w:val="00491EAE"/>
    <w:rsid w:val="00493177"/>
    <w:rsid w:val="004A4A66"/>
    <w:rsid w:val="004B3888"/>
    <w:rsid w:val="004C77DE"/>
    <w:rsid w:val="004D5822"/>
    <w:rsid w:val="004D69D7"/>
    <w:rsid w:val="004E05B7"/>
    <w:rsid w:val="004E38FC"/>
    <w:rsid w:val="00535BB7"/>
    <w:rsid w:val="00543144"/>
    <w:rsid w:val="00546829"/>
    <w:rsid w:val="005876E0"/>
    <w:rsid w:val="005A0259"/>
    <w:rsid w:val="005A4A37"/>
    <w:rsid w:val="005B56E0"/>
    <w:rsid w:val="005B5768"/>
    <w:rsid w:val="005B63F4"/>
    <w:rsid w:val="005C681C"/>
    <w:rsid w:val="005D08B7"/>
    <w:rsid w:val="005E566C"/>
    <w:rsid w:val="00613C00"/>
    <w:rsid w:val="006264D6"/>
    <w:rsid w:val="00631993"/>
    <w:rsid w:val="00634038"/>
    <w:rsid w:val="00634640"/>
    <w:rsid w:val="00643042"/>
    <w:rsid w:val="00643E13"/>
    <w:rsid w:val="00647CB6"/>
    <w:rsid w:val="00674366"/>
    <w:rsid w:val="00675ECC"/>
    <w:rsid w:val="006808ED"/>
    <w:rsid w:val="0068319A"/>
    <w:rsid w:val="00686EEE"/>
    <w:rsid w:val="00695F69"/>
    <w:rsid w:val="006B02E6"/>
    <w:rsid w:val="006E40C0"/>
    <w:rsid w:val="006E7FCA"/>
    <w:rsid w:val="006F5526"/>
    <w:rsid w:val="007125D5"/>
    <w:rsid w:val="00713BEF"/>
    <w:rsid w:val="00724EC4"/>
    <w:rsid w:val="00725C7A"/>
    <w:rsid w:val="00734DA2"/>
    <w:rsid w:val="00762C12"/>
    <w:rsid w:val="007B15A4"/>
    <w:rsid w:val="007C1716"/>
    <w:rsid w:val="007D5F27"/>
    <w:rsid w:val="007E0030"/>
    <w:rsid w:val="007E0774"/>
    <w:rsid w:val="007F41C1"/>
    <w:rsid w:val="007F7B30"/>
    <w:rsid w:val="00820E13"/>
    <w:rsid w:val="008264EC"/>
    <w:rsid w:val="008403E6"/>
    <w:rsid w:val="008459DB"/>
    <w:rsid w:val="00847898"/>
    <w:rsid w:val="008618F1"/>
    <w:rsid w:val="008757D9"/>
    <w:rsid w:val="00886D1A"/>
    <w:rsid w:val="008909C7"/>
    <w:rsid w:val="008937D9"/>
    <w:rsid w:val="00896690"/>
    <w:rsid w:val="00897153"/>
    <w:rsid w:val="008A3481"/>
    <w:rsid w:val="008A639A"/>
    <w:rsid w:val="008A6D64"/>
    <w:rsid w:val="008A7FE9"/>
    <w:rsid w:val="008B1791"/>
    <w:rsid w:val="008D0D40"/>
    <w:rsid w:val="008E4327"/>
    <w:rsid w:val="008E5F6E"/>
    <w:rsid w:val="008F16E7"/>
    <w:rsid w:val="008F24D5"/>
    <w:rsid w:val="008F2EBE"/>
    <w:rsid w:val="008F7258"/>
    <w:rsid w:val="0090014B"/>
    <w:rsid w:val="00913B7B"/>
    <w:rsid w:val="0091575F"/>
    <w:rsid w:val="00926202"/>
    <w:rsid w:val="009279C7"/>
    <w:rsid w:val="00933A43"/>
    <w:rsid w:val="00940AC7"/>
    <w:rsid w:val="00962A72"/>
    <w:rsid w:val="0096474D"/>
    <w:rsid w:val="00973F2A"/>
    <w:rsid w:val="00976060"/>
    <w:rsid w:val="009834D0"/>
    <w:rsid w:val="009A228C"/>
    <w:rsid w:val="009A5C6D"/>
    <w:rsid w:val="009C323D"/>
    <w:rsid w:val="009C35E8"/>
    <w:rsid w:val="009C3AF2"/>
    <w:rsid w:val="009E1D13"/>
    <w:rsid w:val="009E4D40"/>
    <w:rsid w:val="009E6E8B"/>
    <w:rsid w:val="009F075D"/>
    <w:rsid w:val="00A02AC3"/>
    <w:rsid w:val="00A05959"/>
    <w:rsid w:val="00A10A4A"/>
    <w:rsid w:val="00A2324E"/>
    <w:rsid w:val="00A23D71"/>
    <w:rsid w:val="00A46089"/>
    <w:rsid w:val="00A834AE"/>
    <w:rsid w:val="00A97B39"/>
    <w:rsid w:val="00AC0F68"/>
    <w:rsid w:val="00AC5616"/>
    <w:rsid w:val="00AE3D81"/>
    <w:rsid w:val="00AE41B3"/>
    <w:rsid w:val="00B052D7"/>
    <w:rsid w:val="00B104E7"/>
    <w:rsid w:val="00B20B6D"/>
    <w:rsid w:val="00B214D8"/>
    <w:rsid w:val="00B55AA4"/>
    <w:rsid w:val="00B65A7C"/>
    <w:rsid w:val="00B85BBF"/>
    <w:rsid w:val="00B86BE9"/>
    <w:rsid w:val="00B86EE9"/>
    <w:rsid w:val="00B93BA7"/>
    <w:rsid w:val="00BB0055"/>
    <w:rsid w:val="00BB249C"/>
    <w:rsid w:val="00BC0BE1"/>
    <w:rsid w:val="00BC40D8"/>
    <w:rsid w:val="00BC7EBC"/>
    <w:rsid w:val="00BD3673"/>
    <w:rsid w:val="00BE3F19"/>
    <w:rsid w:val="00BF59B7"/>
    <w:rsid w:val="00BF75B7"/>
    <w:rsid w:val="00C041AF"/>
    <w:rsid w:val="00C24394"/>
    <w:rsid w:val="00C25146"/>
    <w:rsid w:val="00C30AAA"/>
    <w:rsid w:val="00C4060F"/>
    <w:rsid w:val="00C46767"/>
    <w:rsid w:val="00C62437"/>
    <w:rsid w:val="00C70030"/>
    <w:rsid w:val="00C7282E"/>
    <w:rsid w:val="00C97FBF"/>
    <w:rsid w:val="00CA0BA8"/>
    <w:rsid w:val="00CA6C1E"/>
    <w:rsid w:val="00CB1153"/>
    <w:rsid w:val="00CB58BB"/>
    <w:rsid w:val="00CB690F"/>
    <w:rsid w:val="00CE04D2"/>
    <w:rsid w:val="00CF1E0B"/>
    <w:rsid w:val="00D00D43"/>
    <w:rsid w:val="00D17CBD"/>
    <w:rsid w:val="00D301D5"/>
    <w:rsid w:val="00D31C17"/>
    <w:rsid w:val="00D32993"/>
    <w:rsid w:val="00D34545"/>
    <w:rsid w:val="00D4135F"/>
    <w:rsid w:val="00D5003A"/>
    <w:rsid w:val="00D525AC"/>
    <w:rsid w:val="00D54C96"/>
    <w:rsid w:val="00D614D5"/>
    <w:rsid w:val="00D73AAE"/>
    <w:rsid w:val="00D85D52"/>
    <w:rsid w:val="00D9093E"/>
    <w:rsid w:val="00D94012"/>
    <w:rsid w:val="00DB4BEB"/>
    <w:rsid w:val="00DC0138"/>
    <w:rsid w:val="00DE0C15"/>
    <w:rsid w:val="00DF38C8"/>
    <w:rsid w:val="00DF3D7B"/>
    <w:rsid w:val="00E10CD7"/>
    <w:rsid w:val="00E34403"/>
    <w:rsid w:val="00E410B6"/>
    <w:rsid w:val="00E43294"/>
    <w:rsid w:val="00E505FE"/>
    <w:rsid w:val="00E54B85"/>
    <w:rsid w:val="00E7237A"/>
    <w:rsid w:val="00E72887"/>
    <w:rsid w:val="00E824B0"/>
    <w:rsid w:val="00E877DD"/>
    <w:rsid w:val="00E90C68"/>
    <w:rsid w:val="00EA7D14"/>
    <w:rsid w:val="00EB1F96"/>
    <w:rsid w:val="00EC021C"/>
    <w:rsid w:val="00ED78A2"/>
    <w:rsid w:val="00EE19E8"/>
    <w:rsid w:val="00EE70AD"/>
    <w:rsid w:val="00F210CD"/>
    <w:rsid w:val="00F2779B"/>
    <w:rsid w:val="00F300C4"/>
    <w:rsid w:val="00F43FAA"/>
    <w:rsid w:val="00F52515"/>
    <w:rsid w:val="00F72623"/>
    <w:rsid w:val="00F75CEC"/>
    <w:rsid w:val="00F81F74"/>
    <w:rsid w:val="00F857CA"/>
    <w:rsid w:val="00F87EF2"/>
    <w:rsid w:val="00FC2CC0"/>
    <w:rsid w:val="00FC47D4"/>
    <w:rsid w:val="00FD0FE3"/>
    <w:rsid w:val="00FD20C2"/>
    <w:rsid w:val="00FD7628"/>
    <w:rsid w:val="00FF096C"/>
    <w:rsid w:val="00FF2808"/>
    <w:rsid w:val="00FF3795"/>
    <w:rsid w:val="02D0E247"/>
    <w:rsid w:val="0441D3B2"/>
    <w:rsid w:val="0528318F"/>
    <w:rsid w:val="069E91D7"/>
    <w:rsid w:val="0D12A503"/>
    <w:rsid w:val="148AC3F8"/>
    <w:rsid w:val="16B31845"/>
    <w:rsid w:val="24677A60"/>
    <w:rsid w:val="271752B9"/>
    <w:rsid w:val="2B79C144"/>
    <w:rsid w:val="4F3D715B"/>
    <w:rsid w:val="56A075D2"/>
    <w:rsid w:val="5BA1548E"/>
    <w:rsid w:val="6365D07D"/>
    <w:rsid w:val="6501A0DE"/>
    <w:rsid w:val="65F09E74"/>
    <w:rsid w:val="6682B359"/>
    <w:rsid w:val="6830C796"/>
    <w:rsid w:val="744C1821"/>
    <w:rsid w:val="7995A6DE"/>
    <w:rsid w:val="7EC9A9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2BB4F"/>
  <w15:docId w15:val="{F7364825-0F82-4AF4-BFAD-4150C10A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2FC"/>
  </w:style>
  <w:style w:type="paragraph" w:styleId="Heading1">
    <w:name w:val="heading 1"/>
    <w:basedOn w:val="Normal"/>
    <w:next w:val="Normal"/>
    <w:link w:val="Heading1Char"/>
    <w:uiPriority w:val="9"/>
    <w:qFormat/>
    <w:rsid w:val="00D17CBD"/>
    <w:pPr>
      <w:keepNext/>
      <w:keepLines/>
      <w:spacing w:before="360" w:after="12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D17CBD"/>
    <w:pPr>
      <w:keepNext/>
      <w:keepLines/>
      <w:spacing w:before="200" w:after="0"/>
      <w:outlineLvl w:val="1"/>
    </w:pPr>
    <w:rPr>
      <w:rFonts w:ascii="Arial" w:eastAsiaTheme="majorEastAsia" w:hAnsi="Arial" w:cstheme="majorBidi"/>
      <w:bCs/>
      <w:sz w:val="28"/>
      <w:szCs w:val="26"/>
    </w:rPr>
  </w:style>
  <w:style w:type="paragraph" w:styleId="Heading3">
    <w:name w:val="heading 3"/>
    <w:basedOn w:val="Normal"/>
    <w:next w:val="Normal"/>
    <w:link w:val="Heading3Char"/>
    <w:uiPriority w:val="9"/>
    <w:unhideWhenUsed/>
    <w:qFormat/>
    <w:rsid w:val="00D17CBD"/>
    <w:pPr>
      <w:keepNext/>
      <w:keepLines/>
      <w:spacing w:before="320" w:after="120"/>
      <w:outlineLvl w:val="2"/>
    </w:pPr>
    <w:rPr>
      <w:rFonts w:ascii="Arial" w:eastAsiaTheme="majorEastAsia" w:hAnsi="Arial" w:cstheme="majorBidi"/>
      <w:b/>
      <w:bCs/>
      <w:sz w:val="24"/>
      <w:u w:val="single"/>
    </w:rPr>
  </w:style>
  <w:style w:type="paragraph" w:styleId="Heading4">
    <w:name w:val="heading 4"/>
    <w:basedOn w:val="Normal"/>
    <w:next w:val="Normal"/>
    <w:link w:val="Heading4Char"/>
    <w:uiPriority w:val="9"/>
    <w:semiHidden/>
    <w:unhideWhenUsed/>
    <w:qFormat/>
    <w:rsid w:val="00D17CB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CEC"/>
    <w:pPr>
      <w:tabs>
        <w:tab w:val="center" w:pos="4703"/>
        <w:tab w:val="right" w:pos="9406"/>
      </w:tabs>
      <w:spacing w:after="0" w:line="240" w:lineRule="auto"/>
    </w:pPr>
  </w:style>
  <w:style w:type="character" w:customStyle="1" w:styleId="HeaderChar">
    <w:name w:val="Header Char"/>
    <w:basedOn w:val="DefaultParagraphFont"/>
    <w:link w:val="Header"/>
    <w:uiPriority w:val="99"/>
    <w:rsid w:val="00F75CEC"/>
  </w:style>
  <w:style w:type="paragraph" w:styleId="Footer">
    <w:name w:val="footer"/>
    <w:basedOn w:val="Normal"/>
    <w:link w:val="FooterChar"/>
    <w:uiPriority w:val="99"/>
    <w:unhideWhenUsed/>
    <w:rsid w:val="00F75CEC"/>
    <w:pPr>
      <w:tabs>
        <w:tab w:val="center" w:pos="4703"/>
        <w:tab w:val="right" w:pos="9406"/>
      </w:tabs>
      <w:spacing w:after="0" w:line="240" w:lineRule="auto"/>
    </w:pPr>
  </w:style>
  <w:style w:type="character" w:customStyle="1" w:styleId="FooterChar">
    <w:name w:val="Footer Char"/>
    <w:basedOn w:val="DefaultParagraphFont"/>
    <w:link w:val="Footer"/>
    <w:uiPriority w:val="99"/>
    <w:rsid w:val="00F75CEC"/>
  </w:style>
  <w:style w:type="table" w:styleId="TableGrid">
    <w:name w:val="Table Grid"/>
    <w:basedOn w:val="TableNormal"/>
    <w:uiPriority w:val="59"/>
    <w:rsid w:val="00F75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75CEC"/>
    <w:pPr>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15"/>
      <w:lang w:eastAsia="fr-FR"/>
    </w:rPr>
  </w:style>
  <w:style w:type="character" w:customStyle="1" w:styleId="BodyTextChar">
    <w:name w:val="Body Text Char"/>
    <w:basedOn w:val="DefaultParagraphFont"/>
    <w:link w:val="BodyText"/>
    <w:rsid w:val="00F75CEC"/>
    <w:rPr>
      <w:rFonts w:ascii="Times New Roman" w:eastAsia="Times New Roman" w:hAnsi="Times New Roman" w:cs="Times New Roman"/>
      <w:noProof/>
      <w:sz w:val="24"/>
      <w:szCs w:val="15"/>
      <w:lang w:val="en-GB" w:eastAsia="fr-FR"/>
    </w:rPr>
  </w:style>
  <w:style w:type="character" w:styleId="Hyperlink">
    <w:name w:val="Hyperlink"/>
    <w:uiPriority w:val="99"/>
    <w:rsid w:val="00F75CEC"/>
    <w:rPr>
      <w:color w:val="0000FF"/>
      <w:u w:val="single"/>
    </w:rPr>
  </w:style>
  <w:style w:type="paragraph" w:styleId="BalloonText">
    <w:name w:val="Balloon Text"/>
    <w:basedOn w:val="Normal"/>
    <w:link w:val="BalloonTextChar"/>
    <w:uiPriority w:val="99"/>
    <w:semiHidden/>
    <w:unhideWhenUsed/>
    <w:rsid w:val="00F85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7CA"/>
    <w:rPr>
      <w:rFonts w:ascii="Segoe UI" w:hAnsi="Segoe UI" w:cs="Segoe UI"/>
      <w:sz w:val="18"/>
      <w:szCs w:val="18"/>
    </w:rPr>
  </w:style>
  <w:style w:type="paragraph" w:styleId="ListParagraph">
    <w:name w:val="List Paragraph"/>
    <w:basedOn w:val="Normal"/>
    <w:uiPriority w:val="34"/>
    <w:qFormat/>
    <w:rsid w:val="0068319A"/>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noProof/>
      <w:sz w:val="24"/>
      <w:szCs w:val="24"/>
      <w:lang w:eastAsia="fr-FR"/>
    </w:rPr>
  </w:style>
  <w:style w:type="paragraph" w:styleId="FootnoteText">
    <w:name w:val="footnote text"/>
    <w:basedOn w:val="Normal"/>
    <w:link w:val="FootnoteTextChar"/>
    <w:uiPriority w:val="99"/>
    <w:rsid w:val="0068319A"/>
    <w:pPr>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lang w:eastAsia="fr-FR"/>
    </w:rPr>
  </w:style>
  <w:style w:type="character" w:customStyle="1" w:styleId="FootnoteTextChar">
    <w:name w:val="Footnote Text Char"/>
    <w:basedOn w:val="DefaultParagraphFont"/>
    <w:link w:val="FootnoteText"/>
    <w:uiPriority w:val="99"/>
    <w:rsid w:val="0068319A"/>
    <w:rPr>
      <w:rFonts w:ascii="Times New Roman" w:eastAsia="Times New Roman" w:hAnsi="Times New Roman" w:cs="Times New Roman"/>
      <w:noProof/>
      <w:sz w:val="20"/>
      <w:szCs w:val="20"/>
      <w:lang w:val="en-GB" w:eastAsia="fr-FR"/>
    </w:rPr>
  </w:style>
  <w:style w:type="character" w:styleId="FootnoteReference">
    <w:name w:val="footnote reference"/>
    <w:basedOn w:val="DefaultParagraphFont"/>
    <w:uiPriority w:val="99"/>
    <w:rsid w:val="0068319A"/>
    <w:rPr>
      <w:vertAlign w:val="superscript"/>
    </w:rPr>
  </w:style>
  <w:style w:type="paragraph" w:customStyle="1" w:styleId="xmsonormal">
    <w:name w:val="xmsonormal"/>
    <w:basedOn w:val="Normal"/>
    <w:rsid w:val="00CF1E0B"/>
    <w:pPr>
      <w:spacing w:before="100" w:beforeAutospacing="1" w:after="100" w:afterAutospacing="1" w:line="240" w:lineRule="auto"/>
    </w:pPr>
    <w:rPr>
      <w:rFonts w:ascii="Calibri" w:hAnsi="Calibri" w:cs="Calibri"/>
    </w:rPr>
  </w:style>
  <w:style w:type="paragraph" w:customStyle="1" w:styleId="xmsolistparagraph">
    <w:name w:val="xmsolistparagraph"/>
    <w:basedOn w:val="Normal"/>
    <w:rsid w:val="00CF1E0B"/>
    <w:pPr>
      <w:spacing w:before="100" w:beforeAutospacing="1" w:after="100" w:afterAutospacing="1" w:line="240" w:lineRule="auto"/>
    </w:pPr>
    <w:rPr>
      <w:rFonts w:ascii="Calibri" w:hAnsi="Calibri" w:cs="Calibri"/>
    </w:rPr>
  </w:style>
  <w:style w:type="character" w:customStyle="1" w:styleId="UnresolvedMention1">
    <w:name w:val="Unresolved Mention1"/>
    <w:basedOn w:val="DefaultParagraphFont"/>
    <w:uiPriority w:val="99"/>
    <w:semiHidden/>
    <w:unhideWhenUsed/>
    <w:rsid w:val="00D17CBD"/>
    <w:rPr>
      <w:color w:val="808080"/>
      <w:shd w:val="clear" w:color="auto" w:fill="E6E6E6"/>
    </w:rPr>
  </w:style>
  <w:style w:type="character" w:customStyle="1" w:styleId="Heading1Char">
    <w:name w:val="Heading 1 Char"/>
    <w:basedOn w:val="DefaultParagraphFont"/>
    <w:link w:val="Heading1"/>
    <w:uiPriority w:val="9"/>
    <w:rsid w:val="00D17CBD"/>
    <w:rPr>
      <w:rFonts w:ascii="Arial" w:eastAsiaTheme="majorEastAsia" w:hAnsi="Arial" w:cstheme="majorBidi"/>
      <w:b/>
      <w:bCs/>
      <w:sz w:val="28"/>
      <w:szCs w:val="28"/>
      <w:lang w:val="en-GB"/>
    </w:rPr>
  </w:style>
  <w:style w:type="character" w:customStyle="1" w:styleId="Heading2Char">
    <w:name w:val="Heading 2 Char"/>
    <w:basedOn w:val="DefaultParagraphFont"/>
    <w:link w:val="Heading2"/>
    <w:uiPriority w:val="9"/>
    <w:rsid w:val="00D17CBD"/>
    <w:rPr>
      <w:rFonts w:ascii="Arial" w:eastAsiaTheme="majorEastAsia" w:hAnsi="Arial" w:cstheme="majorBidi"/>
      <w:bCs/>
      <w:sz w:val="28"/>
      <w:szCs w:val="26"/>
      <w:lang w:val="en-GB"/>
    </w:rPr>
  </w:style>
  <w:style w:type="character" w:customStyle="1" w:styleId="Heading3Char">
    <w:name w:val="Heading 3 Char"/>
    <w:basedOn w:val="DefaultParagraphFont"/>
    <w:link w:val="Heading3"/>
    <w:uiPriority w:val="9"/>
    <w:rsid w:val="00D17CBD"/>
    <w:rPr>
      <w:rFonts w:ascii="Arial" w:eastAsiaTheme="majorEastAsia" w:hAnsi="Arial" w:cstheme="majorBidi"/>
      <w:b/>
      <w:bCs/>
      <w:sz w:val="24"/>
      <w:u w:val="single"/>
      <w:lang w:val="en-GB"/>
    </w:rPr>
  </w:style>
  <w:style w:type="character" w:customStyle="1" w:styleId="Heading4Char">
    <w:name w:val="Heading 4 Char"/>
    <w:basedOn w:val="DefaultParagraphFont"/>
    <w:link w:val="Heading4"/>
    <w:uiPriority w:val="9"/>
    <w:semiHidden/>
    <w:rsid w:val="00D17CBD"/>
    <w:rPr>
      <w:rFonts w:asciiTheme="majorHAnsi" w:eastAsiaTheme="majorEastAsia" w:hAnsiTheme="majorHAnsi" w:cstheme="majorBidi"/>
      <w:i/>
      <w:iCs/>
      <w:color w:val="2E74B5" w:themeColor="accent1" w:themeShade="BF"/>
      <w:lang w:val="en-GB"/>
    </w:rPr>
  </w:style>
  <w:style w:type="paragraph" w:styleId="TOCHeading">
    <w:name w:val="TOC Heading"/>
    <w:basedOn w:val="Heading1"/>
    <w:next w:val="Normal"/>
    <w:uiPriority w:val="39"/>
    <w:semiHidden/>
    <w:unhideWhenUsed/>
    <w:qFormat/>
    <w:rsid w:val="00D17CBD"/>
    <w:pPr>
      <w:spacing w:line="276" w:lineRule="auto"/>
      <w:outlineLvl w:val="9"/>
    </w:pPr>
    <w:rPr>
      <w:lang w:eastAsia="ja-JP"/>
    </w:rPr>
  </w:style>
  <w:style w:type="paragraph" w:styleId="TOC1">
    <w:name w:val="toc 1"/>
    <w:basedOn w:val="Normal"/>
    <w:next w:val="Normal"/>
    <w:autoRedefine/>
    <w:uiPriority w:val="39"/>
    <w:unhideWhenUsed/>
    <w:qFormat/>
    <w:rsid w:val="00D17CBD"/>
    <w:pPr>
      <w:spacing w:after="100"/>
    </w:pPr>
  </w:style>
  <w:style w:type="paragraph" w:styleId="TOC2">
    <w:name w:val="toc 2"/>
    <w:basedOn w:val="Normal"/>
    <w:next w:val="Normal"/>
    <w:autoRedefine/>
    <w:uiPriority w:val="39"/>
    <w:unhideWhenUsed/>
    <w:qFormat/>
    <w:rsid w:val="00D17CBD"/>
    <w:pPr>
      <w:tabs>
        <w:tab w:val="right" w:leader="dot" w:pos="9743"/>
      </w:tabs>
      <w:spacing w:after="100"/>
      <w:ind w:left="220"/>
    </w:pPr>
  </w:style>
  <w:style w:type="paragraph" w:styleId="TOC3">
    <w:name w:val="toc 3"/>
    <w:basedOn w:val="Normal"/>
    <w:next w:val="Normal"/>
    <w:autoRedefine/>
    <w:uiPriority w:val="39"/>
    <w:unhideWhenUsed/>
    <w:qFormat/>
    <w:rsid w:val="00D17CBD"/>
    <w:pPr>
      <w:spacing w:after="100"/>
      <w:ind w:left="440"/>
    </w:pPr>
  </w:style>
  <w:style w:type="character" w:styleId="CommentReference">
    <w:name w:val="annotation reference"/>
    <w:basedOn w:val="DefaultParagraphFont"/>
    <w:uiPriority w:val="99"/>
    <w:semiHidden/>
    <w:unhideWhenUsed/>
    <w:rsid w:val="00D17CBD"/>
    <w:rPr>
      <w:sz w:val="16"/>
      <w:szCs w:val="16"/>
    </w:rPr>
  </w:style>
  <w:style w:type="paragraph" w:styleId="CommentText">
    <w:name w:val="annotation text"/>
    <w:basedOn w:val="Normal"/>
    <w:link w:val="CommentTextChar"/>
    <w:uiPriority w:val="99"/>
    <w:unhideWhenUsed/>
    <w:rsid w:val="00D17CBD"/>
    <w:pPr>
      <w:spacing w:line="240" w:lineRule="auto"/>
    </w:pPr>
    <w:rPr>
      <w:sz w:val="20"/>
      <w:szCs w:val="20"/>
    </w:rPr>
  </w:style>
  <w:style w:type="character" w:customStyle="1" w:styleId="CommentTextChar">
    <w:name w:val="Comment Text Char"/>
    <w:basedOn w:val="DefaultParagraphFont"/>
    <w:link w:val="CommentText"/>
    <w:uiPriority w:val="99"/>
    <w:rsid w:val="00D17CBD"/>
    <w:rPr>
      <w:sz w:val="20"/>
      <w:szCs w:val="20"/>
      <w:lang w:val="en-GB"/>
    </w:rPr>
  </w:style>
  <w:style w:type="paragraph" w:styleId="CommentSubject">
    <w:name w:val="annotation subject"/>
    <w:basedOn w:val="CommentText"/>
    <w:next w:val="CommentText"/>
    <w:link w:val="CommentSubjectChar"/>
    <w:uiPriority w:val="99"/>
    <w:semiHidden/>
    <w:unhideWhenUsed/>
    <w:rsid w:val="00D17CBD"/>
    <w:rPr>
      <w:b/>
      <w:bCs/>
    </w:rPr>
  </w:style>
  <w:style w:type="character" w:customStyle="1" w:styleId="CommentSubjectChar">
    <w:name w:val="Comment Subject Char"/>
    <w:basedOn w:val="CommentTextChar"/>
    <w:link w:val="CommentSubject"/>
    <w:uiPriority w:val="99"/>
    <w:semiHidden/>
    <w:rsid w:val="00D17CBD"/>
    <w:rPr>
      <w:b/>
      <w:bCs/>
      <w:sz w:val="20"/>
      <w:szCs w:val="20"/>
      <w:lang w:val="en-GB"/>
    </w:rPr>
  </w:style>
  <w:style w:type="paragraph" w:styleId="NormalWeb">
    <w:name w:val="Normal (Web)"/>
    <w:basedOn w:val="Normal"/>
    <w:uiPriority w:val="99"/>
    <w:unhideWhenUsed/>
    <w:rsid w:val="00D17CBD"/>
    <w:pPr>
      <w:spacing w:before="100" w:beforeAutospacing="1" w:after="100" w:afterAutospacing="1" w:line="240" w:lineRule="auto"/>
    </w:pPr>
    <w:rPr>
      <w:rFonts w:ascii="Times New Roman" w:hAnsi="Times New Roman" w:cs="Times New Roman"/>
      <w:sz w:val="24"/>
      <w:szCs w:val="24"/>
      <w:lang w:eastAsia="en-GB"/>
    </w:rPr>
  </w:style>
  <w:style w:type="paragraph" w:styleId="Revision">
    <w:name w:val="Revision"/>
    <w:hidden/>
    <w:uiPriority w:val="99"/>
    <w:semiHidden/>
    <w:rsid w:val="00D17CBD"/>
    <w:pPr>
      <w:spacing w:after="0" w:line="240" w:lineRule="auto"/>
    </w:pPr>
  </w:style>
  <w:style w:type="character" w:styleId="Strong">
    <w:name w:val="Strong"/>
    <w:basedOn w:val="DefaultParagraphFont"/>
    <w:uiPriority w:val="22"/>
    <w:qFormat/>
    <w:rsid w:val="00D17CBD"/>
    <w:rPr>
      <w:b/>
      <w:bCs/>
    </w:rPr>
  </w:style>
  <w:style w:type="character" w:customStyle="1" w:styleId="apple-converted-space">
    <w:name w:val="apple-converted-space"/>
    <w:basedOn w:val="DefaultParagraphFont"/>
    <w:rsid w:val="00D17CBD"/>
  </w:style>
  <w:style w:type="character" w:styleId="FollowedHyperlink">
    <w:name w:val="FollowedHyperlink"/>
    <w:basedOn w:val="DefaultParagraphFont"/>
    <w:uiPriority w:val="99"/>
    <w:semiHidden/>
    <w:unhideWhenUsed/>
    <w:rsid w:val="00D17CBD"/>
    <w:rPr>
      <w:color w:val="954F72" w:themeColor="followedHyperlink"/>
      <w:u w:val="single"/>
    </w:rPr>
  </w:style>
  <w:style w:type="character" w:customStyle="1" w:styleId="UnresolvedMention10">
    <w:name w:val="Unresolved Mention10"/>
    <w:basedOn w:val="DefaultParagraphFont"/>
    <w:uiPriority w:val="99"/>
    <w:semiHidden/>
    <w:unhideWhenUsed/>
    <w:rsid w:val="00D17CBD"/>
    <w:rPr>
      <w:color w:val="808080"/>
      <w:shd w:val="clear" w:color="auto" w:fill="E6E6E6"/>
    </w:rPr>
  </w:style>
  <w:style w:type="paragraph" w:customStyle="1" w:styleId="ListParagraph2">
    <w:name w:val="List Paragraph2"/>
    <w:basedOn w:val="Normal"/>
    <w:uiPriority w:val="34"/>
    <w:qFormat/>
    <w:rsid w:val="00D17CBD"/>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4"/>
      <w:lang w:eastAsia="fr-FR"/>
    </w:rPr>
  </w:style>
  <w:style w:type="character" w:styleId="Emphasis">
    <w:name w:val="Emphasis"/>
    <w:basedOn w:val="DefaultParagraphFont"/>
    <w:uiPriority w:val="20"/>
    <w:qFormat/>
    <w:rsid w:val="00D17CBD"/>
    <w:rPr>
      <w:i/>
      <w:iCs/>
    </w:rPr>
  </w:style>
  <w:style w:type="paragraph" w:styleId="NoSpacing">
    <w:name w:val="No Spacing"/>
    <w:link w:val="NoSpacingChar"/>
    <w:uiPriority w:val="1"/>
    <w:qFormat/>
    <w:rsid w:val="00D17CBD"/>
    <w:pPr>
      <w:spacing w:after="0" w:line="240" w:lineRule="auto"/>
    </w:pPr>
    <w:rPr>
      <w:rFonts w:eastAsiaTheme="minorEastAsia"/>
    </w:rPr>
  </w:style>
  <w:style w:type="character" w:customStyle="1" w:styleId="NoSpacingChar">
    <w:name w:val="No Spacing Char"/>
    <w:basedOn w:val="DefaultParagraphFont"/>
    <w:link w:val="NoSpacing"/>
    <w:uiPriority w:val="1"/>
    <w:rsid w:val="00D17CBD"/>
    <w:rPr>
      <w:rFonts w:eastAsiaTheme="minorEastAsia"/>
    </w:rPr>
  </w:style>
  <w:style w:type="paragraph" w:styleId="PlainText">
    <w:name w:val="Plain Text"/>
    <w:basedOn w:val="Normal"/>
    <w:link w:val="PlainTextChar"/>
    <w:uiPriority w:val="99"/>
    <w:unhideWhenUsed/>
    <w:rsid w:val="00D17CB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17CBD"/>
    <w:rPr>
      <w:rFonts w:ascii="Calibri" w:hAnsi="Calibri"/>
      <w:szCs w:val="21"/>
      <w:lang w:val="en-GB"/>
    </w:rPr>
  </w:style>
  <w:style w:type="paragraph" w:customStyle="1" w:styleId="xmsonormal0">
    <w:name w:val="x_msonormal"/>
    <w:basedOn w:val="Normal"/>
    <w:rsid w:val="00D17CBD"/>
    <w:pPr>
      <w:spacing w:after="0" w:line="240" w:lineRule="auto"/>
    </w:pPr>
    <w:rPr>
      <w:rFonts w:ascii="Calibri" w:hAnsi="Calibri" w:cs="Calibri"/>
    </w:rPr>
  </w:style>
  <w:style w:type="character" w:customStyle="1" w:styleId="UnresolvedMention2">
    <w:name w:val="Unresolved Mention2"/>
    <w:basedOn w:val="DefaultParagraphFont"/>
    <w:uiPriority w:val="99"/>
    <w:semiHidden/>
    <w:unhideWhenUsed/>
    <w:rsid w:val="00D17CBD"/>
    <w:rPr>
      <w:color w:val="605E5C"/>
      <w:shd w:val="clear" w:color="auto" w:fill="E1DFDD"/>
    </w:rPr>
  </w:style>
  <w:style w:type="character" w:customStyle="1" w:styleId="markedcontent">
    <w:name w:val="markedcontent"/>
    <w:basedOn w:val="DefaultParagraphFont"/>
    <w:rsid w:val="00D17CBD"/>
  </w:style>
  <w:style w:type="paragraph" w:customStyle="1" w:styleId="paragraph">
    <w:name w:val="paragraph"/>
    <w:basedOn w:val="Normal"/>
    <w:rsid w:val="00D17C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17CBD"/>
  </w:style>
  <w:style w:type="character" w:customStyle="1" w:styleId="eop">
    <w:name w:val="eop"/>
    <w:basedOn w:val="DefaultParagraphFont"/>
    <w:rsid w:val="00D17CBD"/>
  </w:style>
  <w:style w:type="character" w:customStyle="1" w:styleId="superscript">
    <w:name w:val="superscript"/>
    <w:basedOn w:val="DefaultParagraphFont"/>
    <w:rsid w:val="00D17CBD"/>
  </w:style>
  <w:style w:type="character" w:customStyle="1" w:styleId="doceo-font-family-base">
    <w:name w:val="doceo-font-family-base"/>
    <w:basedOn w:val="DefaultParagraphFont"/>
    <w:rsid w:val="00643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129">
      <w:bodyDiv w:val="1"/>
      <w:marLeft w:val="0"/>
      <w:marRight w:val="0"/>
      <w:marTop w:val="0"/>
      <w:marBottom w:val="0"/>
      <w:divBdr>
        <w:top w:val="none" w:sz="0" w:space="0" w:color="auto"/>
        <w:left w:val="none" w:sz="0" w:space="0" w:color="auto"/>
        <w:bottom w:val="none" w:sz="0" w:space="0" w:color="auto"/>
        <w:right w:val="none" w:sz="0" w:space="0" w:color="auto"/>
      </w:divBdr>
    </w:div>
    <w:div w:id="208344547">
      <w:bodyDiv w:val="1"/>
      <w:marLeft w:val="0"/>
      <w:marRight w:val="0"/>
      <w:marTop w:val="0"/>
      <w:marBottom w:val="0"/>
      <w:divBdr>
        <w:top w:val="none" w:sz="0" w:space="0" w:color="auto"/>
        <w:left w:val="none" w:sz="0" w:space="0" w:color="auto"/>
        <w:bottom w:val="none" w:sz="0" w:space="0" w:color="auto"/>
        <w:right w:val="none" w:sz="0" w:space="0" w:color="auto"/>
      </w:divBdr>
    </w:div>
    <w:div w:id="447743789">
      <w:bodyDiv w:val="1"/>
      <w:marLeft w:val="0"/>
      <w:marRight w:val="0"/>
      <w:marTop w:val="0"/>
      <w:marBottom w:val="0"/>
      <w:divBdr>
        <w:top w:val="none" w:sz="0" w:space="0" w:color="auto"/>
        <w:left w:val="none" w:sz="0" w:space="0" w:color="auto"/>
        <w:bottom w:val="none" w:sz="0" w:space="0" w:color="auto"/>
        <w:right w:val="none" w:sz="0" w:space="0" w:color="auto"/>
      </w:divBdr>
    </w:div>
    <w:div w:id="603349012">
      <w:bodyDiv w:val="1"/>
      <w:marLeft w:val="0"/>
      <w:marRight w:val="0"/>
      <w:marTop w:val="0"/>
      <w:marBottom w:val="0"/>
      <w:divBdr>
        <w:top w:val="none" w:sz="0" w:space="0" w:color="auto"/>
        <w:left w:val="none" w:sz="0" w:space="0" w:color="auto"/>
        <w:bottom w:val="none" w:sz="0" w:space="0" w:color="auto"/>
        <w:right w:val="none" w:sz="0" w:space="0" w:color="auto"/>
      </w:divBdr>
    </w:div>
    <w:div w:id="696128207">
      <w:bodyDiv w:val="1"/>
      <w:marLeft w:val="0"/>
      <w:marRight w:val="0"/>
      <w:marTop w:val="0"/>
      <w:marBottom w:val="0"/>
      <w:divBdr>
        <w:top w:val="none" w:sz="0" w:space="0" w:color="auto"/>
        <w:left w:val="none" w:sz="0" w:space="0" w:color="auto"/>
        <w:bottom w:val="none" w:sz="0" w:space="0" w:color="auto"/>
        <w:right w:val="none" w:sz="0" w:space="0" w:color="auto"/>
      </w:divBdr>
    </w:div>
    <w:div w:id="1170410511">
      <w:bodyDiv w:val="1"/>
      <w:marLeft w:val="0"/>
      <w:marRight w:val="0"/>
      <w:marTop w:val="0"/>
      <w:marBottom w:val="0"/>
      <w:divBdr>
        <w:top w:val="none" w:sz="0" w:space="0" w:color="auto"/>
        <w:left w:val="none" w:sz="0" w:space="0" w:color="auto"/>
        <w:bottom w:val="none" w:sz="0" w:space="0" w:color="auto"/>
        <w:right w:val="none" w:sz="0" w:space="0" w:color="auto"/>
      </w:divBdr>
    </w:div>
    <w:div w:id="139200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acb.coo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acb.coop/en/home.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secretariat@eacb.coo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alieVuillemot\Downloads\Template%20new%20doc%202022%2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b3d597-3ffe-4a81-989a-637cab6f75e7">
      <Terms xmlns="http://schemas.microsoft.com/office/infopath/2007/PartnerControls"/>
    </lcf76f155ced4ddcb4097134ff3c332f>
    <TaxCatchAll xmlns="c6ea7b7a-c2f0-4e32-b4fc-fc394e563b7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684F999CFA65A347A4B0CB5DCDB056E5" ma:contentTypeVersion="12" ma:contentTypeDescription="Luo uusi asiakirja." ma:contentTypeScope="" ma:versionID="d18cb5199785e906a1c6cbc2eaff0be2">
  <xsd:schema xmlns:xsd="http://www.w3.org/2001/XMLSchema" xmlns:xs="http://www.w3.org/2001/XMLSchema" xmlns:p="http://schemas.microsoft.com/office/2006/metadata/properties" xmlns:ns2="35b3d597-3ffe-4a81-989a-637cab6f75e7" xmlns:ns3="c6ea7b7a-c2f0-4e32-b4fc-fc394e563b70" targetNamespace="http://schemas.microsoft.com/office/2006/metadata/properties" ma:root="true" ma:fieldsID="2d97887a187bf4a14a31e8e4ff914f80" ns2:_="" ns3:_="">
    <xsd:import namespace="35b3d597-3ffe-4a81-989a-637cab6f75e7"/>
    <xsd:import namespace="c6ea7b7a-c2f0-4e32-b4fc-fc394e563b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3d597-3ffe-4a81-989a-637cab6f75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Kuvien tunnisteet" ma:readOnly="false" ma:fieldId="{5cf76f15-5ced-4ddc-b409-7134ff3c332f}" ma:taxonomyMulti="true" ma:sspId="fa768ecc-3a81-4e79-9923-831aada69e3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ea7b7a-c2f0-4e32-b4fc-fc394e563b70"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14" nillable="true" ma:displayName="Taxonomy Catch All Column" ma:hidden="true" ma:list="{92d7c7d6-2a36-4ebc-a37d-9c989f0f3361}" ma:internalName="TaxCatchAll" ma:showField="CatchAllData" ma:web="c6ea7b7a-c2f0-4e32-b4fc-fc394e563b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09BA17-6C99-4226-BA33-90E1B358C8CA}">
  <ds:schemaRefs>
    <ds:schemaRef ds:uri="http://schemas.openxmlformats.org/officeDocument/2006/bibliography"/>
  </ds:schemaRefs>
</ds:datastoreItem>
</file>

<file path=customXml/itemProps2.xml><?xml version="1.0" encoding="utf-8"?>
<ds:datastoreItem xmlns:ds="http://schemas.openxmlformats.org/officeDocument/2006/customXml" ds:itemID="{27E4DFEA-B94C-42D9-98C9-50A887C7ADFF}">
  <ds:schemaRefs>
    <ds:schemaRef ds:uri="http://schemas.microsoft.com/office/2006/metadata/properties"/>
    <ds:schemaRef ds:uri="http://schemas.microsoft.com/office/infopath/2007/PartnerControls"/>
    <ds:schemaRef ds:uri="35b3d597-3ffe-4a81-989a-637cab6f75e7"/>
    <ds:schemaRef ds:uri="c6ea7b7a-c2f0-4e32-b4fc-fc394e563b70"/>
  </ds:schemaRefs>
</ds:datastoreItem>
</file>

<file path=customXml/itemProps3.xml><?xml version="1.0" encoding="utf-8"?>
<ds:datastoreItem xmlns:ds="http://schemas.openxmlformats.org/officeDocument/2006/customXml" ds:itemID="{14A977D1-F95F-4F7E-82D9-72F16B562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3d597-3ffe-4a81-989a-637cab6f75e7"/>
    <ds:schemaRef ds:uri="c6ea7b7a-c2f0-4e32-b4fc-fc394e563b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78465A-A7CE-4D4C-8AFD-E89E56D4AA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new doc 2022 (9)</Template>
  <TotalTime>1</TotalTime>
  <Pages>3</Pages>
  <Words>2394</Words>
  <Characters>13652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Desktop Anywhere</Company>
  <LinksUpToDate>false</LinksUpToDate>
  <CharactersWithSpaces>16014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Rosalie Vuillemot</dc:creator>
  <cp:keywords/>
  <cp:lastModifiedBy>Rosalie Vuillemot</cp:lastModifiedBy>
  <cp:revision>2</cp:revision>
  <dcterms:created xsi:type="dcterms:W3CDTF">2024-03-22T08:48:00Z</dcterms:created>
  <dcterms:modified xsi:type="dcterms:W3CDTF">2024-03-22T08:48:00Z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569669578</vt:i4>
  </property>
  <property fmtid="{D5CDD505-2E9C-101B-9397-08002B2CF9AE}" pid="3" name="ContentTypeId">
    <vt:lpwstr>0x010100684F999CFA65A347A4B0CB5DCDB056E5</vt:lpwstr>
  </property>
  <property fmtid="{D5CDD505-2E9C-101B-9397-08002B2CF9AE}" pid="4" name="Order">
    <vt:r8>2747400</vt:r8>
  </property>
  <property fmtid="{D5CDD505-2E9C-101B-9397-08002B2CF9AE}" pid="5" name="MediaServiceImageTags">
    <vt:lpwstr/>
  </property>
</Properties>
</file>