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4D5E" w14:textId="2021A044" w:rsidR="0090014B" w:rsidRPr="0084553A" w:rsidRDefault="0090014B" w:rsidP="0090014B">
      <w:pPr>
        <w:spacing w:after="0" w:line="240" w:lineRule="auto"/>
        <w:ind w:left="270"/>
        <w:jc w:val="right"/>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Brussels, </w:t>
      </w:r>
      <w:r w:rsidR="003C6BC2">
        <w:rPr>
          <w:rFonts w:ascii="Verdana" w:eastAsia="Times New Roman" w:hAnsi="Verdana" w:cs="Segoe UI"/>
          <w:sz w:val="20"/>
          <w:szCs w:val="20"/>
          <w:lang w:val="en-GB"/>
        </w:rPr>
        <w:t>26 February</w:t>
      </w:r>
      <w:r w:rsidRPr="0084553A">
        <w:rPr>
          <w:rFonts w:ascii="Verdana" w:eastAsia="Times New Roman" w:hAnsi="Verdana" w:cs="Segoe UI"/>
          <w:sz w:val="20"/>
          <w:szCs w:val="20"/>
          <w:lang w:val="en-GB"/>
        </w:rPr>
        <w:t xml:space="preserve"> 202</w:t>
      </w:r>
      <w:r w:rsidR="0068770C" w:rsidRPr="0084553A">
        <w:rPr>
          <w:rFonts w:ascii="Verdana" w:eastAsia="Times New Roman" w:hAnsi="Verdana" w:cs="Segoe UI"/>
          <w:sz w:val="20"/>
          <w:szCs w:val="20"/>
          <w:lang w:val="en-GB"/>
        </w:rPr>
        <w:t>4</w:t>
      </w:r>
    </w:p>
    <w:p w14:paraId="38891EBA" w14:textId="0288CF36" w:rsidR="00432964" w:rsidRPr="0084553A" w:rsidRDefault="00432964" w:rsidP="0090014B">
      <w:pPr>
        <w:spacing w:after="0" w:line="240" w:lineRule="auto"/>
        <w:ind w:left="270"/>
        <w:jc w:val="right"/>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rV</w:t>
      </w:r>
    </w:p>
    <w:p w14:paraId="774B0C47"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1522E6D3"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76FDD6D5"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0327B3B3"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2525997E" w14:textId="77777777" w:rsidR="0090014B" w:rsidRPr="0084553A" w:rsidRDefault="0090014B" w:rsidP="0090014B">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w:t>
      </w:r>
    </w:p>
    <w:p w14:paraId="30C83ACB" w14:textId="77777777" w:rsidR="00383E01" w:rsidRPr="0084553A" w:rsidRDefault="00383E01" w:rsidP="0090014B">
      <w:pPr>
        <w:spacing w:after="0" w:line="240" w:lineRule="auto"/>
        <w:jc w:val="both"/>
        <w:textAlignment w:val="baseline"/>
        <w:rPr>
          <w:rFonts w:ascii="Verdana" w:eastAsia="Times New Roman" w:hAnsi="Verdana" w:cs="Segoe UI"/>
          <w:sz w:val="20"/>
          <w:szCs w:val="20"/>
          <w:lang w:val="en-GB"/>
        </w:rPr>
      </w:pPr>
    </w:p>
    <w:p w14:paraId="4866921A" w14:textId="77777777" w:rsidR="00383E01" w:rsidRPr="0084553A" w:rsidRDefault="00383E01" w:rsidP="0090014B">
      <w:pPr>
        <w:spacing w:after="0" w:line="240" w:lineRule="auto"/>
        <w:jc w:val="both"/>
        <w:textAlignment w:val="baseline"/>
        <w:rPr>
          <w:rFonts w:ascii="Segoe UI" w:eastAsia="Times New Roman" w:hAnsi="Segoe UI" w:cs="Segoe UI"/>
          <w:sz w:val="18"/>
          <w:szCs w:val="18"/>
          <w:lang w:val="en-GB"/>
        </w:rPr>
      </w:pPr>
    </w:p>
    <w:p w14:paraId="2E7E4AD9" w14:textId="77777777" w:rsidR="0090014B" w:rsidRPr="0084553A" w:rsidRDefault="0090014B" w:rsidP="0090014B">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w:t>
      </w:r>
    </w:p>
    <w:p w14:paraId="3E0A29AB"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p>
    <w:p w14:paraId="26ED5FDC"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7B83537C"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18"/>
          <w:szCs w:val="18"/>
          <w:lang w:val="en-GB"/>
        </w:rPr>
        <w:t> </w:t>
      </w:r>
    </w:p>
    <w:p w14:paraId="2E448EAC" w14:textId="6B242C55" w:rsidR="00E410B6" w:rsidRPr="0084553A" w:rsidRDefault="0090014B" w:rsidP="00E410B6">
      <w:pPr>
        <w:spacing w:after="0" w:line="240" w:lineRule="auto"/>
        <w:jc w:val="center"/>
        <w:textAlignment w:val="baseline"/>
        <w:rPr>
          <w:rFonts w:ascii="Verdana" w:eastAsia="Times New Roman" w:hAnsi="Verdana" w:cs="Segoe UI"/>
          <w:b/>
          <w:bCs/>
          <w:color w:val="767171"/>
          <w:sz w:val="28"/>
          <w:szCs w:val="28"/>
          <w:lang w:val="en-GB"/>
        </w:rPr>
      </w:pPr>
      <w:r w:rsidRPr="0084553A">
        <w:rPr>
          <w:rFonts w:ascii="Verdana" w:eastAsia="Times New Roman" w:hAnsi="Verdana" w:cs="Segoe UI"/>
          <w:b/>
          <w:bCs/>
          <w:color w:val="767171"/>
          <w:sz w:val="28"/>
          <w:szCs w:val="28"/>
          <w:lang w:val="en-GB"/>
        </w:rPr>
        <w:t xml:space="preserve">EACB answer to the EBA consultation on the Guidelines </w:t>
      </w:r>
      <w:r w:rsidR="00E410B6" w:rsidRPr="0084553A">
        <w:rPr>
          <w:rFonts w:ascii="Verdana" w:eastAsia="Times New Roman" w:hAnsi="Verdana" w:cs="Segoe UI"/>
          <w:b/>
          <w:bCs/>
          <w:color w:val="767171"/>
          <w:sz w:val="28"/>
          <w:szCs w:val="28"/>
          <w:lang w:val="en-GB"/>
        </w:rPr>
        <w:t>on preventing the abuse of funds and certain crypto-assets</w:t>
      </w:r>
    </w:p>
    <w:p w14:paraId="1620849D" w14:textId="0ACFD5E4" w:rsidR="00E410B6" w:rsidRPr="0084553A" w:rsidRDefault="00E410B6" w:rsidP="00E410B6">
      <w:pPr>
        <w:spacing w:after="0" w:line="240" w:lineRule="auto"/>
        <w:jc w:val="center"/>
        <w:textAlignment w:val="baseline"/>
        <w:rPr>
          <w:rFonts w:ascii="Verdana" w:eastAsia="Times New Roman" w:hAnsi="Verdana" w:cs="Segoe UI"/>
          <w:b/>
          <w:bCs/>
          <w:color w:val="767171"/>
          <w:sz w:val="28"/>
          <w:szCs w:val="28"/>
          <w:lang w:val="en-GB"/>
        </w:rPr>
      </w:pPr>
      <w:r w:rsidRPr="0084553A">
        <w:rPr>
          <w:rFonts w:ascii="Verdana" w:eastAsia="Times New Roman" w:hAnsi="Verdana" w:cs="Segoe UI"/>
          <w:b/>
          <w:bCs/>
          <w:color w:val="767171"/>
          <w:sz w:val="28"/>
          <w:szCs w:val="28"/>
          <w:lang w:val="en-GB"/>
        </w:rPr>
        <w:t>transfers for money laundering and terrorist financing purposes under Regulation (EU) 2023/1113</w:t>
      </w:r>
    </w:p>
    <w:p w14:paraId="22A0C7E9" w14:textId="77E5C1D2" w:rsidR="0090014B" w:rsidRPr="0084553A" w:rsidRDefault="00E410B6" w:rsidP="00E410B6">
      <w:pPr>
        <w:spacing w:after="0" w:line="240" w:lineRule="auto"/>
        <w:jc w:val="center"/>
        <w:textAlignment w:val="baseline"/>
        <w:rPr>
          <w:rFonts w:ascii="Segoe UI" w:eastAsia="Times New Roman" w:hAnsi="Segoe UI" w:cs="Segoe UI"/>
          <w:sz w:val="18"/>
          <w:szCs w:val="18"/>
          <w:lang w:val="en-GB"/>
        </w:rPr>
      </w:pPr>
      <w:r w:rsidRPr="0084553A">
        <w:rPr>
          <w:rFonts w:ascii="Verdana" w:eastAsia="Times New Roman" w:hAnsi="Verdana" w:cs="Segoe UI"/>
          <w:b/>
          <w:bCs/>
          <w:color w:val="767171"/>
          <w:sz w:val="28"/>
          <w:szCs w:val="28"/>
          <w:lang w:val="en-GB"/>
        </w:rPr>
        <w:t>(The</w:t>
      </w:r>
      <w:r w:rsidR="0081042D" w:rsidRPr="0084553A">
        <w:rPr>
          <w:rFonts w:ascii="Verdana" w:eastAsia="Times New Roman" w:hAnsi="Verdana" w:cs="Segoe UI"/>
          <w:b/>
          <w:bCs/>
          <w:color w:val="767171"/>
          <w:sz w:val="28"/>
          <w:szCs w:val="28"/>
          <w:lang w:val="en-GB"/>
        </w:rPr>
        <w:t xml:space="preserve"> ‘</w:t>
      </w:r>
      <w:r w:rsidRPr="0084553A">
        <w:rPr>
          <w:rFonts w:ascii="Verdana" w:eastAsia="Times New Roman" w:hAnsi="Verdana" w:cs="Segoe UI"/>
          <w:b/>
          <w:bCs/>
          <w:color w:val="767171"/>
          <w:sz w:val="28"/>
          <w:szCs w:val="28"/>
          <w:lang w:val="en-GB"/>
        </w:rPr>
        <w:t>Travel Rule</w:t>
      </w:r>
      <w:r w:rsidR="0081042D" w:rsidRPr="0084553A">
        <w:rPr>
          <w:rFonts w:ascii="Verdana" w:eastAsia="Times New Roman" w:hAnsi="Verdana" w:cs="Segoe UI"/>
          <w:b/>
          <w:bCs/>
          <w:color w:val="767171"/>
          <w:sz w:val="28"/>
          <w:szCs w:val="28"/>
          <w:lang w:val="en-GB"/>
        </w:rPr>
        <w:t>’</w:t>
      </w:r>
      <w:r w:rsidRPr="0084553A">
        <w:rPr>
          <w:rFonts w:ascii="Verdana" w:eastAsia="Times New Roman" w:hAnsi="Verdana" w:cs="Segoe UI"/>
          <w:b/>
          <w:bCs/>
          <w:color w:val="767171"/>
          <w:sz w:val="28"/>
          <w:szCs w:val="28"/>
          <w:lang w:val="en-GB"/>
        </w:rPr>
        <w:t xml:space="preserve"> Guidelines)</w:t>
      </w:r>
      <w:r w:rsidR="0090014B" w:rsidRPr="0084553A">
        <w:rPr>
          <w:rFonts w:ascii="Verdana" w:eastAsia="Times New Roman" w:hAnsi="Verdana" w:cs="Segoe UI"/>
          <w:color w:val="315594"/>
          <w:sz w:val="28"/>
          <w:szCs w:val="28"/>
          <w:lang w:val="en-GB"/>
        </w:rPr>
        <w:t> </w:t>
      </w:r>
    </w:p>
    <w:p w14:paraId="0D21F377" w14:textId="77777777" w:rsidR="0090014B" w:rsidRPr="0084553A" w:rsidRDefault="0090014B" w:rsidP="0090014B">
      <w:pPr>
        <w:spacing w:after="0" w:line="240" w:lineRule="auto"/>
        <w:jc w:val="center"/>
        <w:textAlignment w:val="baseline"/>
        <w:rPr>
          <w:rFonts w:ascii="Segoe UI" w:eastAsia="Times New Roman" w:hAnsi="Segoe UI" w:cs="Segoe UI"/>
          <w:sz w:val="18"/>
          <w:szCs w:val="18"/>
          <w:lang w:val="en-GB"/>
        </w:rPr>
      </w:pPr>
      <w:r w:rsidRPr="0084553A">
        <w:rPr>
          <w:rFonts w:ascii="Verdana" w:eastAsia="Times New Roman" w:hAnsi="Verdana" w:cs="Segoe UI"/>
          <w:color w:val="315594"/>
          <w:sz w:val="28"/>
          <w:szCs w:val="28"/>
          <w:lang w:val="en-GB"/>
        </w:rPr>
        <w:t> </w:t>
      </w:r>
    </w:p>
    <w:p w14:paraId="6A85CA16" w14:textId="77777777" w:rsidR="0090014B" w:rsidRPr="0084553A" w:rsidRDefault="0090014B" w:rsidP="0090014B">
      <w:pPr>
        <w:spacing w:after="0" w:line="240" w:lineRule="auto"/>
        <w:jc w:val="center"/>
        <w:textAlignment w:val="baseline"/>
        <w:rPr>
          <w:rFonts w:ascii="Segoe UI" w:eastAsia="Times New Roman" w:hAnsi="Segoe UI" w:cs="Segoe UI"/>
          <w:sz w:val="18"/>
          <w:szCs w:val="18"/>
          <w:lang w:val="en-GB"/>
        </w:rPr>
      </w:pPr>
      <w:r w:rsidRPr="0084553A">
        <w:rPr>
          <w:rFonts w:ascii="Verdana" w:eastAsia="Times New Roman" w:hAnsi="Verdana" w:cs="Segoe UI"/>
          <w:color w:val="315594"/>
          <w:sz w:val="28"/>
          <w:szCs w:val="28"/>
          <w:lang w:val="en-GB"/>
        </w:rPr>
        <w:t> </w:t>
      </w:r>
    </w:p>
    <w:p w14:paraId="29A68E20" w14:textId="4371E0F8" w:rsidR="0090014B" w:rsidRPr="0084553A" w:rsidRDefault="003C6BC2" w:rsidP="0090014B">
      <w:pPr>
        <w:spacing w:after="0" w:line="240" w:lineRule="auto"/>
        <w:jc w:val="center"/>
        <w:textAlignment w:val="baseline"/>
        <w:rPr>
          <w:rFonts w:ascii="Segoe UI" w:eastAsia="Times New Roman" w:hAnsi="Segoe UI" w:cs="Segoe UI"/>
          <w:sz w:val="18"/>
          <w:szCs w:val="18"/>
          <w:lang w:val="en-GB"/>
        </w:rPr>
      </w:pPr>
      <w:r>
        <w:rPr>
          <w:rFonts w:ascii="Verdana" w:eastAsia="Times New Roman" w:hAnsi="Verdana" w:cs="Segoe UI"/>
          <w:b/>
          <w:bCs/>
          <w:color w:val="767171"/>
          <w:sz w:val="28"/>
          <w:szCs w:val="28"/>
          <w:lang w:val="en-GB"/>
        </w:rPr>
        <w:t>February</w:t>
      </w:r>
      <w:r w:rsidR="0090014B" w:rsidRPr="0084553A">
        <w:rPr>
          <w:rFonts w:ascii="Verdana" w:eastAsia="Times New Roman" w:hAnsi="Verdana" w:cs="Segoe UI"/>
          <w:b/>
          <w:bCs/>
          <w:color w:val="767171"/>
          <w:sz w:val="28"/>
          <w:szCs w:val="28"/>
          <w:lang w:val="en-GB"/>
        </w:rPr>
        <w:t xml:space="preserve"> 202</w:t>
      </w:r>
      <w:r w:rsidR="00C87648" w:rsidRPr="0084553A">
        <w:rPr>
          <w:rFonts w:ascii="Verdana" w:eastAsia="Times New Roman" w:hAnsi="Verdana" w:cs="Segoe UI"/>
          <w:b/>
          <w:bCs/>
          <w:color w:val="767171"/>
          <w:sz w:val="28"/>
          <w:szCs w:val="28"/>
          <w:lang w:val="en-GB"/>
        </w:rPr>
        <w:t>4</w:t>
      </w:r>
    </w:p>
    <w:p w14:paraId="75A73D2F" w14:textId="77777777" w:rsidR="0090014B" w:rsidRPr="0084553A" w:rsidRDefault="0090014B" w:rsidP="0090014B">
      <w:pPr>
        <w:spacing w:after="0" w:line="240" w:lineRule="auto"/>
        <w:jc w:val="center"/>
        <w:textAlignment w:val="baseline"/>
        <w:rPr>
          <w:rFonts w:ascii="Segoe UI" w:eastAsia="Times New Roman" w:hAnsi="Segoe UI" w:cs="Segoe UI"/>
          <w:sz w:val="18"/>
          <w:szCs w:val="18"/>
          <w:lang w:val="en-GB"/>
        </w:rPr>
      </w:pPr>
      <w:r w:rsidRPr="0084553A">
        <w:rPr>
          <w:rFonts w:ascii="Verdana" w:eastAsia="Times New Roman" w:hAnsi="Verdana" w:cs="Segoe UI"/>
          <w:sz w:val="32"/>
          <w:szCs w:val="32"/>
          <w:lang w:val="en-GB"/>
        </w:rPr>
        <w:t> </w:t>
      </w:r>
    </w:p>
    <w:p w14:paraId="2BE332EE"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46259BDE"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2BD97176"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4FE27F3A"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3F37B939"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6D50934E" w14:textId="626154C8"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p>
    <w:p w14:paraId="472FF7C5" w14:textId="77777777" w:rsidR="0090014B" w:rsidRPr="0084553A" w:rsidRDefault="0090014B" w:rsidP="0090014B">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w:t>
      </w:r>
    </w:p>
    <w:p w14:paraId="106C0F41" w14:textId="77777777" w:rsidR="00BE3F19" w:rsidRPr="0084553A" w:rsidRDefault="00BE3F19" w:rsidP="0090014B">
      <w:pPr>
        <w:spacing w:after="0" w:line="240" w:lineRule="auto"/>
        <w:jc w:val="both"/>
        <w:textAlignment w:val="baseline"/>
        <w:rPr>
          <w:rFonts w:ascii="Verdana" w:eastAsia="Times New Roman" w:hAnsi="Verdana" w:cs="Segoe UI"/>
          <w:sz w:val="20"/>
          <w:szCs w:val="20"/>
          <w:lang w:val="en-GB"/>
        </w:rPr>
      </w:pPr>
    </w:p>
    <w:p w14:paraId="57145125" w14:textId="77777777" w:rsidR="00D20FF7" w:rsidRPr="0084553A" w:rsidRDefault="00D20FF7" w:rsidP="0090014B">
      <w:pPr>
        <w:spacing w:after="0" w:line="240" w:lineRule="auto"/>
        <w:jc w:val="both"/>
        <w:textAlignment w:val="baseline"/>
        <w:rPr>
          <w:rFonts w:ascii="Verdana" w:eastAsia="Times New Roman" w:hAnsi="Verdana" w:cs="Segoe UI"/>
          <w:sz w:val="20"/>
          <w:szCs w:val="20"/>
          <w:lang w:val="en-GB"/>
        </w:rPr>
      </w:pPr>
    </w:p>
    <w:p w14:paraId="26C2372E" w14:textId="77777777" w:rsidR="00BE3F19" w:rsidRPr="0084553A" w:rsidRDefault="00BE3F19" w:rsidP="0090014B">
      <w:pPr>
        <w:spacing w:after="0" w:line="240" w:lineRule="auto"/>
        <w:jc w:val="both"/>
        <w:textAlignment w:val="baseline"/>
        <w:rPr>
          <w:rFonts w:ascii="Verdana" w:eastAsia="Times New Roman" w:hAnsi="Verdana" w:cs="Segoe UI"/>
          <w:sz w:val="20"/>
          <w:szCs w:val="20"/>
          <w:lang w:val="en-GB"/>
        </w:rPr>
      </w:pPr>
    </w:p>
    <w:p w14:paraId="37E53B8E" w14:textId="77777777" w:rsidR="00BE3F19" w:rsidRPr="0084553A" w:rsidRDefault="00BE3F19" w:rsidP="0090014B">
      <w:pPr>
        <w:spacing w:after="0" w:line="240" w:lineRule="auto"/>
        <w:jc w:val="both"/>
        <w:textAlignment w:val="baseline"/>
        <w:rPr>
          <w:rFonts w:ascii="Segoe UI" w:eastAsia="Times New Roman" w:hAnsi="Segoe UI" w:cs="Segoe UI"/>
          <w:sz w:val="18"/>
          <w:szCs w:val="18"/>
          <w:lang w:val="en-GB"/>
        </w:rPr>
      </w:pPr>
    </w:p>
    <w:p w14:paraId="164111B7"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r w:rsidRPr="0084553A">
        <w:rPr>
          <w:rFonts w:ascii="Verdana" w:eastAsia="Times New Roman" w:hAnsi="Verdana" w:cs="Segoe UI"/>
          <w:sz w:val="20"/>
          <w:szCs w:val="20"/>
          <w:lang w:val="en-GB"/>
        </w:rPr>
        <w:t> </w:t>
      </w:r>
    </w:p>
    <w:p w14:paraId="59516874" w14:textId="77777777" w:rsidR="0090014B" w:rsidRPr="0084553A" w:rsidRDefault="0090014B" w:rsidP="0090014B">
      <w:pPr>
        <w:ind w:left="138"/>
        <w:jc w:val="both"/>
        <w:rPr>
          <w:rFonts w:ascii="Verdana" w:hAnsi="Verdana"/>
          <w:sz w:val="20"/>
          <w:szCs w:val="20"/>
          <w:lang w:val="en-GB"/>
        </w:rPr>
      </w:pPr>
      <w:r w:rsidRPr="0084553A">
        <w:rPr>
          <w:rFonts w:ascii="Verdana" w:hAnsi="Verdana" w:cs="Times New Roman"/>
          <w:color w:val="000000"/>
          <w:sz w:val="20"/>
          <w:szCs w:val="20"/>
          <w:lang w:val="en-GB"/>
        </w:rPr>
        <w:t xml:space="preserve">The </w:t>
      </w:r>
      <w:r w:rsidRPr="0084553A">
        <w:rPr>
          <w:rFonts w:ascii="Verdana" w:hAnsi="Verdana" w:cs="Times New Roman"/>
          <w:b/>
          <w:bCs/>
          <w:color w:val="000000"/>
          <w:sz w:val="20"/>
          <w:szCs w:val="20"/>
          <w:lang w:val="en-GB"/>
        </w:rPr>
        <w:t>European Association of Co-operative Banks</w:t>
      </w:r>
      <w:r w:rsidRPr="0084553A">
        <w:rPr>
          <w:rFonts w:ascii="Verdana" w:hAnsi="Verdana" w:cs="Times New Roman"/>
          <w:color w:val="000000"/>
          <w:sz w:val="20"/>
          <w:szCs w:val="20"/>
          <w:lang w:val="en-GB"/>
        </w:rPr>
        <w:t xml:space="preserve"> </w:t>
      </w:r>
      <w:r w:rsidRPr="0084553A">
        <w:rPr>
          <w:rFonts w:ascii="Verdana" w:eastAsia="Times New Roman" w:hAnsi="Verdana" w:cs="Times New Roman"/>
          <w:color w:val="000000"/>
          <w:sz w:val="20"/>
          <w:szCs w:val="20"/>
          <w:lang w:val="en-GB" w:eastAsia="fr-FR"/>
        </w:rPr>
        <w:t>(</w:t>
      </w:r>
      <w:hyperlink r:id="rId11" w:history="1">
        <w:r w:rsidRPr="0084553A">
          <w:rPr>
            <w:rStyle w:val="Hyperlink"/>
            <w:rFonts w:ascii="Verdana" w:eastAsia="Times New Roman" w:hAnsi="Verdana" w:cs="Times New Roman"/>
            <w:sz w:val="20"/>
            <w:szCs w:val="20"/>
            <w:lang w:val="en-GB" w:eastAsia="fr-FR"/>
          </w:rPr>
          <w:t>EACB</w:t>
        </w:r>
      </w:hyperlink>
      <w:r w:rsidRPr="0084553A">
        <w:rPr>
          <w:rFonts w:ascii="Verdana" w:eastAsia="Times New Roman" w:hAnsi="Verdana" w:cs="Times New Roman"/>
          <w:color w:val="000000"/>
          <w:sz w:val="20"/>
          <w:szCs w:val="20"/>
          <w:lang w:val="en-GB" w:eastAsia="fr-FR"/>
        </w:rPr>
        <w:t>)</w:t>
      </w:r>
      <w:r w:rsidRPr="0084553A">
        <w:rPr>
          <w:rFonts w:ascii="Verdana" w:hAnsi="Verdana" w:cs="Times New Roman"/>
          <w:color w:val="000000"/>
          <w:sz w:val="20"/>
          <w:szCs w:val="20"/>
          <w:lang w:val="en-GB"/>
        </w:rPr>
        <w:t xml:space="preserve"> is the voice of the cooperative banks in Europe. It represents, promotes and defends the common interests of its 26 member institutions and of cooperative banks in general. Cooperative banks form decentralised networks which are subject to banking as well as cooperative legislation. Democracy, transparency and proximity are the three key characteristics of the cooperative banks’ business model. With 2,700 locally operating banks and 40,000 outlets co-operative banks are widely represented throughout the enlarged European Union, playing a major role in the financial and economic system. They have a long tradition in serving 227 million customers, mainly consumers, retailers and communities. The co-operative banks in Europe represent 89 million members and 720,000 employees and have a total average market share of about 20%.</w:t>
      </w:r>
    </w:p>
    <w:p w14:paraId="23211537" w14:textId="77777777" w:rsidR="0090014B" w:rsidRPr="0084553A" w:rsidRDefault="0090014B" w:rsidP="0090014B">
      <w:pPr>
        <w:ind w:left="138"/>
        <w:jc w:val="both"/>
        <w:rPr>
          <w:rFonts w:ascii="Verdana" w:hAnsi="Verdana"/>
          <w:sz w:val="20"/>
          <w:szCs w:val="20"/>
          <w:lang w:val="en-GB"/>
        </w:rPr>
      </w:pPr>
    </w:p>
    <w:p w14:paraId="1D5314DC" w14:textId="4CC5DBA7" w:rsidR="0090014B" w:rsidRPr="0084553A" w:rsidRDefault="0090014B" w:rsidP="00383E01">
      <w:pPr>
        <w:spacing w:after="0"/>
        <w:ind w:left="138" w:right="5117"/>
        <w:rPr>
          <w:rFonts w:ascii="Verdana" w:eastAsia="Verdana" w:hAnsi="Verdana" w:cs="Verdana"/>
          <w:color w:val="0000FF"/>
          <w:sz w:val="20"/>
          <w:szCs w:val="20"/>
          <w:u w:val="single" w:color="0000FF"/>
          <w:lang w:val="en-GB"/>
        </w:rPr>
      </w:pPr>
      <w:r w:rsidRPr="0084553A">
        <w:rPr>
          <w:rFonts w:ascii="Verdana" w:eastAsia="Verdana" w:hAnsi="Verdana" w:cs="Verdana"/>
          <w:spacing w:val="1"/>
          <w:sz w:val="20"/>
          <w:szCs w:val="20"/>
          <w:lang w:val="en-GB"/>
        </w:rPr>
        <w:t>F</w:t>
      </w:r>
      <w:r w:rsidRPr="0084553A">
        <w:rPr>
          <w:rFonts w:ascii="Verdana" w:eastAsia="Verdana" w:hAnsi="Verdana" w:cs="Verdana"/>
          <w:spacing w:val="-1"/>
          <w:sz w:val="20"/>
          <w:szCs w:val="20"/>
          <w:lang w:val="en-GB"/>
        </w:rPr>
        <w:t>o</w:t>
      </w:r>
      <w:r w:rsidRPr="0084553A">
        <w:rPr>
          <w:rFonts w:ascii="Verdana" w:eastAsia="Verdana" w:hAnsi="Verdana" w:cs="Verdana"/>
          <w:sz w:val="20"/>
          <w:szCs w:val="20"/>
          <w:lang w:val="en-GB"/>
        </w:rPr>
        <w:t>r</w:t>
      </w:r>
      <w:r w:rsidRPr="0084553A">
        <w:rPr>
          <w:rFonts w:ascii="Times New Roman" w:eastAsia="Times New Roman" w:hAnsi="Times New Roman" w:cs="Times New Roman"/>
          <w:spacing w:val="18"/>
          <w:sz w:val="20"/>
          <w:szCs w:val="20"/>
          <w:lang w:val="en-GB"/>
        </w:rPr>
        <w:t xml:space="preserve"> </w:t>
      </w:r>
      <w:r w:rsidRPr="0084553A">
        <w:rPr>
          <w:rFonts w:ascii="Verdana" w:eastAsia="Verdana" w:hAnsi="Verdana" w:cs="Verdana"/>
          <w:sz w:val="20"/>
          <w:szCs w:val="20"/>
          <w:lang w:val="en-GB"/>
        </w:rPr>
        <w:t>f</w:t>
      </w:r>
      <w:r w:rsidRPr="0084553A">
        <w:rPr>
          <w:rFonts w:ascii="Verdana" w:eastAsia="Verdana" w:hAnsi="Verdana" w:cs="Verdana"/>
          <w:spacing w:val="1"/>
          <w:sz w:val="20"/>
          <w:szCs w:val="20"/>
          <w:lang w:val="en-GB"/>
        </w:rPr>
        <w:t>u</w:t>
      </w:r>
      <w:r w:rsidRPr="0084553A">
        <w:rPr>
          <w:rFonts w:ascii="Verdana" w:eastAsia="Verdana" w:hAnsi="Verdana" w:cs="Verdana"/>
          <w:spacing w:val="-1"/>
          <w:sz w:val="20"/>
          <w:szCs w:val="20"/>
          <w:lang w:val="en-GB"/>
        </w:rPr>
        <w:t>r</w:t>
      </w:r>
      <w:r w:rsidRPr="0084553A">
        <w:rPr>
          <w:rFonts w:ascii="Verdana" w:eastAsia="Verdana" w:hAnsi="Verdana" w:cs="Verdana"/>
          <w:spacing w:val="1"/>
          <w:sz w:val="20"/>
          <w:szCs w:val="20"/>
          <w:lang w:val="en-GB"/>
        </w:rPr>
        <w:t>the</w:t>
      </w:r>
      <w:r w:rsidRPr="0084553A">
        <w:rPr>
          <w:rFonts w:ascii="Verdana" w:eastAsia="Verdana" w:hAnsi="Verdana" w:cs="Verdana"/>
          <w:sz w:val="20"/>
          <w:szCs w:val="20"/>
          <w:lang w:val="en-GB"/>
        </w:rPr>
        <w:t>r</w:t>
      </w:r>
      <w:r w:rsidRPr="0084553A">
        <w:rPr>
          <w:rFonts w:ascii="Times New Roman" w:eastAsia="Times New Roman" w:hAnsi="Times New Roman" w:cs="Times New Roman"/>
          <w:spacing w:val="12"/>
          <w:sz w:val="20"/>
          <w:szCs w:val="20"/>
          <w:lang w:val="en-GB"/>
        </w:rPr>
        <w:t xml:space="preserve"> </w:t>
      </w:r>
      <w:r w:rsidRPr="0084553A">
        <w:rPr>
          <w:rFonts w:ascii="Verdana" w:eastAsia="Verdana" w:hAnsi="Verdana" w:cs="Verdana"/>
          <w:spacing w:val="3"/>
          <w:sz w:val="20"/>
          <w:szCs w:val="20"/>
          <w:lang w:val="en-GB"/>
        </w:rPr>
        <w:t>d</w:t>
      </w:r>
      <w:r w:rsidRPr="0084553A">
        <w:rPr>
          <w:rFonts w:ascii="Verdana" w:eastAsia="Verdana" w:hAnsi="Verdana" w:cs="Verdana"/>
          <w:spacing w:val="-1"/>
          <w:sz w:val="20"/>
          <w:szCs w:val="20"/>
          <w:lang w:val="en-GB"/>
        </w:rPr>
        <w:t>e</w:t>
      </w:r>
      <w:r w:rsidRPr="0084553A">
        <w:rPr>
          <w:rFonts w:ascii="Verdana" w:eastAsia="Verdana" w:hAnsi="Verdana" w:cs="Verdana"/>
          <w:spacing w:val="1"/>
          <w:sz w:val="20"/>
          <w:szCs w:val="20"/>
          <w:lang w:val="en-GB"/>
        </w:rPr>
        <w:t>t</w:t>
      </w:r>
      <w:r w:rsidRPr="0084553A">
        <w:rPr>
          <w:rFonts w:ascii="Verdana" w:eastAsia="Verdana" w:hAnsi="Verdana" w:cs="Verdana"/>
          <w:sz w:val="20"/>
          <w:szCs w:val="20"/>
          <w:lang w:val="en-GB"/>
        </w:rPr>
        <w:t>a</w:t>
      </w:r>
      <w:r w:rsidRPr="0084553A">
        <w:rPr>
          <w:rFonts w:ascii="Verdana" w:eastAsia="Verdana" w:hAnsi="Verdana" w:cs="Verdana"/>
          <w:spacing w:val="1"/>
          <w:sz w:val="20"/>
          <w:szCs w:val="20"/>
          <w:lang w:val="en-GB"/>
        </w:rPr>
        <w:t>il</w:t>
      </w:r>
      <w:r w:rsidRPr="0084553A">
        <w:rPr>
          <w:rFonts w:ascii="Verdana" w:eastAsia="Verdana" w:hAnsi="Verdana" w:cs="Verdana"/>
          <w:spacing w:val="-1"/>
          <w:sz w:val="20"/>
          <w:szCs w:val="20"/>
          <w:lang w:val="en-GB"/>
        </w:rPr>
        <w:t>s</w:t>
      </w:r>
      <w:r w:rsidRPr="0084553A">
        <w:rPr>
          <w:rFonts w:ascii="Verdana" w:eastAsia="Verdana" w:hAnsi="Verdana" w:cs="Verdana"/>
          <w:sz w:val="20"/>
          <w:szCs w:val="20"/>
          <w:lang w:val="en-GB"/>
        </w:rPr>
        <w:t>,</w:t>
      </w:r>
      <w:r w:rsidRPr="0084553A">
        <w:rPr>
          <w:rFonts w:ascii="Times New Roman" w:eastAsia="Times New Roman" w:hAnsi="Times New Roman" w:cs="Times New Roman"/>
          <w:spacing w:val="12"/>
          <w:sz w:val="20"/>
          <w:szCs w:val="20"/>
          <w:lang w:val="en-GB"/>
        </w:rPr>
        <w:t xml:space="preserve"> </w:t>
      </w:r>
      <w:r w:rsidRPr="0084553A">
        <w:rPr>
          <w:rFonts w:ascii="Verdana" w:eastAsia="Verdana" w:hAnsi="Verdana" w:cs="Verdana"/>
          <w:spacing w:val="1"/>
          <w:sz w:val="20"/>
          <w:szCs w:val="20"/>
          <w:lang w:val="en-GB"/>
        </w:rPr>
        <w:t>p</w:t>
      </w:r>
      <w:r w:rsidRPr="0084553A">
        <w:rPr>
          <w:rFonts w:ascii="Verdana" w:eastAsia="Verdana" w:hAnsi="Verdana" w:cs="Verdana"/>
          <w:spacing w:val="3"/>
          <w:sz w:val="20"/>
          <w:szCs w:val="20"/>
          <w:lang w:val="en-GB"/>
        </w:rPr>
        <w:t>l</w:t>
      </w:r>
      <w:r w:rsidRPr="0084553A">
        <w:rPr>
          <w:rFonts w:ascii="Verdana" w:eastAsia="Verdana" w:hAnsi="Verdana" w:cs="Verdana"/>
          <w:spacing w:val="-1"/>
          <w:sz w:val="20"/>
          <w:szCs w:val="20"/>
          <w:lang w:val="en-GB"/>
        </w:rPr>
        <w:t>e</w:t>
      </w:r>
      <w:r w:rsidRPr="0084553A">
        <w:rPr>
          <w:rFonts w:ascii="Verdana" w:eastAsia="Verdana" w:hAnsi="Verdana" w:cs="Verdana"/>
          <w:spacing w:val="3"/>
          <w:sz w:val="20"/>
          <w:szCs w:val="20"/>
          <w:lang w:val="en-GB"/>
        </w:rPr>
        <w:t>a</w:t>
      </w:r>
      <w:r w:rsidRPr="0084553A">
        <w:rPr>
          <w:rFonts w:ascii="Verdana" w:eastAsia="Verdana" w:hAnsi="Verdana" w:cs="Verdana"/>
          <w:spacing w:val="-1"/>
          <w:sz w:val="20"/>
          <w:szCs w:val="20"/>
          <w:lang w:val="en-GB"/>
        </w:rPr>
        <w:t>s</w:t>
      </w:r>
      <w:r w:rsidRPr="0084553A">
        <w:rPr>
          <w:rFonts w:ascii="Verdana" w:eastAsia="Verdana" w:hAnsi="Verdana" w:cs="Verdana"/>
          <w:sz w:val="20"/>
          <w:szCs w:val="20"/>
          <w:lang w:val="en-GB"/>
        </w:rPr>
        <w:t>e</w:t>
      </w:r>
      <w:r w:rsidRPr="0084553A">
        <w:rPr>
          <w:rFonts w:ascii="Times New Roman" w:eastAsia="Times New Roman" w:hAnsi="Times New Roman" w:cs="Times New Roman"/>
          <w:spacing w:val="15"/>
          <w:sz w:val="20"/>
          <w:szCs w:val="20"/>
          <w:lang w:val="en-GB"/>
        </w:rPr>
        <w:t xml:space="preserve"> </w:t>
      </w:r>
      <w:r w:rsidRPr="0084553A">
        <w:rPr>
          <w:rFonts w:ascii="Verdana" w:eastAsia="Verdana" w:hAnsi="Verdana" w:cs="Verdana"/>
          <w:sz w:val="20"/>
          <w:szCs w:val="20"/>
          <w:lang w:val="en-GB"/>
        </w:rPr>
        <w:t>v</w:t>
      </w:r>
      <w:r w:rsidRPr="0084553A">
        <w:rPr>
          <w:rFonts w:ascii="Verdana" w:eastAsia="Verdana" w:hAnsi="Verdana" w:cs="Verdana"/>
          <w:spacing w:val="1"/>
          <w:sz w:val="20"/>
          <w:szCs w:val="20"/>
          <w:lang w:val="en-GB"/>
        </w:rPr>
        <w:t>i</w:t>
      </w:r>
      <w:r w:rsidRPr="0084553A">
        <w:rPr>
          <w:rFonts w:ascii="Verdana" w:eastAsia="Verdana" w:hAnsi="Verdana" w:cs="Verdana"/>
          <w:spacing w:val="-1"/>
          <w:sz w:val="20"/>
          <w:szCs w:val="20"/>
          <w:lang w:val="en-GB"/>
        </w:rPr>
        <w:t>s</w:t>
      </w:r>
      <w:r w:rsidRPr="0084553A">
        <w:rPr>
          <w:rFonts w:ascii="Verdana" w:eastAsia="Verdana" w:hAnsi="Verdana" w:cs="Verdana"/>
          <w:spacing w:val="1"/>
          <w:sz w:val="20"/>
          <w:szCs w:val="20"/>
          <w:lang w:val="en-GB"/>
        </w:rPr>
        <w:t>i</w:t>
      </w:r>
      <w:r w:rsidRPr="0084553A">
        <w:rPr>
          <w:rFonts w:ascii="Verdana" w:eastAsia="Verdana" w:hAnsi="Verdana" w:cs="Verdana"/>
          <w:sz w:val="20"/>
          <w:szCs w:val="20"/>
          <w:lang w:val="en-GB"/>
        </w:rPr>
        <w:t>t</w:t>
      </w:r>
      <w:r w:rsidRPr="0084553A">
        <w:rPr>
          <w:rFonts w:ascii="Times New Roman" w:eastAsia="Times New Roman" w:hAnsi="Times New Roman" w:cs="Times New Roman"/>
          <w:spacing w:val="-3"/>
          <w:sz w:val="20"/>
          <w:szCs w:val="20"/>
          <w:lang w:val="en-GB"/>
        </w:rPr>
        <w:t xml:space="preserve"> </w:t>
      </w:r>
      <w:r w:rsidRPr="0084553A">
        <w:rPr>
          <w:rFonts w:ascii="Verdana" w:eastAsia="Verdana" w:hAnsi="Verdana" w:cs="Verdana"/>
          <w:color w:val="0000FF"/>
          <w:spacing w:val="-33"/>
          <w:sz w:val="20"/>
          <w:szCs w:val="20"/>
          <w:lang w:val="en-GB"/>
        </w:rPr>
        <w:t xml:space="preserve"> </w:t>
      </w:r>
      <w:hyperlink r:id="rId12" w:history="1">
        <w:r w:rsidRPr="0084553A">
          <w:rPr>
            <w:rStyle w:val="Hyperlink"/>
            <w:rFonts w:ascii="Verdana" w:eastAsia="Verdana" w:hAnsi="Verdana" w:cs="Verdana"/>
            <w:spacing w:val="3"/>
            <w:sz w:val="20"/>
            <w:szCs w:val="20"/>
            <w:lang w:val="en-GB"/>
          </w:rPr>
          <w:t>w</w:t>
        </w:r>
        <w:r w:rsidRPr="0084553A">
          <w:rPr>
            <w:rStyle w:val="Hyperlink"/>
            <w:rFonts w:ascii="Verdana" w:eastAsia="Verdana" w:hAnsi="Verdana" w:cs="Verdana"/>
            <w:sz w:val="20"/>
            <w:szCs w:val="20"/>
            <w:lang w:val="en-GB"/>
          </w:rPr>
          <w:t>ww</w:t>
        </w:r>
        <w:r w:rsidRPr="0084553A">
          <w:rPr>
            <w:rStyle w:val="Hyperlink"/>
            <w:rFonts w:ascii="Verdana" w:eastAsia="Verdana" w:hAnsi="Verdana" w:cs="Verdana"/>
            <w:spacing w:val="2"/>
            <w:sz w:val="20"/>
            <w:szCs w:val="20"/>
            <w:lang w:val="en-GB"/>
          </w:rPr>
          <w:t>.</w:t>
        </w:r>
        <w:r w:rsidRPr="0084553A">
          <w:rPr>
            <w:rStyle w:val="Hyperlink"/>
            <w:rFonts w:ascii="Verdana" w:eastAsia="Verdana" w:hAnsi="Verdana" w:cs="Verdana"/>
            <w:spacing w:val="-1"/>
            <w:sz w:val="20"/>
            <w:szCs w:val="20"/>
            <w:lang w:val="en-GB"/>
          </w:rPr>
          <w:t>e</w:t>
        </w:r>
        <w:r w:rsidRPr="0084553A">
          <w:rPr>
            <w:rStyle w:val="Hyperlink"/>
            <w:rFonts w:ascii="Verdana" w:eastAsia="Verdana" w:hAnsi="Verdana" w:cs="Verdana"/>
            <w:sz w:val="20"/>
            <w:szCs w:val="20"/>
            <w:lang w:val="en-GB"/>
          </w:rPr>
          <w:t>a</w:t>
        </w:r>
        <w:r w:rsidRPr="0084553A">
          <w:rPr>
            <w:rStyle w:val="Hyperlink"/>
            <w:rFonts w:ascii="Verdana" w:eastAsia="Verdana" w:hAnsi="Verdana" w:cs="Verdana"/>
            <w:spacing w:val="-1"/>
            <w:sz w:val="20"/>
            <w:szCs w:val="20"/>
            <w:lang w:val="en-GB"/>
          </w:rPr>
          <w:t>c</w:t>
        </w:r>
        <w:r w:rsidRPr="0084553A">
          <w:rPr>
            <w:rStyle w:val="Hyperlink"/>
            <w:rFonts w:ascii="Verdana" w:eastAsia="Verdana" w:hAnsi="Verdana" w:cs="Verdana"/>
            <w:spacing w:val="1"/>
            <w:sz w:val="20"/>
            <w:szCs w:val="20"/>
            <w:lang w:val="en-GB"/>
          </w:rPr>
          <w:t>b</w:t>
        </w:r>
        <w:r w:rsidRPr="0084553A">
          <w:rPr>
            <w:rStyle w:val="Hyperlink"/>
            <w:rFonts w:ascii="Verdana" w:eastAsia="Verdana" w:hAnsi="Verdana" w:cs="Verdana"/>
            <w:spacing w:val="2"/>
            <w:sz w:val="20"/>
            <w:szCs w:val="20"/>
            <w:lang w:val="en-GB"/>
          </w:rPr>
          <w:t>.</w:t>
        </w:r>
        <w:r w:rsidRPr="0084553A">
          <w:rPr>
            <w:rStyle w:val="Hyperlink"/>
            <w:rFonts w:ascii="Verdana" w:eastAsia="Verdana" w:hAnsi="Verdana" w:cs="Verdana"/>
            <w:spacing w:val="-1"/>
            <w:sz w:val="20"/>
            <w:szCs w:val="20"/>
            <w:lang w:val="en-GB"/>
          </w:rPr>
          <w:t>c</w:t>
        </w:r>
        <w:r w:rsidRPr="0084553A">
          <w:rPr>
            <w:rStyle w:val="Hyperlink"/>
            <w:rFonts w:ascii="Verdana" w:eastAsia="Verdana" w:hAnsi="Verdana" w:cs="Verdana"/>
            <w:spacing w:val="2"/>
            <w:sz w:val="20"/>
            <w:szCs w:val="20"/>
            <w:lang w:val="en-GB"/>
          </w:rPr>
          <w:t>o</w:t>
        </w:r>
        <w:r w:rsidRPr="0084553A">
          <w:rPr>
            <w:rStyle w:val="Hyperlink"/>
            <w:rFonts w:ascii="Verdana" w:eastAsia="Verdana" w:hAnsi="Verdana" w:cs="Verdana"/>
            <w:spacing w:val="-1"/>
            <w:sz w:val="20"/>
            <w:szCs w:val="20"/>
            <w:lang w:val="en-GB"/>
          </w:rPr>
          <w:t>o</w:t>
        </w:r>
        <w:r w:rsidRPr="0084553A">
          <w:rPr>
            <w:rStyle w:val="Hyperlink"/>
            <w:rFonts w:ascii="Verdana" w:eastAsia="Verdana" w:hAnsi="Verdana" w:cs="Verdana"/>
            <w:sz w:val="20"/>
            <w:szCs w:val="20"/>
            <w:lang w:val="en-GB"/>
          </w:rPr>
          <w:t>p</w:t>
        </w:r>
      </w:hyperlink>
      <w:r w:rsidRPr="0084553A">
        <w:rPr>
          <w:rFonts w:ascii="Verdana" w:eastAsia="Verdana" w:hAnsi="Verdana" w:cs="Verdana"/>
          <w:color w:val="0000FF"/>
          <w:sz w:val="20"/>
          <w:szCs w:val="20"/>
          <w:u w:val="single" w:color="0000FF"/>
          <w:lang w:val="en-GB"/>
        </w:rPr>
        <w:t xml:space="preserve"> </w:t>
      </w:r>
    </w:p>
    <w:p w14:paraId="1753FF49" w14:textId="77777777" w:rsidR="0090014B" w:rsidRPr="0084553A" w:rsidRDefault="0090014B" w:rsidP="0090014B">
      <w:pPr>
        <w:shd w:val="clear" w:color="auto" w:fill="AEAAAA"/>
        <w:spacing w:after="0" w:line="240" w:lineRule="auto"/>
        <w:jc w:val="both"/>
        <w:textAlignment w:val="baseline"/>
        <w:rPr>
          <w:rFonts w:ascii="Verdana" w:eastAsia="Times New Roman" w:hAnsi="Verdana" w:cs="Segoe UI"/>
          <w:color w:val="767171"/>
          <w:sz w:val="24"/>
          <w:szCs w:val="24"/>
          <w:lang w:val="en-GB"/>
        </w:rPr>
      </w:pPr>
      <w:r w:rsidRPr="0084553A">
        <w:rPr>
          <w:rFonts w:ascii="Verdana" w:eastAsia="Times New Roman" w:hAnsi="Verdana" w:cs="Segoe UI"/>
          <w:b/>
          <w:bCs/>
          <w:color w:val="767171"/>
          <w:sz w:val="24"/>
          <w:szCs w:val="24"/>
          <w:lang w:val="en-GB"/>
        </w:rPr>
        <w:lastRenderedPageBreak/>
        <w:t>General Comments</w:t>
      </w:r>
    </w:p>
    <w:p w14:paraId="0C755250" w14:textId="77777777" w:rsidR="0090014B" w:rsidRPr="0084553A" w:rsidRDefault="0090014B" w:rsidP="0090014B">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w:t>
      </w:r>
    </w:p>
    <w:p w14:paraId="7D11A0F3" w14:textId="246CF7C1" w:rsidR="008F7258" w:rsidRPr="0084553A" w:rsidRDefault="008F7258" w:rsidP="008F725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The EACB </w:t>
      </w:r>
      <w:r w:rsidR="0084553A">
        <w:rPr>
          <w:rFonts w:ascii="Verdana" w:eastAsia="Times New Roman" w:hAnsi="Verdana" w:cs="Segoe UI"/>
          <w:sz w:val="20"/>
          <w:szCs w:val="20"/>
          <w:lang w:val="en-GB"/>
        </w:rPr>
        <w:t>appreciates</w:t>
      </w:r>
      <w:r w:rsidRPr="0084553A">
        <w:rPr>
          <w:rFonts w:ascii="Verdana" w:eastAsia="Times New Roman" w:hAnsi="Verdana" w:cs="Segoe UI"/>
          <w:sz w:val="20"/>
          <w:szCs w:val="20"/>
          <w:lang w:val="en-GB"/>
        </w:rPr>
        <w:t xml:space="preserve"> the opportunity to </w:t>
      </w:r>
      <w:r w:rsidR="0084553A">
        <w:rPr>
          <w:rFonts w:ascii="Verdana" w:eastAsia="Times New Roman" w:hAnsi="Verdana" w:cs="Segoe UI"/>
          <w:sz w:val="20"/>
          <w:szCs w:val="20"/>
          <w:lang w:val="en-GB"/>
        </w:rPr>
        <w:t>provide comments</w:t>
      </w:r>
      <w:r w:rsidRPr="0084553A">
        <w:rPr>
          <w:rFonts w:ascii="Verdana" w:eastAsia="Times New Roman" w:hAnsi="Verdana" w:cs="Segoe UI"/>
          <w:sz w:val="20"/>
          <w:szCs w:val="20"/>
          <w:lang w:val="en-GB"/>
        </w:rPr>
        <w:t xml:space="preserve"> </w:t>
      </w:r>
      <w:r w:rsidR="0084553A">
        <w:rPr>
          <w:rFonts w:ascii="Verdana" w:eastAsia="Times New Roman" w:hAnsi="Verdana" w:cs="Segoe UI"/>
          <w:sz w:val="20"/>
          <w:szCs w:val="20"/>
          <w:lang w:val="en-GB"/>
        </w:rPr>
        <w:t>on</w:t>
      </w:r>
      <w:r w:rsidRPr="0084553A">
        <w:rPr>
          <w:rFonts w:ascii="Verdana" w:eastAsia="Times New Roman" w:hAnsi="Verdana" w:cs="Segoe UI"/>
          <w:sz w:val="20"/>
          <w:szCs w:val="20"/>
          <w:lang w:val="en-GB"/>
        </w:rPr>
        <w:t xml:space="preserve"> the EBA draft Guidelines on</w:t>
      </w:r>
      <w:r w:rsidR="008459DB" w:rsidRPr="0084553A">
        <w:rPr>
          <w:rFonts w:ascii="Verdana" w:eastAsia="Times New Roman" w:hAnsi="Verdana" w:cs="Segoe UI"/>
          <w:sz w:val="20"/>
          <w:szCs w:val="20"/>
          <w:lang w:val="en-GB"/>
        </w:rPr>
        <w:t xml:space="preserve"> </w:t>
      </w:r>
      <w:r w:rsidR="00E410B6" w:rsidRPr="0084553A">
        <w:rPr>
          <w:rFonts w:ascii="Verdana" w:eastAsia="Times New Roman" w:hAnsi="Verdana" w:cs="Segoe UI"/>
          <w:sz w:val="20"/>
          <w:szCs w:val="20"/>
          <w:lang w:val="en-GB"/>
        </w:rPr>
        <w:t xml:space="preserve">preventing the abuse of funds and certain crypto-assets transfers for money laundering and terrorist financing purposes. </w:t>
      </w:r>
    </w:p>
    <w:p w14:paraId="55F1227C" w14:textId="77777777" w:rsidR="00383E01" w:rsidRPr="0084553A" w:rsidRDefault="00383E01" w:rsidP="008F7258">
      <w:pPr>
        <w:spacing w:after="0" w:line="240" w:lineRule="auto"/>
        <w:jc w:val="both"/>
        <w:textAlignment w:val="baseline"/>
        <w:rPr>
          <w:rFonts w:ascii="Verdana" w:eastAsia="Times New Roman" w:hAnsi="Verdana" w:cs="Segoe UI"/>
          <w:sz w:val="20"/>
          <w:szCs w:val="20"/>
          <w:lang w:val="en-GB"/>
        </w:rPr>
      </w:pPr>
    </w:p>
    <w:p w14:paraId="065BD5A6" w14:textId="0E5E09C6" w:rsidR="002F3334" w:rsidRPr="0084553A" w:rsidRDefault="00383E01" w:rsidP="008F725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We welcome the </w:t>
      </w:r>
      <w:r w:rsidR="001B3746" w:rsidRPr="0084553A">
        <w:rPr>
          <w:rFonts w:ascii="Verdana" w:eastAsia="Times New Roman" w:hAnsi="Verdana" w:cs="Segoe UI"/>
          <w:sz w:val="20"/>
          <w:szCs w:val="20"/>
          <w:lang w:val="en-GB"/>
        </w:rPr>
        <w:t>additions</w:t>
      </w:r>
      <w:r w:rsidRPr="0084553A">
        <w:rPr>
          <w:rFonts w:ascii="Verdana" w:eastAsia="Times New Roman" w:hAnsi="Verdana" w:cs="Segoe UI"/>
          <w:sz w:val="20"/>
          <w:szCs w:val="20"/>
          <w:lang w:val="en-GB"/>
        </w:rPr>
        <w:t xml:space="preserve"> </w:t>
      </w:r>
      <w:r w:rsidR="001B3746" w:rsidRPr="0084553A">
        <w:rPr>
          <w:rFonts w:ascii="Verdana" w:eastAsia="Times New Roman" w:hAnsi="Verdana" w:cs="Segoe UI"/>
          <w:sz w:val="20"/>
          <w:szCs w:val="20"/>
          <w:lang w:val="en-GB"/>
        </w:rPr>
        <w:t>presented by</w:t>
      </w:r>
      <w:r w:rsidR="00200D88" w:rsidRPr="0084553A">
        <w:rPr>
          <w:rFonts w:ascii="Verdana" w:eastAsia="Times New Roman" w:hAnsi="Verdana" w:cs="Segoe UI"/>
          <w:sz w:val="20"/>
          <w:szCs w:val="20"/>
          <w:lang w:val="en-GB"/>
        </w:rPr>
        <w:t xml:space="preserve"> the European Banking Authority</w:t>
      </w:r>
      <w:r w:rsidR="001B3746" w:rsidRPr="0084553A">
        <w:rPr>
          <w:rFonts w:ascii="Verdana" w:eastAsia="Times New Roman" w:hAnsi="Verdana" w:cs="Segoe UI"/>
          <w:sz w:val="20"/>
          <w:szCs w:val="20"/>
          <w:lang w:val="en-GB"/>
        </w:rPr>
        <w:t xml:space="preserve"> under these draft guidelines. </w:t>
      </w:r>
      <w:r w:rsidR="009F588C" w:rsidRPr="0084553A">
        <w:rPr>
          <w:rFonts w:ascii="Verdana" w:eastAsia="Times New Roman" w:hAnsi="Verdana" w:cs="Segoe UI"/>
          <w:sz w:val="20"/>
          <w:szCs w:val="20"/>
          <w:lang w:val="en-GB"/>
        </w:rPr>
        <w:t>Nevertheless,</w:t>
      </w:r>
      <w:r w:rsidR="0084553A">
        <w:rPr>
          <w:rFonts w:ascii="Verdana" w:eastAsia="Times New Roman" w:hAnsi="Verdana" w:cs="Segoe UI"/>
          <w:sz w:val="20"/>
          <w:szCs w:val="20"/>
          <w:lang w:val="en-GB"/>
        </w:rPr>
        <w:t xml:space="preserve"> in order</w:t>
      </w:r>
      <w:r w:rsidR="002F3334" w:rsidRPr="0084553A">
        <w:rPr>
          <w:rFonts w:ascii="Verdana" w:eastAsia="Times New Roman" w:hAnsi="Verdana" w:cs="Segoe UI"/>
          <w:sz w:val="20"/>
          <w:szCs w:val="20"/>
          <w:lang w:val="en-GB"/>
        </w:rPr>
        <w:t xml:space="preserve"> to establish </w:t>
      </w:r>
      <w:r w:rsidR="00BD6D52" w:rsidRPr="0084553A">
        <w:rPr>
          <w:rFonts w:ascii="Verdana" w:eastAsia="Times New Roman" w:hAnsi="Verdana" w:cs="Segoe UI"/>
          <w:sz w:val="20"/>
          <w:szCs w:val="20"/>
          <w:lang w:val="en-GB"/>
        </w:rPr>
        <w:t xml:space="preserve">a more logical and practical framework under the Transfer of Funds Regulation, </w:t>
      </w:r>
      <w:r w:rsidR="002F3334" w:rsidRPr="0084553A">
        <w:rPr>
          <w:rFonts w:ascii="Verdana" w:eastAsia="Times New Roman" w:hAnsi="Verdana" w:cs="Segoe UI"/>
          <w:sz w:val="20"/>
          <w:szCs w:val="20"/>
          <w:lang w:val="en-GB"/>
        </w:rPr>
        <w:t>we suggest incorporating specific modifications and clarifications into the guidelines.</w:t>
      </w:r>
    </w:p>
    <w:p w14:paraId="17EC176D" w14:textId="77777777" w:rsidR="00E410B6" w:rsidRPr="0084553A" w:rsidRDefault="00E410B6" w:rsidP="008F7258">
      <w:pPr>
        <w:spacing w:after="0" w:line="240" w:lineRule="auto"/>
        <w:jc w:val="both"/>
        <w:textAlignment w:val="baseline"/>
        <w:rPr>
          <w:rFonts w:ascii="Verdana" w:eastAsia="Times New Roman" w:hAnsi="Verdana" w:cs="Segoe UI"/>
          <w:b/>
          <w:bCs/>
          <w:sz w:val="20"/>
          <w:szCs w:val="20"/>
          <w:lang w:val="en-GB"/>
        </w:rPr>
      </w:pPr>
    </w:p>
    <w:p w14:paraId="767D160E" w14:textId="77777777" w:rsidR="00B00E89" w:rsidRPr="0084553A" w:rsidRDefault="00B00E89" w:rsidP="0090014B">
      <w:pPr>
        <w:spacing w:after="0" w:line="240" w:lineRule="auto"/>
        <w:jc w:val="both"/>
        <w:textAlignment w:val="baseline"/>
        <w:rPr>
          <w:rFonts w:ascii="Verdana" w:eastAsia="Times New Roman" w:hAnsi="Verdana" w:cs="Segoe UI"/>
          <w:sz w:val="20"/>
          <w:szCs w:val="20"/>
          <w:lang w:val="en-GB"/>
        </w:rPr>
      </w:pPr>
    </w:p>
    <w:p w14:paraId="321D0394" w14:textId="77777777" w:rsidR="0090014B" w:rsidRPr="0084553A" w:rsidRDefault="0090014B" w:rsidP="0090014B">
      <w:pPr>
        <w:spacing w:after="0" w:line="240" w:lineRule="auto"/>
        <w:jc w:val="both"/>
        <w:textAlignment w:val="baseline"/>
        <w:rPr>
          <w:rFonts w:ascii="Segoe UI" w:eastAsia="Times New Roman" w:hAnsi="Segoe UI" w:cs="Segoe UI"/>
          <w:sz w:val="18"/>
          <w:szCs w:val="18"/>
          <w:lang w:val="en-GB"/>
        </w:rPr>
      </w:pPr>
    </w:p>
    <w:p w14:paraId="1E1F2533" w14:textId="77777777" w:rsidR="0090014B" w:rsidRPr="0084553A" w:rsidRDefault="0090014B" w:rsidP="0090014B">
      <w:pPr>
        <w:shd w:val="clear" w:color="auto" w:fill="AEAAAA"/>
        <w:spacing w:after="0" w:line="240" w:lineRule="auto"/>
        <w:jc w:val="both"/>
        <w:textAlignment w:val="baseline"/>
        <w:rPr>
          <w:rFonts w:ascii="Verdana" w:eastAsia="Times New Roman" w:hAnsi="Verdana" w:cs="Segoe UI"/>
          <w:color w:val="767171"/>
          <w:sz w:val="24"/>
          <w:szCs w:val="24"/>
          <w:lang w:val="en-GB"/>
        </w:rPr>
      </w:pPr>
      <w:r w:rsidRPr="0084553A">
        <w:rPr>
          <w:rFonts w:ascii="Verdana" w:eastAsia="Times New Roman" w:hAnsi="Verdana" w:cs="Segoe UI"/>
          <w:b/>
          <w:bCs/>
          <w:color w:val="767171"/>
          <w:sz w:val="24"/>
          <w:szCs w:val="24"/>
          <w:lang w:val="en-GB"/>
        </w:rPr>
        <w:t>EACB answers to the questionnaire</w:t>
      </w:r>
      <w:r w:rsidRPr="0084553A">
        <w:rPr>
          <w:rFonts w:ascii="Verdana" w:eastAsia="Times New Roman" w:hAnsi="Verdana" w:cs="Segoe UI"/>
          <w:color w:val="767171"/>
          <w:sz w:val="24"/>
          <w:szCs w:val="24"/>
          <w:lang w:val="en-GB"/>
        </w:rPr>
        <w:t> </w:t>
      </w:r>
    </w:p>
    <w:p w14:paraId="2BE2E69A" w14:textId="77777777" w:rsidR="0090014B" w:rsidRPr="0084553A" w:rsidRDefault="0090014B" w:rsidP="0090014B">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w:t>
      </w:r>
    </w:p>
    <w:tbl>
      <w:tblPr>
        <w:tblStyle w:val="TableGrid"/>
        <w:tblW w:w="0" w:type="auto"/>
        <w:tblLook w:val="04A0" w:firstRow="1" w:lastRow="0" w:firstColumn="1" w:lastColumn="0" w:noHBand="0" w:noVBand="1"/>
      </w:tblPr>
      <w:tblGrid>
        <w:gridCol w:w="9743"/>
      </w:tblGrid>
      <w:tr w:rsidR="000C1F4E" w:rsidRPr="0084553A" w14:paraId="4102CB79" w14:textId="77777777" w:rsidTr="00D065D6">
        <w:tc>
          <w:tcPr>
            <w:tcW w:w="9743" w:type="dxa"/>
          </w:tcPr>
          <w:p w14:paraId="4239DDE7" w14:textId="03DF5F7E" w:rsidR="000C1F4E" w:rsidRPr="0084553A" w:rsidRDefault="000C1F4E" w:rsidP="00D065D6">
            <w:pPr>
              <w:spacing w:after="120"/>
              <w:jc w:val="both"/>
              <w:rPr>
                <w:rFonts w:ascii="Verdana" w:hAnsi="Verdana" w:cstheme="minorHAnsi"/>
                <w:i/>
                <w:iCs/>
                <w:sz w:val="20"/>
                <w:szCs w:val="20"/>
                <w:lang w:val="en-GB"/>
              </w:rPr>
            </w:pPr>
            <w:r w:rsidRPr="0084553A">
              <w:rPr>
                <w:rFonts w:ascii="Verdana" w:hAnsi="Verdana" w:cstheme="minorHAnsi"/>
                <w:i/>
                <w:iCs/>
                <w:sz w:val="20"/>
                <w:szCs w:val="20"/>
                <w:lang w:val="en-GB"/>
              </w:rPr>
              <w:t>Question 1: Question 1. Do you agree with the proposed provisions? If you do not agree, please ex plain how you think these provisions should be amended, and set out why they should be amended. Please provide evidence of the impact these pro visions would have if they were maintained as drafted'?</w:t>
            </w:r>
          </w:p>
        </w:tc>
      </w:tr>
    </w:tbl>
    <w:p w14:paraId="0946BA90" w14:textId="77777777" w:rsidR="00971AE7" w:rsidRPr="0084553A" w:rsidRDefault="00971AE7" w:rsidP="008B13D8">
      <w:pPr>
        <w:spacing w:after="0"/>
        <w:jc w:val="both"/>
        <w:rPr>
          <w:rFonts w:ascii="Verdana" w:hAnsi="Verdana" w:cs="Segoe UI"/>
          <w:sz w:val="20"/>
          <w:szCs w:val="20"/>
          <w:lang w:val="en-GB"/>
        </w:rPr>
      </w:pPr>
    </w:p>
    <w:p w14:paraId="5943AD0D" w14:textId="77777777" w:rsidR="008B13D8" w:rsidRPr="0084553A" w:rsidRDefault="008B13D8" w:rsidP="008B13D8">
      <w:pPr>
        <w:spacing w:after="0"/>
        <w:jc w:val="both"/>
        <w:rPr>
          <w:rFonts w:ascii="Verdana" w:hAnsi="Verdana" w:cs="Segoe UI"/>
          <w:sz w:val="20"/>
          <w:szCs w:val="20"/>
          <w:u w:val="single"/>
          <w:lang w:val="en-GB"/>
        </w:rPr>
      </w:pPr>
    </w:p>
    <w:p w14:paraId="45C43C61" w14:textId="438826C2" w:rsidR="00DD1E2E" w:rsidRPr="0084553A" w:rsidRDefault="00DD1E2E" w:rsidP="008B13D8">
      <w:pPr>
        <w:spacing w:after="0"/>
        <w:jc w:val="both"/>
        <w:rPr>
          <w:rFonts w:ascii="Verdana" w:hAnsi="Verdana" w:cs="Segoe UI"/>
          <w:sz w:val="20"/>
          <w:szCs w:val="20"/>
          <w:u w:val="single"/>
          <w:lang w:val="en-GB"/>
        </w:rPr>
      </w:pPr>
      <w:r w:rsidRPr="0084553A">
        <w:rPr>
          <w:rFonts w:ascii="Verdana" w:hAnsi="Verdana" w:cs="Segoe UI"/>
          <w:sz w:val="20"/>
          <w:szCs w:val="20"/>
          <w:u w:val="single"/>
          <w:lang w:val="en-GB"/>
        </w:rPr>
        <w:t>2. Exclusion from the scope of Regulation (EU) 2023/1113 and derogations</w:t>
      </w:r>
    </w:p>
    <w:p w14:paraId="23CE7C6D" w14:textId="77777777" w:rsidR="008B13D8" w:rsidRPr="0084553A" w:rsidRDefault="008B13D8" w:rsidP="008B13D8">
      <w:pPr>
        <w:spacing w:after="0"/>
        <w:jc w:val="both"/>
        <w:rPr>
          <w:rFonts w:ascii="Verdana" w:hAnsi="Verdana" w:cs="Segoe UI"/>
          <w:sz w:val="20"/>
          <w:szCs w:val="20"/>
          <w:u w:val="single"/>
          <w:lang w:val="en-GB"/>
        </w:rPr>
      </w:pPr>
    </w:p>
    <w:p w14:paraId="7297C6F7" w14:textId="35F6961D" w:rsidR="00DD1E2E" w:rsidRPr="0084553A" w:rsidRDefault="00DD1E2E" w:rsidP="008B13D8">
      <w:pPr>
        <w:spacing w:after="0"/>
        <w:jc w:val="both"/>
        <w:rPr>
          <w:rFonts w:ascii="Verdana" w:hAnsi="Verdana" w:cs="Segoe UI"/>
          <w:b/>
          <w:bCs/>
          <w:sz w:val="20"/>
          <w:szCs w:val="20"/>
          <w:lang w:val="en-GB"/>
        </w:rPr>
      </w:pPr>
      <w:r w:rsidRPr="0084553A">
        <w:rPr>
          <w:rFonts w:ascii="Verdana" w:hAnsi="Verdana" w:cs="Segoe UI"/>
          <w:b/>
          <w:bCs/>
          <w:sz w:val="20"/>
          <w:szCs w:val="20"/>
          <w:lang w:val="en-GB"/>
        </w:rPr>
        <w:t>2.1. Determining whether a card, instrument or device is used exclusively for the payment of goods or</w:t>
      </w:r>
      <w:r w:rsidR="00A1414F" w:rsidRPr="0084553A">
        <w:rPr>
          <w:rFonts w:ascii="Verdana" w:hAnsi="Verdana" w:cs="Segoe UI"/>
          <w:b/>
          <w:bCs/>
          <w:sz w:val="20"/>
          <w:szCs w:val="20"/>
          <w:lang w:val="en-GB"/>
        </w:rPr>
        <w:t xml:space="preserve"> </w:t>
      </w:r>
      <w:r w:rsidRPr="0084553A">
        <w:rPr>
          <w:rFonts w:ascii="Verdana" w:hAnsi="Verdana" w:cs="Segoe UI"/>
          <w:b/>
          <w:bCs/>
          <w:sz w:val="20"/>
          <w:szCs w:val="20"/>
          <w:lang w:val="en-GB"/>
        </w:rPr>
        <w:t>services(Article 2(3) point (a) and (5) point (b) of Regulation (EU) 2023/1113)</w:t>
      </w:r>
    </w:p>
    <w:p w14:paraId="36011984" w14:textId="77777777" w:rsidR="008B13D8" w:rsidRPr="0084553A" w:rsidRDefault="008B13D8" w:rsidP="008B13D8">
      <w:pPr>
        <w:spacing w:after="0"/>
        <w:jc w:val="both"/>
        <w:rPr>
          <w:rFonts w:ascii="Verdana" w:hAnsi="Verdana" w:cs="Segoe UI"/>
          <w:b/>
          <w:bCs/>
          <w:sz w:val="20"/>
          <w:szCs w:val="20"/>
          <w:lang w:val="en-GB"/>
        </w:rPr>
      </w:pPr>
    </w:p>
    <w:p w14:paraId="5E86A760" w14:textId="7BC815C4" w:rsidR="003E59C4" w:rsidRPr="0084553A" w:rsidRDefault="00DD1E2E" w:rsidP="008B13D8">
      <w:pPr>
        <w:spacing w:after="0"/>
        <w:jc w:val="both"/>
        <w:rPr>
          <w:rFonts w:ascii="Verdana" w:hAnsi="Verdana" w:cs="Segoe UI"/>
          <w:b/>
          <w:bCs/>
          <w:sz w:val="20"/>
          <w:szCs w:val="20"/>
          <w:lang w:val="en-GB"/>
        </w:rPr>
      </w:pPr>
      <w:r w:rsidRPr="0084553A">
        <w:rPr>
          <w:rFonts w:ascii="Verdana" w:hAnsi="Verdana" w:cs="Segoe UI"/>
          <w:b/>
          <w:bCs/>
          <w:sz w:val="20"/>
          <w:szCs w:val="20"/>
          <w:lang w:val="en-GB"/>
        </w:rPr>
        <w:t>Paragraph 4</w:t>
      </w:r>
      <w:r w:rsidR="00F86348" w:rsidRPr="0084553A">
        <w:rPr>
          <w:rFonts w:ascii="Verdana" w:hAnsi="Verdana" w:cs="Segoe UI"/>
          <w:b/>
          <w:bCs/>
          <w:sz w:val="20"/>
          <w:szCs w:val="20"/>
          <w:lang w:val="en-GB"/>
        </w:rPr>
        <w:t>.</w:t>
      </w:r>
    </w:p>
    <w:p w14:paraId="454F6CD3" w14:textId="77777777" w:rsidR="008B13D8" w:rsidRPr="0084553A" w:rsidRDefault="008B13D8" w:rsidP="008B13D8">
      <w:pPr>
        <w:spacing w:after="0"/>
        <w:jc w:val="both"/>
        <w:rPr>
          <w:rFonts w:ascii="Verdana" w:hAnsi="Verdana" w:cs="Segoe UI"/>
          <w:b/>
          <w:bCs/>
          <w:sz w:val="20"/>
          <w:szCs w:val="20"/>
          <w:lang w:val="en-GB"/>
        </w:rPr>
      </w:pPr>
    </w:p>
    <w:p w14:paraId="578ACEAB" w14:textId="77777777" w:rsidR="00C64439" w:rsidRPr="0084553A" w:rsidRDefault="0072684B"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EBA </w:t>
      </w:r>
      <w:r w:rsidR="00945373" w:rsidRPr="0084553A">
        <w:rPr>
          <w:rFonts w:ascii="Verdana" w:eastAsia="Times New Roman" w:hAnsi="Verdana" w:cs="Segoe UI"/>
          <w:sz w:val="20"/>
          <w:szCs w:val="20"/>
          <w:lang w:val="en-GB"/>
        </w:rPr>
        <w:t>specifications on</w:t>
      </w:r>
      <w:r w:rsidR="00801493" w:rsidRPr="0084553A">
        <w:rPr>
          <w:rFonts w:ascii="Verdana" w:eastAsia="Times New Roman" w:hAnsi="Verdana" w:cs="Segoe UI"/>
          <w:sz w:val="20"/>
          <w:szCs w:val="20"/>
          <w:lang w:val="en-GB"/>
        </w:rPr>
        <w:t xml:space="preserve"> </w:t>
      </w:r>
      <w:r w:rsidR="00945373" w:rsidRPr="0084553A">
        <w:rPr>
          <w:rFonts w:ascii="Verdana" w:eastAsia="Times New Roman" w:hAnsi="Verdana" w:cs="Segoe UI"/>
          <w:sz w:val="20"/>
          <w:szCs w:val="20"/>
          <w:lang w:val="en-GB"/>
        </w:rPr>
        <w:t>measures and actions to be taken</w:t>
      </w:r>
      <w:r w:rsidR="00E63184" w:rsidRPr="0084553A">
        <w:rPr>
          <w:rFonts w:ascii="Verdana" w:eastAsia="Times New Roman" w:hAnsi="Verdana" w:cs="Segoe UI"/>
          <w:sz w:val="20"/>
          <w:szCs w:val="20"/>
          <w:lang w:val="en-GB"/>
        </w:rPr>
        <w:t xml:space="preserve"> to </w:t>
      </w:r>
      <w:r w:rsidR="0000051B" w:rsidRPr="0084553A">
        <w:rPr>
          <w:rFonts w:ascii="Verdana" w:eastAsia="Times New Roman" w:hAnsi="Verdana" w:cs="Segoe UI"/>
          <w:sz w:val="20"/>
          <w:szCs w:val="20"/>
          <w:lang w:val="en-GB"/>
        </w:rPr>
        <w:t>benefit from the exclusion of card payment exclusively</w:t>
      </w:r>
      <w:r w:rsidR="00945373" w:rsidRPr="0084553A">
        <w:rPr>
          <w:rFonts w:ascii="Verdana" w:eastAsia="Times New Roman" w:hAnsi="Verdana" w:cs="Segoe UI"/>
          <w:sz w:val="20"/>
          <w:szCs w:val="20"/>
          <w:lang w:val="en-GB"/>
        </w:rPr>
        <w:t xml:space="preserve"> </w:t>
      </w:r>
      <w:r w:rsidR="00F05948" w:rsidRPr="0084553A">
        <w:rPr>
          <w:rFonts w:ascii="Verdana" w:eastAsia="Times New Roman" w:hAnsi="Verdana" w:cs="Segoe UI"/>
          <w:sz w:val="20"/>
          <w:szCs w:val="20"/>
          <w:lang w:val="en-GB"/>
        </w:rPr>
        <w:t xml:space="preserve">used </w:t>
      </w:r>
      <w:r w:rsidR="0000051B" w:rsidRPr="0084553A">
        <w:rPr>
          <w:rFonts w:ascii="Verdana" w:eastAsia="Times New Roman" w:hAnsi="Verdana" w:cs="Segoe UI"/>
          <w:sz w:val="20"/>
          <w:szCs w:val="20"/>
          <w:lang w:val="en-GB"/>
        </w:rPr>
        <w:t>for the purchase of goods and services</w:t>
      </w:r>
      <w:r w:rsidR="00945373" w:rsidRPr="0084553A">
        <w:rPr>
          <w:rFonts w:ascii="Verdana" w:eastAsia="Times New Roman" w:hAnsi="Verdana" w:cs="Segoe UI"/>
          <w:sz w:val="20"/>
          <w:szCs w:val="20"/>
          <w:lang w:val="en-GB"/>
        </w:rPr>
        <w:t xml:space="preserve"> are useful</w:t>
      </w:r>
      <w:r w:rsidR="0000051B" w:rsidRPr="0084553A">
        <w:rPr>
          <w:rFonts w:ascii="Verdana" w:eastAsia="Times New Roman" w:hAnsi="Verdana" w:cs="Segoe UI"/>
          <w:sz w:val="20"/>
          <w:szCs w:val="20"/>
          <w:lang w:val="en-GB"/>
        </w:rPr>
        <w:t xml:space="preserve">. </w:t>
      </w:r>
    </w:p>
    <w:p w14:paraId="16C5FB72" w14:textId="77777777" w:rsidR="00C64439" w:rsidRPr="0084553A" w:rsidRDefault="00C64439" w:rsidP="008B13D8">
      <w:pPr>
        <w:spacing w:after="0" w:line="240" w:lineRule="auto"/>
        <w:jc w:val="both"/>
        <w:textAlignment w:val="baseline"/>
        <w:rPr>
          <w:rFonts w:ascii="Verdana" w:eastAsia="Times New Roman" w:hAnsi="Verdana" w:cs="Segoe UI"/>
          <w:sz w:val="20"/>
          <w:szCs w:val="20"/>
          <w:lang w:val="en-GB"/>
        </w:rPr>
      </w:pPr>
    </w:p>
    <w:p w14:paraId="7253F2DC" w14:textId="0A7D23FE" w:rsidR="0000051B" w:rsidRPr="0084553A" w:rsidRDefault="0000051B"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However, considering the different organizations of </w:t>
      </w:r>
      <w:r w:rsidR="001B7D35" w:rsidRPr="0084553A">
        <w:rPr>
          <w:rFonts w:ascii="Verdana" w:eastAsia="Times New Roman" w:hAnsi="Verdana" w:cs="Segoe UI"/>
          <w:sz w:val="20"/>
          <w:szCs w:val="20"/>
          <w:lang w:val="en-GB"/>
        </w:rPr>
        <w:t xml:space="preserve">the </w:t>
      </w:r>
      <w:r w:rsidRPr="0084553A">
        <w:rPr>
          <w:rFonts w:ascii="Verdana" w:eastAsia="Times New Roman" w:hAnsi="Verdana" w:cs="Segoe UI"/>
          <w:sz w:val="20"/>
          <w:szCs w:val="20"/>
          <w:lang w:val="en-GB"/>
        </w:rPr>
        <w:t>institutions involved, we believe</w:t>
      </w:r>
      <w:r w:rsidR="00801493" w:rsidRPr="0084553A">
        <w:rPr>
          <w:rFonts w:ascii="Verdana" w:eastAsia="Times New Roman" w:hAnsi="Verdana" w:cs="Segoe UI"/>
          <w:sz w:val="20"/>
          <w:szCs w:val="20"/>
          <w:lang w:val="en-GB"/>
        </w:rPr>
        <w:t xml:space="preserve"> that</w:t>
      </w:r>
      <w:r w:rsidRPr="0084553A">
        <w:rPr>
          <w:rFonts w:ascii="Verdana" w:eastAsia="Times New Roman" w:hAnsi="Verdana" w:cs="Segoe UI"/>
          <w:sz w:val="20"/>
          <w:szCs w:val="20"/>
          <w:lang w:val="en-GB"/>
        </w:rPr>
        <w:t xml:space="preserve"> it would be more appropriate to formulate these recommendations as best practices rather than binding guidelines (suggested by the use of the word “should”). Indeed, best practices would allow each institution to decide to implement these measures</w:t>
      </w:r>
      <w:r w:rsidR="00945373" w:rsidRPr="0084553A">
        <w:rPr>
          <w:rFonts w:ascii="Verdana" w:eastAsia="Times New Roman" w:hAnsi="Verdana" w:cs="Segoe UI"/>
          <w:sz w:val="20"/>
          <w:szCs w:val="20"/>
          <w:lang w:val="en-GB"/>
        </w:rPr>
        <w:t xml:space="preserve"> efficiently</w:t>
      </w:r>
      <w:r w:rsidR="0040206E" w:rsidRPr="0084553A">
        <w:rPr>
          <w:rFonts w:ascii="Verdana" w:eastAsia="Times New Roman" w:hAnsi="Verdana" w:cs="Segoe UI"/>
          <w:sz w:val="20"/>
          <w:szCs w:val="20"/>
          <w:lang w:val="en-GB"/>
        </w:rPr>
        <w:t xml:space="preserve"> and a</w:t>
      </w:r>
      <w:r w:rsidR="00ED0A7C" w:rsidRPr="0084553A">
        <w:rPr>
          <w:rFonts w:ascii="Verdana" w:eastAsia="Times New Roman" w:hAnsi="Verdana" w:cs="Segoe UI"/>
          <w:sz w:val="20"/>
          <w:szCs w:val="20"/>
          <w:lang w:val="en-GB"/>
        </w:rPr>
        <w:t>dapt</w:t>
      </w:r>
      <w:r w:rsidR="00783C3B" w:rsidRPr="0084553A">
        <w:rPr>
          <w:rFonts w:ascii="Verdana" w:eastAsia="Times New Roman" w:hAnsi="Verdana" w:cs="Segoe UI"/>
          <w:sz w:val="20"/>
          <w:szCs w:val="20"/>
          <w:lang w:val="en-GB"/>
        </w:rPr>
        <w:t xml:space="preserve">ed </w:t>
      </w:r>
      <w:r w:rsidR="00A0598D" w:rsidRPr="0084553A">
        <w:rPr>
          <w:rFonts w:ascii="Verdana" w:eastAsia="Times New Roman" w:hAnsi="Verdana" w:cs="Segoe UI"/>
          <w:sz w:val="20"/>
          <w:szCs w:val="20"/>
          <w:lang w:val="en-GB"/>
        </w:rPr>
        <w:t xml:space="preserve">to </w:t>
      </w:r>
      <w:r w:rsidR="00945373" w:rsidRPr="0084553A">
        <w:rPr>
          <w:rFonts w:ascii="Verdana" w:eastAsia="Times New Roman" w:hAnsi="Verdana" w:cs="Segoe UI"/>
          <w:sz w:val="20"/>
          <w:szCs w:val="20"/>
          <w:lang w:val="en-GB"/>
        </w:rPr>
        <w:t>their compliance organizations</w:t>
      </w:r>
      <w:r w:rsidRPr="0084553A">
        <w:rPr>
          <w:rFonts w:ascii="Verdana" w:eastAsia="Times New Roman" w:hAnsi="Verdana" w:cs="Segoe UI"/>
          <w:sz w:val="20"/>
          <w:szCs w:val="20"/>
          <w:lang w:val="en-GB"/>
        </w:rPr>
        <w:t xml:space="preserve">. </w:t>
      </w:r>
      <w:r w:rsidR="00945373" w:rsidRPr="0084553A">
        <w:rPr>
          <w:rFonts w:ascii="Verdana" w:eastAsia="Times New Roman" w:hAnsi="Verdana" w:cs="Segoe UI"/>
          <w:sz w:val="20"/>
          <w:szCs w:val="20"/>
          <w:lang w:val="en-GB"/>
        </w:rPr>
        <w:t>We support a more flexible approach, all while preserving the objective of a good implementation of the exemption.</w:t>
      </w:r>
    </w:p>
    <w:p w14:paraId="5172A3A2" w14:textId="77777777" w:rsidR="00EA462E" w:rsidRPr="0084553A" w:rsidRDefault="00EA462E" w:rsidP="008B13D8">
      <w:pPr>
        <w:spacing w:after="0" w:line="240" w:lineRule="auto"/>
        <w:jc w:val="both"/>
        <w:textAlignment w:val="baseline"/>
        <w:rPr>
          <w:rFonts w:ascii="Verdana" w:eastAsia="Times New Roman" w:hAnsi="Verdana" w:cs="Segoe UI"/>
          <w:sz w:val="20"/>
          <w:szCs w:val="20"/>
          <w:lang w:val="en-GB"/>
        </w:rPr>
      </w:pPr>
    </w:p>
    <w:p w14:paraId="19A3DB6F" w14:textId="18095414" w:rsidR="0074277F" w:rsidRPr="0084553A" w:rsidRDefault="001067F3"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Additionally, we want to emphasize that </w:t>
      </w:r>
      <w:r w:rsidR="0074277F" w:rsidRPr="0084553A">
        <w:rPr>
          <w:rFonts w:ascii="Verdana" w:eastAsia="Times New Roman" w:hAnsi="Verdana" w:cs="Segoe UI"/>
          <w:sz w:val="20"/>
          <w:szCs w:val="20"/>
          <w:lang w:val="en-GB"/>
        </w:rPr>
        <w:t>VISA and Mastercard</w:t>
      </w:r>
      <w:r w:rsidR="00BA386D" w:rsidRPr="0084553A">
        <w:rPr>
          <w:rFonts w:ascii="Verdana" w:eastAsia="Times New Roman" w:hAnsi="Verdana" w:cs="Segoe UI"/>
          <w:sz w:val="20"/>
          <w:szCs w:val="20"/>
          <w:lang w:val="en-GB"/>
        </w:rPr>
        <w:t xml:space="preserve"> </w:t>
      </w:r>
      <w:r w:rsidR="0074277F" w:rsidRPr="0084553A">
        <w:rPr>
          <w:rFonts w:ascii="Verdana" w:eastAsia="Times New Roman" w:hAnsi="Verdana" w:cs="Segoe UI"/>
          <w:sz w:val="20"/>
          <w:szCs w:val="20"/>
          <w:lang w:val="en-GB"/>
        </w:rPr>
        <w:t>schemas set clear rules for acquiring PSPs for the information accompanying Card Payments, and the scheme determines the necessary Merchant Category Codes to be used. For the card issuer it is impossible to determine if the said MCC is correct or not. Due to this, the requirement for assessing MCC codes should be addressed to acquiring PSPs.</w:t>
      </w:r>
    </w:p>
    <w:p w14:paraId="0B66A1C7" w14:textId="77777777" w:rsidR="0003407C" w:rsidRPr="0084553A" w:rsidRDefault="0003407C" w:rsidP="008B13D8">
      <w:pPr>
        <w:spacing w:after="0" w:line="240" w:lineRule="auto"/>
        <w:jc w:val="both"/>
        <w:textAlignment w:val="baseline"/>
        <w:rPr>
          <w:rFonts w:ascii="Verdana" w:eastAsia="Times New Roman" w:hAnsi="Verdana" w:cs="Segoe UI"/>
          <w:sz w:val="20"/>
          <w:szCs w:val="20"/>
          <w:lang w:val="en-GB"/>
        </w:rPr>
      </w:pPr>
    </w:p>
    <w:p w14:paraId="3E25F31D" w14:textId="19946B54" w:rsidR="0074277F" w:rsidRPr="0084553A" w:rsidRDefault="0074277F"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Currently only person-to-person card payments are in scope of the Transfer of Funds </w:t>
      </w:r>
      <w:r w:rsidR="009C7280" w:rsidRPr="0084553A">
        <w:rPr>
          <w:rFonts w:ascii="Verdana" w:eastAsia="Times New Roman" w:hAnsi="Verdana" w:cs="Segoe UI"/>
          <w:sz w:val="20"/>
          <w:szCs w:val="20"/>
          <w:lang w:val="en-GB"/>
        </w:rPr>
        <w:t>Regulation</w:t>
      </w:r>
      <w:r w:rsidRPr="0084553A">
        <w:rPr>
          <w:rFonts w:ascii="Verdana" w:eastAsia="Times New Roman" w:hAnsi="Verdana" w:cs="Segoe UI"/>
          <w:sz w:val="20"/>
          <w:szCs w:val="20"/>
          <w:lang w:val="en-GB"/>
        </w:rPr>
        <w:t xml:space="preserve"> The proposed changes (looking into the Customers trends and </w:t>
      </w:r>
      <w:r w:rsidR="0084553A" w:rsidRPr="0084553A">
        <w:rPr>
          <w:rFonts w:ascii="Verdana" w:eastAsia="Times New Roman" w:hAnsi="Verdana" w:cs="Segoe UI"/>
          <w:sz w:val="20"/>
          <w:szCs w:val="20"/>
          <w:lang w:val="en-GB"/>
        </w:rPr>
        <w:t>behaviours</w:t>
      </w:r>
      <w:r w:rsidRPr="0084553A">
        <w:rPr>
          <w:rFonts w:ascii="Verdana" w:eastAsia="Times New Roman" w:hAnsi="Verdana" w:cs="Segoe UI"/>
          <w:sz w:val="20"/>
          <w:szCs w:val="20"/>
          <w:lang w:val="en-GB"/>
        </w:rPr>
        <w:t>, past payment histories etc. to determine whether the Card Payment is used for Payment of goods or services) would require card payment PSPs to monitor card payments in real time for determining if payment is deemed as the purchase of goods or services. This will affect the Card Payment-flows greatly. This will require major technical development for all PSPs and will incur a great financial cost</w:t>
      </w:r>
      <w:r w:rsidR="0066697A" w:rsidRPr="0084553A">
        <w:rPr>
          <w:rFonts w:ascii="Verdana" w:eastAsia="Times New Roman" w:hAnsi="Verdana" w:cs="Segoe UI"/>
          <w:sz w:val="20"/>
          <w:szCs w:val="20"/>
          <w:lang w:val="en-GB"/>
        </w:rPr>
        <w:t>.</w:t>
      </w:r>
    </w:p>
    <w:p w14:paraId="095F71E5" w14:textId="77777777" w:rsidR="009C7280" w:rsidRPr="0084553A" w:rsidRDefault="009C7280" w:rsidP="008B13D8">
      <w:pPr>
        <w:spacing w:after="0" w:line="240" w:lineRule="auto"/>
        <w:jc w:val="both"/>
        <w:textAlignment w:val="baseline"/>
        <w:rPr>
          <w:rFonts w:ascii="Verdana" w:eastAsia="Times New Roman" w:hAnsi="Verdana" w:cs="Segoe UI"/>
          <w:sz w:val="20"/>
          <w:szCs w:val="20"/>
          <w:lang w:val="en-GB"/>
        </w:rPr>
      </w:pPr>
    </w:p>
    <w:p w14:paraId="3AFC51D7" w14:textId="06AF3C1C" w:rsidR="001D31A0" w:rsidRPr="0084553A" w:rsidRDefault="001D31A0"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lastRenderedPageBreak/>
        <w:t xml:space="preserve">Thus, we believe </w:t>
      </w:r>
      <w:r w:rsidR="0044076E" w:rsidRPr="0084553A">
        <w:rPr>
          <w:rFonts w:ascii="Verdana" w:eastAsia="Times New Roman" w:hAnsi="Verdana" w:cs="Segoe UI"/>
          <w:sz w:val="20"/>
          <w:szCs w:val="20"/>
          <w:lang w:val="en-GB"/>
        </w:rPr>
        <w:t xml:space="preserve">that </w:t>
      </w:r>
      <w:r w:rsidRPr="0084553A">
        <w:rPr>
          <w:rFonts w:ascii="Verdana" w:eastAsia="Times New Roman" w:hAnsi="Verdana" w:cs="Segoe UI"/>
          <w:sz w:val="20"/>
          <w:szCs w:val="20"/>
          <w:lang w:val="en-GB"/>
        </w:rPr>
        <w:t>the cost of implementing these changes may be disproportionate to the usefulness of these demands.</w:t>
      </w:r>
    </w:p>
    <w:p w14:paraId="53284A5F" w14:textId="77777777" w:rsidR="00971AE7" w:rsidRPr="0084553A" w:rsidRDefault="00971AE7" w:rsidP="008B13D8">
      <w:pPr>
        <w:spacing w:after="0" w:line="240" w:lineRule="auto"/>
        <w:jc w:val="both"/>
        <w:textAlignment w:val="baseline"/>
        <w:rPr>
          <w:rFonts w:ascii="Verdana" w:eastAsia="Times New Roman" w:hAnsi="Verdana" w:cs="Segoe UI"/>
          <w:sz w:val="20"/>
          <w:szCs w:val="20"/>
          <w:lang w:val="en-GB"/>
        </w:rPr>
      </w:pPr>
    </w:p>
    <w:p w14:paraId="4388137F" w14:textId="77777777" w:rsidR="006A2EE9" w:rsidRPr="0084553A" w:rsidRDefault="006A2EE9" w:rsidP="008B13D8">
      <w:pPr>
        <w:spacing w:after="0" w:line="240" w:lineRule="auto"/>
        <w:jc w:val="both"/>
        <w:textAlignment w:val="baseline"/>
        <w:rPr>
          <w:rFonts w:ascii="Verdana" w:eastAsia="Times New Roman" w:hAnsi="Verdana" w:cs="Segoe UI"/>
          <w:sz w:val="20"/>
          <w:szCs w:val="20"/>
          <w:lang w:val="en-GB"/>
        </w:rPr>
      </w:pPr>
    </w:p>
    <w:p w14:paraId="4BC4DA6A" w14:textId="01EE37C2" w:rsidR="00E83979" w:rsidRPr="0084553A" w:rsidRDefault="00E83979" w:rsidP="008B13D8">
      <w:pPr>
        <w:spacing w:after="0"/>
        <w:jc w:val="both"/>
        <w:rPr>
          <w:rFonts w:ascii="Verdana" w:hAnsi="Verdana" w:cs="Segoe UI"/>
          <w:b/>
          <w:bCs/>
          <w:sz w:val="20"/>
          <w:szCs w:val="20"/>
          <w:lang w:val="en-GB"/>
        </w:rPr>
      </w:pPr>
      <w:r w:rsidRPr="0084553A">
        <w:rPr>
          <w:rFonts w:ascii="Verdana" w:hAnsi="Verdana" w:cs="Segoe UI"/>
          <w:b/>
          <w:bCs/>
          <w:sz w:val="20"/>
          <w:szCs w:val="20"/>
          <w:lang w:val="en-GB"/>
        </w:rPr>
        <w:t xml:space="preserve">2.2. Linked transfers in relation to the 1000 EUR threshold (Article 2(5)(c), Article 5(2), Article 6(2) and Article 7(3) of Regulation (EU) 2023/1113) </w:t>
      </w:r>
    </w:p>
    <w:p w14:paraId="4823D541" w14:textId="77777777" w:rsidR="00871A3A" w:rsidRPr="0084553A" w:rsidRDefault="00871A3A" w:rsidP="008B13D8">
      <w:pPr>
        <w:spacing w:after="0"/>
        <w:jc w:val="both"/>
        <w:rPr>
          <w:rFonts w:ascii="Verdana" w:hAnsi="Verdana" w:cs="Segoe UI"/>
          <w:b/>
          <w:bCs/>
          <w:sz w:val="20"/>
          <w:szCs w:val="20"/>
          <w:lang w:val="en-GB"/>
        </w:rPr>
      </w:pPr>
    </w:p>
    <w:p w14:paraId="032360EA" w14:textId="3CED9B51" w:rsidR="003E59C4" w:rsidRPr="0084553A" w:rsidRDefault="00E83979" w:rsidP="008B13D8">
      <w:pPr>
        <w:spacing w:after="0"/>
        <w:jc w:val="both"/>
        <w:rPr>
          <w:rFonts w:ascii="Verdana" w:hAnsi="Verdana" w:cs="Segoe UI"/>
          <w:b/>
          <w:bCs/>
          <w:sz w:val="20"/>
          <w:szCs w:val="20"/>
          <w:lang w:val="en-GB"/>
        </w:rPr>
      </w:pPr>
      <w:r w:rsidRPr="0084553A">
        <w:rPr>
          <w:rFonts w:ascii="Verdana" w:hAnsi="Verdana" w:cs="Segoe UI"/>
          <w:b/>
          <w:bCs/>
          <w:sz w:val="20"/>
          <w:szCs w:val="20"/>
          <w:lang w:val="en-GB"/>
        </w:rPr>
        <w:t>Paragraph 8. c.</w:t>
      </w:r>
    </w:p>
    <w:p w14:paraId="52F4AB39" w14:textId="77777777" w:rsidR="00871A3A" w:rsidRPr="0084553A" w:rsidRDefault="00871A3A" w:rsidP="008B13D8">
      <w:pPr>
        <w:spacing w:after="0"/>
        <w:jc w:val="both"/>
        <w:rPr>
          <w:rFonts w:ascii="Verdana" w:hAnsi="Verdana" w:cs="Segoe UI"/>
          <w:b/>
          <w:bCs/>
          <w:sz w:val="20"/>
          <w:szCs w:val="20"/>
          <w:lang w:val="en-GB"/>
        </w:rPr>
      </w:pPr>
    </w:p>
    <w:p w14:paraId="5F18411A" w14:textId="11ACD688" w:rsidR="00907F87" w:rsidRPr="0084553A" w:rsidRDefault="00A3222A"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We are concerned that incorporating "smurfing techniques" may result in confusion with connected transactions that are not separated to circumvent the 1</w:t>
      </w:r>
      <w:r w:rsidR="000467C9" w:rsidRPr="0084553A">
        <w:rPr>
          <w:rFonts w:ascii="Verdana" w:eastAsia="Times New Roman" w:hAnsi="Verdana" w:cs="Segoe UI"/>
          <w:sz w:val="20"/>
          <w:szCs w:val="20"/>
          <w:lang w:val="en-GB"/>
        </w:rPr>
        <w:t xml:space="preserve"> </w:t>
      </w:r>
      <w:r w:rsidRPr="0084553A">
        <w:rPr>
          <w:rFonts w:ascii="Verdana" w:eastAsia="Times New Roman" w:hAnsi="Verdana" w:cs="Segoe UI"/>
          <w:sz w:val="20"/>
          <w:szCs w:val="20"/>
          <w:lang w:val="en-GB"/>
        </w:rPr>
        <w:t xml:space="preserve">000 EUR threshold. </w:t>
      </w:r>
      <w:r w:rsidR="00945373" w:rsidRPr="0084553A">
        <w:rPr>
          <w:rFonts w:ascii="Verdana" w:eastAsia="Times New Roman" w:hAnsi="Verdana" w:cs="Segoe UI"/>
          <w:sz w:val="20"/>
          <w:szCs w:val="20"/>
          <w:lang w:val="en-GB"/>
        </w:rPr>
        <w:t xml:space="preserve">This amendment introduces a </w:t>
      </w:r>
      <w:r w:rsidR="00BF1499" w:rsidRPr="0084553A">
        <w:rPr>
          <w:rFonts w:ascii="Verdana" w:eastAsia="Times New Roman" w:hAnsi="Verdana" w:cs="Segoe UI"/>
          <w:sz w:val="20"/>
          <w:szCs w:val="20"/>
          <w:lang w:val="en-GB"/>
        </w:rPr>
        <w:t>unclarity</w:t>
      </w:r>
      <w:r w:rsidR="00945373" w:rsidRPr="0084553A">
        <w:rPr>
          <w:rFonts w:ascii="Verdana" w:eastAsia="Times New Roman" w:hAnsi="Verdana" w:cs="Segoe UI"/>
          <w:sz w:val="20"/>
          <w:szCs w:val="20"/>
          <w:lang w:val="en-GB"/>
        </w:rPr>
        <w:t xml:space="preserve"> in the interpretation of the “links” to be considered for the application of the Regulation.</w:t>
      </w:r>
      <w:r w:rsidR="003E59C4" w:rsidRPr="0084553A">
        <w:rPr>
          <w:rFonts w:ascii="Verdana" w:eastAsia="Times New Roman" w:hAnsi="Verdana" w:cs="Segoe UI"/>
          <w:sz w:val="20"/>
          <w:szCs w:val="20"/>
          <w:lang w:val="en-GB"/>
        </w:rPr>
        <w:t xml:space="preserve"> </w:t>
      </w:r>
      <w:r w:rsidR="00EE2B0C" w:rsidRPr="0084553A">
        <w:rPr>
          <w:rFonts w:ascii="Verdana" w:eastAsia="Times New Roman" w:hAnsi="Verdana" w:cs="Segoe UI"/>
          <w:sz w:val="20"/>
          <w:szCs w:val="20"/>
          <w:lang w:val="en-GB"/>
        </w:rPr>
        <w:t>We think that it</w:t>
      </w:r>
      <w:r w:rsidR="00907F87" w:rsidRPr="0084553A">
        <w:rPr>
          <w:rFonts w:ascii="Verdana" w:eastAsia="Times New Roman" w:hAnsi="Verdana" w:cs="Segoe UI"/>
          <w:sz w:val="20"/>
          <w:szCs w:val="20"/>
          <w:lang w:val="en-GB"/>
        </w:rPr>
        <w:t xml:space="preserve"> would be </w:t>
      </w:r>
      <w:r w:rsidR="00EE2B0C" w:rsidRPr="0084553A">
        <w:rPr>
          <w:rFonts w:ascii="Verdana" w:eastAsia="Times New Roman" w:hAnsi="Verdana" w:cs="Segoe UI"/>
          <w:sz w:val="20"/>
          <w:szCs w:val="20"/>
          <w:lang w:val="en-GB"/>
        </w:rPr>
        <w:t>preferable</w:t>
      </w:r>
      <w:r w:rsidR="00907F87" w:rsidRPr="0084553A">
        <w:rPr>
          <w:rFonts w:ascii="Verdana" w:eastAsia="Times New Roman" w:hAnsi="Verdana" w:cs="Segoe UI"/>
          <w:sz w:val="20"/>
          <w:szCs w:val="20"/>
          <w:lang w:val="en-GB"/>
        </w:rPr>
        <w:t xml:space="preserve"> to remove the phrase "including the possible use of smurfing techniques" or to clarify that this rule should be applied in accordance with the associated risks.</w:t>
      </w:r>
    </w:p>
    <w:p w14:paraId="2102CAF4" w14:textId="77777777" w:rsidR="00183210" w:rsidRPr="0084553A" w:rsidRDefault="00183210" w:rsidP="008B13D8">
      <w:pPr>
        <w:spacing w:after="0" w:line="240" w:lineRule="auto"/>
        <w:jc w:val="both"/>
        <w:textAlignment w:val="baseline"/>
        <w:rPr>
          <w:rFonts w:ascii="Verdana" w:eastAsia="Times New Roman" w:hAnsi="Verdana" w:cs="Segoe UI"/>
          <w:sz w:val="20"/>
          <w:szCs w:val="20"/>
          <w:lang w:val="en-GB"/>
        </w:rPr>
      </w:pPr>
    </w:p>
    <w:p w14:paraId="077AB374" w14:textId="77777777" w:rsidR="00967985" w:rsidRPr="0084553A" w:rsidRDefault="00967985" w:rsidP="008B13D8">
      <w:pPr>
        <w:spacing w:after="0" w:line="240" w:lineRule="auto"/>
        <w:jc w:val="both"/>
        <w:textAlignment w:val="baseline"/>
        <w:rPr>
          <w:rFonts w:ascii="Verdana" w:eastAsia="Times New Roman" w:hAnsi="Verdana" w:cs="Segoe UI"/>
          <w:sz w:val="20"/>
          <w:szCs w:val="20"/>
          <w:lang w:val="en-GB"/>
        </w:rPr>
      </w:pPr>
    </w:p>
    <w:p w14:paraId="15775DDA" w14:textId="4A1675D7" w:rsidR="00967985" w:rsidRPr="0084553A" w:rsidRDefault="00967985" w:rsidP="008B13D8">
      <w:pPr>
        <w:spacing w:after="0" w:line="240" w:lineRule="auto"/>
        <w:jc w:val="both"/>
        <w:textAlignment w:val="baseline"/>
        <w:rPr>
          <w:rFonts w:ascii="Verdana" w:eastAsia="Times New Roman" w:hAnsi="Verdana" w:cs="Segoe UI"/>
          <w:sz w:val="20"/>
          <w:szCs w:val="20"/>
          <w:u w:val="single"/>
          <w:lang w:val="en-GB"/>
        </w:rPr>
      </w:pPr>
      <w:r w:rsidRPr="0084553A">
        <w:rPr>
          <w:rFonts w:ascii="Verdana" w:eastAsia="Times New Roman" w:hAnsi="Verdana" w:cs="Segoe UI"/>
          <w:sz w:val="20"/>
          <w:szCs w:val="20"/>
          <w:u w:val="single"/>
          <w:lang w:val="en-GB"/>
        </w:rPr>
        <w:t>3. Transmitting information with the transfer (Article 4, Article 5, Article 6 and Article 14 of Regulation (EU) 2023/1113)</w:t>
      </w:r>
    </w:p>
    <w:p w14:paraId="33D479B6" w14:textId="77777777" w:rsidR="00967985" w:rsidRPr="0084553A" w:rsidRDefault="00967985" w:rsidP="008B13D8">
      <w:pPr>
        <w:spacing w:after="0" w:line="240" w:lineRule="auto"/>
        <w:jc w:val="both"/>
        <w:textAlignment w:val="baseline"/>
        <w:rPr>
          <w:rFonts w:ascii="Verdana" w:eastAsia="Times New Roman" w:hAnsi="Verdana" w:cs="Segoe UI"/>
          <w:sz w:val="20"/>
          <w:szCs w:val="20"/>
          <w:lang w:val="en-GB"/>
        </w:rPr>
      </w:pPr>
    </w:p>
    <w:p w14:paraId="71F31A7B" w14:textId="16199A1F" w:rsidR="00F14029" w:rsidRPr="0084553A" w:rsidRDefault="001C61E4"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3.2. Multi-intermediation and cross-border transfers</w:t>
      </w:r>
    </w:p>
    <w:p w14:paraId="688D8A7C" w14:textId="77777777" w:rsidR="0052258D" w:rsidRPr="0084553A" w:rsidRDefault="0052258D" w:rsidP="008B13D8">
      <w:pPr>
        <w:spacing w:after="0" w:line="240" w:lineRule="auto"/>
        <w:jc w:val="both"/>
        <w:textAlignment w:val="baseline"/>
        <w:rPr>
          <w:rFonts w:ascii="Verdana" w:eastAsia="Times New Roman" w:hAnsi="Verdana" w:cs="Segoe UI"/>
          <w:sz w:val="20"/>
          <w:szCs w:val="20"/>
          <w:lang w:val="en-GB"/>
        </w:rPr>
      </w:pPr>
    </w:p>
    <w:p w14:paraId="30F8EC33" w14:textId="1482DF95" w:rsidR="0052258D" w:rsidRPr="0084553A" w:rsidRDefault="0052258D"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Paragraph 18</w:t>
      </w:r>
      <w:r w:rsidR="00F86348" w:rsidRPr="0084553A">
        <w:rPr>
          <w:rFonts w:ascii="Verdana" w:eastAsia="Times New Roman" w:hAnsi="Verdana" w:cs="Segoe UI"/>
          <w:b/>
          <w:bCs/>
          <w:sz w:val="20"/>
          <w:szCs w:val="20"/>
          <w:lang w:val="en-GB"/>
        </w:rPr>
        <w:t>.</w:t>
      </w:r>
    </w:p>
    <w:p w14:paraId="2FB3F2C5" w14:textId="77777777" w:rsidR="001C61E4" w:rsidRPr="0084553A" w:rsidRDefault="001C61E4" w:rsidP="008B13D8">
      <w:pPr>
        <w:spacing w:after="0" w:line="240" w:lineRule="auto"/>
        <w:jc w:val="both"/>
        <w:textAlignment w:val="baseline"/>
        <w:rPr>
          <w:rFonts w:ascii="Verdana" w:eastAsia="Times New Roman" w:hAnsi="Verdana" w:cs="Segoe UI"/>
          <w:sz w:val="20"/>
          <w:szCs w:val="20"/>
          <w:lang w:val="en-GB"/>
        </w:rPr>
      </w:pPr>
    </w:p>
    <w:p w14:paraId="2F6985E0" w14:textId="7150A971" w:rsidR="00F758A5" w:rsidRPr="0084553A" w:rsidRDefault="00F758A5" w:rsidP="008B13D8">
      <w:pPr>
        <w:spacing w:after="0"/>
        <w:jc w:val="both"/>
        <w:rPr>
          <w:rFonts w:ascii="Verdana" w:hAnsi="Verdana" w:cs="Segoe UI"/>
          <w:sz w:val="20"/>
          <w:szCs w:val="20"/>
          <w:lang w:val="en-GB"/>
        </w:rPr>
      </w:pPr>
      <w:r w:rsidRPr="0084553A">
        <w:rPr>
          <w:rFonts w:ascii="Verdana" w:hAnsi="Verdana" w:cs="Segoe UI"/>
          <w:sz w:val="20"/>
          <w:szCs w:val="20"/>
          <w:lang w:val="en-GB"/>
        </w:rPr>
        <w:t xml:space="preserve">We seek </w:t>
      </w:r>
      <w:r w:rsidR="00774A9D" w:rsidRPr="0084553A">
        <w:rPr>
          <w:rFonts w:ascii="Verdana" w:hAnsi="Verdana" w:cs="Segoe UI"/>
          <w:sz w:val="20"/>
          <w:szCs w:val="20"/>
          <w:lang w:val="en-GB"/>
        </w:rPr>
        <w:t>additional guidance on paragraph 18</w:t>
      </w:r>
      <w:r w:rsidRPr="0084553A">
        <w:rPr>
          <w:rFonts w:ascii="Verdana" w:hAnsi="Verdana" w:cs="Segoe UI"/>
          <w:sz w:val="20"/>
          <w:szCs w:val="20"/>
          <w:lang w:val="en-GB"/>
        </w:rPr>
        <w:t>, as we find the obligations imposed on PSPs and IPSPs to be unclear in this paragraph.</w:t>
      </w:r>
    </w:p>
    <w:p w14:paraId="132FA1E5" w14:textId="77777777" w:rsidR="00F758A5" w:rsidRPr="0084553A" w:rsidRDefault="00F758A5" w:rsidP="008B13D8">
      <w:pPr>
        <w:spacing w:after="0"/>
        <w:jc w:val="both"/>
        <w:rPr>
          <w:rFonts w:ascii="Verdana" w:hAnsi="Verdana" w:cs="Segoe UI"/>
          <w:sz w:val="20"/>
          <w:szCs w:val="20"/>
          <w:lang w:val="en-GB"/>
        </w:rPr>
      </w:pPr>
    </w:p>
    <w:p w14:paraId="2FDD0F0C" w14:textId="77777777" w:rsidR="008B13D8" w:rsidRPr="0084553A" w:rsidRDefault="008B13D8" w:rsidP="008B13D8">
      <w:pPr>
        <w:spacing w:after="0"/>
        <w:jc w:val="both"/>
        <w:rPr>
          <w:rFonts w:ascii="Verdana" w:hAnsi="Verdana" w:cs="Segoe UI"/>
          <w:sz w:val="20"/>
          <w:szCs w:val="20"/>
          <w:lang w:val="en-GB"/>
        </w:rPr>
      </w:pPr>
    </w:p>
    <w:p w14:paraId="182DB7B0" w14:textId="1E8EEBC4" w:rsidR="00C97591" w:rsidRPr="0084553A" w:rsidRDefault="00C97591" w:rsidP="008B13D8">
      <w:pPr>
        <w:spacing w:after="0"/>
        <w:jc w:val="both"/>
        <w:rPr>
          <w:rFonts w:ascii="Verdana" w:hAnsi="Verdana" w:cs="Segoe UI"/>
          <w:b/>
          <w:bCs/>
          <w:sz w:val="20"/>
          <w:szCs w:val="20"/>
          <w:lang w:val="en-GB"/>
        </w:rPr>
      </w:pPr>
      <w:r w:rsidRPr="0084553A">
        <w:rPr>
          <w:rFonts w:ascii="Verdana" w:hAnsi="Verdana" w:cs="Segoe UI"/>
          <w:b/>
          <w:bCs/>
          <w:sz w:val="20"/>
          <w:szCs w:val="20"/>
          <w:lang w:val="en-GB"/>
        </w:rPr>
        <w:t>3.3. Batch transfers (Article 6(1), Article 7(2) (c), Article 15, Article 16(1), Article 20 of Regulation (EU) 2023/1113)</w:t>
      </w:r>
    </w:p>
    <w:p w14:paraId="73C56726" w14:textId="77777777" w:rsidR="008B13D8" w:rsidRPr="0084553A" w:rsidRDefault="008B13D8" w:rsidP="008B13D8">
      <w:pPr>
        <w:spacing w:after="0"/>
        <w:jc w:val="both"/>
        <w:rPr>
          <w:rFonts w:ascii="Verdana" w:hAnsi="Verdana" w:cs="Segoe UI"/>
          <w:b/>
          <w:bCs/>
          <w:sz w:val="20"/>
          <w:szCs w:val="20"/>
          <w:lang w:val="en-GB"/>
        </w:rPr>
      </w:pPr>
    </w:p>
    <w:p w14:paraId="22809E34" w14:textId="161C71AF" w:rsidR="004E1825" w:rsidRPr="0084553A" w:rsidRDefault="00FD3D4A" w:rsidP="008B13D8">
      <w:pPr>
        <w:spacing w:after="0"/>
        <w:jc w:val="both"/>
        <w:rPr>
          <w:rFonts w:ascii="Verdana" w:hAnsi="Verdana" w:cs="Segoe UI"/>
          <w:b/>
          <w:bCs/>
          <w:sz w:val="20"/>
          <w:szCs w:val="20"/>
          <w:lang w:val="en-GB"/>
        </w:rPr>
      </w:pPr>
      <w:r w:rsidRPr="0084553A">
        <w:rPr>
          <w:rFonts w:ascii="Verdana" w:hAnsi="Verdana" w:cs="Segoe UI"/>
          <w:b/>
          <w:bCs/>
          <w:sz w:val="20"/>
          <w:szCs w:val="20"/>
          <w:lang w:val="en-GB"/>
        </w:rPr>
        <w:t>Paragraph 19.</w:t>
      </w:r>
    </w:p>
    <w:p w14:paraId="298E2ED2" w14:textId="77777777" w:rsidR="008B13D8" w:rsidRPr="0084553A" w:rsidRDefault="008B13D8" w:rsidP="008B13D8">
      <w:pPr>
        <w:spacing w:after="0"/>
        <w:jc w:val="both"/>
        <w:rPr>
          <w:rFonts w:ascii="Verdana" w:hAnsi="Verdana" w:cs="Segoe UI"/>
          <w:b/>
          <w:bCs/>
          <w:sz w:val="20"/>
          <w:szCs w:val="20"/>
          <w:lang w:val="en-GB"/>
        </w:rPr>
      </w:pPr>
    </w:p>
    <w:p w14:paraId="6F23FF4B" w14:textId="49C88D6B" w:rsidR="004E1825" w:rsidRDefault="004E1825" w:rsidP="008B13D8">
      <w:pPr>
        <w:spacing w:after="0"/>
        <w:jc w:val="both"/>
        <w:rPr>
          <w:rFonts w:ascii="Verdana" w:hAnsi="Verdana" w:cs="Segoe UI"/>
          <w:sz w:val="20"/>
          <w:szCs w:val="20"/>
          <w:lang w:val="en-GB"/>
        </w:rPr>
      </w:pPr>
      <w:r w:rsidRPr="0084553A">
        <w:rPr>
          <w:rFonts w:ascii="Verdana" w:hAnsi="Verdana" w:cs="Segoe UI"/>
          <w:sz w:val="20"/>
          <w:szCs w:val="20"/>
          <w:lang w:val="en-GB"/>
        </w:rPr>
        <w:t xml:space="preserve">The paragraph introduces an "alternative channel mechanism," </w:t>
      </w:r>
      <w:r w:rsidR="004E4D0C" w:rsidRPr="0084553A">
        <w:rPr>
          <w:rFonts w:ascii="Verdana" w:hAnsi="Verdana" w:cs="Segoe UI"/>
          <w:sz w:val="20"/>
          <w:szCs w:val="20"/>
          <w:lang w:val="en-GB"/>
        </w:rPr>
        <w:t xml:space="preserve">which is </w:t>
      </w:r>
      <w:r w:rsidRPr="0084553A">
        <w:rPr>
          <w:rFonts w:ascii="Verdana" w:hAnsi="Verdana" w:cs="Segoe UI"/>
          <w:sz w:val="20"/>
          <w:szCs w:val="20"/>
          <w:lang w:val="en-GB"/>
        </w:rPr>
        <w:t xml:space="preserve">a new requirement for PSPs. Developing new technical mechanisms is expected to be costly and time-intensive, especially </w:t>
      </w:r>
      <w:r w:rsidR="005C6B97" w:rsidRPr="0084553A">
        <w:rPr>
          <w:rFonts w:ascii="Verdana" w:hAnsi="Verdana" w:cs="Segoe UI"/>
          <w:sz w:val="20"/>
          <w:szCs w:val="20"/>
          <w:lang w:val="en-GB"/>
        </w:rPr>
        <w:t>when there is no specification for the PSPs regarding the required technical standards</w:t>
      </w:r>
      <w:r w:rsidRPr="0084553A">
        <w:rPr>
          <w:rFonts w:ascii="Verdana" w:hAnsi="Verdana" w:cs="Segoe UI"/>
          <w:sz w:val="20"/>
          <w:szCs w:val="20"/>
          <w:lang w:val="en-GB"/>
        </w:rPr>
        <w:t xml:space="preserve">. This lack of specificity may result in varied solutions across the EU, potentially impeding payment flows, particularly </w:t>
      </w:r>
      <w:r w:rsidR="00AF4B3D" w:rsidRPr="0084553A">
        <w:rPr>
          <w:rFonts w:ascii="Verdana" w:hAnsi="Verdana" w:cs="Segoe UI"/>
          <w:sz w:val="20"/>
          <w:szCs w:val="20"/>
          <w:lang w:val="en-GB"/>
        </w:rPr>
        <w:t>in relation with</w:t>
      </w:r>
      <w:r w:rsidRPr="0084553A">
        <w:rPr>
          <w:rFonts w:ascii="Verdana" w:hAnsi="Verdana" w:cs="Segoe UI"/>
          <w:sz w:val="20"/>
          <w:szCs w:val="20"/>
          <w:lang w:val="en-GB"/>
        </w:rPr>
        <w:t xml:space="preserve"> the SEPA Instant Payments Regulation.</w:t>
      </w:r>
      <w:r w:rsidR="005C6B97" w:rsidRPr="0084553A">
        <w:rPr>
          <w:rFonts w:ascii="Verdana" w:hAnsi="Verdana" w:cs="Segoe UI"/>
          <w:sz w:val="20"/>
          <w:szCs w:val="20"/>
          <w:lang w:val="en-GB"/>
        </w:rPr>
        <w:t xml:space="preserve"> </w:t>
      </w:r>
    </w:p>
    <w:p w14:paraId="02C8B12E" w14:textId="77777777" w:rsidR="00D43E53" w:rsidRDefault="00D43E53" w:rsidP="008B13D8">
      <w:pPr>
        <w:spacing w:after="0"/>
        <w:jc w:val="both"/>
        <w:rPr>
          <w:rFonts w:ascii="Verdana" w:hAnsi="Verdana" w:cs="Segoe UI"/>
          <w:sz w:val="20"/>
          <w:szCs w:val="20"/>
          <w:lang w:val="en-GB"/>
        </w:rPr>
      </w:pPr>
    </w:p>
    <w:p w14:paraId="40EB97AA" w14:textId="740DC6F9" w:rsidR="00D43E53" w:rsidRPr="0084553A" w:rsidRDefault="001D2517" w:rsidP="008B13D8">
      <w:pPr>
        <w:spacing w:after="0"/>
        <w:jc w:val="both"/>
        <w:rPr>
          <w:rFonts w:ascii="Verdana" w:hAnsi="Verdana" w:cs="Segoe UI"/>
          <w:sz w:val="20"/>
          <w:szCs w:val="20"/>
          <w:lang w:val="en-GB"/>
        </w:rPr>
      </w:pPr>
      <w:r w:rsidRPr="008B55C0">
        <w:rPr>
          <w:rFonts w:ascii="Verdana" w:hAnsi="Verdana" w:cs="Segoe UI"/>
          <w:sz w:val="20"/>
          <w:szCs w:val="20"/>
          <w:lang w:val="en-GB"/>
        </w:rPr>
        <w:t>Additionally,</w:t>
      </w:r>
      <w:r w:rsidR="008B55C0">
        <w:rPr>
          <w:rFonts w:ascii="Verdana" w:hAnsi="Verdana" w:cs="Segoe UI"/>
          <w:sz w:val="20"/>
          <w:szCs w:val="20"/>
          <w:lang w:val="en-GB"/>
        </w:rPr>
        <w:t xml:space="preserve"> </w:t>
      </w:r>
      <w:r w:rsidR="00EA27C2" w:rsidRPr="008B55C0">
        <w:rPr>
          <w:rFonts w:ascii="Verdana" w:hAnsi="Verdana" w:cs="Segoe UI"/>
          <w:sz w:val="20"/>
          <w:szCs w:val="20"/>
          <w:lang w:val="en-GB"/>
        </w:rPr>
        <w:t xml:space="preserve">we think that the draft guideline misses </w:t>
      </w:r>
      <w:r w:rsidR="00D43E53" w:rsidRPr="008B55C0">
        <w:rPr>
          <w:rFonts w:ascii="Verdana" w:hAnsi="Verdana" w:cs="Segoe UI"/>
          <w:sz w:val="20"/>
          <w:szCs w:val="20"/>
          <w:lang w:val="en-GB"/>
        </w:rPr>
        <w:t>the view of the Card Business. Visa and Mastercard do not support such alternative mechanisms, thus making such requirement for card issuing PSP's impossible to comply with.</w:t>
      </w:r>
    </w:p>
    <w:p w14:paraId="06F69B39" w14:textId="77777777" w:rsidR="0069135F" w:rsidRPr="0084553A" w:rsidRDefault="0069135F" w:rsidP="008B13D8">
      <w:pPr>
        <w:spacing w:after="0"/>
        <w:jc w:val="both"/>
        <w:rPr>
          <w:rFonts w:ascii="Verdana" w:hAnsi="Verdana" w:cs="Segoe UI"/>
          <w:sz w:val="20"/>
          <w:szCs w:val="20"/>
          <w:lang w:val="en-GB"/>
        </w:rPr>
      </w:pPr>
    </w:p>
    <w:p w14:paraId="20D43EC9" w14:textId="4428F80E" w:rsidR="00663408" w:rsidRPr="0084553A" w:rsidRDefault="00663408" w:rsidP="008B13D8">
      <w:pPr>
        <w:spacing w:after="0"/>
        <w:jc w:val="both"/>
        <w:rPr>
          <w:rFonts w:ascii="Verdana" w:hAnsi="Verdana" w:cs="Segoe UI"/>
          <w:sz w:val="20"/>
          <w:szCs w:val="20"/>
          <w:lang w:val="en-GB"/>
        </w:rPr>
      </w:pPr>
      <w:r w:rsidRPr="0084553A">
        <w:rPr>
          <w:rFonts w:ascii="Verdana" w:hAnsi="Verdana" w:cs="Segoe UI"/>
          <w:sz w:val="20"/>
          <w:szCs w:val="20"/>
          <w:lang w:val="en-GB"/>
        </w:rPr>
        <w:t xml:space="preserve">PSPs commonly rely on SWIFT messages to seek additional information about payments. This method is widely used, is considered safe and secure, and aligns with </w:t>
      </w:r>
      <w:r w:rsidR="0069135F" w:rsidRPr="0084553A">
        <w:rPr>
          <w:rFonts w:ascii="Verdana" w:hAnsi="Verdana" w:cs="Segoe UI"/>
          <w:sz w:val="20"/>
          <w:szCs w:val="20"/>
          <w:lang w:val="en-GB"/>
        </w:rPr>
        <w:t>General Data Protection Regulation (</w:t>
      </w:r>
      <w:r w:rsidRPr="0084553A">
        <w:rPr>
          <w:rFonts w:ascii="Verdana" w:hAnsi="Verdana" w:cs="Segoe UI"/>
          <w:sz w:val="20"/>
          <w:szCs w:val="20"/>
          <w:lang w:val="en-GB"/>
        </w:rPr>
        <w:t>GDPR</w:t>
      </w:r>
      <w:r w:rsidR="0069135F" w:rsidRPr="0084553A">
        <w:rPr>
          <w:rFonts w:ascii="Verdana" w:hAnsi="Verdana" w:cs="Segoe UI"/>
          <w:sz w:val="20"/>
          <w:szCs w:val="20"/>
          <w:lang w:val="en-GB"/>
        </w:rPr>
        <w:t>)</w:t>
      </w:r>
      <w:r w:rsidRPr="0084553A">
        <w:rPr>
          <w:rFonts w:ascii="Verdana" w:hAnsi="Verdana" w:cs="Segoe UI"/>
          <w:sz w:val="20"/>
          <w:szCs w:val="20"/>
          <w:lang w:val="en-GB"/>
        </w:rPr>
        <w:t xml:space="preserve"> </w:t>
      </w:r>
      <w:r w:rsidR="00472F8F" w:rsidRPr="0084553A">
        <w:rPr>
          <w:rFonts w:ascii="Verdana" w:hAnsi="Verdana" w:cs="Segoe UI"/>
          <w:sz w:val="20"/>
          <w:szCs w:val="20"/>
          <w:lang w:val="en-GB"/>
        </w:rPr>
        <w:t>requirements</w:t>
      </w:r>
      <w:r w:rsidRPr="0084553A">
        <w:rPr>
          <w:rFonts w:ascii="Verdana" w:hAnsi="Verdana" w:cs="Segoe UI"/>
          <w:sz w:val="20"/>
          <w:szCs w:val="20"/>
          <w:lang w:val="en-GB"/>
        </w:rPr>
        <w:t xml:space="preserve">. It is recommended that this method be the exclusive </w:t>
      </w:r>
      <w:r w:rsidR="00472F8F" w:rsidRPr="0084553A">
        <w:rPr>
          <w:rFonts w:ascii="Verdana" w:hAnsi="Verdana" w:cs="Segoe UI"/>
          <w:sz w:val="20"/>
          <w:szCs w:val="20"/>
          <w:lang w:val="en-GB"/>
        </w:rPr>
        <w:t>method</w:t>
      </w:r>
      <w:r w:rsidRPr="0084553A">
        <w:rPr>
          <w:rFonts w:ascii="Verdana" w:hAnsi="Verdana" w:cs="Segoe UI"/>
          <w:sz w:val="20"/>
          <w:szCs w:val="20"/>
          <w:lang w:val="en-GB"/>
        </w:rPr>
        <w:t xml:space="preserve"> allowed in the future</w:t>
      </w:r>
      <w:r w:rsidR="00FF7130" w:rsidRPr="0084553A">
        <w:rPr>
          <w:rFonts w:ascii="Verdana" w:hAnsi="Verdana" w:cs="Segoe UI"/>
          <w:sz w:val="20"/>
          <w:szCs w:val="20"/>
          <w:lang w:val="en-GB"/>
        </w:rPr>
        <w:t>.</w:t>
      </w:r>
    </w:p>
    <w:p w14:paraId="4686D050" w14:textId="77777777" w:rsidR="0069135F" w:rsidRPr="0084553A" w:rsidRDefault="0069135F" w:rsidP="008B13D8">
      <w:pPr>
        <w:spacing w:after="0"/>
        <w:jc w:val="both"/>
        <w:rPr>
          <w:rFonts w:ascii="Verdana" w:hAnsi="Verdana" w:cs="Segoe UI"/>
          <w:sz w:val="20"/>
          <w:szCs w:val="20"/>
          <w:lang w:val="en-GB"/>
        </w:rPr>
      </w:pPr>
    </w:p>
    <w:p w14:paraId="188E1B4E" w14:textId="595490B3" w:rsidR="000F240F" w:rsidRPr="0084553A" w:rsidRDefault="009E7677" w:rsidP="008B13D8">
      <w:pPr>
        <w:spacing w:after="0"/>
        <w:jc w:val="both"/>
        <w:rPr>
          <w:rFonts w:ascii="Verdana" w:hAnsi="Verdana" w:cs="Segoe UI"/>
          <w:sz w:val="20"/>
          <w:szCs w:val="20"/>
          <w:lang w:val="en-GB"/>
        </w:rPr>
      </w:pPr>
      <w:r w:rsidRPr="0084553A">
        <w:rPr>
          <w:rFonts w:ascii="Verdana" w:hAnsi="Verdana" w:cs="Segoe UI"/>
          <w:sz w:val="20"/>
          <w:szCs w:val="20"/>
          <w:lang w:val="en-GB"/>
        </w:rPr>
        <w:t>Certain</w:t>
      </w:r>
      <w:r w:rsidR="000F240F" w:rsidRPr="0084553A">
        <w:rPr>
          <w:rFonts w:ascii="Verdana" w:hAnsi="Verdana" w:cs="Segoe UI"/>
          <w:sz w:val="20"/>
          <w:szCs w:val="20"/>
          <w:lang w:val="en-GB"/>
        </w:rPr>
        <w:t xml:space="preserve"> payment institutions’ business logic is based</w:t>
      </w:r>
      <w:r w:rsidR="0015250E" w:rsidRPr="0084553A">
        <w:rPr>
          <w:rFonts w:ascii="Verdana" w:hAnsi="Verdana" w:cs="Segoe UI"/>
          <w:sz w:val="20"/>
          <w:szCs w:val="20"/>
          <w:lang w:val="en-GB"/>
        </w:rPr>
        <w:t xml:space="preserve"> </w:t>
      </w:r>
      <w:r w:rsidR="003D030D" w:rsidRPr="0084553A">
        <w:rPr>
          <w:rFonts w:ascii="Verdana" w:hAnsi="Verdana" w:cs="Segoe UI"/>
          <w:sz w:val="20"/>
          <w:szCs w:val="20"/>
          <w:lang w:val="en-GB"/>
        </w:rPr>
        <w:t xml:space="preserve">to collect and forward payments to banks in batches. </w:t>
      </w:r>
      <w:r w:rsidR="003702E7" w:rsidRPr="0084553A">
        <w:rPr>
          <w:rFonts w:ascii="Verdana" w:hAnsi="Verdana" w:cs="Segoe UI"/>
          <w:sz w:val="20"/>
          <w:szCs w:val="20"/>
          <w:lang w:val="en-GB"/>
        </w:rPr>
        <w:t>The guideline provides too much room for interpretation regarding how the requirement for information sharing with banks should be met in the context of batch payments.</w:t>
      </w:r>
    </w:p>
    <w:p w14:paraId="6FA2A2FF" w14:textId="77777777" w:rsidR="00971AE7" w:rsidRPr="0084553A" w:rsidRDefault="00971AE7" w:rsidP="008B13D8">
      <w:pPr>
        <w:spacing w:after="0"/>
        <w:jc w:val="both"/>
        <w:rPr>
          <w:rFonts w:ascii="Verdana" w:hAnsi="Verdana" w:cs="Segoe UI"/>
          <w:sz w:val="20"/>
          <w:szCs w:val="20"/>
          <w:lang w:val="en-GB"/>
        </w:rPr>
      </w:pPr>
    </w:p>
    <w:p w14:paraId="5C68760E" w14:textId="77777777" w:rsidR="008B13D8" w:rsidRPr="0084553A" w:rsidRDefault="008B13D8" w:rsidP="008B13D8">
      <w:pPr>
        <w:spacing w:after="0"/>
        <w:jc w:val="both"/>
        <w:rPr>
          <w:rFonts w:ascii="Verdana" w:hAnsi="Verdana" w:cs="Segoe UI"/>
          <w:sz w:val="20"/>
          <w:szCs w:val="20"/>
          <w:lang w:val="en-GB"/>
        </w:rPr>
      </w:pPr>
    </w:p>
    <w:p w14:paraId="115A85B4" w14:textId="6620062A" w:rsidR="008651AF" w:rsidRPr="0084553A" w:rsidRDefault="008651AF" w:rsidP="008B13D8">
      <w:pPr>
        <w:spacing w:after="0"/>
        <w:jc w:val="both"/>
        <w:rPr>
          <w:rFonts w:ascii="Verdana" w:hAnsi="Verdana" w:cs="Segoe UI"/>
          <w:sz w:val="20"/>
          <w:szCs w:val="20"/>
          <w:u w:val="single"/>
          <w:lang w:val="en-GB"/>
        </w:rPr>
      </w:pPr>
      <w:r w:rsidRPr="0084553A">
        <w:rPr>
          <w:rFonts w:ascii="Verdana" w:hAnsi="Verdana" w:cs="Segoe UI"/>
          <w:sz w:val="20"/>
          <w:szCs w:val="20"/>
          <w:u w:val="single"/>
          <w:lang w:val="en-GB"/>
        </w:rPr>
        <w:t>4. Information to be transmitted with the transfer (Article 4 and Article 14 of Regulation (EU) 2023/1113)</w:t>
      </w:r>
    </w:p>
    <w:p w14:paraId="15EDC85B" w14:textId="77777777" w:rsidR="008B13D8" w:rsidRPr="0084553A" w:rsidRDefault="008B13D8" w:rsidP="008B13D8">
      <w:pPr>
        <w:spacing w:after="0"/>
        <w:jc w:val="both"/>
        <w:rPr>
          <w:rFonts w:ascii="Verdana" w:hAnsi="Verdana" w:cs="Segoe UI"/>
          <w:sz w:val="20"/>
          <w:szCs w:val="20"/>
          <w:u w:val="single"/>
          <w:lang w:val="en-GB"/>
        </w:rPr>
      </w:pPr>
    </w:p>
    <w:p w14:paraId="5911FB10" w14:textId="785CBD7E" w:rsidR="003B61D1" w:rsidRPr="0084553A" w:rsidRDefault="003B61D1" w:rsidP="008B13D8">
      <w:pPr>
        <w:spacing w:after="0"/>
        <w:jc w:val="both"/>
        <w:rPr>
          <w:rFonts w:ascii="Verdana" w:hAnsi="Verdana" w:cs="Segoe UI"/>
          <w:b/>
          <w:bCs/>
          <w:sz w:val="20"/>
          <w:szCs w:val="20"/>
          <w:lang w:val="en-GB"/>
        </w:rPr>
      </w:pPr>
      <w:r w:rsidRPr="0084553A">
        <w:rPr>
          <w:rFonts w:ascii="Verdana" w:hAnsi="Verdana" w:cs="Segoe UI"/>
          <w:b/>
          <w:bCs/>
          <w:sz w:val="20"/>
          <w:szCs w:val="20"/>
          <w:lang w:val="en-GB"/>
        </w:rPr>
        <w:t>Paragraph 20.</w:t>
      </w:r>
    </w:p>
    <w:p w14:paraId="62337D29" w14:textId="77777777" w:rsidR="008B13D8" w:rsidRPr="0084553A" w:rsidRDefault="008B13D8" w:rsidP="008B13D8">
      <w:pPr>
        <w:spacing w:after="0"/>
        <w:jc w:val="both"/>
        <w:rPr>
          <w:rFonts w:ascii="Verdana" w:hAnsi="Verdana" w:cs="Segoe UI"/>
          <w:b/>
          <w:bCs/>
          <w:sz w:val="20"/>
          <w:szCs w:val="20"/>
          <w:lang w:val="en-GB"/>
        </w:rPr>
      </w:pPr>
    </w:p>
    <w:p w14:paraId="51742FC8" w14:textId="1369AF87" w:rsidR="00E44E69" w:rsidRDefault="00E44E69"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Generally </w:t>
      </w:r>
      <w:r w:rsidR="00F9597B" w:rsidRPr="0084553A">
        <w:rPr>
          <w:rFonts w:ascii="Verdana" w:eastAsia="Times New Roman" w:hAnsi="Verdana" w:cs="Segoe UI"/>
          <w:sz w:val="20"/>
          <w:szCs w:val="20"/>
          <w:lang w:val="en-GB"/>
        </w:rPr>
        <w:t>concerning</w:t>
      </w:r>
      <w:r w:rsidRPr="0084553A">
        <w:rPr>
          <w:rFonts w:ascii="Verdana" w:eastAsia="Times New Roman" w:hAnsi="Verdana" w:cs="Segoe UI"/>
          <w:sz w:val="20"/>
          <w:szCs w:val="20"/>
          <w:lang w:val="en-GB"/>
        </w:rPr>
        <w:t xml:space="preserve"> paragraph 20, we believe that the notion of “error” could be specified because it seems too broad and could include situations that are not relevant to systematically report the errors</w:t>
      </w:r>
      <w:r w:rsidR="00F9597B" w:rsidRPr="0084553A">
        <w:rPr>
          <w:rFonts w:ascii="Verdana" w:eastAsia="Times New Roman" w:hAnsi="Verdana" w:cs="Segoe UI"/>
          <w:sz w:val="20"/>
          <w:szCs w:val="20"/>
          <w:lang w:val="en-GB"/>
        </w:rPr>
        <w:t xml:space="preserve">. This </w:t>
      </w:r>
      <w:r w:rsidRPr="0084553A">
        <w:rPr>
          <w:rFonts w:ascii="Verdana" w:eastAsia="Times New Roman" w:hAnsi="Verdana" w:cs="Segoe UI"/>
          <w:sz w:val="20"/>
          <w:szCs w:val="20"/>
          <w:lang w:val="en-GB"/>
        </w:rPr>
        <w:t>amendment could lead to an excessive burden on PSP</w:t>
      </w:r>
      <w:r w:rsidR="00F9597B" w:rsidRPr="0084553A">
        <w:rPr>
          <w:rFonts w:ascii="Verdana" w:eastAsia="Times New Roman" w:hAnsi="Verdana" w:cs="Segoe UI"/>
          <w:sz w:val="20"/>
          <w:szCs w:val="20"/>
          <w:lang w:val="en-GB"/>
        </w:rPr>
        <w:t>s</w:t>
      </w:r>
      <w:r w:rsidRPr="0084553A">
        <w:rPr>
          <w:rFonts w:ascii="Verdana" w:eastAsia="Times New Roman" w:hAnsi="Verdana" w:cs="Segoe UI"/>
          <w:sz w:val="20"/>
          <w:szCs w:val="20"/>
          <w:lang w:val="en-GB"/>
        </w:rPr>
        <w:t xml:space="preserve"> and could hamper the straight-through processing of transfers of funds, as required under recommendation 16. We think it could also be applied on a risk-based approach and allow the institutions</w:t>
      </w:r>
      <w:r w:rsidR="00716D02" w:rsidRPr="0084553A">
        <w:rPr>
          <w:rFonts w:ascii="Verdana" w:eastAsia="Times New Roman" w:hAnsi="Verdana" w:cs="Segoe UI"/>
          <w:sz w:val="20"/>
          <w:szCs w:val="20"/>
          <w:lang w:val="en-GB"/>
        </w:rPr>
        <w:t xml:space="preserve"> to</w:t>
      </w:r>
      <w:r w:rsidRPr="0084553A">
        <w:rPr>
          <w:rFonts w:ascii="Verdana" w:eastAsia="Times New Roman" w:hAnsi="Verdana" w:cs="Segoe UI"/>
          <w:sz w:val="20"/>
          <w:szCs w:val="20"/>
          <w:lang w:val="en-GB"/>
        </w:rPr>
        <w:t xml:space="preserve"> define their own criteria, including the typologies of errors </w:t>
      </w:r>
      <w:r w:rsidR="00716D02" w:rsidRPr="0084553A">
        <w:rPr>
          <w:rFonts w:ascii="Verdana" w:eastAsia="Times New Roman" w:hAnsi="Verdana" w:cs="Segoe UI"/>
          <w:sz w:val="20"/>
          <w:szCs w:val="20"/>
          <w:lang w:val="en-GB"/>
        </w:rPr>
        <w:t>that</w:t>
      </w:r>
      <w:r w:rsidRPr="0084553A">
        <w:rPr>
          <w:rFonts w:ascii="Verdana" w:eastAsia="Times New Roman" w:hAnsi="Verdana" w:cs="Segoe UI"/>
          <w:sz w:val="20"/>
          <w:szCs w:val="20"/>
          <w:lang w:val="en-GB"/>
        </w:rPr>
        <w:t xml:space="preserve"> are relevant to report.</w:t>
      </w:r>
    </w:p>
    <w:p w14:paraId="4B042FDA" w14:textId="77777777" w:rsidR="00D43E53" w:rsidRDefault="00D43E53" w:rsidP="008B13D8">
      <w:pPr>
        <w:spacing w:after="0" w:line="240" w:lineRule="auto"/>
        <w:jc w:val="both"/>
        <w:textAlignment w:val="baseline"/>
        <w:rPr>
          <w:rFonts w:ascii="Verdana" w:eastAsia="Times New Roman" w:hAnsi="Verdana" w:cs="Segoe UI"/>
          <w:sz w:val="20"/>
          <w:szCs w:val="20"/>
          <w:lang w:val="en-GB"/>
        </w:rPr>
      </w:pPr>
    </w:p>
    <w:p w14:paraId="4B28F93E" w14:textId="78717C9C" w:rsidR="00D43E53" w:rsidRPr="0084553A" w:rsidRDefault="00D43E53" w:rsidP="008B13D8">
      <w:pPr>
        <w:spacing w:after="0" w:line="240" w:lineRule="auto"/>
        <w:jc w:val="both"/>
        <w:textAlignment w:val="baseline"/>
        <w:rPr>
          <w:rFonts w:ascii="Verdana" w:eastAsia="Times New Roman" w:hAnsi="Verdana" w:cs="Segoe UI"/>
          <w:sz w:val="20"/>
          <w:szCs w:val="20"/>
          <w:lang w:val="en-GB"/>
        </w:rPr>
      </w:pPr>
      <w:r w:rsidRPr="008B55C0">
        <w:rPr>
          <w:rFonts w:ascii="Verdana" w:eastAsia="Times New Roman" w:hAnsi="Verdana" w:cs="Segoe UI"/>
          <w:sz w:val="20"/>
          <w:szCs w:val="20"/>
          <w:lang w:val="en-GB"/>
        </w:rPr>
        <w:t>Such manual work or resubmission is not possible in Visa and Mastercard card payments as all decisions need to be made online. We fear that extra validations during card payment process will make unnecessary and serious harm to acceptance and affect people's everyday lives at POIs.</w:t>
      </w:r>
    </w:p>
    <w:p w14:paraId="23414E3B" w14:textId="77777777" w:rsidR="00E44E69" w:rsidRPr="0084553A" w:rsidRDefault="00E44E69" w:rsidP="008B13D8">
      <w:pPr>
        <w:spacing w:after="0" w:line="240" w:lineRule="auto"/>
        <w:jc w:val="both"/>
        <w:textAlignment w:val="baseline"/>
        <w:rPr>
          <w:rFonts w:ascii="Verdana" w:eastAsia="Times New Roman" w:hAnsi="Verdana" w:cs="Segoe UI"/>
          <w:sz w:val="20"/>
          <w:szCs w:val="20"/>
          <w:lang w:val="en-GB"/>
        </w:rPr>
      </w:pPr>
    </w:p>
    <w:p w14:paraId="689899C7" w14:textId="59929362" w:rsidR="0018074D" w:rsidRPr="0084553A" w:rsidRDefault="00E44E69"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Additionally</w:t>
      </w:r>
      <w:r w:rsidR="00925EB8" w:rsidRPr="0084553A">
        <w:rPr>
          <w:rFonts w:ascii="Verdana" w:eastAsia="Times New Roman" w:hAnsi="Verdana" w:cs="Segoe UI"/>
          <w:sz w:val="20"/>
          <w:szCs w:val="20"/>
          <w:lang w:val="en-GB"/>
        </w:rPr>
        <w:t xml:space="preserve">, we wonder how </w:t>
      </w:r>
      <w:r w:rsidR="00716D02" w:rsidRPr="0084553A">
        <w:rPr>
          <w:rFonts w:ascii="Verdana" w:eastAsia="Times New Roman" w:hAnsi="Verdana" w:cs="Segoe UI"/>
          <w:sz w:val="20"/>
          <w:szCs w:val="20"/>
          <w:lang w:val="en-GB"/>
        </w:rPr>
        <w:t>a</w:t>
      </w:r>
      <w:r w:rsidR="00987DBC" w:rsidRPr="0084553A">
        <w:rPr>
          <w:rFonts w:ascii="Verdana" w:eastAsia="Times New Roman" w:hAnsi="Verdana" w:cs="Segoe UI"/>
          <w:sz w:val="20"/>
          <w:szCs w:val="20"/>
          <w:lang w:val="en-GB"/>
        </w:rPr>
        <w:t xml:space="preserve"> PSP</w:t>
      </w:r>
      <w:r w:rsidR="00716D02" w:rsidRPr="0084553A">
        <w:rPr>
          <w:rFonts w:ascii="Verdana" w:eastAsia="Times New Roman" w:hAnsi="Verdana" w:cs="Segoe UI"/>
          <w:sz w:val="20"/>
          <w:szCs w:val="20"/>
          <w:lang w:val="en-GB"/>
        </w:rPr>
        <w:t xml:space="preserve"> could</w:t>
      </w:r>
      <w:r w:rsidR="00987DBC" w:rsidRPr="0084553A">
        <w:rPr>
          <w:rFonts w:ascii="Verdana" w:eastAsia="Times New Roman" w:hAnsi="Verdana" w:cs="Segoe UI"/>
          <w:sz w:val="20"/>
          <w:szCs w:val="20"/>
          <w:lang w:val="en-GB"/>
        </w:rPr>
        <w:t xml:space="preserve"> inform others in the payment chain</w:t>
      </w:r>
      <w:r w:rsidR="0025266B" w:rsidRPr="0084553A">
        <w:rPr>
          <w:rFonts w:ascii="Verdana" w:eastAsia="Times New Roman" w:hAnsi="Verdana" w:cs="Segoe UI"/>
          <w:sz w:val="20"/>
          <w:szCs w:val="20"/>
          <w:lang w:val="en-GB"/>
        </w:rPr>
        <w:t xml:space="preserve"> </w:t>
      </w:r>
      <w:r w:rsidR="00987DBC" w:rsidRPr="0084553A">
        <w:rPr>
          <w:rFonts w:ascii="Verdana" w:eastAsia="Times New Roman" w:hAnsi="Verdana" w:cs="Segoe UI"/>
          <w:sz w:val="20"/>
          <w:szCs w:val="20"/>
          <w:lang w:val="en-GB"/>
        </w:rPr>
        <w:t>if the SWIFT message does not reach all the participants of th</w:t>
      </w:r>
      <w:r w:rsidR="00383343" w:rsidRPr="0084553A">
        <w:rPr>
          <w:rFonts w:ascii="Verdana" w:eastAsia="Times New Roman" w:hAnsi="Verdana" w:cs="Segoe UI"/>
          <w:sz w:val="20"/>
          <w:szCs w:val="20"/>
          <w:lang w:val="en-GB"/>
        </w:rPr>
        <w:t>is</w:t>
      </w:r>
      <w:r w:rsidR="00987DBC" w:rsidRPr="0084553A">
        <w:rPr>
          <w:rFonts w:ascii="Verdana" w:eastAsia="Times New Roman" w:hAnsi="Verdana" w:cs="Segoe UI"/>
          <w:sz w:val="20"/>
          <w:szCs w:val="20"/>
          <w:lang w:val="en-GB"/>
        </w:rPr>
        <w:t xml:space="preserve"> payment chain</w:t>
      </w:r>
      <w:r w:rsidR="0025266B" w:rsidRPr="0084553A">
        <w:rPr>
          <w:rFonts w:ascii="Verdana" w:eastAsia="Times New Roman" w:hAnsi="Verdana" w:cs="Segoe UI"/>
          <w:sz w:val="20"/>
          <w:szCs w:val="20"/>
          <w:lang w:val="en-GB"/>
        </w:rPr>
        <w:t xml:space="preserve">. </w:t>
      </w:r>
      <w:r w:rsidR="00987DBC" w:rsidRPr="0084553A">
        <w:rPr>
          <w:rFonts w:ascii="Verdana" w:eastAsia="Times New Roman" w:hAnsi="Verdana" w:cs="Segoe UI"/>
          <w:sz w:val="20"/>
          <w:szCs w:val="20"/>
          <w:lang w:val="en-GB"/>
        </w:rPr>
        <w:t xml:space="preserve">We kindly </w:t>
      </w:r>
      <w:r w:rsidR="0018074D" w:rsidRPr="0084553A">
        <w:rPr>
          <w:rFonts w:ascii="Verdana" w:eastAsia="Times New Roman" w:hAnsi="Verdana" w:cs="Segoe UI"/>
          <w:sz w:val="20"/>
          <w:szCs w:val="20"/>
          <w:lang w:val="en-GB"/>
        </w:rPr>
        <w:t>request</w:t>
      </w:r>
      <w:r w:rsidR="00987DBC" w:rsidRPr="0084553A">
        <w:rPr>
          <w:rFonts w:ascii="Verdana" w:eastAsia="Times New Roman" w:hAnsi="Verdana" w:cs="Segoe UI"/>
          <w:sz w:val="20"/>
          <w:szCs w:val="20"/>
          <w:lang w:val="en-GB"/>
        </w:rPr>
        <w:t xml:space="preserve"> clarification </w:t>
      </w:r>
      <w:r w:rsidR="00EB674B" w:rsidRPr="0084553A">
        <w:rPr>
          <w:rFonts w:ascii="Verdana" w:eastAsia="Times New Roman" w:hAnsi="Verdana" w:cs="Segoe UI"/>
          <w:sz w:val="20"/>
          <w:szCs w:val="20"/>
          <w:lang w:val="en-GB"/>
        </w:rPr>
        <w:t>on</w:t>
      </w:r>
      <w:r w:rsidR="00987DBC" w:rsidRPr="0084553A">
        <w:rPr>
          <w:rFonts w:ascii="Verdana" w:eastAsia="Times New Roman" w:hAnsi="Verdana" w:cs="Segoe UI"/>
          <w:sz w:val="20"/>
          <w:szCs w:val="20"/>
          <w:lang w:val="en-GB"/>
        </w:rPr>
        <w:t xml:space="preserve"> the necessary tasks to detect the missing or incomplete information when an error is detected after the payment has already</w:t>
      </w:r>
      <w:r w:rsidR="00EB674B" w:rsidRPr="0084553A">
        <w:rPr>
          <w:rFonts w:ascii="Verdana" w:eastAsia="Times New Roman" w:hAnsi="Verdana" w:cs="Segoe UI"/>
          <w:sz w:val="20"/>
          <w:szCs w:val="20"/>
          <w:lang w:val="en-GB"/>
        </w:rPr>
        <w:t xml:space="preserve"> been processed. We would like to understand what PSPs actions could be considered sufficient.</w:t>
      </w:r>
    </w:p>
    <w:p w14:paraId="3293C949" w14:textId="77777777" w:rsidR="0018074D" w:rsidRPr="0084553A" w:rsidRDefault="0018074D" w:rsidP="008B13D8">
      <w:pPr>
        <w:spacing w:after="0" w:line="240" w:lineRule="auto"/>
        <w:jc w:val="both"/>
        <w:textAlignment w:val="baseline"/>
        <w:rPr>
          <w:rFonts w:ascii="Verdana" w:eastAsia="Times New Roman" w:hAnsi="Verdana" w:cs="Segoe UI"/>
          <w:sz w:val="20"/>
          <w:szCs w:val="20"/>
          <w:lang w:val="en-GB"/>
        </w:rPr>
      </w:pPr>
    </w:p>
    <w:p w14:paraId="375F15AB" w14:textId="5EADC6A9" w:rsidR="00987DBC" w:rsidRPr="0084553A" w:rsidRDefault="00987DBC"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Typically, the validation of the payment, and the controls to detect the meaningless, missing or incomplete information is performed technically as part of the payment process. </w:t>
      </w:r>
      <w:r w:rsidR="00031D22" w:rsidRPr="0084553A">
        <w:rPr>
          <w:rFonts w:ascii="Verdana" w:eastAsia="Times New Roman" w:hAnsi="Verdana" w:cs="Segoe UI"/>
          <w:sz w:val="20"/>
          <w:szCs w:val="20"/>
          <w:lang w:val="en-GB"/>
        </w:rPr>
        <w:t>Therefore, there</w:t>
      </w:r>
      <w:r w:rsidRPr="0084553A">
        <w:rPr>
          <w:rFonts w:ascii="Verdana" w:eastAsia="Times New Roman" w:hAnsi="Verdana" w:cs="Segoe UI"/>
          <w:sz w:val="20"/>
          <w:szCs w:val="20"/>
          <w:lang w:val="en-GB"/>
        </w:rPr>
        <w:t xml:space="preserve"> is currently no easy way to make the detection (these tasks) separate of the overall technical payment flow. </w:t>
      </w:r>
    </w:p>
    <w:p w14:paraId="51372EEE" w14:textId="77777777" w:rsidR="00270C45" w:rsidRPr="0084553A" w:rsidRDefault="00270C45" w:rsidP="008B13D8">
      <w:pPr>
        <w:spacing w:after="0" w:line="240" w:lineRule="auto"/>
        <w:jc w:val="both"/>
        <w:textAlignment w:val="baseline"/>
        <w:rPr>
          <w:rFonts w:ascii="Verdana" w:eastAsia="Times New Roman" w:hAnsi="Verdana" w:cs="Segoe UI"/>
          <w:sz w:val="20"/>
          <w:szCs w:val="20"/>
          <w:lang w:val="en-GB"/>
        </w:rPr>
      </w:pPr>
    </w:p>
    <w:p w14:paraId="55CF132B" w14:textId="41943FD8" w:rsidR="00987DBC" w:rsidRPr="0084553A" w:rsidRDefault="00A217DD"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In practice, t</w:t>
      </w:r>
      <w:r w:rsidR="00987DBC" w:rsidRPr="0084553A">
        <w:rPr>
          <w:rFonts w:ascii="Verdana" w:eastAsia="Times New Roman" w:hAnsi="Verdana" w:cs="Segoe UI"/>
          <w:sz w:val="20"/>
          <w:szCs w:val="20"/>
          <w:lang w:val="en-GB"/>
        </w:rPr>
        <w:t xml:space="preserve">he only way to make the required detection after the payment </w:t>
      </w:r>
      <w:r w:rsidR="00943EA8" w:rsidRPr="0084553A">
        <w:rPr>
          <w:rFonts w:ascii="Verdana" w:eastAsia="Times New Roman" w:hAnsi="Verdana" w:cs="Segoe UI"/>
          <w:sz w:val="20"/>
          <w:szCs w:val="20"/>
          <w:lang w:val="en-GB"/>
        </w:rPr>
        <w:t xml:space="preserve">was processed </w:t>
      </w:r>
      <w:r w:rsidR="00987DBC" w:rsidRPr="0084553A">
        <w:rPr>
          <w:rFonts w:ascii="Verdana" w:eastAsia="Times New Roman" w:hAnsi="Verdana" w:cs="Segoe UI"/>
          <w:sz w:val="20"/>
          <w:szCs w:val="20"/>
          <w:lang w:val="en-GB"/>
        </w:rPr>
        <w:t>is</w:t>
      </w:r>
      <w:r w:rsidRPr="0084553A">
        <w:rPr>
          <w:rFonts w:ascii="Verdana" w:eastAsia="Times New Roman" w:hAnsi="Verdana" w:cs="Segoe UI"/>
          <w:sz w:val="20"/>
          <w:szCs w:val="20"/>
          <w:lang w:val="en-GB"/>
        </w:rPr>
        <w:t xml:space="preserve"> to</w:t>
      </w:r>
      <w:r w:rsidR="00987DBC" w:rsidRPr="0084553A">
        <w:rPr>
          <w:rFonts w:ascii="Verdana" w:eastAsia="Times New Roman" w:hAnsi="Verdana" w:cs="Segoe UI"/>
          <w:sz w:val="20"/>
          <w:szCs w:val="20"/>
          <w:lang w:val="en-GB"/>
        </w:rPr>
        <w:t xml:space="preserve"> </w:t>
      </w:r>
      <w:r w:rsidR="005445A1" w:rsidRPr="0084553A">
        <w:rPr>
          <w:rFonts w:ascii="Verdana" w:eastAsia="Times New Roman" w:hAnsi="Verdana" w:cs="Segoe UI"/>
          <w:sz w:val="20"/>
          <w:szCs w:val="20"/>
          <w:lang w:val="en-GB"/>
        </w:rPr>
        <w:t xml:space="preserve">resubmit </w:t>
      </w:r>
      <w:r w:rsidR="00987DBC" w:rsidRPr="0084553A">
        <w:rPr>
          <w:rFonts w:ascii="Verdana" w:eastAsia="Times New Roman" w:hAnsi="Verdana" w:cs="Segoe UI"/>
          <w:sz w:val="20"/>
          <w:szCs w:val="20"/>
          <w:lang w:val="en-GB"/>
        </w:rPr>
        <w:t xml:space="preserve">the payment through the end-to-end payment process within the bank. This </w:t>
      </w:r>
      <w:r w:rsidR="00D3678E" w:rsidRPr="0084553A">
        <w:rPr>
          <w:rFonts w:ascii="Verdana" w:eastAsia="Times New Roman" w:hAnsi="Verdana" w:cs="Segoe UI"/>
          <w:sz w:val="20"/>
          <w:szCs w:val="20"/>
          <w:lang w:val="en-GB"/>
        </w:rPr>
        <w:t xml:space="preserve">implies resending the </w:t>
      </w:r>
      <w:r w:rsidR="00987DBC" w:rsidRPr="0084553A">
        <w:rPr>
          <w:rFonts w:ascii="Verdana" w:eastAsia="Times New Roman" w:hAnsi="Verdana" w:cs="Segoe UI"/>
          <w:sz w:val="20"/>
          <w:szCs w:val="20"/>
          <w:lang w:val="en-GB"/>
        </w:rPr>
        <w:t>payment</w:t>
      </w:r>
      <w:r w:rsidR="00D3678E" w:rsidRPr="0084553A">
        <w:rPr>
          <w:rFonts w:ascii="Verdana" w:eastAsia="Times New Roman" w:hAnsi="Verdana" w:cs="Segoe UI"/>
          <w:sz w:val="20"/>
          <w:szCs w:val="20"/>
          <w:lang w:val="en-GB"/>
        </w:rPr>
        <w:t xml:space="preserve">, including repeating the settlement, </w:t>
      </w:r>
      <w:r w:rsidR="00987DBC" w:rsidRPr="0084553A">
        <w:rPr>
          <w:rFonts w:ascii="Verdana" w:eastAsia="Times New Roman" w:hAnsi="Verdana" w:cs="Segoe UI"/>
          <w:sz w:val="20"/>
          <w:szCs w:val="20"/>
          <w:lang w:val="en-GB"/>
        </w:rPr>
        <w:t>which cause</w:t>
      </w:r>
      <w:r w:rsidR="00773062" w:rsidRPr="0084553A">
        <w:rPr>
          <w:rFonts w:ascii="Verdana" w:eastAsia="Times New Roman" w:hAnsi="Verdana" w:cs="Segoe UI"/>
          <w:sz w:val="20"/>
          <w:szCs w:val="20"/>
          <w:lang w:val="en-GB"/>
        </w:rPr>
        <w:t>s</w:t>
      </w:r>
      <w:r w:rsidR="00987DBC" w:rsidRPr="0084553A">
        <w:rPr>
          <w:rFonts w:ascii="Verdana" w:eastAsia="Times New Roman" w:hAnsi="Verdana" w:cs="Segoe UI"/>
          <w:sz w:val="20"/>
          <w:szCs w:val="20"/>
          <w:lang w:val="en-GB"/>
        </w:rPr>
        <w:t xml:space="preserve"> difficulties for all participants of the payment flow (as the payer</w:t>
      </w:r>
      <w:r w:rsidR="00270C45" w:rsidRPr="0084553A">
        <w:rPr>
          <w:rFonts w:ascii="Verdana" w:eastAsia="Times New Roman" w:hAnsi="Verdana" w:cs="Segoe UI"/>
          <w:sz w:val="20"/>
          <w:szCs w:val="20"/>
          <w:lang w:val="en-GB"/>
        </w:rPr>
        <w:t>’s</w:t>
      </w:r>
      <w:r w:rsidR="00987DBC" w:rsidRPr="0084553A">
        <w:rPr>
          <w:rFonts w:ascii="Verdana" w:eastAsia="Times New Roman" w:hAnsi="Verdana" w:cs="Segoe UI"/>
          <w:sz w:val="20"/>
          <w:szCs w:val="20"/>
          <w:lang w:val="en-GB"/>
        </w:rPr>
        <w:t xml:space="preserve"> PSP needs to then send a recall etc.). </w:t>
      </w:r>
    </w:p>
    <w:p w14:paraId="61A03517" w14:textId="77777777" w:rsidR="005445A1" w:rsidRPr="0084553A" w:rsidRDefault="005445A1" w:rsidP="008B13D8">
      <w:pPr>
        <w:spacing w:after="0" w:line="240" w:lineRule="auto"/>
        <w:jc w:val="both"/>
        <w:textAlignment w:val="baseline"/>
        <w:rPr>
          <w:rFonts w:ascii="Verdana" w:eastAsia="Times New Roman" w:hAnsi="Verdana" w:cs="Segoe UI"/>
          <w:sz w:val="20"/>
          <w:szCs w:val="20"/>
          <w:highlight w:val="yellow"/>
          <w:lang w:val="en-GB"/>
        </w:rPr>
      </w:pPr>
    </w:p>
    <w:p w14:paraId="411B6EB4" w14:textId="58A9E878" w:rsidR="00987DBC" w:rsidRPr="0084553A" w:rsidRDefault="0074626B"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Another</w:t>
      </w:r>
      <w:r w:rsidR="00FB6AE6" w:rsidRPr="0084553A">
        <w:rPr>
          <w:rFonts w:ascii="Verdana" w:eastAsia="Times New Roman" w:hAnsi="Verdana" w:cs="Segoe UI"/>
          <w:sz w:val="20"/>
          <w:szCs w:val="20"/>
          <w:lang w:val="en-GB"/>
        </w:rPr>
        <w:t xml:space="preserve"> practical solution </w:t>
      </w:r>
      <w:r w:rsidR="00987DBC" w:rsidRPr="0084553A">
        <w:rPr>
          <w:rFonts w:ascii="Verdana" w:eastAsia="Times New Roman" w:hAnsi="Verdana" w:cs="Segoe UI"/>
          <w:sz w:val="20"/>
          <w:szCs w:val="20"/>
          <w:lang w:val="en-GB"/>
        </w:rPr>
        <w:t xml:space="preserve">to </w:t>
      </w:r>
      <w:r w:rsidR="00FB6AE6" w:rsidRPr="0084553A">
        <w:rPr>
          <w:rFonts w:ascii="Verdana" w:eastAsia="Times New Roman" w:hAnsi="Verdana" w:cs="Segoe UI"/>
          <w:sz w:val="20"/>
          <w:szCs w:val="20"/>
          <w:lang w:val="en-GB"/>
        </w:rPr>
        <w:t xml:space="preserve">fulfilling </w:t>
      </w:r>
      <w:r w:rsidR="00987DBC" w:rsidRPr="0084553A">
        <w:rPr>
          <w:rFonts w:ascii="Verdana" w:eastAsia="Times New Roman" w:hAnsi="Verdana" w:cs="Segoe UI"/>
          <w:sz w:val="20"/>
          <w:szCs w:val="20"/>
          <w:lang w:val="en-GB"/>
        </w:rPr>
        <w:t xml:space="preserve">this requirement </w:t>
      </w:r>
      <w:r w:rsidR="00FB6AE6" w:rsidRPr="0084553A">
        <w:rPr>
          <w:rFonts w:ascii="Verdana" w:eastAsia="Times New Roman" w:hAnsi="Verdana" w:cs="Segoe UI"/>
          <w:sz w:val="20"/>
          <w:szCs w:val="20"/>
          <w:lang w:val="en-GB"/>
        </w:rPr>
        <w:t>could involve implementing</w:t>
      </w:r>
      <w:r w:rsidR="00987DBC" w:rsidRPr="0084553A">
        <w:rPr>
          <w:rFonts w:ascii="Verdana" w:eastAsia="Times New Roman" w:hAnsi="Verdana" w:cs="Segoe UI"/>
          <w:sz w:val="20"/>
          <w:szCs w:val="20"/>
          <w:lang w:val="en-GB"/>
        </w:rPr>
        <w:t xml:space="preserve"> extra manual checks for these payment errors</w:t>
      </w:r>
      <w:r w:rsidR="00DC3D12" w:rsidRPr="0084553A">
        <w:rPr>
          <w:rFonts w:ascii="Verdana" w:eastAsia="Times New Roman" w:hAnsi="Verdana" w:cs="Segoe UI"/>
          <w:sz w:val="20"/>
          <w:szCs w:val="20"/>
          <w:lang w:val="en-GB"/>
        </w:rPr>
        <w:t xml:space="preserve">, </w:t>
      </w:r>
      <w:r w:rsidR="00987DBC" w:rsidRPr="0084553A">
        <w:rPr>
          <w:rFonts w:ascii="Verdana" w:eastAsia="Times New Roman" w:hAnsi="Verdana" w:cs="Segoe UI"/>
          <w:sz w:val="20"/>
          <w:szCs w:val="20"/>
          <w:lang w:val="en-GB"/>
        </w:rPr>
        <w:t>which will impact the manual labor costs and hinder the detection tasks to be made (</w:t>
      </w:r>
      <w:r w:rsidR="00DC3D12" w:rsidRPr="0084553A">
        <w:rPr>
          <w:rFonts w:ascii="Verdana" w:eastAsia="Times New Roman" w:hAnsi="Verdana" w:cs="Segoe UI"/>
          <w:sz w:val="20"/>
          <w:szCs w:val="20"/>
          <w:lang w:val="en-GB"/>
        </w:rPr>
        <w:t>potentially extending the timeframe to days or even weeks, depending on the volume of errors).</w:t>
      </w:r>
    </w:p>
    <w:p w14:paraId="37CBD0AF" w14:textId="406A5F54" w:rsidR="002B2CA4" w:rsidRPr="0084553A" w:rsidRDefault="002B2CA4" w:rsidP="008B13D8">
      <w:pPr>
        <w:spacing w:after="0" w:line="240" w:lineRule="auto"/>
        <w:jc w:val="both"/>
        <w:textAlignment w:val="baseline"/>
        <w:rPr>
          <w:rFonts w:ascii="Verdana" w:eastAsia="Times New Roman" w:hAnsi="Verdana" w:cs="Segoe UI"/>
          <w:sz w:val="20"/>
          <w:szCs w:val="20"/>
          <w:lang w:val="en-GB"/>
        </w:rPr>
      </w:pPr>
    </w:p>
    <w:p w14:paraId="2E19AFDB" w14:textId="77777777" w:rsidR="00EA1BB7" w:rsidRPr="0084553A" w:rsidRDefault="00EA1BB7" w:rsidP="008B13D8">
      <w:pPr>
        <w:spacing w:after="0" w:line="240" w:lineRule="auto"/>
        <w:jc w:val="both"/>
        <w:textAlignment w:val="baseline"/>
        <w:rPr>
          <w:rFonts w:ascii="Verdana" w:eastAsia="Times New Roman" w:hAnsi="Verdana" w:cs="Segoe UI"/>
          <w:sz w:val="20"/>
          <w:szCs w:val="20"/>
          <w:lang w:val="en-GB"/>
        </w:rPr>
      </w:pPr>
    </w:p>
    <w:p w14:paraId="0D4F8289" w14:textId="44ABA5BD" w:rsidR="0072684B" w:rsidRPr="0084553A" w:rsidRDefault="00EA1BB7"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4.1. Providing the payment account number of the payer (Article 4(1) point (b) of Regulation (EU) 2023/1113), and of the payee (Article 4(2) point (b) of Regulation (EU) 2023/1113)</w:t>
      </w:r>
      <w:r w:rsidRPr="0084553A">
        <w:rPr>
          <w:rFonts w:ascii="Verdana" w:eastAsia="Times New Roman" w:hAnsi="Verdana" w:cs="Segoe UI"/>
          <w:b/>
          <w:bCs/>
          <w:sz w:val="20"/>
          <w:szCs w:val="20"/>
          <w:lang w:val="en-GB"/>
        </w:rPr>
        <w:cr/>
      </w:r>
    </w:p>
    <w:p w14:paraId="3B28D7B9" w14:textId="1B25395B" w:rsidR="00C521C4" w:rsidRPr="0084553A" w:rsidRDefault="00C521C4"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Paragraph 21.</w:t>
      </w:r>
    </w:p>
    <w:p w14:paraId="2DDC82EB" w14:textId="77777777" w:rsidR="00C521C4" w:rsidRPr="0084553A" w:rsidRDefault="00C521C4" w:rsidP="008B13D8">
      <w:pPr>
        <w:spacing w:after="0" w:line="240" w:lineRule="auto"/>
        <w:jc w:val="both"/>
        <w:textAlignment w:val="baseline"/>
        <w:rPr>
          <w:rFonts w:ascii="Verdana" w:eastAsia="Times New Roman" w:hAnsi="Verdana" w:cs="Segoe UI"/>
          <w:b/>
          <w:bCs/>
          <w:sz w:val="20"/>
          <w:szCs w:val="20"/>
          <w:highlight w:val="cyan"/>
          <w:lang w:val="en-GB"/>
        </w:rPr>
      </w:pPr>
    </w:p>
    <w:p w14:paraId="6E7E464B" w14:textId="0C9876E4" w:rsidR="000C52E1" w:rsidRPr="0084553A" w:rsidRDefault="000C52E1"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We do not consider it legally or technically possible to mix Card Payment processes to wire transfers processes (SEPA- and SEPA Instant payments). </w:t>
      </w:r>
    </w:p>
    <w:p w14:paraId="29605AC5" w14:textId="77777777" w:rsidR="00927B17" w:rsidRPr="0084553A" w:rsidRDefault="00927B17" w:rsidP="008B13D8">
      <w:pPr>
        <w:spacing w:after="0" w:line="240" w:lineRule="auto"/>
        <w:jc w:val="both"/>
        <w:textAlignment w:val="baseline"/>
        <w:rPr>
          <w:rFonts w:ascii="Verdana" w:eastAsia="Times New Roman" w:hAnsi="Verdana" w:cs="Segoe UI"/>
          <w:sz w:val="20"/>
          <w:szCs w:val="20"/>
          <w:lang w:val="en-GB"/>
        </w:rPr>
      </w:pPr>
    </w:p>
    <w:p w14:paraId="7D5B8F46" w14:textId="4F972D33" w:rsidR="000C52E1" w:rsidRDefault="000C52E1" w:rsidP="008B13D8">
      <w:pPr>
        <w:spacing w:after="0" w:line="240" w:lineRule="auto"/>
        <w:jc w:val="both"/>
        <w:textAlignment w:val="baseline"/>
        <w:rPr>
          <w:rFonts w:ascii="Verdana" w:eastAsia="Times New Roman" w:hAnsi="Verdana" w:cs="Segoe UI"/>
          <w:strike/>
          <w:sz w:val="20"/>
          <w:szCs w:val="20"/>
          <w:lang w:val="en-GB"/>
        </w:rPr>
      </w:pPr>
      <w:r w:rsidRPr="0084553A">
        <w:rPr>
          <w:rFonts w:ascii="Verdana" w:eastAsia="Times New Roman" w:hAnsi="Verdana" w:cs="Segoe UI"/>
          <w:sz w:val="20"/>
          <w:szCs w:val="20"/>
          <w:lang w:val="en-GB"/>
        </w:rPr>
        <w:t xml:space="preserve">If a payment is made using a </w:t>
      </w:r>
      <w:r w:rsidR="00954FAE" w:rsidRPr="0084553A">
        <w:rPr>
          <w:rFonts w:ascii="Verdana" w:eastAsia="Times New Roman" w:hAnsi="Verdana" w:cs="Segoe UI"/>
          <w:sz w:val="20"/>
          <w:szCs w:val="20"/>
          <w:lang w:val="en-GB"/>
        </w:rPr>
        <w:t>c</w:t>
      </w:r>
      <w:r w:rsidRPr="0084553A">
        <w:rPr>
          <w:rFonts w:ascii="Verdana" w:eastAsia="Times New Roman" w:hAnsi="Verdana" w:cs="Segoe UI"/>
          <w:sz w:val="20"/>
          <w:szCs w:val="20"/>
          <w:lang w:val="en-GB"/>
        </w:rPr>
        <w:t xml:space="preserve">ard, the payment is only processed through Card payment schemas (i.e. VISA or Mastercard etc.) within the Card Payment Processes. </w:t>
      </w:r>
    </w:p>
    <w:p w14:paraId="2BDDE3C9" w14:textId="77777777" w:rsidR="008B55C0" w:rsidRPr="0084553A" w:rsidRDefault="008B55C0" w:rsidP="008B13D8">
      <w:pPr>
        <w:spacing w:after="0" w:line="240" w:lineRule="auto"/>
        <w:jc w:val="both"/>
        <w:textAlignment w:val="baseline"/>
        <w:rPr>
          <w:rFonts w:ascii="Verdana" w:eastAsia="Times New Roman" w:hAnsi="Verdana" w:cs="Segoe UI"/>
          <w:sz w:val="20"/>
          <w:szCs w:val="20"/>
          <w:lang w:val="en-GB"/>
        </w:rPr>
      </w:pPr>
    </w:p>
    <w:p w14:paraId="223DB316" w14:textId="77777777" w:rsidR="00D43E53" w:rsidRDefault="00D43E53" w:rsidP="008B13D8">
      <w:pPr>
        <w:spacing w:after="0" w:line="240" w:lineRule="auto"/>
        <w:jc w:val="both"/>
        <w:textAlignment w:val="baseline"/>
        <w:rPr>
          <w:rFonts w:ascii="Verdana" w:eastAsia="Times New Roman" w:hAnsi="Verdana" w:cs="Segoe UI"/>
          <w:sz w:val="20"/>
          <w:szCs w:val="20"/>
          <w:lang w:val="en-GB"/>
        </w:rPr>
      </w:pPr>
      <w:r w:rsidRPr="008B55C0">
        <w:rPr>
          <w:rFonts w:ascii="Verdana" w:eastAsia="Times New Roman" w:hAnsi="Verdana" w:cs="Segoe UI"/>
          <w:sz w:val="20"/>
          <w:szCs w:val="20"/>
          <w:lang w:val="en-GB"/>
        </w:rPr>
        <w:lastRenderedPageBreak/>
        <w:t>The PCI DSS standard is an obligatory requirement to secure card credentials and minimize risk of fraud. The full card number shall not be used in such scenarios as suggested in paragraph 21.</w:t>
      </w:r>
      <w:r w:rsidRPr="00D43E53">
        <w:rPr>
          <w:rFonts w:ascii="Verdana" w:eastAsia="Times New Roman" w:hAnsi="Verdana" w:cs="Segoe UI"/>
          <w:sz w:val="20"/>
          <w:szCs w:val="20"/>
          <w:lang w:val="en-GB"/>
        </w:rPr>
        <w:t xml:space="preserve"> </w:t>
      </w:r>
    </w:p>
    <w:p w14:paraId="4CD3F618" w14:textId="77777777" w:rsidR="00D43E53" w:rsidRDefault="00D43E53" w:rsidP="008B13D8">
      <w:pPr>
        <w:spacing w:after="0" w:line="240" w:lineRule="auto"/>
        <w:jc w:val="both"/>
        <w:textAlignment w:val="baseline"/>
        <w:rPr>
          <w:rFonts w:ascii="Verdana" w:eastAsia="Times New Roman" w:hAnsi="Verdana" w:cs="Segoe UI"/>
          <w:sz w:val="20"/>
          <w:szCs w:val="20"/>
          <w:lang w:val="en-GB"/>
        </w:rPr>
      </w:pPr>
    </w:p>
    <w:p w14:paraId="3C945D27" w14:textId="340C0977" w:rsidR="000C52E1" w:rsidRPr="0084553A" w:rsidRDefault="000C52E1"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When a wire transfer is used (SEPA or SEPA Instant Payment), there are no card payments within the end-to-end process. </w:t>
      </w:r>
    </w:p>
    <w:p w14:paraId="1B2A9A3B" w14:textId="77777777" w:rsidR="00B82EE9" w:rsidRPr="0084553A" w:rsidRDefault="00B82EE9" w:rsidP="008B13D8">
      <w:pPr>
        <w:spacing w:after="0" w:line="240" w:lineRule="auto"/>
        <w:jc w:val="both"/>
        <w:textAlignment w:val="baseline"/>
        <w:rPr>
          <w:rFonts w:ascii="Verdana" w:eastAsia="Times New Roman" w:hAnsi="Verdana" w:cs="Segoe UI"/>
          <w:sz w:val="20"/>
          <w:szCs w:val="20"/>
          <w:highlight w:val="yellow"/>
          <w:lang w:val="en-GB"/>
        </w:rPr>
      </w:pPr>
    </w:p>
    <w:p w14:paraId="22C66A3A" w14:textId="101E2F28" w:rsidR="000C52E1" w:rsidRPr="0084553A" w:rsidRDefault="000C52E1"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There is no current technical way to include card numbers in SEPA- or SEPA Instant payments.  Taking into consideration the obligatory PCI DSS-standard, there is no possibility for the bank to use full payment card numbers (PAN) outside the card payment processes. There also should be no need to do so. </w:t>
      </w:r>
    </w:p>
    <w:p w14:paraId="4719D773" w14:textId="77777777" w:rsidR="00954FAE" w:rsidRPr="0084553A" w:rsidRDefault="000C52E1"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This question should be discussed with the international Card Schemas (Visa, Mastercard etc).</w:t>
      </w:r>
    </w:p>
    <w:p w14:paraId="30E5EA5E" w14:textId="4E2D9E2C" w:rsidR="000C52E1" w:rsidRPr="0084553A" w:rsidRDefault="000C52E1" w:rsidP="008B13D8">
      <w:pPr>
        <w:spacing w:after="0" w:line="240" w:lineRule="auto"/>
        <w:jc w:val="both"/>
        <w:textAlignment w:val="baseline"/>
        <w:rPr>
          <w:rFonts w:ascii="Verdana" w:eastAsia="Times New Roman" w:hAnsi="Verdana" w:cs="Segoe UI"/>
          <w:sz w:val="20"/>
          <w:szCs w:val="20"/>
          <w:highlight w:val="yellow"/>
          <w:lang w:val="en-GB"/>
        </w:rPr>
      </w:pPr>
      <w:r w:rsidRPr="0084553A">
        <w:rPr>
          <w:rFonts w:ascii="Verdana" w:eastAsia="Times New Roman" w:hAnsi="Verdana" w:cs="Segoe UI"/>
          <w:sz w:val="20"/>
          <w:szCs w:val="20"/>
          <w:highlight w:val="yellow"/>
          <w:lang w:val="en-GB"/>
        </w:rPr>
        <w:t xml:space="preserve"> </w:t>
      </w:r>
    </w:p>
    <w:p w14:paraId="7BBCF21E" w14:textId="77777777" w:rsidR="00702292" w:rsidRPr="0084553A" w:rsidRDefault="00702292" w:rsidP="008B13D8">
      <w:pPr>
        <w:spacing w:after="0" w:line="240" w:lineRule="auto"/>
        <w:jc w:val="both"/>
        <w:textAlignment w:val="baseline"/>
        <w:rPr>
          <w:rFonts w:ascii="Verdana" w:eastAsia="Times New Roman" w:hAnsi="Verdana" w:cs="Segoe UI"/>
          <w:sz w:val="20"/>
          <w:szCs w:val="20"/>
          <w:highlight w:val="yellow"/>
          <w:lang w:val="en-GB"/>
        </w:rPr>
      </w:pPr>
    </w:p>
    <w:p w14:paraId="3E9478C9" w14:textId="3823D2BE" w:rsidR="00702292" w:rsidRPr="0084553A" w:rsidRDefault="00702292"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4.2. Providing the name of the payer (Article 4(1) point (a) of Regulation (EU) 2023/1113), of the payee (Article 4(2) point (a) of Regulation (EU) 2023/1113), of the originator (Article 14(1) point (a) of Regulation (EU) 2023/1113), and of the beneficiary (Article 14(2) point (a) of Regulation (EU) 2023/1113)</w:t>
      </w:r>
      <w:r w:rsidRPr="0084553A">
        <w:rPr>
          <w:rFonts w:ascii="Verdana" w:eastAsia="Times New Roman" w:hAnsi="Verdana" w:cs="Segoe UI"/>
          <w:b/>
          <w:bCs/>
          <w:sz w:val="20"/>
          <w:szCs w:val="20"/>
          <w:lang w:val="en-GB"/>
        </w:rPr>
        <w:cr/>
      </w:r>
    </w:p>
    <w:p w14:paraId="5DB65FB7" w14:textId="577A5F9B" w:rsidR="0035024F" w:rsidRPr="0084553A" w:rsidRDefault="0035024F"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Paragraph 22. c.</w:t>
      </w:r>
    </w:p>
    <w:p w14:paraId="2C070539" w14:textId="3FA06C18" w:rsidR="000C52E1" w:rsidRPr="0084553A" w:rsidRDefault="000C52E1" w:rsidP="008B13D8">
      <w:pPr>
        <w:spacing w:after="0" w:line="240" w:lineRule="auto"/>
        <w:jc w:val="both"/>
        <w:textAlignment w:val="baseline"/>
        <w:rPr>
          <w:rFonts w:ascii="Verdana" w:eastAsia="Times New Roman" w:hAnsi="Verdana" w:cs="Segoe UI"/>
          <w:sz w:val="20"/>
          <w:szCs w:val="20"/>
          <w:highlight w:val="yellow"/>
          <w:lang w:val="en-GB"/>
        </w:rPr>
      </w:pPr>
    </w:p>
    <w:p w14:paraId="246016AD" w14:textId="318FB679" w:rsidR="000C52E1" w:rsidRPr="0084553A" w:rsidRDefault="00FE1B37" w:rsidP="008B13D8">
      <w:pPr>
        <w:spacing w:after="0" w:line="240" w:lineRule="auto"/>
        <w:jc w:val="both"/>
        <w:textAlignment w:val="baseline"/>
        <w:rPr>
          <w:rFonts w:ascii="Verdana" w:hAnsi="Verdana" w:cs="Segoe UI"/>
          <w:sz w:val="20"/>
          <w:szCs w:val="20"/>
          <w:lang w:val="en-GB"/>
        </w:rPr>
      </w:pPr>
      <w:r w:rsidRPr="0084553A">
        <w:rPr>
          <w:rFonts w:ascii="Verdana" w:eastAsia="Times New Roman" w:hAnsi="Verdana" w:cs="Segoe UI"/>
          <w:sz w:val="20"/>
          <w:szCs w:val="20"/>
          <w:lang w:val="en-GB"/>
        </w:rPr>
        <w:t xml:space="preserve">The addition of the “the names of all holders of the account, address or wallet” introduces </w:t>
      </w:r>
      <w:r w:rsidR="000C52E1" w:rsidRPr="0084553A">
        <w:rPr>
          <w:rFonts w:ascii="Verdana" w:eastAsia="Times New Roman" w:hAnsi="Verdana" w:cs="Segoe UI"/>
          <w:sz w:val="20"/>
          <w:szCs w:val="20"/>
          <w:lang w:val="en-GB"/>
        </w:rPr>
        <w:t>a major technical change for the payment processes,</w:t>
      </w:r>
      <w:r w:rsidR="007F312A" w:rsidRPr="0084553A">
        <w:rPr>
          <w:rFonts w:ascii="Verdana" w:eastAsia="Times New Roman" w:hAnsi="Verdana" w:cs="Segoe UI"/>
          <w:sz w:val="20"/>
          <w:szCs w:val="20"/>
          <w:lang w:val="en-GB"/>
        </w:rPr>
        <w:t xml:space="preserve"> which i</w:t>
      </w:r>
      <w:r w:rsidR="007F312A" w:rsidRPr="0084553A">
        <w:rPr>
          <w:rFonts w:ascii="Verdana" w:hAnsi="Verdana" w:cs="Segoe UI"/>
          <w:sz w:val="20"/>
          <w:szCs w:val="20"/>
          <w:lang w:val="en-GB"/>
        </w:rPr>
        <w:t>s expected to be costly and time-intensive.</w:t>
      </w:r>
    </w:p>
    <w:p w14:paraId="5875C039" w14:textId="77777777" w:rsidR="007F312A" w:rsidRPr="0084553A" w:rsidRDefault="007F312A" w:rsidP="008B13D8">
      <w:pPr>
        <w:spacing w:after="0" w:line="240" w:lineRule="auto"/>
        <w:jc w:val="both"/>
        <w:textAlignment w:val="baseline"/>
        <w:rPr>
          <w:rFonts w:ascii="Verdana" w:eastAsia="Times New Roman" w:hAnsi="Verdana" w:cs="Segoe UI"/>
          <w:sz w:val="20"/>
          <w:szCs w:val="20"/>
          <w:lang w:val="en-GB"/>
        </w:rPr>
      </w:pPr>
    </w:p>
    <w:p w14:paraId="1552C2D1" w14:textId="275A9DC9" w:rsidR="000C52E1" w:rsidRPr="0084553A" w:rsidRDefault="00691F9C"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For example, in </w:t>
      </w:r>
      <w:r w:rsidR="008F47C5" w:rsidRPr="0084553A">
        <w:rPr>
          <w:rFonts w:ascii="Verdana" w:eastAsia="Times New Roman" w:hAnsi="Verdana" w:cs="Segoe UI"/>
          <w:sz w:val="20"/>
          <w:szCs w:val="20"/>
          <w:lang w:val="en-GB"/>
        </w:rPr>
        <w:t>one Member State</w:t>
      </w:r>
      <w:r w:rsidRPr="0084553A">
        <w:rPr>
          <w:rFonts w:ascii="Verdana" w:eastAsia="Times New Roman" w:hAnsi="Verdana" w:cs="Segoe UI"/>
          <w:sz w:val="20"/>
          <w:szCs w:val="20"/>
          <w:lang w:val="en-GB"/>
        </w:rPr>
        <w:t xml:space="preserve">, </w:t>
      </w:r>
      <w:r w:rsidR="008F47C5" w:rsidRPr="0084553A">
        <w:rPr>
          <w:rFonts w:ascii="Verdana" w:eastAsia="Times New Roman" w:hAnsi="Verdana" w:cs="Segoe UI"/>
          <w:sz w:val="20"/>
          <w:szCs w:val="20"/>
          <w:lang w:val="en-GB"/>
        </w:rPr>
        <w:t>there are accounts of estates that may involve several joint parties</w:t>
      </w:r>
      <w:r w:rsidRPr="0084553A">
        <w:rPr>
          <w:rFonts w:ascii="Verdana" w:eastAsia="Times New Roman" w:hAnsi="Verdana" w:cs="Segoe UI"/>
          <w:sz w:val="20"/>
          <w:szCs w:val="20"/>
          <w:lang w:val="en-GB"/>
        </w:rPr>
        <w:t>.</w:t>
      </w:r>
      <w:r w:rsidR="00170B4F" w:rsidRPr="0084553A">
        <w:rPr>
          <w:rFonts w:ascii="Verdana" w:eastAsia="Times New Roman" w:hAnsi="Verdana" w:cs="Segoe UI"/>
          <w:sz w:val="20"/>
          <w:szCs w:val="20"/>
          <w:lang w:val="en-GB"/>
        </w:rPr>
        <w:t xml:space="preserve"> </w:t>
      </w:r>
      <w:r w:rsidR="000C52E1" w:rsidRPr="0084553A">
        <w:rPr>
          <w:rFonts w:ascii="Verdana" w:eastAsia="Times New Roman" w:hAnsi="Verdana" w:cs="Segoe UI"/>
          <w:sz w:val="20"/>
          <w:szCs w:val="20"/>
          <w:lang w:val="en-GB"/>
        </w:rPr>
        <w:t>If an account has multiple separate owners, this information may not be technically possible to add to the payment, as the</w:t>
      </w:r>
      <w:r w:rsidR="00AC356B" w:rsidRPr="0084553A">
        <w:rPr>
          <w:rFonts w:ascii="Verdana" w:eastAsia="Times New Roman" w:hAnsi="Verdana" w:cs="Segoe UI"/>
          <w:sz w:val="20"/>
          <w:szCs w:val="20"/>
          <w:lang w:val="en-GB"/>
        </w:rPr>
        <w:t xml:space="preserve"> utilized</w:t>
      </w:r>
      <w:r w:rsidR="000C52E1" w:rsidRPr="0084553A">
        <w:rPr>
          <w:rFonts w:ascii="Verdana" w:eastAsia="Times New Roman" w:hAnsi="Verdana" w:cs="Segoe UI"/>
          <w:sz w:val="20"/>
          <w:szCs w:val="20"/>
          <w:lang w:val="en-GB"/>
        </w:rPr>
        <w:t xml:space="preserve"> fields may not</w:t>
      </w:r>
      <w:r w:rsidR="00AC356B" w:rsidRPr="0084553A">
        <w:rPr>
          <w:rFonts w:ascii="Verdana" w:eastAsia="Times New Roman" w:hAnsi="Verdana" w:cs="Segoe UI"/>
          <w:sz w:val="20"/>
          <w:szCs w:val="20"/>
          <w:lang w:val="en-GB"/>
        </w:rPr>
        <w:t xml:space="preserve"> support such extensive data</w:t>
      </w:r>
      <w:r w:rsidR="000C52E1" w:rsidRPr="0084553A">
        <w:rPr>
          <w:rFonts w:ascii="Verdana" w:eastAsia="Times New Roman" w:hAnsi="Verdana" w:cs="Segoe UI"/>
          <w:sz w:val="20"/>
          <w:szCs w:val="20"/>
          <w:lang w:val="en-GB"/>
        </w:rPr>
        <w:t xml:space="preserve">. </w:t>
      </w:r>
      <w:r w:rsidR="00E05DBF" w:rsidRPr="0084553A">
        <w:rPr>
          <w:rFonts w:ascii="Verdana" w:eastAsia="Times New Roman" w:hAnsi="Verdana" w:cs="Segoe UI"/>
          <w:sz w:val="20"/>
          <w:szCs w:val="20"/>
          <w:lang w:val="en-GB"/>
        </w:rPr>
        <w:t>We wonder if it is</w:t>
      </w:r>
      <w:r w:rsidR="000C52E1" w:rsidRPr="0084553A">
        <w:rPr>
          <w:rFonts w:ascii="Verdana" w:eastAsia="Times New Roman" w:hAnsi="Verdana" w:cs="Segoe UI"/>
          <w:sz w:val="20"/>
          <w:szCs w:val="20"/>
          <w:lang w:val="en-GB"/>
        </w:rPr>
        <w:t xml:space="preserve"> necessary to include all the joint parties' names in all the payments</w:t>
      </w:r>
      <w:r w:rsidR="00E05DBF" w:rsidRPr="0084553A">
        <w:rPr>
          <w:rFonts w:ascii="Verdana" w:eastAsia="Times New Roman" w:hAnsi="Verdana" w:cs="Segoe UI"/>
          <w:sz w:val="20"/>
          <w:szCs w:val="20"/>
          <w:lang w:val="en-GB"/>
        </w:rPr>
        <w:t>.</w:t>
      </w:r>
      <w:r w:rsidR="000C52E1" w:rsidRPr="0084553A">
        <w:rPr>
          <w:rFonts w:ascii="Verdana" w:eastAsia="Times New Roman" w:hAnsi="Verdana" w:cs="Segoe UI"/>
          <w:sz w:val="20"/>
          <w:szCs w:val="20"/>
          <w:lang w:val="en-GB"/>
        </w:rPr>
        <w:t xml:space="preserve"> </w:t>
      </w:r>
    </w:p>
    <w:p w14:paraId="524CC8FC" w14:textId="77777777" w:rsidR="002650D9" w:rsidRPr="0084553A" w:rsidRDefault="002650D9" w:rsidP="008B13D8">
      <w:pPr>
        <w:spacing w:after="0" w:line="240" w:lineRule="auto"/>
        <w:jc w:val="both"/>
        <w:textAlignment w:val="baseline"/>
        <w:rPr>
          <w:rFonts w:ascii="Verdana" w:eastAsia="Times New Roman" w:hAnsi="Verdana" w:cs="Segoe UI"/>
          <w:sz w:val="20"/>
          <w:szCs w:val="20"/>
          <w:highlight w:val="yellow"/>
          <w:lang w:val="en-GB"/>
        </w:rPr>
      </w:pPr>
    </w:p>
    <w:p w14:paraId="639A6B6E" w14:textId="77777777" w:rsidR="0035024F" w:rsidRPr="0084553A" w:rsidRDefault="0035024F" w:rsidP="008B13D8">
      <w:pPr>
        <w:spacing w:after="0" w:line="240" w:lineRule="auto"/>
        <w:jc w:val="both"/>
        <w:textAlignment w:val="baseline"/>
        <w:rPr>
          <w:rFonts w:ascii="Verdana" w:eastAsia="Times New Roman" w:hAnsi="Verdana" w:cs="Segoe UI"/>
          <w:sz w:val="20"/>
          <w:szCs w:val="20"/>
          <w:lang w:val="en-GB"/>
        </w:rPr>
      </w:pPr>
    </w:p>
    <w:p w14:paraId="4E03435B" w14:textId="34B331ED" w:rsidR="00C2118B" w:rsidRPr="0084553A" w:rsidRDefault="00C2118B"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4.3. Providing the address, including the name of the country, official personal document number, and the customer identification number or, alternatively, date and place of birth of the payer (Article 4(1) point (c) of Regulation (EU) 2023/1113) and of the originator (Article 14(1) point (d) of Regulation (EU) 2023/1113)</w:t>
      </w:r>
    </w:p>
    <w:p w14:paraId="2EA0E73A" w14:textId="77777777" w:rsidR="00C2118B" w:rsidRPr="0084553A" w:rsidRDefault="00C2118B" w:rsidP="008B13D8">
      <w:pPr>
        <w:spacing w:after="0" w:line="240" w:lineRule="auto"/>
        <w:jc w:val="both"/>
        <w:textAlignment w:val="baseline"/>
        <w:rPr>
          <w:rFonts w:ascii="Verdana" w:eastAsia="Times New Roman" w:hAnsi="Verdana" w:cs="Segoe UI"/>
          <w:sz w:val="20"/>
          <w:szCs w:val="20"/>
          <w:lang w:val="en-GB"/>
        </w:rPr>
      </w:pPr>
    </w:p>
    <w:p w14:paraId="1DD417D3" w14:textId="4A412715" w:rsidR="00C2118B" w:rsidRPr="0084553A" w:rsidRDefault="00C2118B"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Paragraph 23 and Paragraph 25: The address of the natural person</w:t>
      </w:r>
    </w:p>
    <w:p w14:paraId="50E8E1B0" w14:textId="77777777" w:rsidR="00BE1332" w:rsidRPr="0084553A" w:rsidRDefault="00BE1332" w:rsidP="008B13D8">
      <w:pPr>
        <w:spacing w:after="0" w:line="240" w:lineRule="auto"/>
        <w:jc w:val="both"/>
        <w:textAlignment w:val="baseline"/>
        <w:rPr>
          <w:rFonts w:ascii="Verdana" w:eastAsia="Times New Roman" w:hAnsi="Verdana" w:cs="Segoe UI"/>
          <w:sz w:val="20"/>
          <w:szCs w:val="20"/>
          <w:lang w:val="en-GB"/>
        </w:rPr>
      </w:pPr>
    </w:p>
    <w:p w14:paraId="6CA2C7CD" w14:textId="32F1A985" w:rsidR="00C2118B" w:rsidRPr="0084553A" w:rsidRDefault="008F47C5"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A</w:t>
      </w:r>
      <w:r w:rsidR="00447632" w:rsidRPr="0084553A">
        <w:rPr>
          <w:rFonts w:ascii="Verdana" w:eastAsia="Times New Roman" w:hAnsi="Verdana" w:cs="Segoe UI"/>
          <w:sz w:val="20"/>
          <w:szCs w:val="20"/>
          <w:lang w:val="en-GB"/>
        </w:rPr>
        <w:t xml:space="preserve">side from the individuals identified as vulnerable in Paragraph 23, there are also those whose address is designated as a P.O. </w:t>
      </w:r>
      <w:r w:rsidR="00EB1BB9" w:rsidRPr="0084553A">
        <w:rPr>
          <w:rFonts w:ascii="Verdana" w:eastAsia="Times New Roman" w:hAnsi="Verdana" w:cs="Segoe UI"/>
          <w:sz w:val="20"/>
          <w:szCs w:val="20"/>
          <w:lang w:val="en-GB"/>
        </w:rPr>
        <w:t>b</w:t>
      </w:r>
      <w:r w:rsidR="00447632" w:rsidRPr="0084553A">
        <w:rPr>
          <w:rFonts w:ascii="Verdana" w:eastAsia="Times New Roman" w:hAnsi="Verdana" w:cs="Segoe UI"/>
          <w:sz w:val="20"/>
          <w:szCs w:val="20"/>
          <w:lang w:val="en-GB"/>
        </w:rPr>
        <w:t xml:space="preserve">ox or "poste restante" for safety reasons, as stipulated </w:t>
      </w:r>
      <w:r w:rsidR="00CD0DBE" w:rsidRPr="0084553A">
        <w:rPr>
          <w:rFonts w:ascii="Verdana" w:eastAsia="Times New Roman" w:hAnsi="Verdana" w:cs="Segoe UI"/>
          <w:sz w:val="20"/>
          <w:szCs w:val="20"/>
          <w:lang w:val="en-GB"/>
        </w:rPr>
        <w:t>in the</w:t>
      </w:r>
      <w:r w:rsidR="00447632" w:rsidRPr="0084553A">
        <w:rPr>
          <w:rFonts w:ascii="Verdana" w:eastAsia="Times New Roman" w:hAnsi="Verdana" w:cs="Segoe UI"/>
          <w:sz w:val="20"/>
          <w:szCs w:val="20"/>
          <w:lang w:val="en-GB"/>
        </w:rPr>
        <w:t xml:space="preserve"> national law</w:t>
      </w:r>
      <w:r w:rsidRPr="0084553A">
        <w:rPr>
          <w:rFonts w:ascii="Verdana" w:eastAsia="Times New Roman" w:hAnsi="Verdana" w:cs="Segoe UI"/>
          <w:sz w:val="20"/>
          <w:szCs w:val="20"/>
          <w:lang w:val="en-GB"/>
        </w:rPr>
        <w:t xml:space="preserve"> of certain Member States</w:t>
      </w:r>
      <w:r w:rsidR="00447632" w:rsidRPr="0084553A">
        <w:rPr>
          <w:rFonts w:ascii="Verdana" w:eastAsia="Times New Roman" w:hAnsi="Verdana" w:cs="Segoe UI"/>
          <w:sz w:val="20"/>
          <w:szCs w:val="20"/>
          <w:lang w:val="en-GB"/>
        </w:rPr>
        <w:t xml:space="preserve">. This category </w:t>
      </w:r>
      <w:r w:rsidR="00B27DCA" w:rsidRPr="0084553A">
        <w:rPr>
          <w:rFonts w:ascii="Verdana" w:eastAsia="Times New Roman" w:hAnsi="Verdana" w:cs="Segoe UI"/>
          <w:sz w:val="20"/>
          <w:szCs w:val="20"/>
          <w:lang w:val="en-GB"/>
        </w:rPr>
        <w:t xml:space="preserve">notably </w:t>
      </w:r>
      <w:r w:rsidR="00447632" w:rsidRPr="0084553A">
        <w:rPr>
          <w:rFonts w:ascii="Verdana" w:eastAsia="Times New Roman" w:hAnsi="Verdana" w:cs="Segoe UI"/>
          <w:sz w:val="20"/>
          <w:szCs w:val="20"/>
          <w:lang w:val="en-GB"/>
        </w:rPr>
        <w:t xml:space="preserve">includes individuals at risk due to their professions </w:t>
      </w:r>
      <w:r w:rsidR="00C2118B" w:rsidRPr="0084553A">
        <w:rPr>
          <w:rFonts w:ascii="Verdana" w:eastAsia="Times New Roman" w:hAnsi="Verdana" w:cs="Segoe UI"/>
          <w:sz w:val="20"/>
          <w:szCs w:val="20"/>
          <w:lang w:val="en-GB"/>
        </w:rPr>
        <w:t>(judges, police officers, bailiffs, reporters etc.</w:t>
      </w:r>
      <w:r w:rsidR="00447632" w:rsidRPr="0084553A">
        <w:rPr>
          <w:rFonts w:ascii="Verdana" w:eastAsia="Times New Roman" w:hAnsi="Verdana" w:cs="Segoe UI"/>
          <w:sz w:val="20"/>
          <w:szCs w:val="20"/>
          <w:lang w:val="en-GB"/>
        </w:rPr>
        <w:t>)</w:t>
      </w:r>
      <w:r w:rsidR="00C2118B" w:rsidRPr="0084553A">
        <w:rPr>
          <w:rFonts w:ascii="Verdana" w:eastAsia="Times New Roman" w:hAnsi="Verdana" w:cs="Segoe UI"/>
          <w:sz w:val="20"/>
          <w:szCs w:val="20"/>
          <w:lang w:val="en-GB"/>
        </w:rPr>
        <w:t xml:space="preserve"> </w:t>
      </w:r>
      <w:r w:rsidR="00447632" w:rsidRPr="0084553A">
        <w:rPr>
          <w:rFonts w:ascii="Verdana" w:eastAsia="Times New Roman" w:hAnsi="Verdana" w:cs="Segoe UI"/>
          <w:sz w:val="20"/>
          <w:szCs w:val="20"/>
          <w:lang w:val="en-GB"/>
        </w:rPr>
        <w:t>who</w:t>
      </w:r>
      <w:r w:rsidR="00C2118B" w:rsidRPr="0084553A">
        <w:rPr>
          <w:rFonts w:ascii="Verdana" w:eastAsia="Times New Roman" w:hAnsi="Verdana" w:cs="Segoe UI"/>
          <w:sz w:val="20"/>
          <w:szCs w:val="20"/>
          <w:lang w:val="en-GB"/>
        </w:rPr>
        <w:t xml:space="preserve"> have received personal threats or threats against their families</w:t>
      </w:r>
      <w:r w:rsidR="00CE0E5D" w:rsidRPr="0084553A">
        <w:rPr>
          <w:rFonts w:ascii="Verdana" w:eastAsia="Times New Roman" w:hAnsi="Verdana" w:cs="Segoe UI"/>
          <w:sz w:val="20"/>
          <w:szCs w:val="20"/>
          <w:lang w:val="en-GB"/>
        </w:rPr>
        <w:t xml:space="preserve">. Additionally, individuals facing </w:t>
      </w:r>
      <w:r w:rsidR="00C2118B" w:rsidRPr="0084553A">
        <w:rPr>
          <w:rFonts w:ascii="Verdana" w:eastAsia="Times New Roman" w:hAnsi="Verdana" w:cs="Segoe UI"/>
          <w:sz w:val="20"/>
          <w:szCs w:val="20"/>
          <w:lang w:val="en-GB"/>
        </w:rPr>
        <w:t xml:space="preserve">domestic dispute situations </w:t>
      </w:r>
      <w:r w:rsidR="003B1AA1" w:rsidRPr="0084553A">
        <w:rPr>
          <w:rFonts w:ascii="Verdana" w:eastAsia="Times New Roman" w:hAnsi="Verdana" w:cs="Segoe UI"/>
          <w:sz w:val="20"/>
          <w:szCs w:val="20"/>
          <w:lang w:val="en-GB"/>
        </w:rPr>
        <w:t xml:space="preserve">may require special protection due to the threat of violence. </w:t>
      </w:r>
      <w:r w:rsidR="00C2118B" w:rsidRPr="0084553A">
        <w:rPr>
          <w:rFonts w:ascii="Verdana" w:eastAsia="Times New Roman" w:hAnsi="Verdana" w:cs="Segoe UI"/>
          <w:sz w:val="20"/>
          <w:szCs w:val="20"/>
          <w:lang w:val="en-GB"/>
        </w:rPr>
        <w:t xml:space="preserve">In </w:t>
      </w:r>
      <w:r w:rsidR="003B1AA1" w:rsidRPr="0084553A">
        <w:rPr>
          <w:rFonts w:ascii="Verdana" w:eastAsia="Times New Roman" w:hAnsi="Verdana" w:cs="Segoe UI"/>
          <w:sz w:val="20"/>
          <w:szCs w:val="20"/>
          <w:lang w:val="en-GB"/>
        </w:rPr>
        <w:t>such</w:t>
      </w:r>
      <w:r w:rsidR="00C2118B" w:rsidRPr="0084553A">
        <w:rPr>
          <w:rFonts w:ascii="Verdana" w:eastAsia="Times New Roman" w:hAnsi="Verdana" w:cs="Segoe UI"/>
          <w:sz w:val="20"/>
          <w:szCs w:val="20"/>
          <w:lang w:val="en-GB"/>
        </w:rPr>
        <w:t xml:space="preserve"> cases, the </w:t>
      </w:r>
      <w:r w:rsidR="003B1AA1" w:rsidRPr="0084553A">
        <w:rPr>
          <w:rFonts w:ascii="Verdana" w:eastAsia="Times New Roman" w:hAnsi="Verdana" w:cs="Segoe UI"/>
          <w:sz w:val="20"/>
          <w:szCs w:val="20"/>
          <w:lang w:val="en-GB"/>
        </w:rPr>
        <w:t>b</w:t>
      </w:r>
      <w:r w:rsidR="00C2118B" w:rsidRPr="0084553A">
        <w:rPr>
          <w:rFonts w:ascii="Verdana" w:eastAsia="Times New Roman" w:hAnsi="Verdana" w:cs="Segoe UI"/>
          <w:sz w:val="20"/>
          <w:szCs w:val="20"/>
          <w:lang w:val="en-GB"/>
        </w:rPr>
        <w:t xml:space="preserve">ank may </w:t>
      </w:r>
      <w:r w:rsidR="003B1AA1" w:rsidRPr="0084553A">
        <w:rPr>
          <w:rFonts w:ascii="Verdana" w:eastAsia="Times New Roman" w:hAnsi="Verdana" w:cs="Segoe UI"/>
          <w:sz w:val="20"/>
          <w:szCs w:val="20"/>
          <w:lang w:val="en-GB"/>
        </w:rPr>
        <w:t xml:space="preserve">be aware </w:t>
      </w:r>
      <w:r w:rsidR="00C2118B" w:rsidRPr="0084553A">
        <w:rPr>
          <w:rFonts w:ascii="Verdana" w:eastAsia="Times New Roman" w:hAnsi="Verdana" w:cs="Segoe UI"/>
          <w:sz w:val="20"/>
          <w:szCs w:val="20"/>
          <w:lang w:val="en-GB"/>
        </w:rPr>
        <w:t xml:space="preserve">of the </w:t>
      </w:r>
      <w:r w:rsidR="00EB1BB9" w:rsidRPr="0084553A">
        <w:rPr>
          <w:rFonts w:ascii="Verdana" w:eastAsia="Times New Roman" w:hAnsi="Verdana" w:cs="Segoe UI"/>
          <w:sz w:val="20"/>
          <w:szCs w:val="20"/>
          <w:lang w:val="en-GB"/>
        </w:rPr>
        <w:t>actual</w:t>
      </w:r>
      <w:r w:rsidR="00C2118B" w:rsidRPr="0084553A">
        <w:rPr>
          <w:rFonts w:ascii="Verdana" w:eastAsia="Times New Roman" w:hAnsi="Verdana" w:cs="Segoe UI"/>
          <w:sz w:val="20"/>
          <w:szCs w:val="20"/>
          <w:lang w:val="en-GB"/>
        </w:rPr>
        <w:t xml:space="preserve"> </w:t>
      </w:r>
      <w:r w:rsidR="00EB1BB9" w:rsidRPr="0084553A">
        <w:rPr>
          <w:rFonts w:ascii="Verdana" w:eastAsia="Times New Roman" w:hAnsi="Verdana" w:cs="Segoe UI"/>
          <w:sz w:val="20"/>
          <w:szCs w:val="20"/>
          <w:lang w:val="en-GB"/>
        </w:rPr>
        <w:t>residence of these individuals</w:t>
      </w:r>
      <w:r w:rsidR="00C2118B" w:rsidRPr="0084553A">
        <w:rPr>
          <w:rFonts w:ascii="Verdana" w:eastAsia="Times New Roman" w:hAnsi="Verdana" w:cs="Segoe UI"/>
          <w:sz w:val="20"/>
          <w:szCs w:val="20"/>
          <w:lang w:val="en-GB"/>
        </w:rPr>
        <w:t xml:space="preserve">, but </w:t>
      </w:r>
      <w:r w:rsidR="00EB1BB9" w:rsidRPr="0084553A">
        <w:rPr>
          <w:rFonts w:ascii="Verdana" w:eastAsia="Times New Roman" w:hAnsi="Verdana" w:cs="Segoe UI"/>
          <w:sz w:val="20"/>
          <w:szCs w:val="20"/>
          <w:lang w:val="en-GB"/>
        </w:rPr>
        <w:t>in accordance with</w:t>
      </w:r>
      <w:r w:rsidR="00C2118B" w:rsidRPr="0084553A">
        <w:rPr>
          <w:rFonts w:ascii="Verdana" w:eastAsia="Times New Roman" w:hAnsi="Verdana" w:cs="Segoe UI"/>
          <w:sz w:val="20"/>
          <w:szCs w:val="20"/>
          <w:lang w:val="en-GB"/>
        </w:rPr>
        <w:t xml:space="preserve"> national law, </w:t>
      </w:r>
      <w:r w:rsidR="00EB1BB9" w:rsidRPr="0084553A">
        <w:rPr>
          <w:rFonts w:ascii="Verdana" w:eastAsia="Times New Roman" w:hAnsi="Verdana" w:cs="Segoe UI"/>
          <w:sz w:val="20"/>
          <w:szCs w:val="20"/>
          <w:lang w:val="en-GB"/>
        </w:rPr>
        <w:t>it is obliged</w:t>
      </w:r>
      <w:r w:rsidR="00C2118B" w:rsidRPr="0084553A">
        <w:rPr>
          <w:rFonts w:ascii="Verdana" w:eastAsia="Times New Roman" w:hAnsi="Verdana" w:cs="Segoe UI"/>
          <w:sz w:val="20"/>
          <w:szCs w:val="20"/>
          <w:lang w:val="en-GB"/>
        </w:rPr>
        <w:t xml:space="preserve"> to keep this information confidential. </w:t>
      </w:r>
    </w:p>
    <w:p w14:paraId="0BB5455F" w14:textId="77777777" w:rsidR="002040C6" w:rsidRPr="0084553A" w:rsidRDefault="002040C6" w:rsidP="008B13D8">
      <w:pPr>
        <w:spacing w:after="0" w:line="240" w:lineRule="auto"/>
        <w:jc w:val="both"/>
        <w:textAlignment w:val="baseline"/>
        <w:rPr>
          <w:rFonts w:ascii="Verdana" w:eastAsia="Times New Roman" w:hAnsi="Verdana" w:cs="Segoe UI"/>
          <w:sz w:val="20"/>
          <w:szCs w:val="20"/>
          <w:lang w:val="en-GB"/>
        </w:rPr>
      </w:pPr>
    </w:p>
    <w:p w14:paraId="3BD7EE9F" w14:textId="1769F738" w:rsidR="00C2118B" w:rsidRPr="0084553A" w:rsidRDefault="00C2118B"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In </w:t>
      </w:r>
      <w:r w:rsidR="00453652" w:rsidRPr="0084553A">
        <w:rPr>
          <w:rFonts w:ascii="Verdana" w:eastAsia="Times New Roman" w:hAnsi="Verdana" w:cs="Segoe UI"/>
          <w:sz w:val="20"/>
          <w:szCs w:val="20"/>
          <w:lang w:val="en-GB"/>
        </w:rPr>
        <w:t>these cases where</w:t>
      </w:r>
      <w:r w:rsidRPr="0084553A">
        <w:rPr>
          <w:rFonts w:ascii="Verdana" w:eastAsia="Times New Roman" w:hAnsi="Verdana" w:cs="Segoe UI"/>
          <w:sz w:val="20"/>
          <w:szCs w:val="20"/>
          <w:lang w:val="en-GB"/>
        </w:rPr>
        <w:t xml:space="preserve"> the customer needs extra protection, the </w:t>
      </w:r>
      <w:r w:rsidR="00315CB7" w:rsidRPr="0084553A">
        <w:rPr>
          <w:rFonts w:ascii="Verdana" w:eastAsia="Times New Roman" w:hAnsi="Verdana" w:cs="Segoe UI"/>
          <w:sz w:val="20"/>
          <w:szCs w:val="20"/>
          <w:lang w:val="en-GB"/>
        </w:rPr>
        <w:t>b</w:t>
      </w:r>
      <w:r w:rsidRPr="0084553A">
        <w:rPr>
          <w:rFonts w:ascii="Verdana" w:eastAsia="Times New Roman" w:hAnsi="Verdana" w:cs="Segoe UI"/>
          <w:sz w:val="20"/>
          <w:szCs w:val="20"/>
          <w:lang w:val="en-GB"/>
        </w:rPr>
        <w:t>ank must use only the P.O.</w:t>
      </w:r>
      <w:r w:rsidR="00EB1BB9" w:rsidRPr="0084553A">
        <w:rPr>
          <w:rFonts w:ascii="Verdana" w:eastAsia="Times New Roman" w:hAnsi="Verdana" w:cs="Segoe UI"/>
          <w:sz w:val="20"/>
          <w:szCs w:val="20"/>
          <w:lang w:val="en-GB"/>
        </w:rPr>
        <w:t xml:space="preserve"> b</w:t>
      </w:r>
      <w:r w:rsidRPr="0084553A">
        <w:rPr>
          <w:rFonts w:ascii="Verdana" w:eastAsia="Times New Roman" w:hAnsi="Verdana" w:cs="Segoe UI"/>
          <w:sz w:val="20"/>
          <w:szCs w:val="20"/>
          <w:lang w:val="en-GB"/>
        </w:rPr>
        <w:t xml:space="preserve">ox or the poste restante-information in the payments. </w:t>
      </w:r>
    </w:p>
    <w:p w14:paraId="0F3A3FBA" w14:textId="77777777" w:rsidR="00696DC1" w:rsidRPr="0084553A" w:rsidRDefault="00696DC1" w:rsidP="008B13D8">
      <w:pPr>
        <w:spacing w:after="0" w:line="240" w:lineRule="auto"/>
        <w:jc w:val="both"/>
        <w:textAlignment w:val="baseline"/>
        <w:rPr>
          <w:rFonts w:ascii="Verdana" w:eastAsia="Times New Roman" w:hAnsi="Verdana" w:cs="Segoe UI"/>
          <w:sz w:val="20"/>
          <w:szCs w:val="20"/>
          <w:lang w:val="en-GB"/>
        </w:rPr>
      </w:pPr>
    </w:p>
    <w:p w14:paraId="75F90F3A" w14:textId="1C0088B9" w:rsidR="00696DC1" w:rsidRPr="0084553A" w:rsidRDefault="00696DC1"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We would like </w:t>
      </w:r>
      <w:r w:rsidR="0050272B" w:rsidRPr="0084553A">
        <w:rPr>
          <w:rFonts w:ascii="Verdana" w:eastAsia="Times New Roman" w:hAnsi="Verdana" w:cs="Segoe UI"/>
          <w:sz w:val="20"/>
          <w:szCs w:val="20"/>
          <w:lang w:val="en-GB"/>
        </w:rPr>
        <w:t>for these specific</w:t>
      </w:r>
      <w:r w:rsidRPr="0084553A">
        <w:rPr>
          <w:rFonts w:ascii="Verdana" w:eastAsia="Times New Roman" w:hAnsi="Verdana" w:cs="Segoe UI"/>
          <w:sz w:val="20"/>
          <w:szCs w:val="20"/>
          <w:lang w:val="en-GB"/>
        </w:rPr>
        <w:t xml:space="preserve"> situations to be reflected in paragraph 23.</w:t>
      </w:r>
    </w:p>
    <w:p w14:paraId="6CEBC36B" w14:textId="77777777" w:rsidR="002040C6" w:rsidRPr="0084553A" w:rsidRDefault="002040C6" w:rsidP="008B13D8">
      <w:pPr>
        <w:spacing w:after="0" w:line="240" w:lineRule="auto"/>
        <w:jc w:val="both"/>
        <w:textAlignment w:val="baseline"/>
        <w:rPr>
          <w:rFonts w:ascii="Verdana" w:eastAsia="Times New Roman" w:hAnsi="Verdana" w:cs="Segoe UI"/>
          <w:sz w:val="20"/>
          <w:szCs w:val="20"/>
          <w:lang w:val="en-GB"/>
        </w:rPr>
      </w:pPr>
    </w:p>
    <w:p w14:paraId="0828D123" w14:textId="3FDDC394" w:rsidR="00C2118B" w:rsidRPr="0084553A" w:rsidRDefault="00C2118B"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GDPR </w:t>
      </w:r>
      <w:r w:rsidR="0069135F" w:rsidRPr="0084553A">
        <w:rPr>
          <w:rFonts w:ascii="Verdana" w:eastAsia="Times New Roman" w:hAnsi="Verdana" w:cs="Segoe UI"/>
          <w:sz w:val="20"/>
          <w:szCs w:val="20"/>
          <w:lang w:val="en-GB"/>
        </w:rPr>
        <w:t>requirements</w:t>
      </w:r>
      <w:r w:rsidRPr="0084553A">
        <w:rPr>
          <w:rFonts w:ascii="Verdana" w:eastAsia="Times New Roman" w:hAnsi="Verdana" w:cs="Segoe UI"/>
          <w:sz w:val="20"/>
          <w:szCs w:val="20"/>
          <w:lang w:val="en-GB"/>
        </w:rPr>
        <w:t xml:space="preserve"> should</w:t>
      </w:r>
      <w:r w:rsidR="0069135F" w:rsidRPr="0084553A">
        <w:rPr>
          <w:rFonts w:ascii="Verdana" w:eastAsia="Times New Roman" w:hAnsi="Verdana" w:cs="Segoe UI"/>
          <w:sz w:val="20"/>
          <w:szCs w:val="20"/>
          <w:lang w:val="en-GB"/>
        </w:rPr>
        <w:t xml:space="preserve"> also</w:t>
      </w:r>
      <w:r w:rsidRPr="0084553A">
        <w:rPr>
          <w:rFonts w:ascii="Verdana" w:eastAsia="Times New Roman" w:hAnsi="Verdana" w:cs="Segoe UI"/>
          <w:sz w:val="20"/>
          <w:szCs w:val="20"/>
          <w:lang w:val="en-GB"/>
        </w:rPr>
        <w:t xml:space="preserve"> be considered in relation to the new demands on Paragraphs 23 and 25-26</w:t>
      </w:r>
      <w:r w:rsidR="002040C6" w:rsidRPr="0084553A">
        <w:rPr>
          <w:rFonts w:ascii="Verdana" w:eastAsia="Times New Roman" w:hAnsi="Verdana" w:cs="Segoe UI"/>
          <w:sz w:val="20"/>
          <w:szCs w:val="20"/>
          <w:lang w:val="en-GB"/>
        </w:rPr>
        <w:t>.</w:t>
      </w:r>
    </w:p>
    <w:p w14:paraId="08CD31B6" w14:textId="77777777" w:rsidR="00A70100" w:rsidRPr="0084553A" w:rsidRDefault="00A70100" w:rsidP="008B13D8">
      <w:pPr>
        <w:spacing w:after="0" w:line="240" w:lineRule="auto"/>
        <w:jc w:val="both"/>
        <w:textAlignment w:val="baseline"/>
        <w:rPr>
          <w:rFonts w:ascii="Verdana" w:eastAsia="Times New Roman" w:hAnsi="Verdana" w:cs="Segoe UI"/>
          <w:sz w:val="20"/>
          <w:szCs w:val="20"/>
          <w:lang w:val="en-GB"/>
        </w:rPr>
      </w:pPr>
    </w:p>
    <w:p w14:paraId="40110B4B" w14:textId="77777777" w:rsidR="00A70100" w:rsidRPr="0084553A" w:rsidRDefault="00A70100" w:rsidP="008B13D8">
      <w:pPr>
        <w:spacing w:after="0" w:line="240" w:lineRule="auto"/>
        <w:jc w:val="both"/>
        <w:textAlignment w:val="baseline"/>
        <w:rPr>
          <w:rFonts w:ascii="Verdana" w:eastAsia="Times New Roman" w:hAnsi="Verdana" w:cs="Segoe UI"/>
          <w:b/>
          <w:bCs/>
          <w:sz w:val="20"/>
          <w:szCs w:val="20"/>
          <w:lang w:val="en-GB"/>
        </w:rPr>
      </w:pPr>
    </w:p>
    <w:p w14:paraId="262A9324" w14:textId="6572B926" w:rsidR="00A70100" w:rsidRPr="0084553A" w:rsidRDefault="00A70100"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lastRenderedPageBreak/>
        <w:t xml:space="preserve">Paragraph 27. </w:t>
      </w:r>
    </w:p>
    <w:p w14:paraId="2D6ED398" w14:textId="77777777" w:rsidR="001B0C98" w:rsidRPr="0084553A" w:rsidRDefault="001B0C98" w:rsidP="008B13D8">
      <w:pPr>
        <w:spacing w:after="0" w:line="240" w:lineRule="auto"/>
        <w:jc w:val="both"/>
        <w:textAlignment w:val="baseline"/>
        <w:rPr>
          <w:rFonts w:ascii="Verdana" w:eastAsia="Times New Roman" w:hAnsi="Verdana" w:cs="Segoe UI"/>
          <w:sz w:val="20"/>
          <w:szCs w:val="20"/>
          <w:highlight w:val="yellow"/>
          <w:lang w:val="en-GB"/>
        </w:rPr>
      </w:pPr>
    </w:p>
    <w:p w14:paraId="3BE33F0D" w14:textId="122E77DD" w:rsidR="00971AE7" w:rsidRPr="0084553A" w:rsidRDefault="001B0C98"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P</w:t>
      </w:r>
      <w:r w:rsidR="00A70100" w:rsidRPr="0084553A">
        <w:rPr>
          <w:rFonts w:ascii="Verdana" w:eastAsia="Times New Roman" w:hAnsi="Verdana" w:cs="Segoe UI"/>
          <w:sz w:val="20"/>
          <w:szCs w:val="20"/>
          <w:lang w:val="en-GB"/>
        </w:rPr>
        <w:t xml:space="preserve">aragraph 27 states that all the addresses of joint account holders should be included in the payment message. </w:t>
      </w:r>
      <w:r w:rsidR="007F6EAD" w:rsidRPr="0084553A">
        <w:rPr>
          <w:rFonts w:ascii="Verdana" w:eastAsia="Times New Roman" w:hAnsi="Verdana" w:cs="Segoe UI"/>
          <w:sz w:val="20"/>
          <w:szCs w:val="20"/>
          <w:lang w:val="en-GB"/>
        </w:rPr>
        <w:t xml:space="preserve">In line with the observation made in the comment on paragraph 22.c, </w:t>
      </w:r>
      <w:r w:rsidRPr="0084553A">
        <w:rPr>
          <w:rFonts w:ascii="Verdana" w:eastAsia="Times New Roman" w:hAnsi="Verdana" w:cs="Segoe UI"/>
          <w:sz w:val="20"/>
          <w:szCs w:val="20"/>
          <w:lang w:val="en-GB"/>
        </w:rPr>
        <w:t>w</w:t>
      </w:r>
      <w:r w:rsidR="00A70100" w:rsidRPr="0084553A">
        <w:rPr>
          <w:rFonts w:ascii="Verdana" w:eastAsia="Times New Roman" w:hAnsi="Verdana" w:cs="Segoe UI"/>
          <w:sz w:val="20"/>
          <w:szCs w:val="20"/>
          <w:lang w:val="en-GB"/>
        </w:rPr>
        <w:t xml:space="preserve">e </w:t>
      </w:r>
      <w:r w:rsidR="000A12E1" w:rsidRPr="0084553A">
        <w:rPr>
          <w:rFonts w:ascii="Verdana" w:eastAsia="Times New Roman" w:hAnsi="Verdana" w:cs="Segoe UI"/>
          <w:sz w:val="20"/>
          <w:szCs w:val="20"/>
          <w:lang w:val="en-GB"/>
        </w:rPr>
        <w:t>find that</w:t>
      </w:r>
      <w:r w:rsidR="00A70100" w:rsidRPr="0084553A">
        <w:rPr>
          <w:rFonts w:ascii="Verdana" w:eastAsia="Times New Roman" w:hAnsi="Verdana" w:cs="Segoe UI"/>
          <w:sz w:val="20"/>
          <w:szCs w:val="20"/>
          <w:lang w:val="en-GB"/>
        </w:rPr>
        <w:t xml:space="preserve"> the payment message </w:t>
      </w:r>
      <w:r w:rsidR="000A12E1" w:rsidRPr="0084553A">
        <w:rPr>
          <w:rFonts w:ascii="Verdana" w:eastAsia="Times New Roman" w:hAnsi="Verdana" w:cs="Segoe UI"/>
          <w:sz w:val="20"/>
          <w:szCs w:val="20"/>
          <w:lang w:val="en-GB"/>
        </w:rPr>
        <w:t xml:space="preserve">may lack sufficient space to accommodate </w:t>
      </w:r>
      <w:r w:rsidR="00A70100" w:rsidRPr="0084553A">
        <w:rPr>
          <w:rFonts w:ascii="Verdana" w:eastAsia="Times New Roman" w:hAnsi="Verdana" w:cs="Segoe UI"/>
          <w:sz w:val="20"/>
          <w:szCs w:val="20"/>
          <w:lang w:val="en-GB"/>
        </w:rPr>
        <w:t>several joint account owners.</w:t>
      </w:r>
    </w:p>
    <w:p w14:paraId="0B1AC08F" w14:textId="77777777" w:rsidR="00200D88" w:rsidRPr="0084553A" w:rsidRDefault="00200D88" w:rsidP="008B13D8">
      <w:pPr>
        <w:spacing w:after="0" w:line="240" w:lineRule="auto"/>
        <w:jc w:val="both"/>
        <w:textAlignment w:val="baseline"/>
        <w:rPr>
          <w:rFonts w:ascii="Verdana" w:eastAsia="Times New Roman" w:hAnsi="Verdana" w:cs="Segoe UI"/>
          <w:sz w:val="20"/>
          <w:szCs w:val="20"/>
          <w:highlight w:val="yellow"/>
          <w:lang w:val="en-GB"/>
        </w:rPr>
      </w:pPr>
    </w:p>
    <w:p w14:paraId="4963BF04" w14:textId="77777777" w:rsidR="00200D88" w:rsidRPr="0084553A" w:rsidRDefault="00200D88" w:rsidP="008B13D8">
      <w:pPr>
        <w:spacing w:after="0" w:line="240" w:lineRule="auto"/>
        <w:jc w:val="both"/>
        <w:textAlignment w:val="baseline"/>
        <w:rPr>
          <w:rFonts w:ascii="Verdana" w:eastAsia="Times New Roman" w:hAnsi="Verdana" w:cs="Segoe UI"/>
          <w:sz w:val="20"/>
          <w:szCs w:val="20"/>
          <w:highlight w:val="yellow"/>
          <w:lang w:val="en-GB"/>
        </w:rPr>
      </w:pPr>
    </w:p>
    <w:p w14:paraId="2ABBFB9C" w14:textId="77777777" w:rsidR="00B13772" w:rsidRPr="0084553A" w:rsidRDefault="00B13772"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5.3. Monitoring of transfers (Articles 7(2), Article 11(2), Article 16(1) and Article 20 of</w:t>
      </w:r>
    </w:p>
    <w:p w14:paraId="260D95B5" w14:textId="08B0689E" w:rsidR="00C2118B" w:rsidRPr="0084553A" w:rsidRDefault="00B13772" w:rsidP="008B13D8">
      <w:pPr>
        <w:spacing w:after="0" w:line="240" w:lineRule="auto"/>
        <w:jc w:val="both"/>
        <w:textAlignment w:val="baseline"/>
        <w:rPr>
          <w:rFonts w:ascii="Verdana" w:eastAsia="Times New Roman" w:hAnsi="Verdana" w:cs="Segoe UI"/>
          <w:b/>
          <w:bCs/>
          <w:sz w:val="20"/>
          <w:szCs w:val="20"/>
          <w:lang w:val="en-GB"/>
        </w:rPr>
      </w:pPr>
      <w:r w:rsidRPr="0084553A">
        <w:rPr>
          <w:rFonts w:ascii="Verdana" w:eastAsia="Times New Roman" w:hAnsi="Verdana" w:cs="Segoe UI"/>
          <w:b/>
          <w:bCs/>
          <w:sz w:val="20"/>
          <w:szCs w:val="20"/>
          <w:lang w:val="en-GB"/>
        </w:rPr>
        <w:t>Regulation (EU) 2023/1113)</w:t>
      </w:r>
      <w:r w:rsidRPr="0084553A">
        <w:rPr>
          <w:rFonts w:ascii="Verdana" w:eastAsia="Times New Roman" w:hAnsi="Verdana" w:cs="Segoe UI"/>
          <w:b/>
          <w:bCs/>
          <w:sz w:val="20"/>
          <w:szCs w:val="20"/>
          <w:lang w:val="en-GB"/>
        </w:rPr>
        <w:cr/>
      </w:r>
    </w:p>
    <w:p w14:paraId="1D5B20E2" w14:textId="6C001B49" w:rsidR="003E4B2D" w:rsidRPr="0084553A" w:rsidRDefault="003E4B2D" w:rsidP="008B13D8">
      <w:pPr>
        <w:spacing w:after="0"/>
        <w:jc w:val="both"/>
        <w:rPr>
          <w:rFonts w:ascii="Verdana" w:hAnsi="Verdana" w:cs="Segoe UI"/>
          <w:b/>
          <w:bCs/>
          <w:sz w:val="20"/>
          <w:szCs w:val="20"/>
          <w:lang w:val="en-GB"/>
        </w:rPr>
      </w:pPr>
      <w:r w:rsidRPr="0084553A">
        <w:rPr>
          <w:rFonts w:ascii="Verdana" w:hAnsi="Verdana" w:cs="Segoe UI"/>
          <w:b/>
          <w:bCs/>
          <w:sz w:val="20"/>
          <w:szCs w:val="20"/>
          <w:lang w:val="en-GB"/>
        </w:rPr>
        <w:t xml:space="preserve">Paragraph </w:t>
      </w:r>
      <w:r w:rsidRPr="001D2517">
        <w:rPr>
          <w:rFonts w:ascii="Verdana" w:hAnsi="Verdana" w:cs="Segoe UI"/>
          <w:b/>
          <w:bCs/>
          <w:sz w:val="20"/>
          <w:szCs w:val="20"/>
          <w:lang w:val="en-GB"/>
        </w:rPr>
        <w:t>34</w:t>
      </w:r>
      <w:r w:rsidR="002040C6" w:rsidRPr="001D2517">
        <w:rPr>
          <w:rFonts w:ascii="Verdana" w:hAnsi="Verdana" w:cs="Segoe UI"/>
          <w:b/>
          <w:bCs/>
          <w:sz w:val="20"/>
          <w:szCs w:val="20"/>
          <w:lang w:val="en-GB"/>
        </w:rPr>
        <w:t xml:space="preserve">. </w:t>
      </w:r>
      <w:r w:rsidR="00D43E53" w:rsidRPr="001D2517">
        <w:rPr>
          <w:rFonts w:ascii="Verdana" w:hAnsi="Verdana" w:cs="Segoe UI"/>
          <w:b/>
          <w:bCs/>
          <w:sz w:val="20"/>
          <w:szCs w:val="20"/>
          <w:lang w:val="en-GB"/>
        </w:rPr>
        <w:t>d.</w:t>
      </w:r>
    </w:p>
    <w:p w14:paraId="24F4D7E6" w14:textId="77777777" w:rsidR="008B13D8" w:rsidRPr="0084553A" w:rsidRDefault="008B13D8" w:rsidP="008B13D8">
      <w:pPr>
        <w:spacing w:after="0"/>
        <w:jc w:val="both"/>
        <w:rPr>
          <w:rFonts w:ascii="Verdana" w:hAnsi="Verdana" w:cs="Segoe UI"/>
          <w:b/>
          <w:bCs/>
          <w:sz w:val="20"/>
          <w:szCs w:val="20"/>
          <w:lang w:val="en-GB"/>
        </w:rPr>
      </w:pPr>
    </w:p>
    <w:p w14:paraId="214ABE09" w14:textId="77777777" w:rsidR="0097652D" w:rsidRPr="0084553A" w:rsidRDefault="00E63184"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EBA added some risk factors in these guidelines</w:t>
      </w:r>
      <w:r w:rsidR="002F142E" w:rsidRPr="0084553A">
        <w:rPr>
          <w:rFonts w:ascii="Verdana" w:eastAsia="Times New Roman" w:hAnsi="Verdana" w:cs="Segoe UI"/>
          <w:sz w:val="20"/>
          <w:szCs w:val="20"/>
          <w:lang w:val="en-GB"/>
        </w:rPr>
        <w:t>, notably on the implementation of FATF recommendation</w:t>
      </w:r>
      <w:r w:rsidRPr="0084553A">
        <w:rPr>
          <w:rFonts w:ascii="Verdana" w:eastAsia="Times New Roman" w:hAnsi="Verdana" w:cs="Segoe UI"/>
          <w:sz w:val="20"/>
          <w:szCs w:val="20"/>
          <w:lang w:val="en-GB"/>
        </w:rPr>
        <w:t xml:space="preserve">. </w:t>
      </w:r>
    </w:p>
    <w:p w14:paraId="56916945" w14:textId="77777777" w:rsidR="00674F15" w:rsidRPr="0084553A" w:rsidRDefault="00674F15" w:rsidP="008B13D8">
      <w:pPr>
        <w:spacing w:after="0" w:line="240" w:lineRule="auto"/>
        <w:jc w:val="both"/>
        <w:textAlignment w:val="baseline"/>
        <w:rPr>
          <w:rFonts w:ascii="Verdana" w:eastAsia="Times New Roman" w:hAnsi="Verdana" w:cs="Segoe UI"/>
          <w:sz w:val="20"/>
          <w:szCs w:val="20"/>
          <w:lang w:val="en-GB"/>
        </w:rPr>
      </w:pPr>
    </w:p>
    <w:p w14:paraId="3ACD7099" w14:textId="77777777" w:rsidR="00A07E6E" w:rsidRPr="0084553A" w:rsidRDefault="00674F15"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Although we acknowledge the risks associated with PSPs or VASPs in countries not adhering to FATF recommendations, we are concerned that this criterion might result in a situation of de-risking. This concern is particularly relevant if applied to PSPs, as </w:t>
      </w:r>
      <w:r w:rsidR="00A57E55" w:rsidRPr="0084553A">
        <w:rPr>
          <w:rFonts w:ascii="Verdana" w:eastAsia="Times New Roman" w:hAnsi="Verdana" w:cs="Segoe UI"/>
          <w:sz w:val="20"/>
          <w:szCs w:val="20"/>
          <w:lang w:val="en-GB"/>
        </w:rPr>
        <w:t>it</w:t>
      </w:r>
      <w:r w:rsidRPr="0084553A">
        <w:rPr>
          <w:rFonts w:ascii="Verdana" w:eastAsia="Times New Roman" w:hAnsi="Verdana" w:cs="Segoe UI"/>
          <w:sz w:val="20"/>
          <w:szCs w:val="20"/>
          <w:lang w:val="en-GB"/>
        </w:rPr>
        <w:t xml:space="preserve"> may be interpreted as a </w:t>
      </w:r>
      <w:r w:rsidR="00100E3B" w:rsidRPr="0084553A">
        <w:rPr>
          <w:rFonts w:ascii="Verdana" w:eastAsia="Times New Roman" w:hAnsi="Verdana" w:cs="Segoe UI"/>
          <w:sz w:val="20"/>
          <w:szCs w:val="20"/>
          <w:lang w:val="en-GB"/>
        </w:rPr>
        <w:t>prohibition to systematically refuse transfers from countries</w:t>
      </w:r>
      <w:r w:rsidR="009D1345" w:rsidRPr="0084553A">
        <w:rPr>
          <w:rFonts w:ascii="Verdana" w:eastAsia="Times New Roman" w:hAnsi="Verdana" w:cs="Segoe UI"/>
          <w:sz w:val="20"/>
          <w:szCs w:val="20"/>
          <w:lang w:val="en-GB"/>
        </w:rPr>
        <w:t xml:space="preserve"> that are implementing or have not implemented Recital 16. </w:t>
      </w:r>
    </w:p>
    <w:p w14:paraId="2BBA91E5" w14:textId="77777777" w:rsidR="00A07E6E" w:rsidRPr="0084553A" w:rsidRDefault="00A07E6E" w:rsidP="008B13D8">
      <w:pPr>
        <w:spacing w:after="0" w:line="240" w:lineRule="auto"/>
        <w:jc w:val="both"/>
        <w:textAlignment w:val="baseline"/>
        <w:rPr>
          <w:rFonts w:ascii="Verdana" w:eastAsia="Times New Roman" w:hAnsi="Verdana" w:cs="Segoe UI"/>
          <w:sz w:val="20"/>
          <w:szCs w:val="20"/>
          <w:lang w:val="en-GB"/>
        </w:rPr>
      </w:pPr>
    </w:p>
    <w:p w14:paraId="2A046000" w14:textId="2421AC2F" w:rsidR="009F515A" w:rsidRPr="0084553A" w:rsidRDefault="00801493"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The information published by FATF are crucial in the implementation of the </w:t>
      </w:r>
      <w:r w:rsidR="00B00E89" w:rsidRPr="0084553A">
        <w:rPr>
          <w:rFonts w:ascii="Verdana" w:eastAsia="Times New Roman" w:hAnsi="Verdana" w:cs="Segoe UI"/>
          <w:sz w:val="20"/>
          <w:szCs w:val="20"/>
          <w:lang w:val="en-GB"/>
        </w:rPr>
        <w:t>risk-based</w:t>
      </w:r>
      <w:r w:rsidRPr="0084553A">
        <w:rPr>
          <w:rFonts w:ascii="Verdana" w:eastAsia="Times New Roman" w:hAnsi="Verdana" w:cs="Segoe UI"/>
          <w:sz w:val="20"/>
          <w:szCs w:val="20"/>
          <w:lang w:val="en-GB"/>
        </w:rPr>
        <w:t xml:space="preserve"> approach. However, it is not the role of financial institutions to regularly assess the implementation of FATF </w:t>
      </w:r>
      <w:r w:rsidR="001A1F1F" w:rsidRPr="0084553A">
        <w:rPr>
          <w:rFonts w:ascii="Verdana" w:eastAsia="Times New Roman" w:hAnsi="Verdana" w:cs="Segoe UI"/>
          <w:sz w:val="20"/>
          <w:szCs w:val="20"/>
          <w:lang w:val="en-GB"/>
        </w:rPr>
        <w:t xml:space="preserve">country </w:t>
      </w:r>
      <w:r w:rsidRPr="0084553A">
        <w:rPr>
          <w:rFonts w:ascii="Verdana" w:eastAsia="Times New Roman" w:hAnsi="Verdana" w:cs="Segoe UI"/>
          <w:sz w:val="20"/>
          <w:szCs w:val="20"/>
          <w:lang w:val="en-GB"/>
        </w:rPr>
        <w:t>recommendation</w:t>
      </w:r>
      <w:r w:rsidR="001A1F1F" w:rsidRPr="0084553A">
        <w:rPr>
          <w:rFonts w:ascii="Verdana" w:eastAsia="Times New Roman" w:hAnsi="Verdana" w:cs="Segoe UI"/>
          <w:sz w:val="20"/>
          <w:szCs w:val="20"/>
          <w:lang w:val="en-GB"/>
        </w:rPr>
        <w:t>s</w:t>
      </w:r>
      <w:r w:rsidRPr="0084553A">
        <w:rPr>
          <w:rFonts w:ascii="Verdana" w:eastAsia="Times New Roman" w:hAnsi="Verdana" w:cs="Segoe UI"/>
          <w:sz w:val="20"/>
          <w:szCs w:val="20"/>
          <w:lang w:val="en-GB"/>
        </w:rPr>
        <w:t xml:space="preserve">. </w:t>
      </w:r>
      <w:r w:rsidR="009F515A" w:rsidRPr="0084553A">
        <w:rPr>
          <w:rFonts w:ascii="Verdana" w:eastAsia="Times New Roman" w:hAnsi="Verdana" w:cs="Segoe UI"/>
          <w:sz w:val="20"/>
          <w:szCs w:val="20"/>
          <w:lang w:val="en-GB"/>
        </w:rPr>
        <w:t>Additionally, assessing the technical compliance of local regulations with FATF recommendations can pose challenges in low-capacity countries due to limited access to regulations.</w:t>
      </w:r>
    </w:p>
    <w:p w14:paraId="10CBFC7D" w14:textId="77777777" w:rsidR="009F515A" w:rsidRPr="0084553A" w:rsidRDefault="009F515A" w:rsidP="008B13D8">
      <w:pPr>
        <w:spacing w:after="0" w:line="240" w:lineRule="auto"/>
        <w:jc w:val="both"/>
        <w:textAlignment w:val="baseline"/>
        <w:rPr>
          <w:rFonts w:ascii="Verdana" w:eastAsia="Times New Roman" w:hAnsi="Verdana" w:cs="Segoe UI"/>
          <w:sz w:val="20"/>
          <w:szCs w:val="20"/>
          <w:lang w:val="en-GB"/>
        </w:rPr>
      </w:pPr>
    </w:p>
    <w:p w14:paraId="2718C588" w14:textId="19D5539F" w:rsidR="0072684B" w:rsidRPr="0084553A" w:rsidRDefault="00801493" w:rsidP="008B13D8">
      <w:pPr>
        <w:spacing w:after="0" w:line="240" w:lineRule="auto"/>
        <w:jc w:val="both"/>
        <w:textAlignment w:val="baseline"/>
        <w:rPr>
          <w:rFonts w:ascii="Verdana" w:eastAsia="Times New Roman" w:hAnsi="Verdana" w:cs="Segoe UI"/>
          <w:sz w:val="20"/>
          <w:szCs w:val="20"/>
          <w:lang w:val="en-GB"/>
        </w:rPr>
      </w:pPr>
      <w:r w:rsidRPr="0084553A">
        <w:rPr>
          <w:rFonts w:ascii="Verdana" w:eastAsia="Times New Roman" w:hAnsi="Verdana" w:cs="Segoe UI"/>
          <w:sz w:val="20"/>
          <w:szCs w:val="20"/>
          <w:lang w:val="en-GB"/>
        </w:rPr>
        <w:t xml:space="preserve">However, </w:t>
      </w:r>
      <w:r w:rsidR="002F142E" w:rsidRPr="0084553A">
        <w:rPr>
          <w:rFonts w:ascii="Verdana" w:eastAsia="Times New Roman" w:hAnsi="Verdana" w:cs="Segoe UI"/>
          <w:sz w:val="20"/>
          <w:szCs w:val="20"/>
          <w:lang w:val="en-GB"/>
        </w:rPr>
        <w:t>it is</w:t>
      </w:r>
      <w:r w:rsidRPr="0084553A">
        <w:rPr>
          <w:rFonts w:ascii="Verdana" w:eastAsia="Times New Roman" w:hAnsi="Verdana" w:cs="Segoe UI"/>
          <w:sz w:val="20"/>
          <w:szCs w:val="20"/>
          <w:lang w:val="en-GB"/>
        </w:rPr>
        <w:t xml:space="preserve"> relevant for VA related activities </w:t>
      </w:r>
      <w:r w:rsidR="002F142E" w:rsidRPr="0084553A">
        <w:rPr>
          <w:rFonts w:ascii="Verdana" w:eastAsia="Times New Roman" w:hAnsi="Verdana" w:cs="Segoe UI"/>
          <w:sz w:val="20"/>
          <w:szCs w:val="20"/>
          <w:lang w:val="en-GB"/>
        </w:rPr>
        <w:t>to take into account in the risk</w:t>
      </w:r>
      <w:r w:rsidRPr="0084553A">
        <w:rPr>
          <w:rFonts w:ascii="Verdana" w:eastAsia="Times New Roman" w:hAnsi="Verdana" w:cs="Segoe UI"/>
          <w:sz w:val="20"/>
          <w:szCs w:val="20"/>
          <w:lang w:val="en-GB"/>
        </w:rPr>
        <w:t xml:space="preserve"> assessment of VASP the quality of the regulation and their supervision. </w:t>
      </w:r>
      <w:r w:rsidR="002F142E" w:rsidRPr="0084553A">
        <w:rPr>
          <w:rFonts w:ascii="Verdana" w:eastAsia="Times New Roman" w:hAnsi="Verdana" w:cs="Segoe UI"/>
          <w:sz w:val="20"/>
          <w:szCs w:val="20"/>
          <w:lang w:val="en-GB"/>
        </w:rPr>
        <w:t>The drafting could rather focus on the existence of a regulation or supervision rather than referring to the implementation of FATF recommendation.</w:t>
      </w:r>
    </w:p>
    <w:p w14:paraId="169BD5FC" w14:textId="77777777" w:rsidR="003E4B2D" w:rsidRPr="0084553A" w:rsidRDefault="003E4B2D" w:rsidP="0072684B">
      <w:pPr>
        <w:spacing w:after="0" w:line="240" w:lineRule="auto"/>
        <w:jc w:val="both"/>
        <w:textAlignment w:val="baseline"/>
        <w:rPr>
          <w:rFonts w:ascii="Verdana" w:eastAsia="Times New Roman" w:hAnsi="Verdana" w:cs="Segoe UI"/>
          <w:sz w:val="20"/>
          <w:szCs w:val="20"/>
          <w:lang w:val="en-GB"/>
        </w:rPr>
      </w:pPr>
    </w:p>
    <w:sectPr w:rsidR="003E4B2D" w:rsidRPr="0084553A" w:rsidSect="00A751C0">
      <w:headerReference w:type="default" r:id="rId13"/>
      <w:footerReference w:type="default" r:id="rId14"/>
      <w:headerReference w:type="first" r:id="rId15"/>
      <w:footerReference w:type="first" r:id="rId16"/>
      <w:pgSz w:w="11907" w:h="16839" w:code="9"/>
      <w:pgMar w:top="567" w:right="1077" w:bottom="1440" w:left="1077"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7FA6" w14:textId="77777777" w:rsidR="00A751C0" w:rsidRDefault="00A751C0" w:rsidP="00F75CEC">
      <w:pPr>
        <w:spacing w:after="0" w:line="240" w:lineRule="auto"/>
      </w:pPr>
      <w:r>
        <w:separator/>
      </w:r>
    </w:p>
  </w:endnote>
  <w:endnote w:type="continuationSeparator" w:id="0">
    <w:p w14:paraId="5A6E86E7" w14:textId="77777777" w:rsidR="00A751C0" w:rsidRDefault="00A751C0" w:rsidP="00F7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33315"/>
      <w:docPartObj>
        <w:docPartGallery w:val="Page Numbers (Bottom of Page)"/>
        <w:docPartUnique/>
      </w:docPartObj>
    </w:sdtPr>
    <w:sdtEndPr>
      <w:rPr>
        <w:noProof/>
      </w:rPr>
    </w:sdtEndPr>
    <w:sdtContent>
      <w:p w14:paraId="60DFC832" w14:textId="2D013261" w:rsidR="00D525AC" w:rsidRDefault="00D525AC">
        <w:pPr>
          <w:pStyle w:val="Footer"/>
          <w:jc w:val="right"/>
        </w:pPr>
        <w:r>
          <w:fldChar w:fldCharType="begin"/>
        </w:r>
        <w:r>
          <w:instrText xml:space="preserve"> PAGE   \* MERGEFORMAT </w:instrText>
        </w:r>
        <w:r>
          <w:fldChar w:fldCharType="separate"/>
        </w:r>
        <w:r w:rsidR="00B00E89">
          <w:rPr>
            <w:noProof/>
          </w:rPr>
          <w:t>3</w:t>
        </w:r>
        <w:r>
          <w:rPr>
            <w:noProof/>
          </w:rPr>
          <w:fldChar w:fldCharType="end"/>
        </w:r>
      </w:p>
    </w:sdtContent>
  </w:sdt>
  <w:p w14:paraId="04100C25" w14:textId="77777777" w:rsidR="00D525AC" w:rsidRDefault="00D5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B1B2" w14:textId="77777777" w:rsidR="000429C9" w:rsidRPr="00B01607" w:rsidRDefault="0017300E" w:rsidP="000429C9">
    <w:pPr>
      <w:pBdr>
        <w:bottom w:val="single" w:sz="4" w:space="1" w:color="6A8B9E"/>
      </w:pBdr>
      <w:tabs>
        <w:tab w:val="center" w:pos="4703"/>
        <w:tab w:val="right" w:pos="9406"/>
      </w:tabs>
      <w:spacing w:after="0" w:line="240" w:lineRule="auto"/>
      <w:ind w:left="851" w:right="964"/>
      <w:jc w:val="center"/>
      <w:rPr>
        <w:b/>
        <w:color w:val="943931"/>
        <w:sz w:val="20"/>
        <w:szCs w:val="20"/>
      </w:rPr>
    </w:pPr>
    <w:bookmarkStart w:id="0" w:name="_Hlk128732938"/>
    <w:bookmarkStart w:id="1" w:name="_Hlk128732705"/>
    <w:bookmarkStart w:id="2" w:name="_Hlk128732493"/>
    <w:bookmarkStart w:id="3" w:name="_Hlk128732494"/>
    <w:bookmarkStart w:id="4" w:name="_Hlk128732499"/>
    <w:bookmarkStart w:id="5" w:name="_Hlk128732500"/>
    <w:bookmarkStart w:id="6" w:name="_Hlk128732501"/>
    <w:bookmarkStart w:id="7" w:name="_Hlk128732502"/>
    <w:bookmarkStart w:id="8" w:name="_Hlk128732503"/>
    <w:bookmarkStart w:id="9" w:name="_Hlk128732504"/>
    <w:bookmarkStart w:id="10" w:name="_Hlk128732505"/>
    <w:bookmarkStart w:id="11" w:name="_Hlk128732506"/>
    <w:bookmarkStart w:id="12" w:name="_Hlk128732507"/>
    <w:bookmarkStart w:id="13" w:name="_Hlk128732508"/>
    <w:bookmarkStart w:id="14" w:name="_Hlk128732509"/>
    <w:bookmarkStart w:id="15" w:name="_Hlk128732510"/>
    <w:bookmarkStart w:id="16" w:name="_Hlk128732511"/>
    <w:bookmarkStart w:id="17" w:name="_Hlk128732512"/>
    <w:bookmarkStart w:id="18" w:name="_Hlk128732513"/>
    <w:bookmarkStart w:id="19" w:name="_Hlk128732514"/>
    <w:bookmarkStart w:id="20" w:name="_Hlk128732515"/>
    <w:bookmarkStart w:id="21" w:name="_Hlk128732516"/>
    <w:bookmarkStart w:id="22" w:name="_Hlk128732517"/>
    <w:bookmarkStart w:id="23" w:name="_Hlk128732518"/>
    <w:bookmarkStart w:id="24" w:name="_Hlk128732519"/>
    <w:bookmarkStart w:id="25" w:name="_Hlk128732520"/>
    <w:bookmarkStart w:id="26" w:name="_Hlk128732521"/>
    <w:bookmarkStart w:id="27" w:name="_Hlk128732522"/>
    <w:bookmarkStart w:id="28" w:name="_Hlk128733095"/>
    <w:bookmarkStart w:id="29" w:name="_Hlk128733096"/>
    <w:bookmarkStart w:id="30" w:name="_Hlk128733126"/>
    <w:bookmarkStart w:id="31" w:name="_Hlk128733127"/>
    <w:bookmarkStart w:id="32" w:name="_Hlk128734176"/>
    <w:bookmarkStart w:id="33" w:name="_Hlk128734177"/>
    <w:bookmarkStart w:id="34" w:name="_Hlk128734197"/>
    <w:bookmarkStart w:id="35" w:name="_Hlk128734198"/>
    <w:bookmarkStart w:id="36" w:name="_Hlk128734343"/>
    <w:bookmarkStart w:id="37" w:name="_Hlk128734344"/>
    <w:bookmarkStart w:id="38" w:name="_Hlk128734369"/>
    <w:bookmarkStart w:id="39" w:name="_Hlk128734370"/>
    <w:bookmarkStart w:id="40" w:name="_Hlk128734462"/>
    <w:bookmarkStart w:id="41" w:name="_Hlk128734463"/>
    <w:bookmarkStart w:id="42" w:name="_Hlk128734572"/>
    <w:bookmarkStart w:id="43" w:name="_Hlk128734573"/>
    <w:bookmarkStart w:id="44" w:name="_Hlk128734607"/>
    <w:bookmarkStart w:id="45" w:name="_Hlk128734608"/>
    <w:bookmarkStart w:id="46" w:name="_Hlk128734701"/>
    <w:bookmarkStart w:id="47" w:name="_Hlk128734702"/>
    <w:bookmarkStart w:id="48" w:name="_Hlk128734834"/>
    <w:bookmarkStart w:id="49" w:name="_Hlk128734835"/>
    <w:bookmarkStart w:id="50" w:name="_Hlk128734899"/>
    <w:bookmarkStart w:id="51" w:name="_Hlk128734900"/>
    <w:bookmarkStart w:id="52" w:name="_Hlk128735036"/>
    <w:bookmarkStart w:id="53" w:name="_Hlk128735037"/>
    <w:bookmarkStart w:id="54" w:name="_Hlk128735097"/>
    <w:bookmarkStart w:id="55" w:name="_Hlk128735098"/>
    <w:bookmarkStart w:id="56" w:name="_Hlk128735299"/>
    <w:bookmarkStart w:id="57" w:name="_Hlk128735300"/>
    <w:bookmarkStart w:id="58" w:name="_Hlk128735466"/>
    <w:bookmarkStart w:id="59" w:name="_Hlk128735467"/>
    <w:r>
      <w:rPr>
        <w:b/>
        <w:color w:val="943931"/>
        <w:sz w:val="20"/>
        <w:szCs w:val="20"/>
      </w:rPr>
      <w:t>The voice of 2.</w:t>
    </w:r>
    <w:r w:rsidR="00343897">
      <w:rPr>
        <w:b/>
        <w:color w:val="943931"/>
        <w:sz w:val="20"/>
        <w:szCs w:val="20"/>
      </w:rPr>
      <w:t>7</w:t>
    </w:r>
    <w:r>
      <w:rPr>
        <w:b/>
        <w:color w:val="943931"/>
        <w:sz w:val="20"/>
        <w:szCs w:val="20"/>
      </w:rPr>
      <w:t>00 local and retail banks, 8</w:t>
    </w:r>
    <w:r w:rsidR="00631993">
      <w:rPr>
        <w:b/>
        <w:color w:val="943931"/>
        <w:sz w:val="20"/>
        <w:szCs w:val="20"/>
      </w:rPr>
      <w:t>9</w:t>
    </w:r>
    <w:r w:rsidR="000429C9" w:rsidRPr="00B01607">
      <w:rPr>
        <w:b/>
        <w:color w:val="943931"/>
        <w:sz w:val="20"/>
        <w:szCs w:val="20"/>
      </w:rPr>
      <w:t xml:space="preserve"> million members, 2</w:t>
    </w:r>
    <w:r w:rsidR="00FD20C2">
      <w:rPr>
        <w:b/>
        <w:color w:val="943931"/>
        <w:sz w:val="20"/>
        <w:szCs w:val="20"/>
      </w:rPr>
      <w:t>2</w:t>
    </w:r>
    <w:r w:rsidR="00631993">
      <w:rPr>
        <w:b/>
        <w:color w:val="943931"/>
        <w:sz w:val="20"/>
        <w:szCs w:val="20"/>
      </w:rPr>
      <w:t>7</w:t>
    </w:r>
    <w:r w:rsidR="000429C9" w:rsidRPr="00B01607">
      <w:rPr>
        <w:b/>
        <w:color w:val="943931"/>
        <w:sz w:val="20"/>
        <w:szCs w:val="20"/>
      </w:rPr>
      <w:t xml:space="preserve"> million customers in E</w:t>
    </w:r>
    <w:r w:rsidR="00FD20C2">
      <w:rPr>
        <w:b/>
        <w:color w:val="943931"/>
        <w:sz w:val="20"/>
        <w:szCs w:val="20"/>
      </w:rPr>
      <w:t>urope</w:t>
    </w:r>
  </w:p>
  <w:bookmarkEnd w:id="0"/>
  <w:p w14:paraId="3A20A460" w14:textId="77777777" w:rsidR="000429C9" w:rsidRPr="00B01607" w:rsidRDefault="000429C9" w:rsidP="000429C9">
    <w:pPr>
      <w:tabs>
        <w:tab w:val="center" w:pos="4703"/>
        <w:tab w:val="right" w:pos="9406"/>
      </w:tabs>
      <w:spacing w:after="0" w:line="240" w:lineRule="exact"/>
      <w:ind w:left="426" w:right="566"/>
      <w:jc w:val="center"/>
      <w:rPr>
        <w:rFonts w:ascii="Verdana" w:eastAsia="Calibri" w:hAnsi="Verdana" w:cs="Times New Roman"/>
        <w:color w:val="6A8B9E"/>
        <w:sz w:val="14"/>
        <w:szCs w:val="14"/>
        <w:lang w:val="fr-FR"/>
      </w:rPr>
    </w:pPr>
    <w:r w:rsidRPr="00B01607">
      <w:rPr>
        <w:rFonts w:ascii="Verdana" w:eastAsia="Calibri" w:hAnsi="Verdana" w:cs="Times New Roman"/>
        <w:b/>
        <w:color w:val="6A8B9E"/>
        <w:sz w:val="14"/>
        <w:szCs w:val="14"/>
        <w:lang w:val="fr-FR"/>
      </w:rPr>
      <w:t>EACB AISBL</w:t>
    </w:r>
    <w:r w:rsidRPr="00B01607">
      <w:rPr>
        <w:rFonts w:ascii="Verdana" w:eastAsia="Calibri" w:hAnsi="Verdana" w:cs="Times New Roman"/>
        <w:color w:val="6A8B9E"/>
        <w:sz w:val="14"/>
        <w:szCs w:val="14"/>
        <w:lang w:val="fr-FR"/>
      </w:rPr>
      <w:t xml:space="preserve"> – Secretariat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lang w:val="fr-BE"/>
      </w:rPr>
      <w:t xml:space="preserve"> </w:t>
    </w:r>
    <w:r w:rsidRPr="00B01607">
      <w:rPr>
        <w:rFonts w:ascii="Verdana" w:eastAsia="Calibri" w:hAnsi="Verdana" w:cs="Times New Roman"/>
        <w:color w:val="6A8B9E"/>
        <w:sz w:val="14"/>
        <w:szCs w:val="14"/>
        <w:lang w:val="fr-FR"/>
      </w:rPr>
      <w:t xml:space="preserve">Rue de l’Industrie 26-38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lang w:val="fr-FR"/>
      </w:rPr>
      <w:t xml:space="preserve"> B-1040 Brussels </w:t>
    </w:r>
  </w:p>
  <w:p w14:paraId="114EBEE2" w14:textId="77777777" w:rsidR="000429C9" w:rsidRPr="00B01607" w:rsidRDefault="000429C9" w:rsidP="000429C9">
    <w:pPr>
      <w:tabs>
        <w:tab w:val="center" w:pos="4703"/>
        <w:tab w:val="right" w:pos="9406"/>
      </w:tabs>
      <w:spacing w:after="0" w:line="240" w:lineRule="exact"/>
      <w:ind w:left="426" w:right="566"/>
      <w:jc w:val="center"/>
      <w:rPr>
        <w:rFonts w:ascii="Verdana" w:eastAsia="Calibri" w:hAnsi="Verdana" w:cs="Times New Roman"/>
        <w:color w:val="6A8B9E"/>
        <w:sz w:val="14"/>
        <w:szCs w:val="14"/>
      </w:rPr>
    </w:pPr>
    <w:r w:rsidRPr="00B01607">
      <w:rPr>
        <w:rFonts w:ascii="Verdana" w:eastAsia="Calibri" w:hAnsi="Verdana" w:cs="Times New Roman"/>
        <w:color w:val="6A8B9E"/>
        <w:sz w:val="14"/>
        <w:szCs w:val="14"/>
      </w:rPr>
      <w:t xml:space="preserve">Tel: (+32 2) 230 11 24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rPr>
      <w:t xml:space="preserve"> Enterprise 0896.081.149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rPr>
      <w:t xml:space="preserve"> lobbying register 4172526951-19</w:t>
    </w:r>
  </w:p>
  <w:bookmarkEnd w:id="1"/>
  <w:p w14:paraId="14FDACEF" w14:textId="77777777" w:rsidR="000429C9" w:rsidRPr="0078700F" w:rsidRDefault="002140A5" w:rsidP="000429C9">
    <w:pPr>
      <w:tabs>
        <w:tab w:val="center" w:pos="4703"/>
        <w:tab w:val="right" w:pos="9406"/>
      </w:tabs>
      <w:spacing w:after="0" w:line="240" w:lineRule="auto"/>
      <w:jc w:val="center"/>
      <w:rPr>
        <w:color w:val="6A8B9E"/>
      </w:rPr>
    </w:pPr>
    <w:r>
      <w:rPr>
        <w:lang w:val="en-GB"/>
      </w:rPr>
      <w:fldChar w:fldCharType="begin"/>
    </w:r>
    <w:r w:rsidRPr="0078700F">
      <w:instrText>HYPERLINK "http://www.eacb.coop"</w:instrText>
    </w:r>
    <w:r>
      <w:rPr>
        <w:lang w:val="en-GB"/>
      </w:rPr>
    </w:r>
    <w:r>
      <w:rPr>
        <w:lang w:val="en-GB"/>
      </w:rPr>
      <w:fldChar w:fldCharType="separate"/>
    </w:r>
    <w:r w:rsidR="000429C9" w:rsidRPr="0078700F">
      <w:rPr>
        <w:rFonts w:ascii="Verdana" w:eastAsia="Calibri" w:hAnsi="Verdana" w:cs="Times New Roman"/>
        <w:color w:val="6A8B9E"/>
        <w:sz w:val="14"/>
        <w:szCs w:val="14"/>
        <w:u w:val="single"/>
      </w:rPr>
      <w:t>www.eacb.coop</w:t>
    </w:r>
    <w:r>
      <w:rPr>
        <w:rFonts w:ascii="Verdana" w:eastAsia="Calibri" w:hAnsi="Verdana" w:cs="Times New Roman"/>
        <w:color w:val="6A8B9E"/>
        <w:sz w:val="14"/>
        <w:szCs w:val="14"/>
        <w:u w:val="single"/>
        <w:lang w:val="it-IT"/>
      </w:rPr>
      <w:fldChar w:fldCharType="end"/>
    </w:r>
    <w:r w:rsidR="000429C9" w:rsidRPr="0078700F">
      <w:rPr>
        <w:rFonts w:ascii="Verdana" w:eastAsia="Calibri" w:hAnsi="Verdana" w:cs="Times New Roman"/>
        <w:color w:val="6A8B9E"/>
        <w:sz w:val="14"/>
        <w:szCs w:val="14"/>
      </w:rPr>
      <w:t xml:space="preserve">  </w:t>
    </w:r>
    <w:r w:rsidR="000429C9" w:rsidRPr="00B01607">
      <w:rPr>
        <w:rFonts w:ascii="Verdana" w:eastAsia="Calibri" w:hAnsi="Verdana" w:cs="Times New Roman"/>
        <w:color w:val="6A8B9E"/>
        <w:sz w:val="14"/>
        <w:szCs w:val="14"/>
      </w:rPr>
      <w:sym w:font="Symbol" w:char="F0B7"/>
    </w:r>
    <w:r w:rsidR="000429C9" w:rsidRPr="0078700F">
      <w:rPr>
        <w:rFonts w:ascii="Verdana" w:eastAsia="Calibri" w:hAnsi="Verdana" w:cs="Times New Roman"/>
        <w:color w:val="6A8B9E"/>
        <w:sz w:val="14"/>
        <w:szCs w:val="14"/>
      </w:rPr>
      <w:t xml:space="preserve"> e-mail : </w:t>
    </w:r>
    <w:hyperlink r:id="rId1" w:history="1">
      <w:r w:rsidR="000429C9" w:rsidRPr="0078700F">
        <w:rPr>
          <w:rFonts w:ascii="Verdana" w:eastAsia="Calibri" w:hAnsi="Verdana" w:cs="Times New Roman"/>
          <w:color w:val="6A8B9E"/>
          <w:sz w:val="14"/>
          <w:szCs w:val="14"/>
          <w:u w:val="single"/>
        </w:rPr>
        <w:t>secretariat@eacb.coop</w:t>
      </w:r>
    </w:hyperlink>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62E01594" w14:textId="77777777" w:rsidR="00D525AC" w:rsidRPr="0078700F" w:rsidRDefault="00D525AC" w:rsidP="00D525AC">
    <w:pPr>
      <w:tabs>
        <w:tab w:val="center" w:pos="4703"/>
        <w:tab w:val="right" w:pos="940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11C3" w14:textId="77777777" w:rsidR="00A751C0" w:rsidRDefault="00A751C0" w:rsidP="00F75CEC">
      <w:pPr>
        <w:spacing w:after="0" w:line="240" w:lineRule="auto"/>
      </w:pPr>
      <w:r>
        <w:separator/>
      </w:r>
    </w:p>
  </w:footnote>
  <w:footnote w:type="continuationSeparator" w:id="0">
    <w:p w14:paraId="754433E9" w14:textId="77777777" w:rsidR="00A751C0" w:rsidRDefault="00A751C0" w:rsidP="00F75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84A0AF"/>
        <w:left w:val="none" w:sz="0" w:space="0" w:color="auto"/>
        <w:bottom w:val="single" w:sz="4" w:space="0" w:color="84A0AF"/>
        <w:right w:val="none" w:sz="0" w:space="0" w:color="auto"/>
        <w:insideH w:val="none" w:sz="0" w:space="0" w:color="auto"/>
        <w:insideV w:val="none" w:sz="0" w:space="0" w:color="auto"/>
      </w:tblBorders>
      <w:tblLook w:val="04A0" w:firstRow="1" w:lastRow="0" w:firstColumn="1" w:lastColumn="0" w:noHBand="0" w:noVBand="1"/>
    </w:tblPr>
    <w:tblGrid>
      <w:gridCol w:w="1362"/>
      <w:gridCol w:w="8391"/>
    </w:tblGrid>
    <w:tr w:rsidR="00F87EF2" w:rsidRPr="00354F99" w14:paraId="7DDE023F" w14:textId="77777777" w:rsidTr="00D065D6">
      <w:trPr>
        <w:trHeight w:val="1266"/>
        <w:jc w:val="center"/>
      </w:trPr>
      <w:tc>
        <w:tcPr>
          <w:tcW w:w="1362" w:type="dxa"/>
        </w:tcPr>
        <w:p w14:paraId="65C01C86" w14:textId="77777777" w:rsidR="00F87EF2" w:rsidRPr="00354F99" w:rsidRDefault="00F87EF2" w:rsidP="00F87EF2">
          <w:pPr>
            <w:tabs>
              <w:tab w:val="center" w:pos="4703"/>
              <w:tab w:val="right" w:pos="9406"/>
            </w:tabs>
            <w:rPr>
              <w:rFonts w:ascii="Calibri" w:eastAsia="Calibri" w:hAnsi="Calibri" w:cs="Times New Roman"/>
            </w:rPr>
          </w:pPr>
          <w:r>
            <w:rPr>
              <w:rFonts w:ascii="Calibri" w:eastAsia="Calibri" w:hAnsi="Calibri" w:cs="Times New Roman"/>
              <w:noProof/>
              <w:lang w:val="fr-FR" w:eastAsia="fr-FR"/>
            </w:rPr>
            <w:drawing>
              <wp:anchor distT="0" distB="0" distL="114300" distR="114300" simplePos="0" relativeHeight="251666432" behindDoc="0" locked="0" layoutInCell="1" allowOverlap="1" wp14:anchorId="48E95EB1" wp14:editId="3BE2755B">
                <wp:simplePos x="0" y="0"/>
                <wp:positionH relativeFrom="column">
                  <wp:posOffset>17145</wp:posOffset>
                </wp:positionH>
                <wp:positionV relativeFrom="paragraph">
                  <wp:posOffset>58420</wp:posOffset>
                </wp:positionV>
                <wp:extent cx="790575" cy="7302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logo ea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30266"/>
                        </a:xfrm>
                        <a:prstGeom prst="rect">
                          <a:avLst/>
                        </a:prstGeom>
                      </pic:spPr>
                    </pic:pic>
                  </a:graphicData>
                </a:graphic>
                <wp14:sizeRelH relativeFrom="page">
                  <wp14:pctWidth>0</wp14:pctWidth>
                </wp14:sizeRelH>
                <wp14:sizeRelV relativeFrom="page">
                  <wp14:pctHeight>0</wp14:pctHeight>
                </wp14:sizeRelV>
              </wp:anchor>
            </w:drawing>
          </w:r>
        </w:p>
      </w:tc>
      <w:tc>
        <w:tcPr>
          <w:tcW w:w="8391" w:type="dxa"/>
        </w:tcPr>
        <w:p w14:paraId="161321A4" w14:textId="77777777" w:rsidR="00F87EF2" w:rsidRPr="00354F99" w:rsidRDefault="00F87EF2" w:rsidP="00F87EF2">
          <w:pPr>
            <w:tabs>
              <w:tab w:val="center" w:pos="4703"/>
              <w:tab w:val="right" w:pos="9406"/>
            </w:tabs>
            <w:ind w:left="798"/>
            <w:rPr>
              <w:rFonts w:ascii="Calibri" w:eastAsia="Calibri" w:hAnsi="Calibri" w:cs="Times New Roman"/>
            </w:rPr>
          </w:pPr>
        </w:p>
        <w:p w14:paraId="76FE45B3" w14:textId="77777777" w:rsidR="00F87EF2" w:rsidRPr="00231EB0" w:rsidRDefault="00F87EF2" w:rsidP="00F87EF2">
          <w:pPr>
            <w:tabs>
              <w:tab w:val="center" w:pos="4703"/>
              <w:tab w:val="right" w:pos="9406"/>
            </w:tabs>
            <w:ind w:left="231"/>
            <w:rPr>
              <w:rFonts w:ascii="Calibri" w:eastAsia="Calibri" w:hAnsi="Calibri" w:cs="Times New Roman"/>
              <w:b/>
              <w:color w:val="6A8B9E"/>
              <w:sz w:val="28"/>
              <w:szCs w:val="28"/>
            </w:rPr>
          </w:pPr>
          <w:r w:rsidRPr="00231EB0">
            <w:rPr>
              <w:rFonts w:ascii="Calibri" w:eastAsia="Calibri" w:hAnsi="Calibri" w:cs="Times New Roman"/>
              <w:b/>
              <w:color w:val="6A8B9E"/>
              <w:sz w:val="28"/>
              <w:szCs w:val="28"/>
            </w:rPr>
            <w:t>EUROPEAN ASSOCIATION OF CO-OPERATIVE BANKS</w:t>
          </w:r>
        </w:p>
        <w:p w14:paraId="13C4DBEA" w14:textId="77777777" w:rsidR="00F87EF2" w:rsidRPr="00231EB0" w:rsidRDefault="00F87EF2" w:rsidP="00F87EF2">
          <w:pPr>
            <w:tabs>
              <w:tab w:val="center" w:pos="4703"/>
              <w:tab w:val="right" w:pos="9406"/>
            </w:tabs>
            <w:ind w:left="231"/>
            <w:rPr>
              <w:rFonts w:ascii="Calibri" w:eastAsia="Calibri" w:hAnsi="Calibri" w:cs="Times New Roman"/>
              <w:b/>
              <w:color w:val="6A8B9E"/>
            </w:rPr>
          </w:pPr>
          <w:r w:rsidRPr="00231EB0">
            <w:rPr>
              <w:rFonts w:ascii="Calibri" w:eastAsia="Calibri" w:hAnsi="Calibri" w:cs="Times New Roman"/>
              <w:b/>
              <w:color w:val="6A8B9E"/>
            </w:rPr>
            <w:t xml:space="preserve">The Co-operative Difference :  </w:t>
          </w:r>
          <w:r w:rsidRPr="00B01607">
            <w:rPr>
              <w:rFonts w:ascii="Calibri" w:eastAsia="Calibri" w:hAnsi="Calibri" w:cs="Times New Roman"/>
              <w:b/>
              <w:color w:val="6A8B9E"/>
            </w:rPr>
            <w:t>Sustainability</w:t>
          </w:r>
          <w:r w:rsidRPr="00231EB0">
            <w:rPr>
              <w:rFonts w:ascii="Calibri" w:eastAsia="Calibri" w:hAnsi="Calibri" w:cs="Times New Roman"/>
              <w:b/>
              <w:color w:val="6A8B9E"/>
            </w:rPr>
            <w:t xml:space="preserve">, Proximity, Governance </w:t>
          </w:r>
        </w:p>
        <w:p w14:paraId="02356B77" w14:textId="77777777" w:rsidR="00F87EF2" w:rsidRDefault="00F87EF2" w:rsidP="00F87EF2">
          <w:pPr>
            <w:tabs>
              <w:tab w:val="center" w:pos="4703"/>
              <w:tab w:val="right" w:pos="9406"/>
            </w:tabs>
            <w:ind w:left="798"/>
            <w:rPr>
              <w:rFonts w:ascii="Calibri" w:eastAsia="Calibri" w:hAnsi="Calibri" w:cs="Times New Roman"/>
              <w:b/>
              <w:color w:val="767171"/>
            </w:rPr>
          </w:pPr>
        </w:p>
        <w:p w14:paraId="56686455" w14:textId="77777777" w:rsidR="00F87EF2" w:rsidRPr="00EB4738" w:rsidRDefault="00F87EF2" w:rsidP="00F87EF2">
          <w:pPr>
            <w:tabs>
              <w:tab w:val="center" w:pos="4703"/>
              <w:tab w:val="right" w:pos="9406"/>
            </w:tabs>
            <w:ind w:left="798"/>
            <w:rPr>
              <w:rFonts w:ascii="Calibri" w:eastAsia="Calibri" w:hAnsi="Calibri" w:cs="Times New Roman"/>
              <w:b/>
            </w:rPr>
          </w:pPr>
        </w:p>
      </w:tc>
    </w:tr>
  </w:tbl>
  <w:p w14:paraId="490914E9" w14:textId="77777777" w:rsidR="00F75CEC" w:rsidRDefault="00F75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84A0AF"/>
        <w:left w:val="none" w:sz="0" w:space="0" w:color="auto"/>
        <w:bottom w:val="single" w:sz="4" w:space="0" w:color="84A0AF"/>
        <w:right w:val="none" w:sz="0" w:space="0" w:color="auto"/>
        <w:insideH w:val="none" w:sz="0" w:space="0" w:color="auto"/>
        <w:insideV w:val="none" w:sz="0" w:space="0" w:color="auto"/>
      </w:tblBorders>
      <w:tblLook w:val="04A0" w:firstRow="1" w:lastRow="0" w:firstColumn="1" w:lastColumn="0" w:noHBand="0" w:noVBand="1"/>
    </w:tblPr>
    <w:tblGrid>
      <w:gridCol w:w="1362"/>
      <w:gridCol w:w="8391"/>
    </w:tblGrid>
    <w:tr w:rsidR="00886D1A" w:rsidRPr="00354F99" w14:paraId="4EA44B35" w14:textId="77777777" w:rsidTr="00D065D6">
      <w:trPr>
        <w:trHeight w:val="1266"/>
        <w:jc w:val="center"/>
      </w:trPr>
      <w:tc>
        <w:tcPr>
          <w:tcW w:w="1362" w:type="dxa"/>
        </w:tcPr>
        <w:p w14:paraId="24B34CF3" w14:textId="77777777" w:rsidR="00886D1A" w:rsidRPr="00354F99" w:rsidRDefault="00886D1A" w:rsidP="00886D1A">
          <w:pPr>
            <w:tabs>
              <w:tab w:val="center" w:pos="4703"/>
              <w:tab w:val="right" w:pos="9406"/>
            </w:tabs>
            <w:rPr>
              <w:rFonts w:ascii="Calibri" w:eastAsia="Calibri" w:hAnsi="Calibri" w:cs="Times New Roman"/>
            </w:rPr>
          </w:pPr>
          <w:r>
            <w:rPr>
              <w:rFonts w:ascii="Calibri" w:eastAsia="Calibri" w:hAnsi="Calibri" w:cs="Times New Roman"/>
              <w:noProof/>
              <w:lang w:val="fr-FR" w:eastAsia="fr-FR"/>
            </w:rPr>
            <w:drawing>
              <wp:anchor distT="0" distB="0" distL="114300" distR="114300" simplePos="0" relativeHeight="251663360" behindDoc="0" locked="0" layoutInCell="1" allowOverlap="1" wp14:anchorId="79BD01B7" wp14:editId="62F7CBA1">
                <wp:simplePos x="0" y="0"/>
                <wp:positionH relativeFrom="column">
                  <wp:posOffset>17145</wp:posOffset>
                </wp:positionH>
                <wp:positionV relativeFrom="paragraph">
                  <wp:posOffset>58420</wp:posOffset>
                </wp:positionV>
                <wp:extent cx="790575" cy="730266"/>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logo ea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30266"/>
                        </a:xfrm>
                        <a:prstGeom prst="rect">
                          <a:avLst/>
                        </a:prstGeom>
                      </pic:spPr>
                    </pic:pic>
                  </a:graphicData>
                </a:graphic>
                <wp14:sizeRelH relativeFrom="page">
                  <wp14:pctWidth>0</wp14:pctWidth>
                </wp14:sizeRelH>
                <wp14:sizeRelV relativeFrom="page">
                  <wp14:pctHeight>0</wp14:pctHeight>
                </wp14:sizeRelV>
              </wp:anchor>
            </w:drawing>
          </w:r>
        </w:p>
      </w:tc>
      <w:tc>
        <w:tcPr>
          <w:tcW w:w="8391" w:type="dxa"/>
        </w:tcPr>
        <w:p w14:paraId="0D9BC48C" w14:textId="77777777" w:rsidR="00886D1A" w:rsidRPr="00354F99" w:rsidRDefault="00886D1A" w:rsidP="00886D1A">
          <w:pPr>
            <w:tabs>
              <w:tab w:val="center" w:pos="4703"/>
              <w:tab w:val="right" w:pos="9406"/>
            </w:tabs>
            <w:ind w:left="798"/>
            <w:rPr>
              <w:rFonts w:ascii="Calibri" w:eastAsia="Calibri" w:hAnsi="Calibri" w:cs="Times New Roman"/>
            </w:rPr>
          </w:pPr>
        </w:p>
        <w:p w14:paraId="2BCFE02A" w14:textId="77777777" w:rsidR="00886D1A" w:rsidRPr="00231EB0" w:rsidRDefault="00886D1A" w:rsidP="00886D1A">
          <w:pPr>
            <w:tabs>
              <w:tab w:val="center" w:pos="4703"/>
              <w:tab w:val="right" w:pos="9406"/>
            </w:tabs>
            <w:ind w:left="231"/>
            <w:rPr>
              <w:rFonts w:ascii="Calibri" w:eastAsia="Calibri" w:hAnsi="Calibri" w:cs="Times New Roman"/>
              <w:b/>
              <w:color w:val="6A8B9E"/>
              <w:sz w:val="28"/>
              <w:szCs w:val="28"/>
            </w:rPr>
          </w:pPr>
          <w:r w:rsidRPr="00231EB0">
            <w:rPr>
              <w:rFonts w:ascii="Calibri" w:eastAsia="Calibri" w:hAnsi="Calibri" w:cs="Times New Roman"/>
              <w:b/>
              <w:color w:val="6A8B9E"/>
              <w:sz w:val="28"/>
              <w:szCs w:val="28"/>
            </w:rPr>
            <w:t>EUROPEAN ASSOCIATION OF CO-OPERATIVE BANKS</w:t>
          </w:r>
        </w:p>
        <w:p w14:paraId="60D772AA" w14:textId="77777777" w:rsidR="00886D1A" w:rsidRPr="00231EB0" w:rsidRDefault="00886D1A" w:rsidP="00886D1A">
          <w:pPr>
            <w:tabs>
              <w:tab w:val="center" w:pos="4703"/>
              <w:tab w:val="right" w:pos="9406"/>
            </w:tabs>
            <w:ind w:left="231"/>
            <w:rPr>
              <w:rFonts w:ascii="Calibri" w:eastAsia="Calibri" w:hAnsi="Calibri" w:cs="Times New Roman"/>
              <w:b/>
              <w:color w:val="6A8B9E"/>
            </w:rPr>
          </w:pPr>
          <w:r w:rsidRPr="00231EB0">
            <w:rPr>
              <w:rFonts w:ascii="Calibri" w:eastAsia="Calibri" w:hAnsi="Calibri" w:cs="Times New Roman"/>
              <w:b/>
              <w:color w:val="6A8B9E"/>
            </w:rPr>
            <w:t xml:space="preserve">The Cooperative Difference: </w:t>
          </w:r>
          <w:r w:rsidRPr="00B01607">
            <w:rPr>
              <w:rFonts w:ascii="Calibri" w:eastAsia="Calibri" w:hAnsi="Calibri" w:cs="Times New Roman"/>
              <w:b/>
              <w:color w:val="6A8B9E"/>
            </w:rPr>
            <w:t>Sustainability</w:t>
          </w:r>
          <w:r w:rsidRPr="00231EB0">
            <w:rPr>
              <w:rFonts w:ascii="Calibri" w:eastAsia="Calibri" w:hAnsi="Calibri" w:cs="Times New Roman"/>
              <w:b/>
              <w:color w:val="6A8B9E"/>
            </w:rPr>
            <w:t xml:space="preserve">, Proximity, Governance </w:t>
          </w:r>
        </w:p>
        <w:p w14:paraId="4456C191" w14:textId="77777777" w:rsidR="00886D1A" w:rsidRDefault="00886D1A" w:rsidP="00886D1A">
          <w:pPr>
            <w:tabs>
              <w:tab w:val="center" w:pos="4703"/>
              <w:tab w:val="right" w:pos="9406"/>
            </w:tabs>
            <w:ind w:left="798"/>
            <w:rPr>
              <w:rFonts w:ascii="Calibri" w:eastAsia="Calibri" w:hAnsi="Calibri" w:cs="Times New Roman"/>
              <w:b/>
              <w:color w:val="767171"/>
            </w:rPr>
          </w:pPr>
        </w:p>
        <w:p w14:paraId="4F4CC166" w14:textId="77777777" w:rsidR="00886D1A" w:rsidRPr="00EB4738" w:rsidRDefault="00886D1A" w:rsidP="00886D1A">
          <w:pPr>
            <w:tabs>
              <w:tab w:val="center" w:pos="4703"/>
              <w:tab w:val="right" w:pos="9406"/>
            </w:tabs>
            <w:ind w:left="798"/>
            <w:rPr>
              <w:rFonts w:ascii="Calibri" w:eastAsia="Calibri" w:hAnsi="Calibri" w:cs="Times New Roman"/>
              <w:b/>
            </w:rPr>
          </w:pPr>
        </w:p>
      </w:tc>
    </w:tr>
  </w:tbl>
  <w:p w14:paraId="0FE61257" w14:textId="77777777" w:rsidR="00D525AC" w:rsidRDefault="00D52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8AC"/>
    <w:multiLevelType w:val="hybridMultilevel"/>
    <w:tmpl w:val="C28AA39C"/>
    <w:lvl w:ilvl="0" w:tplc="A66AD10E">
      <w:start w:val="1"/>
      <w:numFmt w:val="lowerLetter"/>
      <w:lvlText w:val="%1."/>
      <w:lvlJc w:val="left"/>
      <w:pPr>
        <w:ind w:left="1440" w:hanging="360"/>
      </w:p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start w:val="1"/>
      <w:numFmt w:val="decimal"/>
      <w:lvlText w:val="%4."/>
      <w:lvlJc w:val="left"/>
      <w:pPr>
        <w:ind w:left="3600" w:hanging="360"/>
      </w:pPr>
    </w:lvl>
    <w:lvl w:ilvl="4" w:tplc="20000019">
      <w:start w:val="1"/>
      <w:numFmt w:val="lowerLetter"/>
      <w:lvlText w:val="%5."/>
      <w:lvlJc w:val="left"/>
      <w:pPr>
        <w:ind w:left="4320" w:hanging="360"/>
      </w:pPr>
    </w:lvl>
    <w:lvl w:ilvl="5" w:tplc="2000001B">
      <w:start w:val="1"/>
      <w:numFmt w:val="lowerRoman"/>
      <w:lvlText w:val="%6."/>
      <w:lvlJc w:val="right"/>
      <w:pPr>
        <w:ind w:left="5040" w:hanging="180"/>
      </w:pPr>
    </w:lvl>
    <w:lvl w:ilvl="6" w:tplc="2000000F">
      <w:start w:val="1"/>
      <w:numFmt w:val="decimal"/>
      <w:lvlText w:val="%7."/>
      <w:lvlJc w:val="left"/>
      <w:pPr>
        <w:ind w:left="5760" w:hanging="360"/>
      </w:pPr>
    </w:lvl>
    <w:lvl w:ilvl="7" w:tplc="20000019">
      <w:start w:val="1"/>
      <w:numFmt w:val="lowerLetter"/>
      <w:lvlText w:val="%8."/>
      <w:lvlJc w:val="left"/>
      <w:pPr>
        <w:ind w:left="6480" w:hanging="360"/>
      </w:pPr>
    </w:lvl>
    <w:lvl w:ilvl="8" w:tplc="2000001B">
      <w:start w:val="1"/>
      <w:numFmt w:val="lowerRoman"/>
      <w:lvlText w:val="%9."/>
      <w:lvlJc w:val="right"/>
      <w:pPr>
        <w:ind w:left="7200" w:hanging="180"/>
      </w:pPr>
    </w:lvl>
  </w:abstractNum>
  <w:abstractNum w:abstractNumId="1" w15:restartNumberingAfterBreak="0">
    <w:nsid w:val="058449BC"/>
    <w:multiLevelType w:val="multilevel"/>
    <w:tmpl w:val="E878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6088F"/>
    <w:multiLevelType w:val="hybridMultilevel"/>
    <w:tmpl w:val="01AEC786"/>
    <w:lvl w:ilvl="0" w:tplc="E89A1BA6">
      <w:start w:val="33"/>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E9C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26DD80">
      <w:start w:val="1"/>
      <w:numFmt w:val="lowerRoman"/>
      <w:lvlText w:val="%3."/>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9A0CD8">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522382">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D8EC86">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CE2BF8">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AB64A">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54BEDE">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12644"/>
    <w:multiLevelType w:val="hybridMultilevel"/>
    <w:tmpl w:val="132E4D7C"/>
    <w:lvl w:ilvl="0" w:tplc="BFC46A80">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1900420A"/>
    <w:multiLevelType w:val="hybridMultilevel"/>
    <w:tmpl w:val="106A327E"/>
    <w:lvl w:ilvl="0" w:tplc="655C0444">
      <w:start w:val="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994AC1"/>
    <w:multiLevelType w:val="multilevel"/>
    <w:tmpl w:val="114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8568C"/>
    <w:multiLevelType w:val="hybridMultilevel"/>
    <w:tmpl w:val="8D90633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2B7E475E"/>
    <w:multiLevelType w:val="multilevel"/>
    <w:tmpl w:val="68C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E2781"/>
    <w:multiLevelType w:val="multilevel"/>
    <w:tmpl w:val="59B85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4794C"/>
    <w:multiLevelType w:val="hybridMultilevel"/>
    <w:tmpl w:val="65CA72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2F022D9F"/>
    <w:multiLevelType w:val="multilevel"/>
    <w:tmpl w:val="E0C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A068C"/>
    <w:multiLevelType w:val="hybridMultilevel"/>
    <w:tmpl w:val="AFF4BEB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5CE46EB1"/>
    <w:multiLevelType w:val="hybridMultilevel"/>
    <w:tmpl w:val="B00E794E"/>
    <w:lvl w:ilvl="0" w:tplc="3B2C862C">
      <w:start w:val="2"/>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8E6AF1"/>
    <w:multiLevelType w:val="multilevel"/>
    <w:tmpl w:val="D3F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45041"/>
    <w:multiLevelType w:val="hybridMultilevel"/>
    <w:tmpl w:val="29BC77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66728736">
    <w:abstractNumId w:val="14"/>
  </w:num>
  <w:num w:numId="2" w16cid:durableId="71204520">
    <w:abstractNumId w:val="8"/>
  </w:num>
  <w:num w:numId="3" w16cid:durableId="1192302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2510376">
    <w:abstractNumId w:val="3"/>
  </w:num>
  <w:num w:numId="5" w16cid:durableId="310910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311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94204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5041899">
    <w:abstractNumId w:val="4"/>
  </w:num>
  <w:num w:numId="9" w16cid:durableId="1874268987">
    <w:abstractNumId w:val="2"/>
  </w:num>
  <w:num w:numId="10" w16cid:durableId="1483080680">
    <w:abstractNumId w:val="12"/>
  </w:num>
  <w:num w:numId="11" w16cid:durableId="874268880">
    <w:abstractNumId w:val="10"/>
  </w:num>
  <w:num w:numId="12" w16cid:durableId="339547386">
    <w:abstractNumId w:val="7"/>
  </w:num>
  <w:num w:numId="13" w16cid:durableId="501625570">
    <w:abstractNumId w:val="13"/>
  </w:num>
  <w:num w:numId="14" w16cid:durableId="1529181187">
    <w:abstractNumId w:val="1"/>
  </w:num>
  <w:num w:numId="15" w16cid:durableId="16522512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EE"/>
    <w:rsid w:val="0000051B"/>
    <w:rsid w:val="0000100D"/>
    <w:rsid w:val="00017A80"/>
    <w:rsid w:val="00021A4D"/>
    <w:rsid w:val="00031D22"/>
    <w:rsid w:val="0003407C"/>
    <w:rsid w:val="000429C9"/>
    <w:rsid w:val="00043A28"/>
    <w:rsid w:val="000467C9"/>
    <w:rsid w:val="000546C4"/>
    <w:rsid w:val="00055138"/>
    <w:rsid w:val="0005524C"/>
    <w:rsid w:val="00061EEC"/>
    <w:rsid w:val="000947C4"/>
    <w:rsid w:val="000A12E1"/>
    <w:rsid w:val="000A3005"/>
    <w:rsid w:val="000B5D07"/>
    <w:rsid w:val="000C1F4E"/>
    <w:rsid w:val="000C52E1"/>
    <w:rsid w:val="000D3C5E"/>
    <w:rsid w:val="000D4696"/>
    <w:rsid w:val="000E60FE"/>
    <w:rsid w:val="000F240F"/>
    <w:rsid w:val="000F3444"/>
    <w:rsid w:val="00100E3B"/>
    <w:rsid w:val="001067F3"/>
    <w:rsid w:val="001208FC"/>
    <w:rsid w:val="0015250E"/>
    <w:rsid w:val="00156324"/>
    <w:rsid w:val="00170B4F"/>
    <w:rsid w:val="0017300E"/>
    <w:rsid w:val="00180009"/>
    <w:rsid w:val="0018074D"/>
    <w:rsid w:val="00183210"/>
    <w:rsid w:val="001A1F1F"/>
    <w:rsid w:val="001A6836"/>
    <w:rsid w:val="001B0C98"/>
    <w:rsid w:val="001B1B30"/>
    <w:rsid w:val="001B3746"/>
    <w:rsid w:val="001B44D9"/>
    <w:rsid w:val="001B7D35"/>
    <w:rsid w:val="001C040A"/>
    <w:rsid w:val="001C61E4"/>
    <w:rsid w:val="001C7697"/>
    <w:rsid w:val="001D2517"/>
    <w:rsid w:val="001D31A0"/>
    <w:rsid w:val="001D6533"/>
    <w:rsid w:val="001E3C5A"/>
    <w:rsid w:val="001F3025"/>
    <w:rsid w:val="00200D88"/>
    <w:rsid w:val="002022FC"/>
    <w:rsid w:val="002040C6"/>
    <w:rsid w:val="00206E58"/>
    <w:rsid w:val="00213B38"/>
    <w:rsid w:val="002140A5"/>
    <w:rsid w:val="002269FE"/>
    <w:rsid w:val="0025266B"/>
    <w:rsid w:val="00252FFA"/>
    <w:rsid w:val="00256E55"/>
    <w:rsid w:val="0025759E"/>
    <w:rsid w:val="002650D9"/>
    <w:rsid w:val="00270C45"/>
    <w:rsid w:val="002B2CA4"/>
    <w:rsid w:val="002C6C64"/>
    <w:rsid w:val="002D0F1D"/>
    <w:rsid w:val="002E7990"/>
    <w:rsid w:val="002F142E"/>
    <w:rsid w:val="002F3334"/>
    <w:rsid w:val="002F6F80"/>
    <w:rsid w:val="00301211"/>
    <w:rsid w:val="00304542"/>
    <w:rsid w:val="00313F4E"/>
    <w:rsid w:val="00315CB7"/>
    <w:rsid w:val="00321FCA"/>
    <w:rsid w:val="0033547A"/>
    <w:rsid w:val="003427CC"/>
    <w:rsid w:val="00343897"/>
    <w:rsid w:val="0035024F"/>
    <w:rsid w:val="003540E6"/>
    <w:rsid w:val="003702E7"/>
    <w:rsid w:val="0037089C"/>
    <w:rsid w:val="00375DD1"/>
    <w:rsid w:val="00383343"/>
    <w:rsid w:val="00383E01"/>
    <w:rsid w:val="00384157"/>
    <w:rsid w:val="00392004"/>
    <w:rsid w:val="0039486C"/>
    <w:rsid w:val="003A1A0D"/>
    <w:rsid w:val="003A2257"/>
    <w:rsid w:val="003B1AA1"/>
    <w:rsid w:val="003B2660"/>
    <w:rsid w:val="003B61D1"/>
    <w:rsid w:val="003C3B25"/>
    <w:rsid w:val="003C6BC2"/>
    <w:rsid w:val="003D030D"/>
    <w:rsid w:val="003E4B2D"/>
    <w:rsid w:val="003E59C4"/>
    <w:rsid w:val="0040206E"/>
    <w:rsid w:val="00404880"/>
    <w:rsid w:val="00405B8C"/>
    <w:rsid w:val="004242B0"/>
    <w:rsid w:val="00432964"/>
    <w:rsid w:val="0044076E"/>
    <w:rsid w:val="00444FF3"/>
    <w:rsid w:val="00447632"/>
    <w:rsid w:val="00447CDA"/>
    <w:rsid w:val="00453652"/>
    <w:rsid w:val="0046518F"/>
    <w:rsid w:val="00465AC9"/>
    <w:rsid w:val="00472F8F"/>
    <w:rsid w:val="00473881"/>
    <w:rsid w:val="00473CD8"/>
    <w:rsid w:val="00476C10"/>
    <w:rsid w:val="0048147B"/>
    <w:rsid w:val="004A4A66"/>
    <w:rsid w:val="004B0245"/>
    <w:rsid w:val="004B3888"/>
    <w:rsid w:val="004D69D7"/>
    <w:rsid w:val="004D6A98"/>
    <w:rsid w:val="004E1825"/>
    <w:rsid w:val="004E21EC"/>
    <w:rsid w:val="004E38FC"/>
    <w:rsid w:val="004E4D0C"/>
    <w:rsid w:val="004E7AE8"/>
    <w:rsid w:val="0050272B"/>
    <w:rsid w:val="0052258D"/>
    <w:rsid w:val="00535BB7"/>
    <w:rsid w:val="00543144"/>
    <w:rsid w:val="005445A1"/>
    <w:rsid w:val="00546829"/>
    <w:rsid w:val="00577BDC"/>
    <w:rsid w:val="00590112"/>
    <w:rsid w:val="005910C6"/>
    <w:rsid w:val="005A0259"/>
    <w:rsid w:val="005A4A37"/>
    <w:rsid w:val="005B56E0"/>
    <w:rsid w:val="005C681C"/>
    <w:rsid w:val="005C6B97"/>
    <w:rsid w:val="005F78EB"/>
    <w:rsid w:val="00613C00"/>
    <w:rsid w:val="00631993"/>
    <w:rsid w:val="00643042"/>
    <w:rsid w:val="00647CB6"/>
    <w:rsid w:val="00663408"/>
    <w:rsid w:val="0066697A"/>
    <w:rsid w:val="00666CEC"/>
    <w:rsid w:val="00674F15"/>
    <w:rsid w:val="00676E17"/>
    <w:rsid w:val="006808ED"/>
    <w:rsid w:val="0068319A"/>
    <w:rsid w:val="00686EEE"/>
    <w:rsid w:val="0068770C"/>
    <w:rsid w:val="0069135F"/>
    <w:rsid w:val="00691F9C"/>
    <w:rsid w:val="00695F69"/>
    <w:rsid w:val="00696DC1"/>
    <w:rsid w:val="006A2EE9"/>
    <w:rsid w:val="006E40C0"/>
    <w:rsid w:val="006E66C3"/>
    <w:rsid w:val="006E7FCA"/>
    <w:rsid w:val="006F5526"/>
    <w:rsid w:val="00702292"/>
    <w:rsid w:val="00711FA8"/>
    <w:rsid w:val="007125D5"/>
    <w:rsid w:val="00713BF4"/>
    <w:rsid w:val="00716D02"/>
    <w:rsid w:val="00725C7A"/>
    <w:rsid w:val="0072684B"/>
    <w:rsid w:val="00734DA2"/>
    <w:rsid w:val="0074277F"/>
    <w:rsid w:val="0074626B"/>
    <w:rsid w:val="00762C12"/>
    <w:rsid w:val="0076327C"/>
    <w:rsid w:val="00773062"/>
    <w:rsid w:val="00774A9D"/>
    <w:rsid w:val="00780DA3"/>
    <w:rsid w:val="00783C3B"/>
    <w:rsid w:val="0078700F"/>
    <w:rsid w:val="007945AA"/>
    <w:rsid w:val="007B15A4"/>
    <w:rsid w:val="007C1716"/>
    <w:rsid w:val="007D5F27"/>
    <w:rsid w:val="007E0774"/>
    <w:rsid w:val="007F312A"/>
    <w:rsid w:val="007F6EAD"/>
    <w:rsid w:val="00801493"/>
    <w:rsid w:val="0081042D"/>
    <w:rsid w:val="00812C46"/>
    <w:rsid w:val="00816B93"/>
    <w:rsid w:val="00820E13"/>
    <w:rsid w:val="0084553A"/>
    <w:rsid w:val="008459DB"/>
    <w:rsid w:val="00847898"/>
    <w:rsid w:val="00860F2A"/>
    <w:rsid w:val="008618F1"/>
    <w:rsid w:val="008651AF"/>
    <w:rsid w:val="00871A3A"/>
    <w:rsid w:val="008757D9"/>
    <w:rsid w:val="00886D1A"/>
    <w:rsid w:val="008937D9"/>
    <w:rsid w:val="0089606C"/>
    <w:rsid w:val="00897153"/>
    <w:rsid w:val="008A639A"/>
    <w:rsid w:val="008B13D8"/>
    <w:rsid w:val="008B1791"/>
    <w:rsid w:val="008B55C0"/>
    <w:rsid w:val="008B5A87"/>
    <w:rsid w:val="008E4327"/>
    <w:rsid w:val="008F16E7"/>
    <w:rsid w:val="008F47C5"/>
    <w:rsid w:val="008F7258"/>
    <w:rsid w:val="0090014B"/>
    <w:rsid w:val="00900239"/>
    <w:rsid w:val="00907F87"/>
    <w:rsid w:val="00925EB8"/>
    <w:rsid w:val="00926202"/>
    <w:rsid w:val="00927B17"/>
    <w:rsid w:val="00940AC7"/>
    <w:rsid w:val="00943EA8"/>
    <w:rsid w:val="00945373"/>
    <w:rsid w:val="00954FAE"/>
    <w:rsid w:val="00962049"/>
    <w:rsid w:val="00962A72"/>
    <w:rsid w:val="009669DF"/>
    <w:rsid w:val="00967985"/>
    <w:rsid w:val="00971AE7"/>
    <w:rsid w:val="00973744"/>
    <w:rsid w:val="0097652D"/>
    <w:rsid w:val="009834D0"/>
    <w:rsid w:val="00987DBC"/>
    <w:rsid w:val="00997DB2"/>
    <w:rsid w:val="009C1755"/>
    <w:rsid w:val="009C7280"/>
    <w:rsid w:val="009D1345"/>
    <w:rsid w:val="009E28D9"/>
    <w:rsid w:val="009E4D40"/>
    <w:rsid w:val="009E7677"/>
    <w:rsid w:val="009F3DA9"/>
    <w:rsid w:val="009F515A"/>
    <w:rsid w:val="009F588C"/>
    <w:rsid w:val="00A02AC3"/>
    <w:rsid w:val="00A05959"/>
    <w:rsid w:val="00A0598D"/>
    <w:rsid w:val="00A07E6E"/>
    <w:rsid w:val="00A10A4A"/>
    <w:rsid w:val="00A1414F"/>
    <w:rsid w:val="00A217DD"/>
    <w:rsid w:val="00A2324E"/>
    <w:rsid w:val="00A25F4B"/>
    <w:rsid w:val="00A3222A"/>
    <w:rsid w:val="00A46089"/>
    <w:rsid w:val="00A54EDB"/>
    <w:rsid w:val="00A57E55"/>
    <w:rsid w:val="00A70100"/>
    <w:rsid w:val="00A751C0"/>
    <w:rsid w:val="00AC0F68"/>
    <w:rsid w:val="00AC356B"/>
    <w:rsid w:val="00AC5616"/>
    <w:rsid w:val="00AE41B3"/>
    <w:rsid w:val="00AF4B3D"/>
    <w:rsid w:val="00B00E89"/>
    <w:rsid w:val="00B13772"/>
    <w:rsid w:val="00B27DCA"/>
    <w:rsid w:val="00B41DB4"/>
    <w:rsid w:val="00B55AA4"/>
    <w:rsid w:val="00B82EE9"/>
    <w:rsid w:val="00B86BE9"/>
    <w:rsid w:val="00B93BA7"/>
    <w:rsid w:val="00BA2DBD"/>
    <w:rsid w:val="00BA386D"/>
    <w:rsid w:val="00BA63FB"/>
    <w:rsid w:val="00BB0055"/>
    <w:rsid w:val="00BB301F"/>
    <w:rsid w:val="00BB4682"/>
    <w:rsid w:val="00BC7EBC"/>
    <w:rsid w:val="00BD3673"/>
    <w:rsid w:val="00BD6D52"/>
    <w:rsid w:val="00BE1332"/>
    <w:rsid w:val="00BE3F19"/>
    <w:rsid w:val="00BF1499"/>
    <w:rsid w:val="00BF75B7"/>
    <w:rsid w:val="00C041AF"/>
    <w:rsid w:val="00C14E6A"/>
    <w:rsid w:val="00C2118B"/>
    <w:rsid w:val="00C24394"/>
    <w:rsid w:val="00C25146"/>
    <w:rsid w:val="00C521C4"/>
    <w:rsid w:val="00C5425D"/>
    <w:rsid w:val="00C64439"/>
    <w:rsid w:val="00C70030"/>
    <w:rsid w:val="00C87648"/>
    <w:rsid w:val="00C97591"/>
    <w:rsid w:val="00CD0DBE"/>
    <w:rsid w:val="00CE0E5D"/>
    <w:rsid w:val="00CF1E0B"/>
    <w:rsid w:val="00D00D43"/>
    <w:rsid w:val="00D065D6"/>
    <w:rsid w:val="00D17CBD"/>
    <w:rsid w:val="00D20FF7"/>
    <w:rsid w:val="00D32993"/>
    <w:rsid w:val="00D34545"/>
    <w:rsid w:val="00D3678E"/>
    <w:rsid w:val="00D4135F"/>
    <w:rsid w:val="00D43E53"/>
    <w:rsid w:val="00D47E04"/>
    <w:rsid w:val="00D5003A"/>
    <w:rsid w:val="00D525AC"/>
    <w:rsid w:val="00D54C96"/>
    <w:rsid w:val="00D715DC"/>
    <w:rsid w:val="00DC0138"/>
    <w:rsid w:val="00DC3D12"/>
    <w:rsid w:val="00DD1E2E"/>
    <w:rsid w:val="00DE0C15"/>
    <w:rsid w:val="00DF3D7B"/>
    <w:rsid w:val="00DF68F6"/>
    <w:rsid w:val="00DF7190"/>
    <w:rsid w:val="00E05DBF"/>
    <w:rsid w:val="00E410B6"/>
    <w:rsid w:val="00E43294"/>
    <w:rsid w:val="00E44E69"/>
    <w:rsid w:val="00E52F6A"/>
    <w:rsid w:val="00E63184"/>
    <w:rsid w:val="00E72887"/>
    <w:rsid w:val="00E8101B"/>
    <w:rsid w:val="00E824B0"/>
    <w:rsid w:val="00E83979"/>
    <w:rsid w:val="00E877DD"/>
    <w:rsid w:val="00EA1BB7"/>
    <w:rsid w:val="00EA27C2"/>
    <w:rsid w:val="00EA462E"/>
    <w:rsid w:val="00EA7D14"/>
    <w:rsid w:val="00EB1BB9"/>
    <w:rsid w:val="00EB674B"/>
    <w:rsid w:val="00EC021C"/>
    <w:rsid w:val="00ED0A7C"/>
    <w:rsid w:val="00ED6678"/>
    <w:rsid w:val="00EE2B0C"/>
    <w:rsid w:val="00F05948"/>
    <w:rsid w:val="00F110A5"/>
    <w:rsid w:val="00F14029"/>
    <w:rsid w:val="00F20C50"/>
    <w:rsid w:val="00F2779B"/>
    <w:rsid w:val="00F300C4"/>
    <w:rsid w:val="00F43FAA"/>
    <w:rsid w:val="00F52515"/>
    <w:rsid w:val="00F72623"/>
    <w:rsid w:val="00F758A5"/>
    <w:rsid w:val="00F75CEC"/>
    <w:rsid w:val="00F857CA"/>
    <w:rsid w:val="00F86348"/>
    <w:rsid w:val="00F87EF2"/>
    <w:rsid w:val="00F9597B"/>
    <w:rsid w:val="00FB6AE6"/>
    <w:rsid w:val="00FC2CC0"/>
    <w:rsid w:val="00FC47D4"/>
    <w:rsid w:val="00FD20C2"/>
    <w:rsid w:val="00FD3D4A"/>
    <w:rsid w:val="00FD7628"/>
    <w:rsid w:val="00FE1B37"/>
    <w:rsid w:val="00FF38F2"/>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2BB4F"/>
  <w15:docId w15:val="{B3A72EF7-07FD-4AA2-9E92-6EAD4CE4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FC"/>
  </w:style>
  <w:style w:type="paragraph" w:styleId="Heading1">
    <w:name w:val="heading 1"/>
    <w:basedOn w:val="Normal"/>
    <w:next w:val="Normal"/>
    <w:link w:val="Heading1Char"/>
    <w:uiPriority w:val="9"/>
    <w:qFormat/>
    <w:rsid w:val="00D17CBD"/>
    <w:pPr>
      <w:keepNext/>
      <w:keepLines/>
      <w:spacing w:before="360" w:after="12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17CBD"/>
    <w:pPr>
      <w:keepNext/>
      <w:keepLines/>
      <w:spacing w:before="200" w:after="0"/>
      <w:outlineLvl w:val="1"/>
    </w:pPr>
    <w:rPr>
      <w:rFonts w:ascii="Arial" w:eastAsiaTheme="majorEastAsia" w:hAnsi="Arial" w:cstheme="majorBidi"/>
      <w:bCs/>
      <w:sz w:val="28"/>
      <w:szCs w:val="26"/>
    </w:rPr>
  </w:style>
  <w:style w:type="paragraph" w:styleId="Heading3">
    <w:name w:val="heading 3"/>
    <w:basedOn w:val="Normal"/>
    <w:next w:val="Normal"/>
    <w:link w:val="Heading3Char"/>
    <w:uiPriority w:val="9"/>
    <w:unhideWhenUsed/>
    <w:qFormat/>
    <w:rsid w:val="00D17CBD"/>
    <w:pPr>
      <w:keepNext/>
      <w:keepLines/>
      <w:spacing w:before="320" w:after="120"/>
      <w:outlineLvl w:val="2"/>
    </w:pPr>
    <w:rPr>
      <w:rFonts w:ascii="Arial" w:eastAsiaTheme="majorEastAsia" w:hAnsi="Arial" w:cstheme="majorBidi"/>
      <w:b/>
      <w:bCs/>
      <w:sz w:val="24"/>
      <w:u w:val="single"/>
    </w:rPr>
  </w:style>
  <w:style w:type="paragraph" w:styleId="Heading4">
    <w:name w:val="heading 4"/>
    <w:basedOn w:val="Normal"/>
    <w:next w:val="Normal"/>
    <w:link w:val="Heading4Char"/>
    <w:uiPriority w:val="9"/>
    <w:semiHidden/>
    <w:unhideWhenUsed/>
    <w:qFormat/>
    <w:rsid w:val="00D17C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CE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5CEC"/>
  </w:style>
  <w:style w:type="paragraph" w:styleId="Footer">
    <w:name w:val="footer"/>
    <w:basedOn w:val="Normal"/>
    <w:link w:val="FooterChar"/>
    <w:uiPriority w:val="99"/>
    <w:unhideWhenUsed/>
    <w:rsid w:val="00F75C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5CEC"/>
  </w:style>
  <w:style w:type="table" w:styleId="TableGrid">
    <w:name w:val="Table Grid"/>
    <w:basedOn w:val="TableNormal"/>
    <w:uiPriority w:val="59"/>
    <w:rsid w:val="00F7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75CEC"/>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15"/>
      <w:lang w:eastAsia="fr-FR"/>
    </w:rPr>
  </w:style>
  <w:style w:type="character" w:customStyle="1" w:styleId="BodyTextChar">
    <w:name w:val="Body Text Char"/>
    <w:basedOn w:val="DefaultParagraphFont"/>
    <w:link w:val="BodyText"/>
    <w:rsid w:val="00F75CEC"/>
    <w:rPr>
      <w:rFonts w:ascii="Times New Roman" w:eastAsia="Times New Roman" w:hAnsi="Times New Roman" w:cs="Times New Roman"/>
      <w:noProof/>
      <w:sz w:val="24"/>
      <w:szCs w:val="15"/>
      <w:lang w:val="en-GB" w:eastAsia="fr-FR"/>
    </w:rPr>
  </w:style>
  <w:style w:type="character" w:styleId="Hyperlink">
    <w:name w:val="Hyperlink"/>
    <w:uiPriority w:val="99"/>
    <w:rsid w:val="00F75CEC"/>
    <w:rPr>
      <w:color w:val="0000FF"/>
      <w:u w:val="single"/>
    </w:rPr>
  </w:style>
  <w:style w:type="paragraph" w:styleId="BalloonText">
    <w:name w:val="Balloon Text"/>
    <w:basedOn w:val="Normal"/>
    <w:link w:val="BalloonTextChar"/>
    <w:uiPriority w:val="99"/>
    <w:semiHidden/>
    <w:unhideWhenUsed/>
    <w:rsid w:val="00F8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CA"/>
    <w:rPr>
      <w:rFonts w:ascii="Segoe UI" w:hAnsi="Segoe UI" w:cs="Segoe UI"/>
      <w:sz w:val="18"/>
      <w:szCs w:val="18"/>
    </w:rPr>
  </w:style>
  <w:style w:type="paragraph" w:styleId="ListParagraph">
    <w:name w:val="List Paragraph"/>
    <w:basedOn w:val="Normal"/>
    <w:uiPriority w:val="34"/>
    <w:qFormat/>
    <w:rsid w:val="0068319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sz w:val="24"/>
      <w:szCs w:val="24"/>
      <w:lang w:eastAsia="fr-FR"/>
    </w:rPr>
  </w:style>
  <w:style w:type="paragraph" w:styleId="FootnoteText">
    <w:name w:val="footnote text"/>
    <w:basedOn w:val="Normal"/>
    <w:link w:val="FootnoteTextChar"/>
    <w:uiPriority w:val="99"/>
    <w:rsid w:val="0068319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fr-FR"/>
    </w:rPr>
  </w:style>
  <w:style w:type="character" w:customStyle="1" w:styleId="FootnoteTextChar">
    <w:name w:val="Footnote Text Char"/>
    <w:basedOn w:val="DefaultParagraphFont"/>
    <w:link w:val="FootnoteText"/>
    <w:uiPriority w:val="99"/>
    <w:rsid w:val="0068319A"/>
    <w:rPr>
      <w:rFonts w:ascii="Times New Roman" w:eastAsia="Times New Roman" w:hAnsi="Times New Roman" w:cs="Times New Roman"/>
      <w:noProof/>
      <w:sz w:val="20"/>
      <w:szCs w:val="20"/>
      <w:lang w:val="en-GB" w:eastAsia="fr-FR"/>
    </w:rPr>
  </w:style>
  <w:style w:type="character" w:styleId="FootnoteReference">
    <w:name w:val="footnote reference"/>
    <w:basedOn w:val="DefaultParagraphFont"/>
    <w:uiPriority w:val="99"/>
    <w:rsid w:val="0068319A"/>
    <w:rPr>
      <w:vertAlign w:val="superscript"/>
    </w:rPr>
  </w:style>
  <w:style w:type="paragraph" w:customStyle="1" w:styleId="xmsonormal">
    <w:name w:val="xmsonormal"/>
    <w:basedOn w:val="Normal"/>
    <w:rsid w:val="00CF1E0B"/>
    <w:pPr>
      <w:spacing w:before="100" w:beforeAutospacing="1" w:after="100" w:afterAutospacing="1" w:line="240" w:lineRule="auto"/>
    </w:pPr>
    <w:rPr>
      <w:rFonts w:ascii="Calibri" w:hAnsi="Calibri" w:cs="Calibri"/>
    </w:rPr>
  </w:style>
  <w:style w:type="paragraph" w:customStyle="1" w:styleId="xmsolistparagraph">
    <w:name w:val="xmsolistparagraph"/>
    <w:basedOn w:val="Normal"/>
    <w:rsid w:val="00CF1E0B"/>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F1E0B"/>
    <w:rPr>
      <w:color w:val="605E5C"/>
      <w:shd w:val="clear" w:color="auto" w:fill="E1DFDD"/>
    </w:rPr>
  </w:style>
  <w:style w:type="character" w:customStyle="1" w:styleId="Heading1Char">
    <w:name w:val="Heading 1 Char"/>
    <w:basedOn w:val="DefaultParagraphFont"/>
    <w:link w:val="Heading1"/>
    <w:uiPriority w:val="9"/>
    <w:rsid w:val="00D17CBD"/>
    <w:rPr>
      <w:rFonts w:ascii="Arial" w:eastAsiaTheme="majorEastAsia" w:hAnsi="Arial" w:cstheme="majorBidi"/>
      <w:b/>
      <w:bCs/>
      <w:sz w:val="28"/>
      <w:szCs w:val="28"/>
      <w:lang w:val="en-GB"/>
    </w:rPr>
  </w:style>
  <w:style w:type="character" w:customStyle="1" w:styleId="Heading2Char">
    <w:name w:val="Heading 2 Char"/>
    <w:basedOn w:val="DefaultParagraphFont"/>
    <w:link w:val="Heading2"/>
    <w:uiPriority w:val="9"/>
    <w:rsid w:val="00D17CBD"/>
    <w:rPr>
      <w:rFonts w:ascii="Arial" w:eastAsiaTheme="majorEastAsia" w:hAnsi="Arial" w:cstheme="majorBidi"/>
      <w:bCs/>
      <w:sz w:val="28"/>
      <w:szCs w:val="26"/>
      <w:lang w:val="en-GB"/>
    </w:rPr>
  </w:style>
  <w:style w:type="character" w:customStyle="1" w:styleId="Heading3Char">
    <w:name w:val="Heading 3 Char"/>
    <w:basedOn w:val="DefaultParagraphFont"/>
    <w:link w:val="Heading3"/>
    <w:uiPriority w:val="9"/>
    <w:rsid w:val="00D17CBD"/>
    <w:rPr>
      <w:rFonts w:ascii="Arial" w:eastAsiaTheme="majorEastAsia" w:hAnsi="Arial" w:cstheme="majorBidi"/>
      <w:b/>
      <w:bCs/>
      <w:sz w:val="24"/>
      <w:u w:val="single"/>
      <w:lang w:val="en-GB"/>
    </w:rPr>
  </w:style>
  <w:style w:type="character" w:customStyle="1" w:styleId="Heading4Char">
    <w:name w:val="Heading 4 Char"/>
    <w:basedOn w:val="DefaultParagraphFont"/>
    <w:link w:val="Heading4"/>
    <w:uiPriority w:val="9"/>
    <w:semiHidden/>
    <w:rsid w:val="00D17CBD"/>
    <w:rPr>
      <w:rFonts w:asciiTheme="majorHAnsi" w:eastAsiaTheme="majorEastAsia" w:hAnsiTheme="majorHAnsi" w:cstheme="majorBidi"/>
      <w:i/>
      <w:iCs/>
      <w:color w:val="2E74B5" w:themeColor="accent1" w:themeShade="BF"/>
      <w:lang w:val="en-GB"/>
    </w:rPr>
  </w:style>
  <w:style w:type="paragraph" w:styleId="TOCHeading">
    <w:name w:val="TOC Heading"/>
    <w:basedOn w:val="Heading1"/>
    <w:next w:val="Normal"/>
    <w:uiPriority w:val="39"/>
    <w:semiHidden/>
    <w:unhideWhenUsed/>
    <w:qFormat/>
    <w:rsid w:val="00D17CBD"/>
    <w:pPr>
      <w:spacing w:line="276" w:lineRule="auto"/>
      <w:outlineLvl w:val="9"/>
    </w:pPr>
    <w:rPr>
      <w:lang w:eastAsia="ja-JP"/>
    </w:rPr>
  </w:style>
  <w:style w:type="paragraph" w:styleId="TOC1">
    <w:name w:val="toc 1"/>
    <w:basedOn w:val="Normal"/>
    <w:next w:val="Normal"/>
    <w:autoRedefine/>
    <w:uiPriority w:val="39"/>
    <w:unhideWhenUsed/>
    <w:qFormat/>
    <w:rsid w:val="00D17CBD"/>
    <w:pPr>
      <w:spacing w:after="100"/>
    </w:pPr>
  </w:style>
  <w:style w:type="paragraph" w:styleId="TOC2">
    <w:name w:val="toc 2"/>
    <w:basedOn w:val="Normal"/>
    <w:next w:val="Normal"/>
    <w:autoRedefine/>
    <w:uiPriority w:val="39"/>
    <w:unhideWhenUsed/>
    <w:qFormat/>
    <w:rsid w:val="00D17CBD"/>
    <w:pPr>
      <w:tabs>
        <w:tab w:val="right" w:leader="dot" w:pos="9743"/>
      </w:tabs>
      <w:spacing w:after="100"/>
      <w:ind w:left="220"/>
    </w:pPr>
  </w:style>
  <w:style w:type="paragraph" w:styleId="TOC3">
    <w:name w:val="toc 3"/>
    <w:basedOn w:val="Normal"/>
    <w:next w:val="Normal"/>
    <w:autoRedefine/>
    <w:uiPriority w:val="39"/>
    <w:unhideWhenUsed/>
    <w:qFormat/>
    <w:rsid w:val="00D17CBD"/>
    <w:pPr>
      <w:spacing w:after="100"/>
      <w:ind w:left="440"/>
    </w:pPr>
  </w:style>
  <w:style w:type="character" w:styleId="CommentReference">
    <w:name w:val="annotation reference"/>
    <w:basedOn w:val="DefaultParagraphFont"/>
    <w:uiPriority w:val="99"/>
    <w:semiHidden/>
    <w:unhideWhenUsed/>
    <w:rsid w:val="00D17CBD"/>
    <w:rPr>
      <w:sz w:val="16"/>
      <w:szCs w:val="16"/>
    </w:rPr>
  </w:style>
  <w:style w:type="paragraph" w:styleId="CommentText">
    <w:name w:val="annotation text"/>
    <w:basedOn w:val="Normal"/>
    <w:link w:val="CommentTextChar"/>
    <w:uiPriority w:val="99"/>
    <w:unhideWhenUsed/>
    <w:rsid w:val="00D17CBD"/>
    <w:pPr>
      <w:spacing w:line="240" w:lineRule="auto"/>
    </w:pPr>
    <w:rPr>
      <w:sz w:val="20"/>
      <w:szCs w:val="20"/>
    </w:rPr>
  </w:style>
  <w:style w:type="character" w:customStyle="1" w:styleId="CommentTextChar">
    <w:name w:val="Comment Text Char"/>
    <w:basedOn w:val="DefaultParagraphFont"/>
    <w:link w:val="CommentText"/>
    <w:uiPriority w:val="99"/>
    <w:rsid w:val="00D17CBD"/>
    <w:rPr>
      <w:sz w:val="20"/>
      <w:szCs w:val="20"/>
      <w:lang w:val="en-GB"/>
    </w:rPr>
  </w:style>
  <w:style w:type="paragraph" w:styleId="CommentSubject">
    <w:name w:val="annotation subject"/>
    <w:basedOn w:val="CommentText"/>
    <w:next w:val="CommentText"/>
    <w:link w:val="CommentSubjectChar"/>
    <w:uiPriority w:val="99"/>
    <w:semiHidden/>
    <w:unhideWhenUsed/>
    <w:rsid w:val="00D17CBD"/>
    <w:rPr>
      <w:b/>
      <w:bCs/>
    </w:rPr>
  </w:style>
  <w:style w:type="character" w:customStyle="1" w:styleId="CommentSubjectChar">
    <w:name w:val="Comment Subject Char"/>
    <w:basedOn w:val="CommentTextChar"/>
    <w:link w:val="CommentSubject"/>
    <w:uiPriority w:val="99"/>
    <w:semiHidden/>
    <w:rsid w:val="00D17CBD"/>
    <w:rPr>
      <w:b/>
      <w:bCs/>
      <w:sz w:val="20"/>
      <w:szCs w:val="20"/>
      <w:lang w:val="en-GB"/>
    </w:rPr>
  </w:style>
  <w:style w:type="paragraph" w:styleId="NormalWeb">
    <w:name w:val="Normal (Web)"/>
    <w:basedOn w:val="Normal"/>
    <w:uiPriority w:val="99"/>
    <w:unhideWhenUsed/>
    <w:rsid w:val="00D17CBD"/>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D17CBD"/>
    <w:pPr>
      <w:spacing w:after="0" w:line="240" w:lineRule="auto"/>
    </w:pPr>
  </w:style>
  <w:style w:type="character" w:styleId="Strong">
    <w:name w:val="Strong"/>
    <w:basedOn w:val="DefaultParagraphFont"/>
    <w:uiPriority w:val="22"/>
    <w:qFormat/>
    <w:rsid w:val="00D17CBD"/>
    <w:rPr>
      <w:b/>
      <w:bCs/>
    </w:rPr>
  </w:style>
  <w:style w:type="character" w:customStyle="1" w:styleId="apple-converted-space">
    <w:name w:val="apple-converted-space"/>
    <w:basedOn w:val="DefaultParagraphFont"/>
    <w:rsid w:val="00D17CBD"/>
  </w:style>
  <w:style w:type="character" w:styleId="FollowedHyperlink">
    <w:name w:val="FollowedHyperlink"/>
    <w:basedOn w:val="DefaultParagraphFont"/>
    <w:uiPriority w:val="99"/>
    <w:semiHidden/>
    <w:unhideWhenUsed/>
    <w:rsid w:val="00D17CBD"/>
    <w:rPr>
      <w:color w:val="954F72" w:themeColor="followedHyperlink"/>
      <w:u w:val="single"/>
    </w:rPr>
  </w:style>
  <w:style w:type="character" w:customStyle="1" w:styleId="UnresolvedMention10">
    <w:name w:val="Unresolved Mention1"/>
    <w:basedOn w:val="DefaultParagraphFont"/>
    <w:uiPriority w:val="99"/>
    <w:semiHidden/>
    <w:unhideWhenUsed/>
    <w:rsid w:val="00D17CBD"/>
    <w:rPr>
      <w:color w:val="808080"/>
      <w:shd w:val="clear" w:color="auto" w:fill="E6E6E6"/>
    </w:rPr>
  </w:style>
  <w:style w:type="paragraph" w:customStyle="1" w:styleId="ListParagraph2">
    <w:name w:val="List Paragraph2"/>
    <w:basedOn w:val="Normal"/>
    <w:uiPriority w:val="34"/>
    <w:qFormat/>
    <w:rsid w:val="00D17CB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D17CBD"/>
    <w:rPr>
      <w:i/>
      <w:iCs/>
    </w:rPr>
  </w:style>
  <w:style w:type="paragraph" w:styleId="NoSpacing">
    <w:name w:val="No Spacing"/>
    <w:link w:val="NoSpacingChar"/>
    <w:uiPriority w:val="1"/>
    <w:qFormat/>
    <w:rsid w:val="00D17CBD"/>
    <w:pPr>
      <w:spacing w:after="0" w:line="240" w:lineRule="auto"/>
    </w:pPr>
    <w:rPr>
      <w:rFonts w:eastAsiaTheme="minorEastAsia"/>
    </w:rPr>
  </w:style>
  <w:style w:type="character" w:customStyle="1" w:styleId="NoSpacingChar">
    <w:name w:val="No Spacing Char"/>
    <w:basedOn w:val="DefaultParagraphFont"/>
    <w:link w:val="NoSpacing"/>
    <w:uiPriority w:val="1"/>
    <w:rsid w:val="00D17CBD"/>
    <w:rPr>
      <w:rFonts w:eastAsiaTheme="minorEastAsia"/>
    </w:rPr>
  </w:style>
  <w:style w:type="paragraph" w:styleId="PlainText">
    <w:name w:val="Plain Text"/>
    <w:basedOn w:val="Normal"/>
    <w:link w:val="PlainTextChar"/>
    <w:uiPriority w:val="99"/>
    <w:unhideWhenUsed/>
    <w:rsid w:val="00D17C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7CBD"/>
    <w:rPr>
      <w:rFonts w:ascii="Calibri" w:hAnsi="Calibri"/>
      <w:szCs w:val="21"/>
      <w:lang w:val="en-GB"/>
    </w:rPr>
  </w:style>
  <w:style w:type="paragraph" w:customStyle="1" w:styleId="xmsonormal0">
    <w:name w:val="x_msonormal"/>
    <w:basedOn w:val="Normal"/>
    <w:rsid w:val="00D17CBD"/>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D17CBD"/>
    <w:rPr>
      <w:color w:val="605E5C"/>
      <w:shd w:val="clear" w:color="auto" w:fill="E1DFDD"/>
    </w:rPr>
  </w:style>
  <w:style w:type="character" w:customStyle="1" w:styleId="markedcontent">
    <w:name w:val="markedcontent"/>
    <w:basedOn w:val="DefaultParagraphFont"/>
    <w:rsid w:val="00D17CBD"/>
  </w:style>
  <w:style w:type="paragraph" w:customStyle="1" w:styleId="paragraph">
    <w:name w:val="paragraph"/>
    <w:basedOn w:val="Normal"/>
    <w:rsid w:val="00D1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7CBD"/>
  </w:style>
  <w:style w:type="character" w:customStyle="1" w:styleId="eop">
    <w:name w:val="eop"/>
    <w:basedOn w:val="DefaultParagraphFont"/>
    <w:rsid w:val="00D17CBD"/>
  </w:style>
  <w:style w:type="character" w:customStyle="1" w:styleId="superscript">
    <w:name w:val="superscript"/>
    <w:basedOn w:val="DefaultParagraphFont"/>
    <w:rsid w:val="00D17CBD"/>
  </w:style>
  <w:style w:type="character" w:customStyle="1" w:styleId="doceo-font-family-base">
    <w:name w:val="doceo-font-family-base"/>
    <w:basedOn w:val="DefaultParagraphFont"/>
    <w:rsid w:val="0064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129">
      <w:bodyDiv w:val="1"/>
      <w:marLeft w:val="0"/>
      <w:marRight w:val="0"/>
      <w:marTop w:val="0"/>
      <w:marBottom w:val="0"/>
      <w:divBdr>
        <w:top w:val="none" w:sz="0" w:space="0" w:color="auto"/>
        <w:left w:val="none" w:sz="0" w:space="0" w:color="auto"/>
        <w:bottom w:val="none" w:sz="0" w:space="0" w:color="auto"/>
        <w:right w:val="none" w:sz="0" w:space="0" w:color="auto"/>
      </w:divBdr>
    </w:div>
    <w:div w:id="208344547">
      <w:bodyDiv w:val="1"/>
      <w:marLeft w:val="0"/>
      <w:marRight w:val="0"/>
      <w:marTop w:val="0"/>
      <w:marBottom w:val="0"/>
      <w:divBdr>
        <w:top w:val="none" w:sz="0" w:space="0" w:color="auto"/>
        <w:left w:val="none" w:sz="0" w:space="0" w:color="auto"/>
        <w:bottom w:val="none" w:sz="0" w:space="0" w:color="auto"/>
        <w:right w:val="none" w:sz="0" w:space="0" w:color="auto"/>
      </w:divBdr>
    </w:div>
    <w:div w:id="447743789">
      <w:bodyDiv w:val="1"/>
      <w:marLeft w:val="0"/>
      <w:marRight w:val="0"/>
      <w:marTop w:val="0"/>
      <w:marBottom w:val="0"/>
      <w:divBdr>
        <w:top w:val="none" w:sz="0" w:space="0" w:color="auto"/>
        <w:left w:val="none" w:sz="0" w:space="0" w:color="auto"/>
        <w:bottom w:val="none" w:sz="0" w:space="0" w:color="auto"/>
        <w:right w:val="none" w:sz="0" w:space="0" w:color="auto"/>
      </w:divBdr>
    </w:div>
    <w:div w:id="603349012">
      <w:bodyDiv w:val="1"/>
      <w:marLeft w:val="0"/>
      <w:marRight w:val="0"/>
      <w:marTop w:val="0"/>
      <w:marBottom w:val="0"/>
      <w:divBdr>
        <w:top w:val="none" w:sz="0" w:space="0" w:color="auto"/>
        <w:left w:val="none" w:sz="0" w:space="0" w:color="auto"/>
        <w:bottom w:val="none" w:sz="0" w:space="0" w:color="auto"/>
        <w:right w:val="none" w:sz="0" w:space="0" w:color="auto"/>
      </w:divBdr>
    </w:div>
    <w:div w:id="779489924">
      <w:bodyDiv w:val="1"/>
      <w:marLeft w:val="0"/>
      <w:marRight w:val="0"/>
      <w:marTop w:val="0"/>
      <w:marBottom w:val="0"/>
      <w:divBdr>
        <w:top w:val="none" w:sz="0" w:space="0" w:color="auto"/>
        <w:left w:val="none" w:sz="0" w:space="0" w:color="auto"/>
        <w:bottom w:val="none" w:sz="0" w:space="0" w:color="auto"/>
        <w:right w:val="none" w:sz="0" w:space="0" w:color="auto"/>
      </w:divBdr>
    </w:div>
    <w:div w:id="13920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cb.co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cb.coop/en/home.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eacb.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eVuillemot\Downloads\Template%20new%20doc%202022%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a31cd3-dd93-4edf-a8b5-f510fe8aa6d9">
      <Terms xmlns="http://schemas.microsoft.com/office/infopath/2007/PartnerControls"/>
    </lcf76f155ced4ddcb4097134ff3c332f>
    <TaxCatchAll xmlns="0512ce3f-1ece-4c2b-9b18-4ebd4eac2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F0FC78EEAB3A4AAC1C4AE71807BEF1" ma:contentTypeVersion="15" ma:contentTypeDescription="Create a new document." ma:contentTypeScope="" ma:versionID="605a78141d224b68df85fc3393b681c5">
  <xsd:schema xmlns:xsd="http://www.w3.org/2001/XMLSchema" xmlns:xs="http://www.w3.org/2001/XMLSchema" xmlns:p="http://schemas.microsoft.com/office/2006/metadata/properties" xmlns:ns2="88a31cd3-dd93-4edf-a8b5-f510fe8aa6d9" xmlns:ns3="0512ce3f-1ece-4c2b-9b18-4ebd4eac2dcb" targetNamespace="http://schemas.microsoft.com/office/2006/metadata/properties" ma:root="true" ma:fieldsID="153893d67c32cc3ff7501144dc575832" ns2:_="" ns3:_="">
    <xsd:import namespace="88a31cd3-dd93-4edf-a8b5-f510fe8aa6d9"/>
    <xsd:import namespace="0512ce3f-1ece-4c2b-9b18-4ebd4eac2d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31cd3-dd93-4edf-a8b5-f510fe8aa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f9c3e5-63b6-4b02-8cb1-89ae9d0c423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2ce3f-1ece-4c2b-9b18-4ebd4eac2d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d8affe9-457d-460c-a376-b519d4bae85c}" ma:internalName="TaxCatchAll" ma:showField="CatchAllData" ma:web="0512ce3f-1ece-4c2b-9b18-4ebd4eac2dc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D210B-2070-43DE-B18D-E2974B51D41E}">
  <ds:schemaRefs>
    <ds:schemaRef ds:uri="http://schemas.openxmlformats.org/officeDocument/2006/bibliography"/>
  </ds:schemaRefs>
</ds:datastoreItem>
</file>

<file path=customXml/itemProps2.xml><?xml version="1.0" encoding="utf-8"?>
<ds:datastoreItem xmlns:ds="http://schemas.openxmlformats.org/officeDocument/2006/customXml" ds:itemID="{27E4DFEA-B94C-42D9-98C9-50A887C7ADFF}">
  <ds:schemaRefs>
    <ds:schemaRef ds:uri="http://schemas.microsoft.com/office/2006/metadata/properties"/>
    <ds:schemaRef ds:uri="http://schemas.microsoft.com/office/infopath/2007/PartnerControls"/>
    <ds:schemaRef ds:uri="88a31cd3-dd93-4edf-a8b5-f510fe8aa6d9"/>
    <ds:schemaRef ds:uri="0512ce3f-1ece-4c2b-9b18-4ebd4eac2dcb"/>
  </ds:schemaRefs>
</ds:datastoreItem>
</file>

<file path=customXml/itemProps3.xml><?xml version="1.0" encoding="utf-8"?>
<ds:datastoreItem xmlns:ds="http://schemas.openxmlformats.org/officeDocument/2006/customXml" ds:itemID="{1878465A-A7CE-4D4C-8AFD-E89E56D4AAC7}">
  <ds:schemaRefs>
    <ds:schemaRef ds:uri="http://schemas.microsoft.com/sharepoint/v3/contenttype/forms"/>
  </ds:schemaRefs>
</ds:datastoreItem>
</file>

<file path=customXml/itemProps4.xml><?xml version="1.0" encoding="utf-8"?>
<ds:datastoreItem xmlns:ds="http://schemas.openxmlformats.org/officeDocument/2006/customXml" ds:itemID="{2A02E14A-41B5-4E94-9842-E05EC1E44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31cd3-dd93-4edf-a8b5-f510fe8aa6d9"/>
    <ds:schemaRef ds:uri="0512ce3f-1ece-4c2b-9b18-4ebd4eac2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new doc 2022 (9)</Template>
  <TotalTime>4</TotalTime>
  <Pages>6</Pages>
  <Words>2129</Words>
  <Characters>12139</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Desktop Anywhere</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Vuillemot</dc:creator>
  <cp:keywords/>
  <dc:description/>
  <cp:lastModifiedBy>Rosalie Vuillemot</cp:lastModifiedBy>
  <cp:revision>3</cp:revision>
  <dcterms:created xsi:type="dcterms:W3CDTF">2024-02-26T15:55:00Z</dcterms:created>
  <dcterms:modified xsi:type="dcterms:W3CDTF">2024-02-26T15:59:00Z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569669578</vt:i4>
  </property>
  <property fmtid="{D5CDD505-2E9C-101B-9397-08002B2CF9AE}" pid="3" name="ContentTypeId">
    <vt:lpwstr>0x010100EEF0FC78EEAB3A4AAC1C4AE71807BEF1</vt:lpwstr>
  </property>
  <property fmtid="{D5CDD505-2E9C-101B-9397-08002B2CF9AE}" pid="4" name="Order">
    <vt:r8>2747400</vt:r8>
  </property>
  <property fmtid="{D5CDD505-2E9C-101B-9397-08002B2CF9AE}" pid="5" name="MediaServiceImageTags">
    <vt:lpwstr/>
  </property>
</Properties>
</file>