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1E0" w:firstRow="1" w:lastRow="1" w:firstColumn="1" w:lastColumn="1" w:noHBand="0" w:noVBand="0"/>
      </w:tblPr>
      <w:tblGrid>
        <w:gridCol w:w="4890"/>
        <w:gridCol w:w="4358"/>
      </w:tblGrid>
      <w:tr w:rsidR="0094734A" w:rsidRPr="00AE4256" w:rsidTr="006C1F9F">
        <w:tc>
          <w:tcPr>
            <w:tcW w:w="5012" w:type="dxa"/>
            <w:shd w:val="clear" w:color="auto" w:fill="auto"/>
          </w:tcPr>
          <w:p w:rsidR="0094734A" w:rsidRPr="00AE4256" w:rsidRDefault="005B5DFD" w:rsidP="00AE4256">
            <w:pPr>
              <w:pStyle w:val="BSAMaintext"/>
              <w:overflowPunct w:val="0"/>
              <w:autoSpaceDE w:val="0"/>
              <w:autoSpaceDN w:val="0"/>
              <w:adjustRightInd w:val="0"/>
              <w:spacing w:before="0" w:after="0" w:line="360" w:lineRule="auto"/>
              <w:ind w:left="318"/>
              <w:jc w:val="both"/>
              <w:textAlignment w:val="baseline"/>
              <w:rPr>
                <w:rFonts w:ascii="Arial" w:hAnsi="Arial" w:cs="Arial"/>
                <w:szCs w:val="24"/>
              </w:rPr>
            </w:pPr>
            <w:bookmarkStart w:id="0" w:name="start"/>
            <w:bookmarkEnd w:id="0"/>
            <w:r w:rsidRPr="00AE4256">
              <w:rPr>
                <w:rFonts w:ascii="Arial" w:hAnsi="Arial" w:cs="Arial"/>
                <w:noProof/>
                <w:szCs w:val="24"/>
                <w:lang w:eastAsia="en-GB"/>
              </w:rPr>
              <w:drawing>
                <wp:inline distT="0" distB="0" distL="0" distR="0">
                  <wp:extent cx="2674620" cy="541020"/>
                  <wp:effectExtent l="0" t="0" r="0" b="0"/>
                  <wp:docPr id="9" name="Picture 9"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620" cy="541020"/>
                          </a:xfrm>
                          <a:prstGeom prst="rect">
                            <a:avLst/>
                          </a:prstGeom>
                          <a:noFill/>
                          <a:ln>
                            <a:noFill/>
                          </a:ln>
                        </pic:spPr>
                      </pic:pic>
                    </a:graphicData>
                  </a:graphic>
                </wp:inline>
              </w:drawing>
            </w:r>
          </w:p>
        </w:tc>
        <w:tc>
          <w:tcPr>
            <w:tcW w:w="4837" w:type="dxa"/>
            <w:shd w:val="clear" w:color="auto" w:fill="auto"/>
          </w:tcPr>
          <w:p w:rsidR="0094734A" w:rsidRPr="00AE4256" w:rsidRDefault="005B5DFD" w:rsidP="00AE4256">
            <w:pPr>
              <w:pStyle w:val="BSAMaintext"/>
              <w:overflowPunct w:val="0"/>
              <w:autoSpaceDE w:val="0"/>
              <w:autoSpaceDN w:val="0"/>
              <w:adjustRightInd w:val="0"/>
              <w:spacing w:before="0" w:after="0" w:line="360" w:lineRule="auto"/>
              <w:jc w:val="right"/>
              <w:textAlignment w:val="baseline"/>
              <w:rPr>
                <w:rFonts w:ascii="Arial" w:hAnsi="Arial" w:cs="Arial"/>
                <w:szCs w:val="24"/>
              </w:rPr>
            </w:pPr>
            <w:r w:rsidRPr="00AE4256">
              <w:rPr>
                <w:rFonts w:ascii="Arial" w:hAnsi="Arial" w:cs="Arial"/>
                <w:noProof/>
                <w:szCs w:val="24"/>
                <w:lang w:eastAsia="en-GB"/>
              </w:rPr>
              <w:drawing>
                <wp:inline distT="0" distB="0" distL="0" distR="0">
                  <wp:extent cx="2270760" cy="502920"/>
                  <wp:effectExtent l="0" t="0" r="0" b="0"/>
                  <wp:docPr id="10" name="Picture 10" descr="Letterhea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60" cy="502920"/>
                          </a:xfrm>
                          <a:prstGeom prst="rect">
                            <a:avLst/>
                          </a:prstGeom>
                          <a:noFill/>
                          <a:ln>
                            <a:noFill/>
                          </a:ln>
                        </pic:spPr>
                      </pic:pic>
                    </a:graphicData>
                  </a:graphic>
                </wp:inline>
              </w:drawing>
            </w:r>
          </w:p>
        </w:tc>
      </w:tr>
    </w:tbl>
    <w:p w:rsidR="00DF07CC" w:rsidRPr="00AE4256" w:rsidRDefault="00DF07CC" w:rsidP="00AE4256">
      <w:pPr>
        <w:pStyle w:val="BSAMaintext"/>
        <w:spacing w:before="0" w:after="0" w:line="360" w:lineRule="auto"/>
        <w:rPr>
          <w:rFonts w:ascii="Arial" w:hAnsi="Arial" w:cs="Arial"/>
          <w:szCs w:val="24"/>
        </w:rPr>
      </w:pPr>
    </w:p>
    <w:p w:rsidR="000F2346" w:rsidRPr="00AE4256" w:rsidRDefault="005B3D9F" w:rsidP="005B3D9F">
      <w:pPr>
        <w:pStyle w:val="BSAMaintext"/>
        <w:spacing w:before="0" w:after="0" w:line="360" w:lineRule="auto"/>
        <w:rPr>
          <w:rFonts w:ascii="Arial" w:hAnsi="Arial" w:cs="Arial"/>
          <w:szCs w:val="24"/>
        </w:rPr>
      </w:pPr>
      <w:r>
        <w:rPr>
          <w:rFonts w:ascii="Arial" w:hAnsi="Arial" w:cs="Arial"/>
          <w:b/>
          <w:szCs w:val="24"/>
        </w:rPr>
        <w:t xml:space="preserve">Our response to EBA consultation on the minimum requirement for own funds and eligible liabilities (MRELs), CP/ 2014/ 41 </w:t>
      </w:r>
    </w:p>
    <w:p w:rsidR="00D31F6C" w:rsidRPr="00AE4256" w:rsidRDefault="00D31F6C" w:rsidP="00AE4256">
      <w:pPr>
        <w:pStyle w:val="BSAMaintext"/>
        <w:spacing w:before="0" w:after="0" w:line="360" w:lineRule="auto"/>
        <w:rPr>
          <w:rFonts w:ascii="Arial" w:hAnsi="Arial" w:cs="Arial"/>
          <w:szCs w:val="24"/>
        </w:rPr>
      </w:pPr>
    </w:p>
    <w:p w:rsidR="001B389A" w:rsidRDefault="001B389A" w:rsidP="00AE4256">
      <w:pPr>
        <w:pStyle w:val="BSAMaintext"/>
        <w:spacing w:before="0" w:after="0" w:line="360" w:lineRule="auto"/>
        <w:rPr>
          <w:rFonts w:ascii="Arial" w:hAnsi="Arial" w:cs="Arial"/>
          <w:szCs w:val="24"/>
        </w:rPr>
      </w:pPr>
      <w:r w:rsidRPr="00AE4256">
        <w:rPr>
          <w:rFonts w:ascii="Arial" w:hAnsi="Arial" w:cs="Arial"/>
          <w:szCs w:val="24"/>
        </w:rPr>
        <w:t>The Building Societies Association is pleased to respond briefly to the EBA’s consultation. The BSA represents all 44 UK building societies. Building societies have total assets of over £330 billion and, together with their subsidiaries, hold residential mortgages of over £240 billion, 19% of the total outstanding in the UK. They hold over £240 billion of retail deposits, accounting for 19% of all such deposits in the UK. Building societies account for about 28% of all cash ISA balances. They employ approximately 39,000 full and part-time staff and operate through approximately 1,550 branches.</w:t>
      </w:r>
    </w:p>
    <w:p w:rsidR="00AE4256" w:rsidRPr="00AE4256" w:rsidRDefault="00AE4256" w:rsidP="00AE4256">
      <w:pPr>
        <w:pStyle w:val="BSAMaintext"/>
        <w:spacing w:before="0" w:after="0" w:line="360" w:lineRule="auto"/>
        <w:rPr>
          <w:rFonts w:ascii="Arial" w:hAnsi="Arial" w:cs="Arial"/>
          <w:szCs w:val="24"/>
        </w:rPr>
      </w:pPr>
    </w:p>
    <w:p w:rsidR="001B389A" w:rsidRPr="00AE4256" w:rsidRDefault="001B389A" w:rsidP="00AE4256">
      <w:pPr>
        <w:pStyle w:val="BSAMaintext"/>
        <w:spacing w:before="0" w:after="0" w:line="360" w:lineRule="auto"/>
        <w:rPr>
          <w:rFonts w:ascii="Arial" w:hAnsi="Arial" w:cs="Arial"/>
          <w:szCs w:val="24"/>
        </w:rPr>
      </w:pPr>
      <w:r w:rsidRPr="00AE4256">
        <w:rPr>
          <w:rFonts w:ascii="Arial" w:hAnsi="Arial" w:cs="Arial"/>
          <w:szCs w:val="24"/>
        </w:rPr>
        <w:t xml:space="preserve">The BSA is registered on the </w:t>
      </w:r>
      <w:r w:rsidR="00383C04" w:rsidRPr="00AE4256">
        <w:rPr>
          <w:rFonts w:ascii="Arial" w:hAnsi="Arial" w:cs="Arial"/>
          <w:szCs w:val="24"/>
        </w:rPr>
        <w:t xml:space="preserve">EU </w:t>
      </w:r>
      <w:r w:rsidRPr="00AE4256">
        <w:rPr>
          <w:rFonts w:ascii="Arial" w:hAnsi="Arial" w:cs="Arial"/>
          <w:szCs w:val="24"/>
        </w:rPr>
        <w:t>Joint Transparency Register</w:t>
      </w:r>
      <w:r w:rsidR="00383C04" w:rsidRPr="00AE4256">
        <w:rPr>
          <w:rFonts w:ascii="Arial" w:hAnsi="Arial" w:cs="Arial"/>
          <w:szCs w:val="24"/>
        </w:rPr>
        <w:t xml:space="preserve"> under ID 924933110421-64. The BSA also belongs to the European Association of Co</w:t>
      </w:r>
      <w:bookmarkStart w:id="1" w:name="_GoBack"/>
      <w:bookmarkEnd w:id="1"/>
      <w:r w:rsidR="00383C04" w:rsidRPr="00AE4256">
        <w:rPr>
          <w:rFonts w:ascii="Arial" w:hAnsi="Arial" w:cs="Arial"/>
          <w:szCs w:val="24"/>
        </w:rPr>
        <w:t>operative Banks, and the BSA endorses the general comments made by the EACB in their response.</w:t>
      </w:r>
    </w:p>
    <w:p w:rsidR="001B389A" w:rsidRPr="00AE4256" w:rsidRDefault="001B389A" w:rsidP="00AE4256">
      <w:pPr>
        <w:pStyle w:val="BSAMaintext"/>
        <w:spacing w:before="0" w:after="0" w:line="360" w:lineRule="auto"/>
        <w:rPr>
          <w:rFonts w:ascii="Arial" w:hAnsi="Arial" w:cs="Arial"/>
          <w:szCs w:val="24"/>
        </w:rPr>
      </w:pPr>
    </w:p>
    <w:p w:rsidR="005B5DFD" w:rsidRDefault="005B5DFD" w:rsidP="00AE4256">
      <w:pPr>
        <w:pStyle w:val="BSAMaintext"/>
        <w:spacing w:before="0" w:after="0" w:line="360" w:lineRule="auto"/>
        <w:rPr>
          <w:rFonts w:ascii="Arial" w:hAnsi="Arial" w:cs="Arial"/>
          <w:b/>
          <w:szCs w:val="24"/>
        </w:rPr>
      </w:pPr>
      <w:r w:rsidRPr="00AE4256">
        <w:rPr>
          <w:rFonts w:ascii="Arial" w:hAnsi="Arial" w:cs="Arial"/>
          <w:b/>
          <w:szCs w:val="24"/>
        </w:rPr>
        <w:t>General observations</w:t>
      </w:r>
    </w:p>
    <w:p w:rsidR="00AE4256" w:rsidRPr="00AE4256" w:rsidRDefault="00AE4256" w:rsidP="00AE4256">
      <w:pPr>
        <w:pStyle w:val="BSAMaintext"/>
        <w:spacing w:before="0" w:after="0" w:line="360" w:lineRule="auto"/>
        <w:rPr>
          <w:rFonts w:ascii="Arial" w:hAnsi="Arial" w:cs="Arial"/>
          <w:b/>
          <w:szCs w:val="24"/>
        </w:rPr>
      </w:pPr>
    </w:p>
    <w:p w:rsidR="001D4598" w:rsidRDefault="005B5DFD" w:rsidP="00AE4256">
      <w:pPr>
        <w:pStyle w:val="BSAMaintext"/>
        <w:spacing w:before="0" w:after="0" w:line="360" w:lineRule="auto"/>
        <w:rPr>
          <w:rFonts w:ascii="Arial" w:hAnsi="Arial" w:cs="Arial"/>
          <w:szCs w:val="24"/>
        </w:rPr>
      </w:pPr>
      <w:r w:rsidRPr="00AE4256">
        <w:rPr>
          <w:rFonts w:ascii="Arial" w:hAnsi="Arial" w:cs="Arial"/>
          <w:szCs w:val="24"/>
        </w:rPr>
        <w:t>We agree that risk-based regulatory capital requirements should be the starting point for determining the quantum of loss absorption</w:t>
      </w:r>
      <w:r w:rsidR="00D31F6C" w:rsidRPr="00AE4256">
        <w:rPr>
          <w:rFonts w:ascii="Arial" w:hAnsi="Arial" w:cs="Arial"/>
          <w:szCs w:val="24"/>
        </w:rPr>
        <w:t xml:space="preserve">, </w:t>
      </w:r>
      <w:r w:rsidR="001D4598" w:rsidRPr="00AE4256">
        <w:rPr>
          <w:rFonts w:ascii="Arial" w:hAnsi="Arial" w:cs="Arial"/>
          <w:szCs w:val="24"/>
        </w:rPr>
        <w:t xml:space="preserve">with no </w:t>
      </w:r>
      <w:r w:rsidR="00D31F6C" w:rsidRPr="00AE4256">
        <w:rPr>
          <w:rFonts w:ascii="Arial" w:hAnsi="Arial" w:cs="Arial"/>
          <w:szCs w:val="24"/>
        </w:rPr>
        <w:t xml:space="preserve">need for the resolution authority to second-guess or re-perform that assessment. We do not want a proliferation of measures all trying to capture much the same thing. </w:t>
      </w:r>
      <w:r w:rsidR="00EA7ADB" w:rsidRPr="00AE4256">
        <w:rPr>
          <w:rFonts w:ascii="Arial" w:hAnsi="Arial" w:cs="Arial"/>
          <w:szCs w:val="24"/>
        </w:rPr>
        <w:t xml:space="preserve">Least of all do we want to see MRELs being used as a back-door way to jack up capital, or near-capital, requirements. </w:t>
      </w:r>
    </w:p>
    <w:p w:rsidR="00AE4256" w:rsidRPr="00AE4256" w:rsidRDefault="00AE4256" w:rsidP="00AE4256">
      <w:pPr>
        <w:pStyle w:val="BSAMaintext"/>
        <w:spacing w:before="0" w:after="0" w:line="360" w:lineRule="auto"/>
        <w:rPr>
          <w:rFonts w:ascii="Arial" w:hAnsi="Arial" w:cs="Arial"/>
          <w:szCs w:val="24"/>
        </w:rPr>
      </w:pPr>
    </w:p>
    <w:p w:rsidR="005B5DFD" w:rsidRPr="00AE4256" w:rsidRDefault="00D31F6C" w:rsidP="00AE4256">
      <w:pPr>
        <w:pStyle w:val="BSAMaintext"/>
        <w:spacing w:before="0" w:after="0" w:line="360" w:lineRule="auto"/>
        <w:rPr>
          <w:rFonts w:ascii="Arial" w:hAnsi="Arial" w:cs="Arial"/>
          <w:szCs w:val="24"/>
        </w:rPr>
      </w:pPr>
      <w:r w:rsidRPr="00AE4256">
        <w:rPr>
          <w:rFonts w:ascii="Arial" w:hAnsi="Arial" w:cs="Arial"/>
          <w:szCs w:val="24"/>
        </w:rPr>
        <w:t xml:space="preserve">The advantage of </w:t>
      </w:r>
      <w:r w:rsidR="00EA7ADB" w:rsidRPr="00AE4256">
        <w:rPr>
          <w:rFonts w:ascii="Arial" w:hAnsi="Arial" w:cs="Arial"/>
          <w:szCs w:val="24"/>
        </w:rPr>
        <w:t xml:space="preserve">established </w:t>
      </w:r>
      <w:r w:rsidRPr="00AE4256">
        <w:rPr>
          <w:rFonts w:ascii="Arial" w:hAnsi="Arial" w:cs="Arial"/>
          <w:szCs w:val="24"/>
        </w:rPr>
        <w:t xml:space="preserve">CRR capital requirements is that they are risk-based, and therefore relate to the real potential for losses. For that reason, and for others, the </w:t>
      </w:r>
      <w:r w:rsidRPr="00AE4256">
        <w:rPr>
          <w:rFonts w:ascii="Arial" w:hAnsi="Arial" w:cs="Arial"/>
          <w:i/>
          <w:szCs w:val="24"/>
        </w:rPr>
        <w:t>leverage ratio</w:t>
      </w:r>
      <w:r w:rsidRPr="00AE4256">
        <w:rPr>
          <w:rFonts w:ascii="Arial" w:hAnsi="Arial" w:cs="Arial"/>
          <w:szCs w:val="24"/>
        </w:rPr>
        <w:t xml:space="preserve"> should be excluded. First, there is no Union leverage requirement, and there may not be, pending the completion of the process in CRR Article 511. </w:t>
      </w:r>
      <w:r w:rsidRPr="00AE4256">
        <w:rPr>
          <w:rFonts w:ascii="Arial" w:hAnsi="Arial" w:cs="Arial"/>
          <w:szCs w:val="24"/>
        </w:rPr>
        <w:lastRenderedPageBreak/>
        <w:t xml:space="preserve">Such decisions should not be </w:t>
      </w:r>
      <w:r w:rsidR="009B194B" w:rsidRPr="00AE4256">
        <w:rPr>
          <w:rFonts w:ascii="Arial" w:hAnsi="Arial" w:cs="Arial"/>
          <w:szCs w:val="24"/>
        </w:rPr>
        <w:t xml:space="preserve">pre-empted. Second, more importantly, the leverage ratio is explicitly, and deliberately, unrelated to any relative measure of risk or loss. So it is </w:t>
      </w:r>
      <w:r w:rsidR="009B194B" w:rsidRPr="00AE4256">
        <w:rPr>
          <w:rFonts w:ascii="Arial" w:hAnsi="Arial" w:cs="Arial"/>
          <w:i/>
          <w:szCs w:val="24"/>
        </w:rPr>
        <w:t>prima facie</w:t>
      </w:r>
      <w:r w:rsidR="009B194B" w:rsidRPr="00AE4256">
        <w:rPr>
          <w:rFonts w:ascii="Arial" w:hAnsi="Arial" w:cs="Arial"/>
          <w:szCs w:val="24"/>
        </w:rPr>
        <w:t xml:space="preserve"> </w:t>
      </w:r>
      <w:r w:rsidR="009B194B" w:rsidRPr="00AE4256">
        <w:rPr>
          <w:rFonts w:ascii="Arial" w:hAnsi="Arial" w:cs="Arial"/>
          <w:b/>
          <w:szCs w:val="24"/>
        </w:rPr>
        <w:t>unsuitable</w:t>
      </w:r>
      <w:r w:rsidR="009B194B" w:rsidRPr="00AE4256">
        <w:rPr>
          <w:rFonts w:ascii="Arial" w:hAnsi="Arial" w:cs="Arial"/>
          <w:szCs w:val="24"/>
        </w:rPr>
        <w:t xml:space="preserve"> to contribute to an assessment of loss absorption</w:t>
      </w:r>
      <w:r w:rsidR="00EA7ADB" w:rsidRPr="00AE4256">
        <w:rPr>
          <w:rFonts w:ascii="Arial" w:hAnsi="Arial" w:cs="Arial"/>
          <w:szCs w:val="24"/>
        </w:rPr>
        <w:t>.</w:t>
      </w:r>
    </w:p>
    <w:p w:rsidR="001D4598" w:rsidRPr="00AE4256" w:rsidRDefault="001D4598" w:rsidP="00AE4256">
      <w:pPr>
        <w:pStyle w:val="BSAMaintext"/>
        <w:spacing w:before="0" w:after="0" w:line="360" w:lineRule="auto"/>
        <w:rPr>
          <w:rFonts w:ascii="Arial" w:hAnsi="Arial" w:cs="Arial"/>
          <w:szCs w:val="24"/>
        </w:rPr>
      </w:pPr>
      <w:r w:rsidRPr="00AE4256">
        <w:rPr>
          <w:rFonts w:ascii="Arial" w:hAnsi="Arial" w:cs="Arial"/>
          <w:szCs w:val="24"/>
        </w:rPr>
        <w:t>We are also concerned at the scope for inadvertent double-counting.</w:t>
      </w:r>
      <w:r w:rsidR="00534CD3" w:rsidRPr="00AE4256">
        <w:rPr>
          <w:rFonts w:ascii="Arial" w:hAnsi="Arial" w:cs="Arial"/>
          <w:szCs w:val="24"/>
        </w:rPr>
        <w:t xml:space="preserve"> In the feverish atmosphere of ever-increasing but different, and sometimes unconnected, requirements for capital or loss absorbency it would be all too easy for this to happen. The EBA, and national authorities, should be vigilant to prevent this happening.</w:t>
      </w:r>
    </w:p>
    <w:p w:rsidR="00314A28" w:rsidRDefault="00314A28" w:rsidP="00AE4256">
      <w:pPr>
        <w:pStyle w:val="BSAMaintext"/>
        <w:spacing w:before="0" w:after="0" w:line="360" w:lineRule="auto"/>
        <w:rPr>
          <w:rFonts w:ascii="Arial" w:hAnsi="Arial" w:cs="Arial"/>
          <w:szCs w:val="24"/>
        </w:rPr>
      </w:pPr>
      <w:r w:rsidRPr="00AE4256">
        <w:rPr>
          <w:rFonts w:ascii="Arial" w:hAnsi="Arial" w:cs="Arial"/>
          <w:szCs w:val="24"/>
        </w:rPr>
        <w:t xml:space="preserve">The CP established a very important point in the second paragraph on page 9, illustrated very clearly in the Box 1 diagram on page 11, to be given effect in Article 3.2: if the resolvability assessment concludes that liquidation under normal insolvency processes is feasible, and no alternative preferred resolution strategy is identified, </w:t>
      </w:r>
      <w:r w:rsidRPr="00AE4256">
        <w:rPr>
          <w:rFonts w:ascii="Arial" w:hAnsi="Arial" w:cs="Arial"/>
          <w:b/>
          <w:szCs w:val="24"/>
        </w:rPr>
        <w:t>the recapitalisation amount shall be zero</w:t>
      </w:r>
      <w:r w:rsidRPr="00AE4256">
        <w:rPr>
          <w:rFonts w:ascii="Arial" w:hAnsi="Arial" w:cs="Arial"/>
          <w:szCs w:val="24"/>
        </w:rPr>
        <w:t xml:space="preserve">.  We support this. BRRD Article 32.1 (c) establishes a high public interest threshold for the use of formal resolution tools rather than insolvency procedures, and this must be respected. We suggest that attention is drawn to this by a further Recital </w:t>
      </w:r>
    </w:p>
    <w:p w:rsidR="00AE4256" w:rsidRPr="00AE4256" w:rsidRDefault="00AE4256" w:rsidP="00AE4256">
      <w:pPr>
        <w:pStyle w:val="BSAMaintext"/>
        <w:spacing w:before="0" w:after="0" w:line="360" w:lineRule="auto"/>
        <w:rPr>
          <w:rFonts w:ascii="Arial" w:hAnsi="Arial" w:cs="Arial"/>
          <w:szCs w:val="24"/>
        </w:rPr>
      </w:pPr>
    </w:p>
    <w:p w:rsidR="00314A28" w:rsidRDefault="00314A28" w:rsidP="00AE4256">
      <w:pPr>
        <w:pStyle w:val="BSAMaintext"/>
        <w:spacing w:before="0" w:after="0" w:line="360" w:lineRule="auto"/>
        <w:rPr>
          <w:rFonts w:ascii="Arial" w:hAnsi="Arial" w:cs="Arial"/>
          <w:szCs w:val="24"/>
        </w:rPr>
      </w:pPr>
      <w:r w:rsidRPr="00AE4256">
        <w:rPr>
          <w:rFonts w:ascii="Arial" w:hAnsi="Arial" w:cs="Arial"/>
          <w:szCs w:val="24"/>
        </w:rPr>
        <w:t xml:space="preserve">“ Whereas the recapitalisation amount is only necessary for those institutions for which liquidation under normal insolvency processes, as envisaged by the BRRD, is assessed not be feasible or credible, for those banks that can be liquidated, the recapitalisation amount should </w:t>
      </w:r>
      <w:r w:rsidRPr="00AE4256">
        <w:rPr>
          <w:rFonts w:ascii="Arial" w:hAnsi="Arial" w:cs="Arial"/>
          <w:i/>
          <w:szCs w:val="24"/>
        </w:rPr>
        <w:t>ex hypothesi</w:t>
      </w:r>
      <w:r w:rsidRPr="00AE4256">
        <w:rPr>
          <w:rFonts w:ascii="Arial" w:hAnsi="Arial" w:cs="Arial"/>
          <w:szCs w:val="24"/>
        </w:rPr>
        <w:t xml:space="preserve"> be zero.” </w:t>
      </w:r>
    </w:p>
    <w:p w:rsidR="00AE4256" w:rsidRPr="00AE4256" w:rsidRDefault="00AE4256" w:rsidP="00AE4256">
      <w:pPr>
        <w:pStyle w:val="BSAMaintext"/>
        <w:spacing w:before="0" w:after="0" w:line="360" w:lineRule="auto"/>
        <w:rPr>
          <w:rFonts w:ascii="Arial" w:hAnsi="Arial" w:cs="Arial"/>
          <w:szCs w:val="24"/>
        </w:rPr>
      </w:pPr>
    </w:p>
    <w:p w:rsidR="00314A28" w:rsidRPr="00AE4256" w:rsidRDefault="00314A28" w:rsidP="00AE4256">
      <w:pPr>
        <w:pStyle w:val="BSAMaintext"/>
        <w:spacing w:before="0" w:after="0" w:line="360" w:lineRule="auto"/>
        <w:rPr>
          <w:rFonts w:ascii="Arial" w:hAnsi="Arial" w:cs="Arial"/>
          <w:szCs w:val="24"/>
        </w:rPr>
      </w:pPr>
      <w:r w:rsidRPr="00AE4256">
        <w:rPr>
          <w:rFonts w:ascii="Arial" w:hAnsi="Arial" w:cs="Arial"/>
          <w:szCs w:val="24"/>
        </w:rPr>
        <w:t>to underline the point in the context of MRELs.</w:t>
      </w:r>
    </w:p>
    <w:p w:rsidR="00314A28" w:rsidRPr="00AE4256" w:rsidRDefault="00314A28" w:rsidP="00AE4256">
      <w:pPr>
        <w:pStyle w:val="BSAMaintext"/>
        <w:spacing w:before="0" w:after="0" w:line="360" w:lineRule="auto"/>
        <w:rPr>
          <w:rFonts w:ascii="Arial" w:hAnsi="Arial" w:cs="Arial"/>
          <w:szCs w:val="24"/>
        </w:rPr>
      </w:pPr>
    </w:p>
    <w:p w:rsidR="00314A28" w:rsidRPr="00AE4256" w:rsidRDefault="00314A28" w:rsidP="00AE4256">
      <w:pPr>
        <w:pStyle w:val="BSAMaintext"/>
        <w:spacing w:before="0" w:after="0" w:line="360" w:lineRule="auto"/>
        <w:rPr>
          <w:rFonts w:ascii="Arial" w:hAnsi="Arial" w:cs="Arial"/>
          <w:b/>
          <w:szCs w:val="24"/>
        </w:rPr>
      </w:pPr>
      <w:r w:rsidRPr="00AE4256">
        <w:rPr>
          <w:rFonts w:ascii="Arial" w:hAnsi="Arial" w:cs="Arial"/>
          <w:b/>
          <w:szCs w:val="24"/>
        </w:rPr>
        <w:t>Answers to specific questions</w:t>
      </w:r>
    </w:p>
    <w:p w:rsidR="00314A28" w:rsidRPr="00AE4256" w:rsidRDefault="00314A28" w:rsidP="00AE4256">
      <w:pPr>
        <w:pStyle w:val="BSAMaintext"/>
        <w:spacing w:before="0" w:after="0" w:line="360" w:lineRule="auto"/>
        <w:rPr>
          <w:rFonts w:ascii="Arial" w:hAnsi="Arial" w:cs="Arial"/>
          <w:b/>
          <w:szCs w:val="24"/>
        </w:rPr>
      </w:pPr>
    </w:p>
    <w:p w:rsidR="00EA7ADB" w:rsidRPr="00AE4256" w:rsidRDefault="00EA7ADB" w:rsidP="00AE4256">
      <w:pPr>
        <w:pStyle w:val="BSAMaintext"/>
        <w:spacing w:before="0" w:after="0" w:line="360" w:lineRule="auto"/>
        <w:rPr>
          <w:rFonts w:ascii="Arial" w:hAnsi="Arial" w:cs="Arial"/>
          <w:szCs w:val="24"/>
        </w:rPr>
      </w:pPr>
      <w:r w:rsidRPr="00AE4256">
        <w:rPr>
          <w:rFonts w:ascii="Arial" w:hAnsi="Arial" w:cs="Arial"/>
          <w:b/>
          <w:szCs w:val="24"/>
        </w:rPr>
        <w:t>Q</w:t>
      </w:r>
      <w:r w:rsidR="00AE4256" w:rsidRPr="00AE4256">
        <w:rPr>
          <w:rFonts w:ascii="Arial" w:hAnsi="Arial" w:cs="Arial"/>
          <w:b/>
          <w:szCs w:val="24"/>
        </w:rPr>
        <w:t>.</w:t>
      </w:r>
      <w:r w:rsidRPr="00AE4256">
        <w:rPr>
          <w:rFonts w:ascii="Arial" w:hAnsi="Arial" w:cs="Arial"/>
          <w:b/>
          <w:szCs w:val="24"/>
        </w:rPr>
        <w:t xml:space="preserve">1 </w:t>
      </w:r>
      <w:r w:rsidRPr="00AE4256">
        <w:rPr>
          <w:rFonts w:ascii="Arial" w:hAnsi="Arial" w:cs="Arial"/>
          <w:szCs w:val="24"/>
        </w:rPr>
        <w:t xml:space="preserve">– </w:t>
      </w:r>
      <w:r w:rsidR="00534CD3" w:rsidRPr="00AE4256">
        <w:rPr>
          <w:rFonts w:ascii="Arial" w:hAnsi="Arial" w:cs="Arial"/>
          <w:szCs w:val="24"/>
        </w:rPr>
        <w:t>We have n</w:t>
      </w:r>
      <w:r w:rsidRPr="00AE4256">
        <w:rPr>
          <w:rFonts w:ascii="Arial" w:hAnsi="Arial" w:cs="Arial"/>
          <w:szCs w:val="24"/>
        </w:rPr>
        <w:t>o objection to any component, apart from the leverage ratio</w:t>
      </w:r>
    </w:p>
    <w:p w:rsidR="00314A28" w:rsidRPr="00AE4256" w:rsidRDefault="00314A28" w:rsidP="00AE4256">
      <w:pPr>
        <w:pStyle w:val="BSAMaintext"/>
        <w:spacing w:before="0" w:after="0" w:line="360" w:lineRule="auto"/>
        <w:rPr>
          <w:rFonts w:ascii="Arial" w:hAnsi="Arial" w:cs="Arial"/>
          <w:szCs w:val="24"/>
        </w:rPr>
      </w:pPr>
    </w:p>
    <w:p w:rsidR="00EA7ADB" w:rsidRPr="00AE4256" w:rsidRDefault="00EA7ADB" w:rsidP="00AE4256">
      <w:pPr>
        <w:pStyle w:val="BSAMaintext"/>
        <w:spacing w:before="0" w:after="0" w:line="360" w:lineRule="auto"/>
        <w:rPr>
          <w:rFonts w:ascii="Arial" w:hAnsi="Arial" w:cs="Arial"/>
          <w:szCs w:val="24"/>
        </w:rPr>
      </w:pPr>
      <w:r w:rsidRPr="00AE4256">
        <w:rPr>
          <w:rFonts w:ascii="Arial" w:hAnsi="Arial" w:cs="Arial"/>
          <w:b/>
          <w:szCs w:val="24"/>
        </w:rPr>
        <w:t>Q</w:t>
      </w:r>
      <w:r w:rsidR="00AE4256" w:rsidRPr="00AE4256">
        <w:rPr>
          <w:rFonts w:ascii="Arial" w:hAnsi="Arial" w:cs="Arial"/>
          <w:b/>
          <w:szCs w:val="24"/>
        </w:rPr>
        <w:t>.</w:t>
      </w:r>
      <w:r w:rsidRPr="00AE4256">
        <w:rPr>
          <w:rFonts w:ascii="Arial" w:hAnsi="Arial" w:cs="Arial"/>
          <w:b/>
          <w:szCs w:val="24"/>
        </w:rPr>
        <w:t>2</w:t>
      </w:r>
      <w:r w:rsidRPr="00AE4256">
        <w:rPr>
          <w:rFonts w:ascii="Arial" w:hAnsi="Arial" w:cs="Arial"/>
          <w:szCs w:val="24"/>
        </w:rPr>
        <w:t xml:space="preserve"> – </w:t>
      </w:r>
      <w:r w:rsidR="00033C1A" w:rsidRPr="00AE4256">
        <w:rPr>
          <w:rFonts w:ascii="Arial" w:hAnsi="Arial" w:cs="Arial"/>
          <w:szCs w:val="24"/>
        </w:rPr>
        <w:t>No, the text should say “adjust” not “increase”. There may well be circumstances where a reduction is appropriate (eg because of national gold plating under Pillar 2).</w:t>
      </w:r>
      <w:r w:rsidR="00534CD3" w:rsidRPr="00AE4256">
        <w:rPr>
          <w:rFonts w:ascii="Arial" w:hAnsi="Arial" w:cs="Arial"/>
          <w:szCs w:val="24"/>
        </w:rPr>
        <w:t xml:space="preserve"> In practice, total effective capital requirements, e.g. for systemic firms, may be set not only to capture the quantum of expected loss absorption, but even higher, so as to make the probability of loss even more remote.</w:t>
      </w:r>
      <w:r w:rsidR="00AC601B">
        <w:rPr>
          <w:rFonts w:ascii="Arial" w:hAnsi="Arial" w:cs="Arial"/>
          <w:szCs w:val="24"/>
        </w:rPr>
        <w:t xml:space="preserve"> </w:t>
      </w:r>
      <w:r w:rsidR="00033C1A" w:rsidRPr="00AE4256">
        <w:rPr>
          <w:rFonts w:ascii="Arial" w:hAnsi="Arial" w:cs="Arial"/>
          <w:szCs w:val="24"/>
        </w:rPr>
        <w:t>The drafting should also make clearer that the imposition of a higher amount should be truly exceptional, not routine.</w:t>
      </w:r>
    </w:p>
    <w:p w:rsidR="00314A28" w:rsidRPr="00AE4256" w:rsidRDefault="00314A28" w:rsidP="00AE4256">
      <w:pPr>
        <w:pStyle w:val="BSAMaintext"/>
        <w:spacing w:before="0" w:after="0" w:line="360" w:lineRule="auto"/>
        <w:rPr>
          <w:rFonts w:ascii="Arial" w:hAnsi="Arial" w:cs="Arial"/>
          <w:szCs w:val="24"/>
        </w:rPr>
      </w:pPr>
    </w:p>
    <w:p w:rsidR="00EA7ADB" w:rsidRPr="00AE4256" w:rsidRDefault="00AE4256" w:rsidP="00AE4256">
      <w:pPr>
        <w:pStyle w:val="BSAMaintext"/>
        <w:spacing w:before="0" w:after="0" w:line="360" w:lineRule="auto"/>
        <w:rPr>
          <w:rFonts w:ascii="Arial" w:hAnsi="Arial" w:cs="Arial"/>
          <w:szCs w:val="24"/>
        </w:rPr>
      </w:pPr>
      <w:r w:rsidRPr="00AE4256">
        <w:rPr>
          <w:rFonts w:ascii="Arial" w:hAnsi="Arial" w:cs="Arial"/>
          <w:b/>
          <w:szCs w:val="24"/>
        </w:rPr>
        <w:t>Q.3</w:t>
      </w:r>
      <w:r w:rsidR="00EA7ADB" w:rsidRPr="00AE4256">
        <w:rPr>
          <w:rFonts w:ascii="Arial" w:hAnsi="Arial" w:cs="Arial"/>
          <w:b/>
          <w:szCs w:val="24"/>
        </w:rPr>
        <w:t xml:space="preserve"> –</w:t>
      </w:r>
      <w:r w:rsidR="00EA7ADB" w:rsidRPr="00AE4256">
        <w:rPr>
          <w:rFonts w:ascii="Arial" w:hAnsi="Arial" w:cs="Arial"/>
          <w:szCs w:val="24"/>
        </w:rPr>
        <w:t xml:space="preserve"> </w:t>
      </w:r>
      <w:r w:rsidR="00915EDC" w:rsidRPr="00AE4256">
        <w:rPr>
          <w:rFonts w:ascii="Arial" w:hAnsi="Arial" w:cs="Arial"/>
          <w:szCs w:val="24"/>
        </w:rPr>
        <w:t>We d</w:t>
      </w:r>
      <w:r w:rsidR="00EA7ADB" w:rsidRPr="00AE4256">
        <w:rPr>
          <w:rFonts w:ascii="Arial" w:hAnsi="Arial" w:cs="Arial"/>
          <w:szCs w:val="24"/>
        </w:rPr>
        <w:t>oubt this is susceptible to benchmarking</w:t>
      </w:r>
      <w:r w:rsidR="00915EDC" w:rsidRPr="00AE4256">
        <w:rPr>
          <w:rFonts w:ascii="Arial" w:hAnsi="Arial" w:cs="Arial"/>
          <w:szCs w:val="24"/>
        </w:rPr>
        <w:t xml:space="preserve"> – the range of circumstances is probably too diverse</w:t>
      </w:r>
      <w:r w:rsidR="00EA7ADB" w:rsidRPr="00AE4256">
        <w:rPr>
          <w:rFonts w:ascii="Arial" w:hAnsi="Arial" w:cs="Arial"/>
          <w:szCs w:val="24"/>
        </w:rPr>
        <w:t>.</w:t>
      </w:r>
    </w:p>
    <w:p w:rsidR="00314A28" w:rsidRPr="00AE4256" w:rsidRDefault="00314A28" w:rsidP="00AE4256">
      <w:pPr>
        <w:pStyle w:val="BSAMaintext"/>
        <w:spacing w:before="0" w:after="0" w:line="360" w:lineRule="auto"/>
        <w:rPr>
          <w:rFonts w:ascii="Arial" w:hAnsi="Arial" w:cs="Arial"/>
          <w:szCs w:val="24"/>
        </w:rPr>
      </w:pPr>
    </w:p>
    <w:p w:rsidR="00ED6D5E" w:rsidRPr="00AE4256" w:rsidRDefault="0066568D" w:rsidP="00AE4256">
      <w:pPr>
        <w:pStyle w:val="BSAMaintext"/>
        <w:spacing w:before="0" w:after="0" w:line="360" w:lineRule="auto"/>
        <w:rPr>
          <w:rFonts w:ascii="Arial" w:hAnsi="Arial" w:cs="Arial"/>
          <w:szCs w:val="24"/>
        </w:rPr>
      </w:pPr>
      <w:r w:rsidRPr="00AE4256">
        <w:rPr>
          <w:rFonts w:ascii="Arial" w:hAnsi="Arial" w:cs="Arial"/>
          <w:b/>
          <w:szCs w:val="24"/>
        </w:rPr>
        <w:t>Q</w:t>
      </w:r>
      <w:r w:rsidR="00AE4256" w:rsidRPr="00AE4256">
        <w:rPr>
          <w:rFonts w:ascii="Arial" w:hAnsi="Arial" w:cs="Arial"/>
          <w:b/>
          <w:szCs w:val="24"/>
        </w:rPr>
        <w:t>.</w:t>
      </w:r>
      <w:r w:rsidRPr="00AE4256">
        <w:rPr>
          <w:rFonts w:ascii="Arial" w:hAnsi="Arial" w:cs="Arial"/>
          <w:b/>
          <w:szCs w:val="24"/>
        </w:rPr>
        <w:t>4</w:t>
      </w:r>
      <w:r w:rsidRPr="00AE4256">
        <w:rPr>
          <w:rFonts w:ascii="Arial" w:hAnsi="Arial" w:cs="Arial"/>
          <w:szCs w:val="24"/>
        </w:rPr>
        <w:t xml:space="preserve"> – </w:t>
      </w:r>
      <w:r w:rsidR="00FD3342" w:rsidRPr="00AE4256">
        <w:rPr>
          <w:rFonts w:ascii="Arial" w:hAnsi="Arial" w:cs="Arial"/>
          <w:szCs w:val="24"/>
        </w:rPr>
        <w:t>A</w:t>
      </w:r>
      <w:r w:rsidRPr="00AE4256">
        <w:rPr>
          <w:rFonts w:ascii="Arial" w:hAnsi="Arial" w:cs="Arial"/>
          <w:szCs w:val="24"/>
        </w:rPr>
        <w:t>gain, the leverage ratio</w:t>
      </w:r>
      <w:r w:rsidR="00FD3342" w:rsidRPr="00AE4256">
        <w:rPr>
          <w:rFonts w:ascii="Arial" w:hAnsi="Arial" w:cs="Arial"/>
          <w:szCs w:val="24"/>
        </w:rPr>
        <w:t xml:space="preserve"> should be excluded</w:t>
      </w:r>
      <w:r w:rsidRPr="00AE4256">
        <w:rPr>
          <w:rFonts w:ascii="Arial" w:hAnsi="Arial" w:cs="Arial"/>
          <w:szCs w:val="24"/>
        </w:rPr>
        <w:t>, for reasons given above.</w:t>
      </w:r>
      <w:r w:rsidR="00033C1A" w:rsidRPr="00AE4256">
        <w:rPr>
          <w:rFonts w:ascii="Arial" w:hAnsi="Arial" w:cs="Arial"/>
          <w:szCs w:val="24"/>
        </w:rPr>
        <w:t xml:space="preserve"> Also </w:t>
      </w:r>
      <w:r w:rsidR="00FD3342" w:rsidRPr="00AE4256">
        <w:rPr>
          <w:rFonts w:ascii="Arial" w:hAnsi="Arial" w:cs="Arial"/>
          <w:szCs w:val="24"/>
        </w:rPr>
        <w:t xml:space="preserve">to be </w:t>
      </w:r>
      <w:r w:rsidR="00033C1A" w:rsidRPr="00AE4256">
        <w:rPr>
          <w:rFonts w:ascii="Arial" w:hAnsi="Arial" w:cs="Arial"/>
          <w:szCs w:val="24"/>
        </w:rPr>
        <w:t>exclude</w:t>
      </w:r>
      <w:r w:rsidR="00FD3342" w:rsidRPr="00AE4256">
        <w:rPr>
          <w:rFonts w:ascii="Arial" w:hAnsi="Arial" w:cs="Arial"/>
          <w:szCs w:val="24"/>
        </w:rPr>
        <w:t>d is</w:t>
      </w:r>
      <w:r w:rsidR="00033C1A" w:rsidRPr="00AE4256">
        <w:rPr>
          <w:rFonts w:ascii="Arial" w:hAnsi="Arial" w:cs="Arial"/>
          <w:szCs w:val="24"/>
        </w:rPr>
        <w:t xml:space="preserve"> the combined buffer, as that is not a minimum requirement, but a buffer. </w:t>
      </w:r>
      <w:r w:rsidR="00FD3342" w:rsidRPr="00AE4256">
        <w:rPr>
          <w:rFonts w:ascii="Arial" w:hAnsi="Arial" w:cs="Arial"/>
          <w:szCs w:val="24"/>
        </w:rPr>
        <w:t xml:space="preserve">Note that the </w:t>
      </w:r>
      <w:r w:rsidR="00033C1A" w:rsidRPr="00AE4256">
        <w:rPr>
          <w:rFonts w:ascii="Arial" w:hAnsi="Arial" w:cs="Arial"/>
          <w:szCs w:val="24"/>
        </w:rPr>
        <w:t xml:space="preserve">FSB – TLAC approach excludes </w:t>
      </w:r>
      <w:r w:rsidR="00FD3342" w:rsidRPr="00AE4256">
        <w:rPr>
          <w:rFonts w:ascii="Arial" w:hAnsi="Arial" w:cs="Arial"/>
          <w:szCs w:val="24"/>
        </w:rPr>
        <w:t xml:space="preserve">such </w:t>
      </w:r>
      <w:r w:rsidR="00033C1A" w:rsidRPr="00AE4256">
        <w:rPr>
          <w:rFonts w:ascii="Arial" w:hAnsi="Arial" w:cs="Arial"/>
          <w:szCs w:val="24"/>
        </w:rPr>
        <w:t>buffer</w:t>
      </w:r>
      <w:r w:rsidR="00FD3342" w:rsidRPr="00AE4256">
        <w:rPr>
          <w:rFonts w:ascii="Arial" w:hAnsi="Arial" w:cs="Arial"/>
          <w:szCs w:val="24"/>
        </w:rPr>
        <w:t>s</w:t>
      </w:r>
      <w:r w:rsidR="00033C1A" w:rsidRPr="00AE4256">
        <w:rPr>
          <w:rFonts w:ascii="Arial" w:hAnsi="Arial" w:cs="Arial"/>
          <w:szCs w:val="24"/>
        </w:rPr>
        <w:t>.</w:t>
      </w:r>
    </w:p>
    <w:p w:rsidR="00314A28" w:rsidRPr="00AE4256" w:rsidRDefault="00314A28" w:rsidP="00AE4256">
      <w:pPr>
        <w:pStyle w:val="BSAMaintext"/>
        <w:spacing w:before="0" w:after="0" w:line="360" w:lineRule="auto"/>
        <w:rPr>
          <w:rFonts w:ascii="Arial" w:hAnsi="Arial" w:cs="Arial"/>
          <w:szCs w:val="24"/>
        </w:rPr>
      </w:pPr>
    </w:p>
    <w:p w:rsidR="0066568D" w:rsidRPr="00AE4256" w:rsidRDefault="0066568D" w:rsidP="00AE4256">
      <w:pPr>
        <w:pStyle w:val="BSAMaintext"/>
        <w:spacing w:before="0" w:after="0" w:line="360" w:lineRule="auto"/>
        <w:rPr>
          <w:rFonts w:ascii="Arial" w:hAnsi="Arial" w:cs="Arial"/>
          <w:szCs w:val="24"/>
        </w:rPr>
      </w:pPr>
      <w:r w:rsidRPr="00AE4256">
        <w:rPr>
          <w:rFonts w:ascii="Arial" w:hAnsi="Arial" w:cs="Arial"/>
          <w:b/>
          <w:szCs w:val="24"/>
        </w:rPr>
        <w:t>Q5,6</w:t>
      </w:r>
      <w:r w:rsidRPr="00AE4256">
        <w:rPr>
          <w:rFonts w:ascii="Arial" w:hAnsi="Arial" w:cs="Arial"/>
          <w:szCs w:val="24"/>
        </w:rPr>
        <w:t xml:space="preserve"> – </w:t>
      </w:r>
      <w:r w:rsidR="00FD3342" w:rsidRPr="00AE4256">
        <w:rPr>
          <w:rFonts w:ascii="Arial" w:hAnsi="Arial" w:cs="Arial"/>
          <w:szCs w:val="24"/>
        </w:rPr>
        <w:t xml:space="preserve">No building society is a G-SII, so the first part is </w:t>
      </w:r>
      <w:r w:rsidRPr="00AE4256">
        <w:rPr>
          <w:rFonts w:ascii="Arial" w:hAnsi="Arial" w:cs="Arial"/>
          <w:szCs w:val="24"/>
        </w:rPr>
        <w:t>not relevant to building societies</w:t>
      </w:r>
      <w:r w:rsidR="00C326B9" w:rsidRPr="00AE4256">
        <w:rPr>
          <w:rFonts w:ascii="Arial" w:hAnsi="Arial" w:cs="Arial"/>
          <w:szCs w:val="24"/>
        </w:rPr>
        <w:t>.</w:t>
      </w:r>
      <w:r w:rsidR="00FD3342" w:rsidRPr="00AE4256">
        <w:rPr>
          <w:rFonts w:ascii="Arial" w:hAnsi="Arial" w:cs="Arial"/>
          <w:szCs w:val="24"/>
        </w:rPr>
        <w:t xml:space="preserve"> A building society could be an O-SII, but we doubt the peer group approach would work for O-SIIs – the</w:t>
      </w:r>
      <w:r w:rsidR="00986618" w:rsidRPr="00AE4256">
        <w:rPr>
          <w:rFonts w:ascii="Arial" w:hAnsi="Arial" w:cs="Arial"/>
          <w:szCs w:val="24"/>
        </w:rPr>
        <w:t>re are probably not enough in any jurisdiction, and the existing O-SIIs are too disparate</w:t>
      </w:r>
      <w:r w:rsidR="00FD3342" w:rsidRPr="00AE4256">
        <w:rPr>
          <w:rFonts w:ascii="Arial" w:hAnsi="Arial" w:cs="Arial"/>
          <w:szCs w:val="24"/>
        </w:rPr>
        <w:t xml:space="preserve">. </w:t>
      </w:r>
      <w:r w:rsidR="00986618" w:rsidRPr="00AE4256">
        <w:rPr>
          <w:rFonts w:ascii="Arial" w:hAnsi="Arial" w:cs="Arial"/>
          <w:szCs w:val="24"/>
        </w:rPr>
        <w:t>W</w:t>
      </w:r>
      <w:r w:rsidR="00033C1A" w:rsidRPr="00AE4256">
        <w:rPr>
          <w:rFonts w:ascii="Arial" w:hAnsi="Arial" w:cs="Arial"/>
          <w:szCs w:val="24"/>
        </w:rPr>
        <w:t xml:space="preserve">e </w:t>
      </w:r>
      <w:r w:rsidR="00986618" w:rsidRPr="00AE4256">
        <w:rPr>
          <w:rFonts w:ascii="Arial" w:hAnsi="Arial" w:cs="Arial"/>
          <w:szCs w:val="24"/>
        </w:rPr>
        <w:t xml:space="preserve">also </w:t>
      </w:r>
      <w:r w:rsidR="00033C1A" w:rsidRPr="00AE4256">
        <w:rPr>
          <w:rFonts w:ascii="Arial" w:hAnsi="Arial" w:cs="Arial"/>
          <w:szCs w:val="24"/>
        </w:rPr>
        <w:t>point out that BRRD does not envisage recapitalisation to full ex-ante status.</w:t>
      </w:r>
    </w:p>
    <w:p w:rsidR="00314A28" w:rsidRPr="00AE4256" w:rsidRDefault="00314A28" w:rsidP="00AE4256">
      <w:pPr>
        <w:pStyle w:val="BSAMaintext"/>
        <w:spacing w:before="0" w:after="0" w:line="360" w:lineRule="auto"/>
        <w:rPr>
          <w:rFonts w:ascii="Arial" w:hAnsi="Arial" w:cs="Arial"/>
          <w:szCs w:val="24"/>
        </w:rPr>
      </w:pPr>
    </w:p>
    <w:p w:rsidR="00C326B9" w:rsidRDefault="00C326B9" w:rsidP="00AE4256">
      <w:pPr>
        <w:pStyle w:val="BSAMaintext"/>
        <w:spacing w:before="0" w:after="0" w:line="360" w:lineRule="auto"/>
        <w:rPr>
          <w:rFonts w:ascii="Arial" w:hAnsi="Arial" w:cs="Arial"/>
          <w:szCs w:val="24"/>
        </w:rPr>
      </w:pPr>
      <w:r w:rsidRPr="00AE4256">
        <w:rPr>
          <w:rFonts w:ascii="Arial" w:hAnsi="Arial" w:cs="Arial"/>
          <w:b/>
          <w:szCs w:val="24"/>
        </w:rPr>
        <w:t>Q</w:t>
      </w:r>
      <w:r w:rsidR="00AE4256" w:rsidRPr="00AE4256">
        <w:rPr>
          <w:rFonts w:ascii="Arial" w:hAnsi="Arial" w:cs="Arial"/>
          <w:b/>
          <w:szCs w:val="24"/>
        </w:rPr>
        <w:t>.</w:t>
      </w:r>
      <w:r w:rsidRPr="00AE4256">
        <w:rPr>
          <w:rFonts w:ascii="Arial" w:hAnsi="Arial" w:cs="Arial"/>
          <w:b/>
          <w:szCs w:val="24"/>
        </w:rPr>
        <w:t>7</w:t>
      </w:r>
      <w:r w:rsidRPr="00AE4256">
        <w:rPr>
          <w:rFonts w:ascii="Arial" w:hAnsi="Arial" w:cs="Arial"/>
          <w:szCs w:val="24"/>
        </w:rPr>
        <w:t xml:space="preserve"> – </w:t>
      </w:r>
      <w:r w:rsidR="00314A28" w:rsidRPr="00AE4256">
        <w:rPr>
          <w:rFonts w:ascii="Arial" w:hAnsi="Arial" w:cs="Arial"/>
          <w:szCs w:val="24"/>
        </w:rPr>
        <w:t xml:space="preserve">Yes, this </w:t>
      </w:r>
      <w:r w:rsidRPr="00AE4256">
        <w:rPr>
          <w:rFonts w:ascii="Arial" w:hAnsi="Arial" w:cs="Arial"/>
          <w:szCs w:val="24"/>
        </w:rPr>
        <w:t>makes sense</w:t>
      </w:r>
      <w:r w:rsidR="00314A28" w:rsidRPr="00AE4256">
        <w:rPr>
          <w:rFonts w:ascii="Arial" w:hAnsi="Arial" w:cs="Arial"/>
          <w:szCs w:val="24"/>
        </w:rPr>
        <w:t>.</w:t>
      </w:r>
    </w:p>
    <w:p w:rsidR="00AE4256" w:rsidRPr="00AE4256" w:rsidRDefault="00AE4256" w:rsidP="00AE4256">
      <w:pPr>
        <w:pStyle w:val="BSAMaintext"/>
        <w:spacing w:before="0" w:after="0" w:line="360" w:lineRule="auto"/>
        <w:rPr>
          <w:rFonts w:ascii="Arial" w:hAnsi="Arial" w:cs="Arial"/>
          <w:szCs w:val="24"/>
        </w:rPr>
      </w:pPr>
    </w:p>
    <w:p w:rsidR="00C326B9" w:rsidRPr="00AE4256" w:rsidRDefault="00C326B9" w:rsidP="00AE4256">
      <w:pPr>
        <w:pStyle w:val="BSAMaintext"/>
        <w:spacing w:before="0" w:after="0" w:line="360" w:lineRule="auto"/>
        <w:rPr>
          <w:rFonts w:ascii="Arial" w:hAnsi="Arial" w:cs="Arial"/>
          <w:szCs w:val="24"/>
        </w:rPr>
      </w:pPr>
      <w:r w:rsidRPr="00AE4256">
        <w:rPr>
          <w:rFonts w:ascii="Arial" w:hAnsi="Arial" w:cs="Arial"/>
          <w:b/>
          <w:szCs w:val="24"/>
        </w:rPr>
        <w:t>Q</w:t>
      </w:r>
      <w:r w:rsidR="00AE4256" w:rsidRPr="00AE4256">
        <w:rPr>
          <w:rFonts w:ascii="Arial" w:hAnsi="Arial" w:cs="Arial"/>
          <w:b/>
          <w:szCs w:val="24"/>
        </w:rPr>
        <w:t>.</w:t>
      </w:r>
      <w:r w:rsidRPr="00AE4256">
        <w:rPr>
          <w:rFonts w:ascii="Arial" w:hAnsi="Arial" w:cs="Arial"/>
          <w:b/>
          <w:szCs w:val="24"/>
        </w:rPr>
        <w:t>8</w:t>
      </w:r>
      <w:r w:rsidRPr="00AE4256">
        <w:rPr>
          <w:rFonts w:ascii="Arial" w:hAnsi="Arial" w:cs="Arial"/>
          <w:szCs w:val="24"/>
        </w:rPr>
        <w:t xml:space="preserve"> </w:t>
      </w:r>
      <w:r w:rsidR="00314A28" w:rsidRPr="00AE4256">
        <w:rPr>
          <w:rFonts w:ascii="Arial" w:hAnsi="Arial" w:cs="Arial"/>
          <w:szCs w:val="24"/>
        </w:rPr>
        <w:t xml:space="preserve">- </w:t>
      </w:r>
      <w:r w:rsidRPr="00AE4256">
        <w:rPr>
          <w:rFonts w:ascii="Arial" w:hAnsi="Arial" w:cs="Arial"/>
          <w:szCs w:val="24"/>
        </w:rPr>
        <w:t>Yes</w:t>
      </w:r>
      <w:r w:rsidR="00314A28" w:rsidRPr="00AE4256">
        <w:rPr>
          <w:rFonts w:ascii="Arial" w:hAnsi="Arial" w:cs="Arial"/>
          <w:szCs w:val="24"/>
        </w:rPr>
        <w:t>, this is probably necessary for systemic institutions.</w:t>
      </w:r>
    </w:p>
    <w:p w:rsidR="00314A28" w:rsidRPr="00AE4256" w:rsidRDefault="00314A28" w:rsidP="00AE4256">
      <w:pPr>
        <w:pStyle w:val="BSAMaintext"/>
        <w:spacing w:before="0" w:after="0" w:line="360" w:lineRule="auto"/>
        <w:rPr>
          <w:rFonts w:ascii="Arial" w:hAnsi="Arial" w:cs="Arial"/>
          <w:szCs w:val="24"/>
        </w:rPr>
      </w:pPr>
    </w:p>
    <w:p w:rsidR="00C326B9" w:rsidRPr="00AE4256" w:rsidRDefault="00C326B9" w:rsidP="00AE4256">
      <w:pPr>
        <w:pStyle w:val="BSAMaintext"/>
        <w:spacing w:before="0" w:after="0" w:line="360" w:lineRule="auto"/>
        <w:rPr>
          <w:rFonts w:ascii="Arial" w:hAnsi="Arial" w:cs="Arial"/>
          <w:szCs w:val="24"/>
        </w:rPr>
      </w:pPr>
      <w:r w:rsidRPr="00AE4256">
        <w:rPr>
          <w:rFonts w:ascii="Arial" w:hAnsi="Arial" w:cs="Arial"/>
          <w:b/>
          <w:szCs w:val="24"/>
        </w:rPr>
        <w:t>Q</w:t>
      </w:r>
      <w:r w:rsidR="00AE4256" w:rsidRPr="00AE4256">
        <w:rPr>
          <w:rFonts w:ascii="Arial" w:hAnsi="Arial" w:cs="Arial"/>
          <w:b/>
          <w:szCs w:val="24"/>
        </w:rPr>
        <w:t>.</w:t>
      </w:r>
      <w:r w:rsidRPr="00AE4256">
        <w:rPr>
          <w:rFonts w:ascii="Arial" w:hAnsi="Arial" w:cs="Arial"/>
          <w:b/>
          <w:szCs w:val="24"/>
        </w:rPr>
        <w:t xml:space="preserve">9 </w:t>
      </w:r>
      <w:r w:rsidRPr="00AE4256">
        <w:rPr>
          <w:rFonts w:ascii="Arial" w:hAnsi="Arial" w:cs="Arial"/>
          <w:szCs w:val="24"/>
        </w:rPr>
        <w:t xml:space="preserve">– No, make it </w:t>
      </w:r>
      <w:r w:rsidR="00314A28" w:rsidRPr="00AE4256">
        <w:rPr>
          <w:rFonts w:ascii="Arial" w:hAnsi="Arial" w:cs="Arial"/>
          <w:szCs w:val="24"/>
        </w:rPr>
        <w:t xml:space="preserve">at least </w:t>
      </w:r>
      <w:r w:rsidR="00033C1A" w:rsidRPr="00AE4256">
        <w:rPr>
          <w:rFonts w:ascii="Arial" w:hAnsi="Arial" w:cs="Arial"/>
          <w:szCs w:val="24"/>
        </w:rPr>
        <w:t>six</w:t>
      </w:r>
      <w:r w:rsidRPr="00AE4256">
        <w:rPr>
          <w:rFonts w:ascii="Arial" w:hAnsi="Arial" w:cs="Arial"/>
          <w:szCs w:val="24"/>
        </w:rPr>
        <w:t xml:space="preserve"> years</w:t>
      </w:r>
      <w:r w:rsidR="00314A28" w:rsidRPr="00AE4256">
        <w:rPr>
          <w:rFonts w:ascii="Arial" w:hAnsi="Arial" w:cs="Arial"/>
          <w:szCs w:val="24"/>
        </w:rPr>
        <w:t xml:space="preserve">, and </w:t>
      </w:r>
      <w:r w:rsidR="004549E2" w:rsidRPr="00AE4256">
        <w:rPr>
          <w:rFonts w:ascii="Arial" w:hAnsi="Arial" w:cs="Arial"/>
          <w:szCs w:val="24"/>
        </w:rPr>
        <w:t xml:space="preserve">allowing </w:t>
      </w:r>
      <w:r w:rsidR="00314A28" w:rsidRPr="00AE4256">
        <w:rPr>
          <w:rFonts w:ascii="Arial" w:hAnsi="Arial" w:cs="Arial"/>
          <w:szCs w:val="24"/>
        </w:rPr>
        <w:t>up to ten years might be sensible</w:t>
      </w:r>
      <w:r w:rsidRPr="00AE4256">
        <w:rPr>
          <w:rFonts w:ascii="Arial" w:hAnsi="Arial" w:cs="Arial"/>
          <w:szCs w:val="24"/>
        </w:rPr>
        <w:t>.</w:t>
      </w:r>
      <w:r w:rsidR="00033C1A" w:rsidRPr="00AE4256">
        <w:rPr>
          <w:rFonts w:ascii="Arial" w:hAnsi="Arial" w:cs="Arial"/>
          <w:szCs w:val="24"/>
        </w:rPr>
        <w:t xml:space="preserve"> The early part of that period will anyway overlap with the build up to Basel 3 end point, so </w:t>
      </w:r>
      <w:r w:rsidR="00314A28" w:rsidRPr="00AE4256">
        <w:rPr>
          <w:rFonts w:ascii="Arial" w:hAnsi="Arial" w:cs="Arial"/>
          <w:szCs w:val="24"/>
        </w:rPr>
        <w:t>it can</w:t>
      </w:r>
      <w:r w:rsidR="00033C1A" w:rsidRPr="00AE4256">
        <w:rPr>
          <w:rFonts w:ascii="Arial" w:hAnsi="Arial" w:cs="Arial"/>
          <w:szCs w:val="24"/>
        </w:rPr>
        <w:t xml:space="preserve">not </w:t>
      </w:r>
      <w:r w:rsidR="00314A28" w:rsidRPr="00AE4256">
        <w:rPr>
          <w:rFonts w:ascii="Arial" w:hAnsi="Arial" w:cs="Arial"/>
          <w:szCs w:val="24"/>
        </w:rPr>
        <w:t xml:space="preserve">be </w:t>
      </w:r>
      <w:r w:rsidR="00033C1A" w:rsidRPr="00AE4256">
        <w:rPr>
          <w:rFonts w:ascii="Arial" w:hAnsi="Arial" w:cs="Arial"/>
          <w:szCs w:val="24"/>
        </w:rPr>
        <w:t xml:space="preserve">sensible to concentrate demands to issue risk-bearing instruments for several purposes in that narrow window – </w:t>
      </w:r>
      <w:r w:rsidR="00314A28" w:rsidRPr="00AE4256">
        <w:rPr>
          <w:rFonts w:ascii="Arial" w:hAnsi="Arial" w:cs="Arial"/>
          <w:szCs w:val="24"/>
        </w:rPr>
        <w:t xml:space="preserve">the </w:t>
      </w:r>
      <w:r w:rsidR="00033C1A" w:rsidRPr="00AE4256">
        <w:rPr>
          <w:rFonts w:ascii="Arial" w:hAnsi="Arial" w:cs="Arial"/>
          <w:szCs w:val="24"/>
        </w:rPr>
        <w:t>market</w:t>
      </w:r>
      <w:r w:rsidR="00314A28" w:rsidRPr="00AE4256">
        <w:rPr>
          <w:rFonts w:ascii="Arial" w:hAnsi="Arial" w:cs="Arial"/>
          <w:szCs w:val="24"/>
        </w:rPr>
        <w:t>’s</w:t>
      </w:r>
      <w:r w:rsidR="00033C1A" w:rsidRPr="00AE4256">
        <w:rPr>
          <w:rFonts w:ascii="Arial" w:hAnsi="Arial" w:cs="Arial"/>
          <w:szCs w:val="24"/>
        </w:rPr>
        <w:t xml:space="preserve"> capacity may be insufficient.</w:t>
      </w:r>
      <w:r w:rsidR="00314A28" w:rsidRPr="00AE4256">
        <w:rPr>
          <w:rFonts w:ascii="Arial" w:hAnsi="Arial" w:cs="Arial"/>
          <w:szCs w:val="24"/>
        </w:rPr>
        <w:t xml:space="preserve"> Such demands should be capable of being spread out over a longer period</w:t>
      </w:r>
    </w:p>
    <w:p w:rsidR="00314A28" w:rsidRPr="00AE4256" w:rsidRDefault="00314A28" w:rsidP="00AE4256">
      <w:pPr>
        <w:pStyle w:val="BSAMaintext"/>
        <w:spacing w:before="0" w:after="0" w:line="360" w:lineRule="auto"/>
        <w:rPr>
          <w:rFonts w:ascii="Arial" w:hAnsi="Arial" w:cs="Arial"/>
          <w:szCs w:val="24"/>
        </w:rPr>
      </w:pPr>
    </w:p>
    <w:p w:rsidR="00C326B9" w:rsidRDefault="00C326B9" w:rsidP="00AE4256">
      <w:pPr>
        <w:pStyle w:val="BSAMaintext"/>
        <w:spacing w:before="0" w:after="0" w:line="360" w:lineRule="auto"/>
        <w:rPr>
          <w:rFonts w:ascii="Arial" w:hAnsi="Arial" w:cs="Arial"/>
          <w:szCs w:val="24"/>
        </w:rPr>
      </w:pPr>
      <w:r w:rsidRPr="00AE4256">
        <w:rPr>
          <w:rFonts w:ascii="Arial" w:hAnsi="Arial" w:cs="Arial"/>
          <w:b/>
          <w:szCs w:val="24"/>
        </w:rPr>
        <w:t>Q</w:t>
      </w:r>
      <w:r w:rsidR="00AE4256" w:rsidRPr="00AE4256">
        <w:rPr>
          <w:rFonts w:ascii="Arial" w:hAnsi="Arial" w:cs="Arial"/>
          <w:b/>
          <w:szCs w:val="24"/>
        </w:rPr>
        <w:t>.</w:t>
      </w:r>
      <w:r w:rsidRPr="00AE4256">
        <w:rPr>
          <w:rFonts w:ascii="Arial" w:hAnsi="Arial" w:cs="Arial"/>
          <w:b/>
          <w:szCs w:val="24"/>
        </w:rPr>
        <w:t>10</w:t>
      </w:r>
      <w:r w:rsidRPr="00AE4256">
        <w:rPr>
          <w:rFonts w:ascii="Arial" w:hAnsi="Arial" w:cs="Arial"/>
          <w:szCs w:val="24"/>
        </w:rPr>
        <w:t xml:space="preserve"> – Yes</w:t>
      </w:r>
    </w:p>
    <w:p w:rsidR="00AE4256" w:rsidRPr="00AE4256" w:rsidRDefault="00AE4256" w:rsidP="00AE4256">
      <w:pPr>
        <w:pStyle w:val="BSAMaintext"/>
        <w:spacing w:before="0" w:after="0" w:line="360" w:lineRule="auto"/>
        <w:rPr>
          <w:rFonts w:ascii="Arial" w:hAnsi="Arial" w:cs="Arial"/>
          <w:szCs w:val="24"/>
        </w:rPr>
      </w:pPr>
    </w:p>
    <w:p w:rsidR="00C326B9" w:rsidRDefault="00C326B9" w:rsidP="00AE4256">
      <w:pPr>
        <w:pStyle w:val="BSAMaintext"/>
        <w:spacing w:before="0" w:after="0" w:line="360" w:lineRule="auto"/>
        <w:rPr>
          <w:rFonts w:ascii="Arial" w:hAnsi="Arial" w:cs="Arial"/>
          <w:szCs w:val="24"/>
        </w:rPr>
      </w:pPr>
      <w:r w:rsidRPr="00AE4256">
        <w:rPr>
          <w:rFonts w:ascii="Arial" w:hAnsi="Arial" w:cs="Arial"/>
          <w:b/>
          <w:szCs w:val="24"/>
        </w:rPr>
        <w:t>Q</w:t>
      </w:r>
      <w:r w:rsidR="00AE4256" w:rsidRPr="00AE4256">
        <w:rPr>
          <w:rFonts w:ascii="Arial" w:hAnsi="Arial" w:cs="Arial"/>
          <w:b/>
          <w:szCs w:val="24"/>
        </w:rPr>
        <w:t>.</w:t>
      </w:r>
      <w:r w:rsidRPr="00AE4256">
        <w:rPr>
          <w:rFonts w:ascii="Arial" w:hAnsi="Arial" w:cs="Arial"/>
          <w:b/>
          <w:szCs w:val="24"/>
        </w:rPr>
        <w:t xml:space="preserve">11 </w:t>
      </w:r>
      <w:r w:rsidRPr="00AE4256">
        <w:rPr>
          <w:rFonts w:ascii="Arial" w:hAnsi="Arial" w:cs="Arial"/>
          <w:szCs w:val="24"/>
        </w:rPr>
        <w:t xml:space="preserve">– </w:t>
      </w:r>
      <w:r w:rsidR="00AE4256" w:rsidRPr="00AE4256">
        <w:rPr>
          <w:rFonts w:ascii="Arial" w:hAnsi="Arial" w:cs="Arial"/>
          <w:szCs w:val="24"/>
        </w:rPr>
        <w:t>Broadly speaking, yes.</w:t>
      </w:r>
    </w:p>
    <w:p w:rsidR="00AE4256" w:rsidRPr="00AE4256" w:rsidRDefault="00AE4256" w:rsidP="00AE4256">
      <w:pPr>
        <w:pStyle w:val="BSAMaintext"/>
        <w:spacing w:before="0" w:after="0" w:line="360" w:lineRule="auto"/>
        <w:rPr>
          <w:rFonts w:ascii="Arial" w:hAnsi="Arial" w:cs="Arial"/>
          <w:szCs w:val="24"/>
        </w:rPr>
      </w:pPr>
    </w:p>
    <w:p w:rsidR="00D31F6C" w:rsidRPr="00AE4256" w:rsidRDefault="00033C1A" w:rsidP="00AE4256">
      <w:pPr>
        <w:pStyle w:val="BSAMaintext"/>
        <w:spacing w:before="0" w:after="0" w:line="360" w:lineRule="auto"/>
        <w:rPr>
          <w:rFonts w:ascii="Arial" w:hAnsi="Arial" w:cs="Arial"/>
          <w:szCs w:val="24"/>
        </w:rPr>
      </w:pPr>
      <w:r w:rsidRPr="00AE4256">
        <w:rPr>
          <w:rFonts w:ascii="Arial" w:hAnsi="Arial" w:cs="Arial"/>
          <w:b/>
          <w:szCs w:val="24"/>
        </w:rPr>
        <w:t>Q</w:t>
      </w:r>
      <w:r w:rsidR="00AE4256" w:rsidRPr="00AE4256">
        <w:rPr>
          <w:rFonts w:ascii="Arial" w:hAnsi="Arial" w:cs="Arial"/>
          <w:b/>
          <w:szCs w:val="24"/>
        </w:rPr>
        <w:t>.</w:t>
      </w:r>
      <w:r w:rsidRPr="00AE4256">
        <w:rPr>
          <w:rFonts w:ascii="Arial" w:hAnsi="Arial" w:cs="Arial"/>
          <w:b/>
          <w:szCs w:val="24"/>
        </w:rPr>
        <w:t>12</w:t>
      </w:r>
      <w:r w:rsidRPr="00AE4256">
        <w:rPr>
          <w:rFonts w:ascii="Arial" w:hAnsi="Arial" w:cs="Arial"/>
          <w:szCs w:val="24"/>
        </w:rPr>
        <w:t xml:space="preserve"> – No </w:t>
      </w:r>
    </w:p>
    <w:p w:rsidR="00314A28" w:rsidRDefault="00314A28" w:rsidP="00AE4256">
      <w:pPr>
        <w:pStyle w:val="BSAMaintext"/>
        <w:spacing w:before="0" w:after="0" w:line="360" w:lineRule="auto"/>
        <w:rPr>
          <w:rFonts w:ascii="Arial" w:hAnsi="Arial" w:cs="Arial"/>
          <w:szCs w:val="24"/>
        </w:rPr>
      </w:pPr>
    </w:p>
    <w:p w:rsidR="00F86EC8" w:rsidRDefault="00F86EC8" w:rsidP="00AE4256">
      <w:pPr>
        <w:pStyle w:val="BSAMaintext"/>
        <w:spacing w:before="0" w:after="0" w:line="360" w:lineRule="auto"/>
        <w:rPr>
          <w:rFonts w:ascii="Arial" w:hAnsi="Arial" w:cs="Arial"/>
          <w:szCs w:val="24"/>
        </w:rPr>
      </w:pPr>
    </w:p>
    <w:p w:rsidR="00F86EC8" w:rsidRPr="00AE4256" w:rsidRDefault="00F86EC8" w:rsidP="00AE4256">
      <w:pPr>
        <w:pStyle w:val="BSAMaintext"/>
        <w:spacing w:before="0" w:after="0" w:line="360" w:lineRule="auto"/>
        <w:rPr>
          <w:rFonts w:ascii="Arial" w:hAnsi="Arial" w:cs="Arial"/>
          <w:szCs w:val="24"/>
        </w:rPr>
      </w:pPr>
    </w:p>
    <w:p w:rsidR="00314A28" w:rsidRPr="00AE4256" w:rsidRDefault="00314A28" w:rsidP="00AE4256">
      <w:pPr>
        <w:pStyle w:val="BSAMaintext"/>
        <w:spacing w:before="0" w:after="0" w:line="360" w:lineRule="auto"/>
        <w:rPr>
          <w:rFonts w:ascii="Arial" w:hAnsi="Arial" w:cs="Arial"/>
          <w:szCs w:val="24"/>
        </w:rPr>
      </w:pPr>
      <w:r w:rsidRPr="00AE4256">
        <w:rPr>
          <w:rFonts w:ascii="Arial" w:hAnsi="Arial" w:cs="Arial"/>
          <w:szCs w:val="24"/>
        </w:rPr>
        <w:t xml:space="preserve">BSA </w:t>
      </w:r>
      <w:r w:rsidR="00AC601B">
        <w:rPr>
          <w:rFonts w:ascii="Arial" w:hAnsi="Arial" w:cs="Arial"/>
          <w:szCs w:val="24"/>
        </w:rPr>
        <w:t xml:space="preserve">25 </w:t>
      </w:r>
      <w:r w:rsidRPr="00AE4256">
        <w:rPr>
          <w:rFonts w:ascii="Arial" w:hAnsi="Arial" w:cs="Arial"/>
          <w:szCs w:val="24"/>
        </w:rPr>
        <w:t>February 2015</w:t>
      </w:r>
    </w:p>
    <w:sectPr w:rsidR="00314A28" w:rsidRPr="00AE4256" w:rsidSect="008A5400">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567" w:right="1415" w:bottom="1080" w:left="1418" w:header="0" w:footer="14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FD" w:rsidRDefault="005B5DFD">
      <w:r>
        <w:separator/>
      </w:r>
    </w:p>
  </w:endnote>
  <w:endnote w:type="continuationSeparator" w:id="0">
    <w:p w:rsidR="005B5DFD" w:rsidRDefault="005B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ling Roman">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4D" w:rsidRDefault="00F77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4C2" w:rsidRPr="007E6453" w:rsidRDefault="004864C2" w:rsidP="00AF5BBC">
    <w:pPr>
      <w:framePr w:w="600" w:wrap="around" w:vAnchor="text" w:hAnchor="page" w:x="5662" w:y="-145"/>
      <w:jc w:val="center"/>
    </w:pPr>
  </w:p>
  <w:p w:rsidR="004864C2" w:rsidRDefault="004864C2" w:rsidP="007E6453">
    <w:pPr>
      <w:jc w:val="center"/>
      <w:rPr>
        <w:rStyle w:val="PageNumber"/>
      </w:rPr>
    </w:pPr>
    <w:r w:rsidRPr="007E6453">
      <w:rPr>
        <w:rStyle w:val="PageNumber"/>
      </w:rPr>
      <w:fldChar w:fldCharType="begin"/>
    </w:r>
    <w:r w:rsidRPr="007E6453">
      <w:rPr>
        <w:rStyle w:val="PageNumber"/>
      </w:rPr>
      <w:instrText xml:space="preserve"> PAGE </w:instrText>
    </w:r>
    <w:r w:rsidRPr="007E6453">
      <w:rPr>
        <w:rStyle w:val="PageNumber"/>
      </w:rPr>
      <w:fldChar w:fldCharType="separate"/>
    </w:r>
    <w:r w:rsidR="00E77B0E">
      <w:rPr>
        <w:rStyle w:val="PageNumber"/>
        <w:noProof/>
      </w:rPr>
      <w:t>1</w:t>
    </w:r>
    <w:r w:rsidRPr="007E6453">
      <w:rPr>
        <w:rStyle w:val="PageNumber"/>
      </w:rPr>
      <w:fldChar w:fldCharType="end"/>
    </w:r>
  </w:p>
  <w:p w:rsidR="004864C2" w:rsidRPr="007E6453" w:rsidRDefault="004864C2" w:rsidP="007E645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4D" w:rsidRDefault="00F7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FD" w:rsidRDefault="005B5DFD">
      <w:r>
        <w:separator/>
      </w:r>
    </w:p>
  </w:footnote>
  <w:footnote w:type="continuationSeparator" w:id="0">
    <w:p w:rsidR="005B5DFD" w:rsidRDefault="005B5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4D" w:rsidRDefault="00F77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30" w:rsidRPr="00626A30" w:rsidRDefault="00626A30">
    <w:pPr>
      <w:pStyle w:val="Header"/>
      <w:rPr>
        <w:rFonts w:ascii="Arial" w:hAnsi="Arial"/>
      </w:rPr>
    </w:pPr>
    <w:r>
      <w:rPr>
        <w:rFonts w:ascii="Arial" w:hAnsi="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4D" w:rsidRDefault="00F77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7D11"/>
    <w:multiLevelType w:val="multilevel"/>
    <w:tmpl w:val="E0AEF242"/>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965"/>
        </w:tabs>
        <w:ind w:left="605" w:firstLine="0"/>
      </w:pPr>
      <w:rPr>
        <w:rFonts w:hint="default"/>
      </w:rPr>
    </w:lvl>
    <w:lvl w:ilvl="2">
      <w:start w:val="1"/>
      <w:numFmt w:val="lowerRoman"/>
      <w:lvlText w:val="(%3)"/>
      <w:lvlJc w:val="left"/>
      <w:pPr>
        <w:tabs>
          <w:tab w:val="num" w:pos="1814"/>
        </w:tabs>
        <w:ind w:left="1094" w:firstLine="0"/>
      </w:pPr>
      <w:rPr>
        <w:rFonts w:hint="default"/>
      </w:rPr>
    </w:lvl>
    <w:lvl w:ilvl="3">
      <w:start w:val="1"/>
      <w:numFmt w:val="none"/>
      <w:lvlText w:val="-"/>
      <w:lvlJc w:val="left"/>
      <w:pPr>
        <w:tabs>
          <w:tab w:val="num" w:pos="2030"/>
        </w:tabs>
        <w:ind w:left="1670" w:firstLine="0"/>
      </w:pPr>
      <w:rPr>
        <w:rFonts w:hint="default"/>
      </w:rPr>
    </w:lvl>
    <w:lvl w:ilvl="4">
      <w:start w:val="1"/>
      <w:numFmt w:val="none"/>
      <w:lvlText w:val="-"/>
      <w:lvlJc w:val="left"/>
      <w:pPr>
        <w:tabs>
          <w:tab w:val="num" w:pos="2520"/>
        </w:tabs>
        <w:ind w:left="2160" w:firstLine="0"/>
      </w:pPr>
      <w:rPr>
        <w:rFonts w:hint="default"/>
      </w:rPr>
    </w:lvl>
    <w:lvl w:ilvl="5">
      <w:start w:val="1"/>
      <w:numFmt w:val="none"/>
      <w:lvlText w:val="-"/>
      <w:lvlJc w:val="left"/>
      <w:pPr>
        <w:tabs>
          <w:tab w:val="num" w:pos="3240"/>
        </w:tabs>
        <w:ind w:left="2880" w:firstLine="0"/>
      </w:pPr>
      <w:rPr>
        <w:rFonts w:hint="default"/>
      </w:rPr>
    </w:lvl>
    <w:lvl w:ilvl="6">
      <w:start w:val="1"/>
      <w:numFmt w:val="none"/>
      <w:lvlText w:val="%7-"/>
      <w:lvlJc w:val="left"/>
      <w:pPr>
        <w:tabs>
          <w:tab w:val="num" w:pos="3960"/>
        </w:tabs>
        <w:ind w:left="3600" w:firstLine="0"/>
      </w:pPr>
      <w:rPr>
        <w:rFonts w:hint="default"/>
      </w:rPr>
    </w:lvl>
    <w:lvl w:ilvl="7">
      <w:start w:val="1"/>
      <w:numFmt w:val="none"/>
      <w:lvlText w:val="%8-"/>
      <w:lvlJc w:val="left"/>
      <w:pPr>
        <w:tabs>
          <w:tab w:val="num" w:pos="4680"/>
        </w:tabs>
        <w:ind w:left="4320" w:firstLine="0"/>
      </w:pPr>
      <w:rPr>
        <w:rFonts w:hint="default"/>
      </w:rPr>
    </w:lvl>
    <w:lvl w:ilvl="8">
      <w:start w:val="1"/>
      <w:numFmt w:val="none"/>
      <w:lvlText w:val="%9-"/>
      <w:lvlJc w:val="left"/>
      <w:pPr>
        <w:tabs>
          <w:tab w:val="num" w:pos="6120"/>
        </w:tabs>
        <w:ind w:left="5760" w:firstLine="0"/>
      </w:pPr>
      <w:rPr>
        <w:rFonts w:hint="default"/>
      </w:rPr>
    </w:lvl>
  </w:abstractNum>
  <w:abstractNum w:abstractNumId="1">
    <w:nsid w:val="38B544A5"/>
    <w:multiLevelType w:val="multilevel"/>
    <w:tmpl w:val="620E0B76"/>
    <w:lvl w:ilvl="0">
      <w:start w:val="1"/>
      <w:numFmt w:val="decimal"/>
      <w:lvlText w:val="%1."/>
      <w:lvlJc w:val="left"/>
      <w:pPr>
        <w:tabs>
          <w:tab w:val="num" w:pos="605"/>
        </w:tabs>
        <w:ind w:left="605" w:hanging="605"/>
      </w:pPr>
      <w:rPr>
        <w:rFonts w:hint="default"/>
      </w:rPr>
    </w:lvl>
    <w:lvl w:ilvl="1">
      <w:start w:val="1"/>
      <w:numFmt w:val="lowerLetter"/>
      <w:lvlText w:val="(%2)"/>
      <w:lvlJc w:val="left"/>
      <w:pPr>
        <w:tabs>
          <w:tab w:val="num" w:pos="1094"/>
        </w:tabs>
        <w:ind w:left="1094" w:hanging="489"/>
      </w:pPr>
      <w:rPr>
        <w:rFonts w:hint="default"/>
      </w:rPr>
    </w:lvl>
    <w:lvl w:ilvl="2">
      <w:start w:val="1"/>
      <w:numFmt w:val="lowerRoman"/>
      <w:lvlText w:val="(%3)"/>
      <w:lvlJc w:val="left"/>
      <w:pPr>
        <w:tabs>
          <w:tab w:val="num" w:pos="1814"/>
        </w:tabs>
        <w:ind w:left="1670"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FC50875"/>
    <w:multiLevelType w:val="multilevel"/>
    <w:tmpl w:val="CB9E2BF0"/>
    <w:lvl w:ilvl="0">
      <w:start w:val="1"/>
      <w:numFmt w:val="decimal"/>
      <w:pStyle w:val="BSANumbPara-Std"/>
      <w:lvlText w:val="%1."/>
      <w:lvlJc w:val="left"/>
      <w:pPr>
        <w:tabs>
          <w:tab w:val="num" w:pos="360"/>
        </w:tabs>
        <w:ind w:left="0" w:firstLine="0"/>
      </w:pPr>
      <w:rPr>
        <w:rFonts w:ascii="CG Times" w:hAnsi="CG Time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65"/>
        </w:tabs>
        <w:ind w:left="605" w:firstLine="0"/>
      </w:pPr>
      <w:rPr>
        <w:rFonts w:ascii="CG Times" w:hAnsi="CG 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14"/>
        </w:tabs>
        <w:ind w:left="1094" w:firstLine="0"/>
      </w:pPr>
      <w:rPr>
        <w:rFonts w:ascii="CG Times" w:hAnsi="CG 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tabs>
          <w:tab w:val="num" w:pos="2390"/>
        </w:tabs>
        <w:ind w:left="1670" w:firstLine="0"/>
      </w:pPr>
      <w:rPr>
        <w:rFonts w:ascii="CG Times" w:hAnsi="CG 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520"/>
        </w:tabs>
        <w:ind w:left="2160" w:firstLine="0"/>
      </w:pPr>
      <w:rPr>
        <w:rFonts w:ascii="Symbol" w:hAnsi="Symbol" w:hint="default"/>
        <w:color w:val="auto"/>
      </w:rPr>
    </w:lvl>
    <w:lvl w:ilvl="5">
      <w:start w:val="1"/>
      <w:numFmt w:val="bullet"/>
      <w:lvlText w:val=""/>
      <w:lvlJc w:val="left"/>
      <w:pPr>
        <w:tabs>
          <w:tab w:val="num" w:pos="3240"/>
        </w:tabs>
        <w:ind w:left="2880" w:firstLine="0"/>
      </w:pPr>
      <w:rPr>
        <w:rFonts w:ascii="Symbol" w:hAnsi="Symbol" w:hint="default"/>
        <w:color w:val="auto"/>
      </w:rPr>
    </w:lvl>
    <w:lvl w:ilvl="6">
      <w:start w:val="1"/>
      <w:numFmt w:val="bullet"/>
      <w:lvlText w:val=""/>
      <w:lvlJc w:val="left"/>
      <w:pPr>
        <w:tabs>
          <w:tab w:val="num" w:pos="3960"/>
        </w:tabs>
        <w:ind w:left="3600" w:firstLine="0"/>
      </w:pPr>
      <w:rPr>
        <w:rFonts w:ascii="Symbol" w:hAnsi="Symbol" w:hint="default"/>
        <w:color w:val="auto"/>
      </w:rPr>
    </w:lvl>
    <w:lvl w:ilvl="7">
      <w:start w:val="1"/>
      <w:numFmt w:val="bullet"/>
      <w:lvlText w:val=""/>
      <w:lvlJc w:val="left"/>
      <w:pPr>
        <w:tabs>
          <w:tab w:val="num" w:pos="4680"/>
        </w:tabs>
        <w:ind w:left="4320" w:firstLine="0"/>
      </w:pPr>
      <w:rPr>
        <w:rFonts w:ascii="Symbol" w:hAnsi="Symbol" w:hint="default"/>
        <w:color w:val="auto"/>
      </w:rPr>
    </w:lvl>
    <w:lvl w:ilvl="8">
      <w:start w:val="1"/>
      <w:numFmt w:val="bullet"/>
      <w:lvlText w:val=""/>
      <w:lvlJc w:val="left"/>
      <w:pPr>
        <w:tabs>
          <w:tab w:val="num" w:pos="5400"/>
        </w:tabs>
        <w:ind w:left="5040" w:firstLine="0"/>
      </w:pPr>
      <w:rPr>
        <w:rFonts w:ascii="Symbol" w:hAnsi="Symbol" w:hint="default"/>
        <w:color w:val="auto"/>
      </w:rPr>
    </w:lvl>
  </w:abstractNum>
  <w:abstractNum w:abstractNumId="3">
    <w:nsid w:val="588F2EF3"/>
    <w:multiLevelType w:val="multilevel"/>
    <w:tmpl w:val="F8D6DD56"/>
    <w:lvl w:ilvl="0">
      <w:start w:val="1"/>
      <w:numFmt w:val="decimal"/>
      <w:lvlText w:val="%1."/>
      <w:lvlJc w:val="left"/>
      <w:pPr>
        <w:tabs>
          <w:tab w:val="num" w:pos="605"/>
        </w:tabs>
        <w:ind w:left="605" w:hanging="605"/>
      </w:pPr>
      <w:rPr>
        <w:rFonts w:hint="default"/>
      </w:rPr>
    </w:lvl>
    <w:lvl w:ilvl="1">
      <w:start w:val="1"/>
      <w:numFmt w:val="lowerLetter"/>
      <w:lvlText w:val="(%2)"/>
      <w:lvlJc w:val="left"/>
      <w:pPr>
        <w:tabs>
          <w:tab w:val="num" w:pos="1094"/>
        </w:tabs>
        <w:ind w:left="1094" w:hanging="489"/>
      </w:pPr>
      <w:rPr>
        <w:rFonts w:hint="default"/>
      </w:rPr>
    </w:lvl>
    <w:lvl w:ilvl="2">
      <w:start w:val="1"/>
      <w:numFmt w:val="lowerRoman"/>
      <w:lvlText w:val="(%3)"/>
      <w:lvlJc w:val="left"/>
      <w:pPr>
        <w:tabs>
          <w:tab w:val="num" w:pos="1814"/>
        </w:tabs>
        <w:ind w:left="1670"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BDB43AC"/>
    <w:multiLevelType w:val="multilevel"/>
    <w:tmpl w:val="8BD8640E"/>
    <w:lvl w:ilvl="0">
      <w:start w:val="1"/>
      <w:numFmt w:val="decimal"/>
      <w:pStyle w:val="BSANumbPara-11"/>
      <w:lvlText w:val="1.%1"/>
      <w:lvlJc w:val="left"/>
      <w:pPr>
        <w:tabs>
          <w:tab w:val="num" w:pos="360"/>
        </w:tabs>
        <w:ind w:left="0" w:firstLine="0"/>
      </w:pPr>
      <w:rPr>
        <w:rFonts w:ascii="CG Times" w:hAnsi="CG Time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65"/>
        </w:tabs>
        <w:ind w:left="605" w:firstLine="0"/>
      </w:pPr>
      <w:rPr>
        <w:rFonts w:ascii="CG Times" w:hAnsi="CG 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14"/>
        </w:tabs>
        <w:ind w:left="1094" w:firstLine="0"/>
      </w:pPr>
      <w:rPr>
        <w:rFonts w:ascii="CG Times" w:hAnsi="CG 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tabs>
          <w:tab w:val="num" w:pos="2390"/>
        </w:tabs>
        <w:ind w:left="1670" w:firstLine="0"/>
      </w:pPr>
      <w:rPr>
        <w:rFonts w:ascii="CG Times" w:hAnsi="CG Time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520"/>
        </w:tabs>
        <w:ind w:left="2160" w:firstLine="0"/>
      </w:pPr>
      <w:rPr>
        <w:rFonts w:ascii="Symbol" w:hAnsi="Symbol" w:hint="default"/>
        <w:color w:val="auto"/>
      </w:rPr>
    </w:lvl>
    <w:lvl w:ilvl="5">
      <w:start w:val="1"/>
      <w:numFmt w:val="bullet"/>
      <w:lvlText w:val=""/>
      <w:lvlJc w:val="left"/>
      <w:pPr>
        <w:tabs>
          <w:tab w:val="num" w:pos="3240"/>
        </w:tabs>
        <w:ind w:left="2880" w:firstLine="0"/>
      </w:pPr>
      <w:rPr>
        <w:rFonts w:ascii="Symbol" w:hAnsi="Symbol" w:hint="default"/>
        <w:color w:val="auto"/>
      </w:rPr>
    </w:lvl>
    <w:lvl w:ilvl="6">
      <w:start w:val="1"/>
      <w:numFmt w:val="bullet"/>
      <w:lvlText w:val=""/>
      <w:lvlJc w:val="left"/>
      <w:pPr>
        <w:tabs>
          <w:tab w:val="num" w:pos="3960"/>
        </w:tabs>
        <w:ind w:left="3600" w:firstLine="0"/>
      </w:pPr>
      <w:rPr>
        <w:rFonts w:ascii="Symbol" w:hAnsi="Symbol" w:hint="default"/>
        <w:color w:val="auto"/>
      </w:rPr>
    </w:lvl>
    <w:lvl w:ilvl="7">
      <w:start w:val="1"/>
      <w:numFmt w:val="bullet"/>
      <w:lvlText w:val=""/>
      <w:lvlJc w:val="left"/>
      <w:pPr>
        <w:tabs>
          <w:tab w:val="num" w:pos="4680"/>
        </w:tabs>
        <w:ind w:left="4320" w:firstLine="0"/>
      </w:pPr>
      <w:rPr>
        <w:rFonts w:ascii="Symbol" w:hAnsi="Symbol" w:hint="default"/>
        <w:color w:val="auto"/>
      </w:rPr>
    </w:lvl>
    <w:lvl w:ilvl="8">
      <w:start w:val="1"/>
      <w:numFmt w:val="bullet"/>
      <w:lvlText w:val=""/>
      <w:lvlJc w:val="left"/>
      <w:pPr>
        <w:tabs>
          <w:tab w:val="num" w:pos="5400"/>
        </w:tabs>
        <w:ind w:left="5040" w:firstLine="0"/>
      </w:pPr>
      <w:rPr>
        <w:rFonts w:ascii="Symbol" w:hAnsi="Symbol" w:hint="default"/>
        <w:color w:val="auto"/>
      </w:rPr>
    </w:lvl>
  </w:abstractNum>
  <w:num w:numId="1">
    <w:abstractNumId w:val="1"/>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FD"/>
    <w:rsid w:val="0001417C"/>
    <w:rsid w:val="00033C1A"/>
    <w:rsid w:val="000C3D61"/>
    <w:rsid w:val="000F2346"/>
    <w:rsid w:val="0010412A"/>
    <w:rsid w:val="00110094"/>
    <w:rsid w:val="00141BDD"/>
    <w:rsid w:val="001448ED"/>
    <w:rsid w:val="001A64A7"/>
    <w:rsid w:val="001A6A4B"/>
    <w:rsid w:val="001B389A"/>
    <w:rsid w:val="001B679C"/>
    <w:rsid w:val="001D4598"/>
    <w:rsid w:val="00266802"/>
    <w:rsid w:val="002C4DFD"/>
    <w:rsid w:val="00314A28"/>
    <w:rsid w:val="00383C04"/>
    <w:rsid w:val="003B3BD3"/>
    <w:rsid w:val="00452146"/>
    <w:rsid w:val="004549E2"/>
    <w:rsid w:val="004864C2"/>
    <w:rsid w:val="00506935"/>
    <w:rsid w:val="00512B4C"/>
    <w:rsid w:val="00534CD3"/>
    <w:rsid w:val="0057690B"/>
    <w:rsid w:val="005B3D9F"/>
    <w:rsid w:val="005B5DFD"/>
    <w:rsid w:val="005B768D"/>
    <w:rsid w:val="006058A0"/>
    <w:rsid w:val="00626A30"/>
    <w:rsid w:val="0066568D"/>
    <w:rsid w:val="00676272"/>
    <w:rsid w:val="006964DA"/>
    <w:rsid w:val="006C1F9F"/>
    <w:rsid w:val="006E4BF7"/>
    <w:rsid w:val="007715F1"/>
    <w:rsid w:val="007E4D2A"/>
    <w:rsid w:val="007E5BEF"/>
    <w:rsid w:val="007E6453"/>
    <w:rsid w:val="00806AF2"/>
    <w:rsid w:val="008969CE"/>
    <w:rsid w:val="008A4EE1"/>
    <w:rsid w:val="008A5400"/>
    <w:rsid w:val="008C1383"/>
    <w:rsid w:val="008D60F6"/>
    <w:rsid w:val="00915EDC"/>
    <w:rsid w:val="009340F1"/>
    <w:rsid w:val="0094734A"/>
    <w:rsid w:val="00966FC6"/>
    <w:rsid w:val="009859F7"/>
    <w:rsid w:val="00986618"/>
    <w:rsid w:val="009B194B"/>
    <w:rsid w:val="009B1AD6"/>
    <w:rsid w:val="00A20B23"/>
    <w:rsid w:val="00A266D4"/>
    <w:rsid w:val="00A85B62"/>
    <w:rsid w:val="00AA1F6A"/>
    <w:rsid w:val="00AA7354"/>
    <w:rsid w:val="00AC601B"/>
    <w:rsid w:val="00AE4256"/>
    <w:rsid w:val="00AE496B"/>
    <w:rsid w:val="00AF5BBC"/>
    <w:rsid w:val="00B6215A"/>
    <w:rsid w:val="00B72265"/>
    <w:rsid w:val="00BB4023"/>
    <w:rsid w:val="00BF0257"/>
    <w:rsid w:val="00C326B9"/>
    <w:rsid w:val="00C37188"/>
    <w:rsid w:val="00C44E18"/>
    <w:rsid w:val="00C5038F"/>
    <w:rsid w:val="00C639F1"/>
    <w:rsid w:val="00C63FFD"/>
    <w:rsid w:val="00D2139E"/>
    <w:rsid w:val="00D31F6C"/>
    <w:rsid w:val="00D45CCF"/>
    <w:rsid w:val="00D93472"/>
    <w:rsid w:val="00D95CB4"/>
    <w:rsid w:val="00DF07CC"/>
    <w:rsid w:val="00E77B0E"/>
    <w:rsid w:val="00E95488"/>
    <w:rsid w:val="00EA547C"/>
    <w:rsid w:val="00EA7ADB"/>
    <w:rsid w:val="00ED6D5E"/>
    <w:rsid w:val="00EF3F6A"/>
    <w:rsid w:val="00F7754D"/>
    <w:rsid w:val="00F86EC8"/>
    <w:rsid w:val="00F96588"/>
    <w:rsid w:val="00FA340F"/>
    <w:rsid w:val="00FC4BC1"/>
    <w:rsid w:val="00FD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54026BC-8D98-433E-917E-6FD6BD68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color w:val="000000"/>
      <w:szCs w:val="22"/>
      <w:lang w:eastAsia="en-US"/>
    </w:rPr>
  </w:style>
  <w:style w:type="paragraph" w:styleId="Heading1">
    <w:name w:val="heading 1"/>
    <w:basedOn w:val="Normal"/>
    <w:next w:val="Normal"/>
    <w:qFormat/>
    <w:pPr>
      <w:keepNext/>
      <w:tabs>
        <w:tab w:val="left" w:pos="605"/>
        <w:tab w:val="left" w:pos="1094"/>
        <w:tab w:val="left" w:pos="1670"/>
        <w:tab w:val="left" w:pos="2160"/>
        <w:tab w:val="left" w:pos="2881"/>
        <w:tab w:val="left" w:pos="3602"/>
        <w:tab w:val="left" w:pos="4324"/>
        <w:tab w:val="left" w:pos="5045"/>
        <w:tab w:val="left" w:pos="5766"/>
        <w:tab w:val="left" w:pos="6487"/>
        <w:tab w:val="left" w:pos="7208"/>
        <w:tab w:val="left" w:pos="7930"/>
        <w:tab w:val="left" w:pos="8651"/>
        <w:tab w:val="left" w:pos="9372"/>
        <w:tab w:val="left" w:pos="10093"/>
      </w:tabs>
      <w:spacing w:before="460"/>
      <w:jc w:val="right"/>
      <w:outlineLvl w:val="0"/>
    </w:pPr>
    <w:rPr>
      <w:rFonts w:ascii="Berling Roman" w:hAnsi="Berling Roman"/>
      <w:i/>
      <w:iCs/>
      <w:sz w:val="60"/>
      <w:szCs w:val="60"/>
    </w:rPr>
  </w:style>
  <w:style w:type="paragraph" w:styleId="Heading2">
    <w:name w:val="heading 2"/>
    <w:basedOn w:val="Normal"/>
    <w:next w:val="Normal"/>
    <w:qFormat/>
    <w:pPr>
      <w:keepNext/>
      <w:tabs>
        <w:tab w:val="left" w:pos="605"/>
        <w:tab w:val="left" w:pos="1094"/>
        <w:tab w:val="left" w:pos="1670"/>
        <w:tab w:val="left" w:pos="2160"/>
        <w:tab w:val="left" w:pos="2881"/>
        <w:tab w:val="left" w:pos="3602"/>
        <w:tab w:val="left" w:pos="4324"/>
        <w:tab w:val="left" w:pos="5045"/>
        <w:tab w:val="left" w:pos="5766"/>
        <w:tab w:val="left" w:pos="6487"/>
        <w:tab w:val="left" w:pos="7208"/>
        <w:tab w:val="left" w:pos="7930"/>
        <w:tab w:val="left" w:pos="8651"/>
        <w:tab w:val="left" w:pos="9372"/>
        <w:tab w:val="left" w:pos="10093"/>
      </w:tabs>
      <w:spacing w:before="280"/>
      <w:outlineLvl w:val="1"/>
    </w:pPr>
    <w:rPr>
      <w:rFonts w:ascii="CG Times" w:hAnsi="CG Times"/>
      <w:sz w:val="24"/>
    </w:rPr>
  </w:style>
  <w:style w:type="paragraph" w:styleId="Heading3">
    <w:name w:val="heading 3"/>
    <w:basedOn w:val="Normal"/>
    <w:next w:val="Normal"/>
    <w:qFormat/>
    <w:pPr>
      <w:keepNext/>
      <w:spacing w:after="80" w:line="192" w:lineRule="auto"/>
      <w:ind w:right="58"/>
      <w:jc w:val="right"/>
      <w:outlineLvl w:val="2"/>
    </w:pPr>
    <w:rPr>
      <w:rFonts w:ascii="Berling Roman" w:hAnsi="Berling Roman"/>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ANumbPara-Std">
    <w:name w:val="BSA Numb' Para - Std"/>
    <w:basedOn w:val="BSAMaintext"/>
    <w:pPr>
      <w:numPr>
        <w:numId w:val="7"/>
      </w:numPr>
    </w:pPr>
  </w:style>
  <w:style w:type="paragraph" w:customStyle="1" w:styleId="BSAMaintext">
    <w:name w:val="BSA Main text"/>
    <w:pPr>
      <w:tabs>
        <w:tab w:val="left" w:pos="605"/>
        <w:tab w:val="left" w:pos="1094"/>
        <w:tab w:val="left" w:pos="1670"/>
        <w:tab w:val="left" w:pos="2160"/>
        <w:tab w:val="left" w:pos="2880"/>
        <w:tab w:val="left" w:pos="3600"/>
        <w:tab w:val="left" w:pos="4320"/>
        <w:tab w:val="left" w:pos="5040"/>
      </w:tabs>
      <w:spacing w:before="120" w:after="120"/>
    </w:pPr>
    <w:rPr>
      <w:rFonts w:ascii="CG Times" w:hAnsi="CG Times"/>
      <w:color w:val="000000"/>
      <w:sz w:val="24"/>
      <w:lang w:eastAsia="en-US"/>
    </w:rPr>
  </w:style>
  <w:style w:type="paragraph" w:customStyle="1" w:styleId="BSAParaHeading">
    <w:name w:val="BSA Para' Heading"/>
    <w:basedOn w:val="BSAMaintext"/>
    <w:rPr>
      <w:b/>
    </w:rPr>
  </w:style>
  <w:style w:type="paragraph" w:customStyle="1" w:styleId="BSAHeadingCenter">
    <w:name w:val="BSA Heading Center"/>
    <w:basedOn w:val="BSAMaintext"/>
    <w:pPr>
      <w:jc w:val="center"/>
    </w:pPr>
    <w:rPr>
      <w:b/>
    </w:rPr>
  </w:style>
  <w:style w:type="paragraph" w:customStyle="1" w:styleId="BSARighttext-Italic">
    <w:name w:val="BSA Right text - Italic"/>
    <w:basedOn w:val="BSAMaintext"/>
    <w:pPr>
      <w:jc w:val="right"/>
    </w:pPr>
    <w:rPr>
      <w:i/>
    </w:rPr>
  </w:style>
  <w:style w:type="paragraph" w:styleId="Header">
    <w:name w:val="header"/>
    <w:basedOn w:val="Normal"/>
    <w:pPr>
      <w:tabs>
        <w:tab w:val="center" w:pos="4320"/>
        <w:tab w:val="right" w:pos="8640"/>
      </w:tabs>
    </w:pPr>
    <w:rPr>
      <w:rFonts w:ascii="Times New Roman" w:hAnsi="Times New Roman"/>
      <w:lang w:val="en-US"/>
    </w:rPr>
  </w:style>
  <w:style w:type="paragraph" w:customStyle="1" w:styleId="BSANumbPara-11">
    <w:name w:val="BSA Numb' Para - 1.1"/>
    <w:basedOn w:val="BSAMaintext"/>
    <w:pPr>
      <w:numPr>
        <w:numId w:val="3"/>
      </w:numPr>
    </w:pPr>
  </w:style>
  <w:style w:type="paragraph" w:customStyle="1" w:styleId="BSARighttext-Std">
    <w:name w:val="BSA Right text - Std"/>
    <w:basedOn w:val="BSAMaintext"/>
    <w:pPr>
      <w:jc w:val="right"/>
    </w:pPr>
  </w:style>
  <w:style w:type="paragraph" w:customStyle="1" w:styleId="BSAFooter">
    <w:name w:val="BSA Footer"/>
    <w:basedOn w:val="Normal"/>
    <w:pPr>
      <w:tabs>
        <w:tab w:val="left" w:pos="605"/>
        <w:tab w:val="left" w:pos="1094"/>
        <w:tab w:val="left" w:pos="1670"/>
      </w:tabs>
      <w:overflowPunct/>
      <w:autoSpaceDE/>
      <w:autoSpaceDN/>
      <w:adjustRightInd/>
      <w:textAlignment w:val="auto"/>
    </w:pPr>
    <w:rPr>
      <w:color w:val="000080"/>
    </w:rPr>
  </w:style>
  <w:style w:type="paragraph" w:styleId="Footer">
    <w:name w:val="footer"/>
    <w:basedOn w:val="Normal"/>
    <w:pPr>
      <w:tabs>
        <w:tab w:val="center" w:pos="4320"/>
        <w:tab w:val="right" w:pos="8640"/>
      </w:tabs>
    </w:pPr>
  </w:style>
  <w:style w:type="table" w:styleId="TableGrid">
    <w:name w:val="Table Grid"/>
    <w:basedOn w:val="TableNormal"/>
    <w:rsid w:val="0094734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1BDD"/>
    <w:rPr>
      <w:color w:val="800080"/>
      <w:u w:val="single"/>
    </w:rPr>
  </w:style>
  <w:style w:type="character" w:styleId="PageNumber">
    <w:name w:val="page number"/>
    <w:basedOn w:val="DefaultParagraphFont"/>
    <w:rsid w:val="007E6453"/>
  </w:style>
  <w:style w:type="paragraph" w:styleId="BalloonText">
    <w:name w:val="Balloon Text"/>
    <w:basedOn w:val="Normal"/>
    <w:link w:val="BalloonTextChar"/>
    <w:rsid w:val="00033C1A"/>
    <w:rPr>
      <w:rFonts w:ascii="Segoe UI" w:hAnsi="Segoe UI" w:cs="Segoe UI"/>
      <w:sz w:val="18"/>
      <w:szCs w:val="18"/>
    </w:rPr>
  </w:style>
  <w:style w:type="character" w:customStyle="1" w:styleId="BalloonTextChar">
    <w:name w:val="Balloon Text Char"/>
    <w:basedOn w:val="DefaultParagraphFont"/>
    <w:link w:val="BalloonText"/>
    <w:rsid w:val="00033C1A"/>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EVERYONE\BSA%20TEMPLATES\Production\Response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Response_Submission</Template>
  <TotalTime>9</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Classification/Date</vt:lpstr>
    </vt:vector>
  </TitlesOfParts>
  <Company>BSA</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Classification/Date</dc:title>
  <dc:subject/>
  <dc:creator>JPalmer</dc:creator>
  <cp:keywords/>
  <cp:lastModifiedBy>Andrea Jeffries</cp:lastModifiedBy>
  <cp:revision>6</cp:revision>
  <cp:lastPrinted>2015-02-12T17:27:00Z</cp:lastPrinted>
  <dcterms:created xsi:type="dcterms:W3CDTF">2015-02-25T15:42:00Z</dcterms:created>
  <dcterms:modified xsi:type="dcterms:W3CDTF">2015-02-25T15:53:00Z</dcterms:modified>
</cp:coreProperties>
</file>