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B5AEF" w14:textId="682C1184" w:rsidR="007625ED" w:rsidRDefault="007625ED" w:rsidP="007625ED">
      <w:pPr>
        <w:pStyle w:val="ListParagraph"/>
        <w:ind w:left="-284" w:right="-330"/>
        <w:rPr>
          <w:rFonts w:asciiTheme="minorHAnsi" w:hAnsiTheme="minorHAnsi"/>
          <w:b/>
          <w:bCs/>
          <w:color w:val="0070C0"/>
          <w:u w:val="single"/>
        </w:rPr>
      </w:pPr>
      <w:r w:rsidRPr="007625ED">
        <w:rPr>
          <w:rFonts w:asciiTheme="minorHAnsi" w:hAnsiTheme="minorHAnsi"/>
          <w:b/>
          <w:bCs/>
          <w:color w:val="0070C0"/>
          <w:u w:val="single"/>
        </w:rPr>
        <w:t>Responses to the EBA consultation on ESG risks</w:t>
      </w:r>
    </w:p>
    <w:p w14:paraId="05C555A8" w14:textId="1040D933" w:rsidR="00451A5D" w:rsidRPr="007625ED" w:rsidRDefault="00451A5D" w:rsidP="007625ED">
      <w:pPr>
        <w:pStyle w:val="ListParagraph"/>
        <w:ind w:left="-284" w:right="-330"/>
        <w:rPr>
          <w:rFonts w:asciiTheme="minorHAnsi" w:hAnsiTheme="minorHAnsi"/>
          <w:b/>
          <w:bCs/>
          <w:u w:val="single"/>
        </w:rPr>
      </w:pPr>
    </w:p>
    <w:p w14:paraId="2F9C7BD6" w14:textId="77777777" w:rsidR="007625ED" w:rsidRDefault="007625ED" w:rsidP="007625ED">
      <w:pPr>
        <w:pStyle w:val="ListParagraph"/>
        <w:ind w:left="-284" w:right="-330"/>
        <w:rPr>
          <w:rFonts w:asciiTheme="minorHAnsi" w:hAnsiTheme="minorHAnsi"/>
          <w:b/>
          <w:bCs/>
        </w:rPr>
      </w:pPr>
    </w:p>
    <w:p w14:paraId="5B1F677D" w14:textId="70822121" w:rsidR="008E5538" w:rsidRDefault="008E5538" w:rsidP="007625ED">
      <w:pPr>
        <w:pStyle w:val="ListParagraph"/>
        <w:ind w:left="-284" w:right="-330"/>
        <w:rPr>
          <w:rFonts w:cs="Arial"/>
          <w:b/>
          <w:bCs/>
          <w:color w:val="FF0000"/>
          <w:sz w:val="18"/>
          <w:szCs w:val="18"/>
        </w:rPr>
      </w:pPr>
      <w:r>
        <w:rPr>
          <w:rFonts w:cs="Arial"/>
          <w:b/>
          <w:bCs/>
          <w:sz w:val="18"/>
          <w:szCs w:val="18"/>
        </w:rPr>
        <w:t xml:space="preserve">2. </w:t>
      </w:r>
      <w:r w:rsidRPr="008E5538">
        <w:rPr>
          <w:rFonts w:cs="Arial"/>
          <w:b/>
          <w:bCs/>
          <w:sz w:val="18"/>
          <w:szCs w:val="18"/>
        </w:rPr>
        <w:t>Please provide your views on the proposed definition of ESG factors and ESG risks. </w:t>
      </w:r>
    </w:p>
    <w:p w14:paraId="0A06B0CD" w14:textId="77777777" w:rsidR="008E5538" w:rsidRDefault="008E5538" w:rsidP="008E5538">
      <w:pPr>
        <w:ind w:left="-284" w:right="-330"/>
        <w:rPr>
          <w:rFonts w:ascii="Arial" w:hAnsi="Arial" w:cs="Arial"/>
          <w:color w:val="464B4B"/>
          <w:sz w:val="18"/>
          <w:szCs w:val="18"/>
        </w:rPr>
      </w:pPr>
      <w:r w:rsidRPr="008E5538">
        <w:rPr>
          <w:rFonts w:ascii="Arial" w:hAnsi="Arial" w:cs="Arial"/>
          <w:color w:val="464B4B"/>
          <w:sz w:val="18"/>
          <w:szCs w:val="18"/>
        </w:rPr>
        <w:t xml:space="preserve">Mazars </w:t>
      </w:r>
      <w:r>
        <w:rPr>
          <w:rFonts w:ascii="Arial" w:hAnsi="Arial" w:cs="Arial"/>
          <w:color w:val="464B4B"/>
          <w:sz w:val="18"/>
          <w:szCs w:val="18"/>
        </w:rPr>
        <w:t>acknowledges</w:t>
      </w:r>
      <w:r w:rsidRPr="008E5538">
        <w:rPr>
          <w:rFonts w:ascii="Arial" w:hAnsi="Arial" w:cs="Arial"/>
          <w:color w:val="464B4B"/>
          <w:sz w:val="18"/>
          <w:szCs w:val="18"/>
        </w:rPr>
        <w:t xml:space="preserve"> the importance of </w:t>
      </w:r>
      <w:r>
        <w:rPr>
          <w:rFonts w:ascii="Arial" w:hAnsi="Arial" w:cs="Arial"/>
          <w:color w:val="464B4B"/>
          <w:sz w:val="18"/>
          <w:szCs w:val="18"/>
        </w:rPr>
        <w:t>creating harmonised</w:t>
      </w:r>
      <w:r w:rsidRPr="008E5538">
        <w:rPr>
          <w:rFonts w:ascii="Arial" w:hAnsi="Arial" w:cs="Arial"/>
          <w:color w:val="464B4B"/>
          <w:sz w:val="18"/>
          <w:szCs w:val="18"/>
        </w:rPr>
        <w:t xml:space="preserve"> definitions o</w:t>
      </w:r>
      <w:r>
        <w:rPr>
          <w:rFonts w:ascii="Arial" w:hAnsi="Arial" w:cs="Arial"/>
          <w:color w:val="464B4B"/>
          <w:sz w:val="18"/>
          <w:szCs w:val="18"/>
        </w:rPr>
        <w:t xml:space="preserve">f </w:t>
      </w:r>
      <w:r w:rsidRPr="008E5538">
        <w:rPr>
          <w:rFonts w:ascii="Arial" w:hAnsi="Arial" w:cs="Arial"/>
          <w:color w:val="464B4B"/>
          <w:sz w:val="18"/>
          <w:szCs w:val="18"/>
        </w:rPr>
        <w:t xml:space="preserve">ESG factors and </w:t>
      </w:r>
      <w:r>
        <w:rPr>
          <w:rFonts w:ascii="Arial" w:hAnsi="Arial" w:cs="Arial"/>
          <w:color w:val="464B4B"/>
          <w:sz w:val="18"/>
          <w:szCs w:val="18"/>
        </w:rPr>
        <w:t xml:space="preserve">ESG </w:t>
      </w:r>
      <w:r w:rsidRPr="008E5538">
        <w:rPr>
          <w:rFonts w:ascii="Arial" w:hAnsi="Arial" w:cs="Arial"/>
          <w:color w:val="464B4B"/>
          <w:sz w:val="18"/>
          <w:szCs w:val="18"/>
        </w:rPr>
        <w:t>risks</w:t>
      </w:r>
      <w:r>
        <w:rPr>
          <w:rFonts w:ascii="Arial" w:hAnsi="Arial" w:cs="Arial"/>
          <w:color w:val="464B4B"/>
          <w:sz w:val="18"/>
          <w:szCs w:val="18"/>
        </w:rPr>
        <w:t>. In our view, this is essential for credit institutions to establish adequate risk frameworks and policies to manage ESG risks.</w:t>
      </w:r>
    </w:p>
    <w:p w14:paraId="791480B2" w14:textId="6C8D374A" w:rsidR="004C22E5" w:rsidRDefault="008E5538" w:rsidP="001D7B92">
      <w:pPr>
        <w:ind w:left="-284" w:right="-330"/>
        <w:rPr>
          <w:rFonts w:ascii="Arial" w:hAnsi="Arial" w:cs="Arial"/>
          <w:color w:val="464B4B"/>
          <w:sz w:val="18"/>
          <w:szCs w:val="18"/>
        </w:rPr>
      </w:pPr>
      <w:r>
        <w:rPr>
          <w:rFonts w:ascii="Arial" w:hAnsi="Arial" w:cs="Arial"/>
          <w:color w:val="464B4B"/>
          <w:sz w:val="18"/>
          <w:szCs w:val="18"/>
        </w:rPr>
        <w:t>However, we believe the discussion paper does not provide a hierarchy of sources to consider when determining what constitutes an ESG factor.</w:t>
      </w:r>
      <w:r w:rsidR="001D7B92" w:rsidRPr="001D7B92">
        <w:rPr>
          <w:rFonts w:ascii="Arial" w:hAnsi="Arial" w:cs="Arial"/>
          <w:color w:val="464B4B"/>
          <w:sz w:val="18"/>
          <w:szCs w:val="18"/>
        </w:rPr>
        <w:t xml:space="preserve"> </w:t>
      </w:r>
      <w:r w:rsidR="001D7B92">
        <w:rPr>
          <w:rFonts w:ascii="Arial" w:hAnsi="Arial" w:cs="Arial"/>
          <w:color w:val="464B4B"/>
          <w:sz w:val="18"/>
          <w:szCs w:val="18"/>
        </w:rPr>
        <w:t xml:space="preserve">While we welcome the EBA’s efforts to provide a common understanding of ESG risks, in our view the consultation could be more specific in indicating which frameworks </w:t>
      </w:r>
      <w:r w:rsidR="00985B8E">
        <w:rPr>
          <w:rFonts w:ascii="Arial" w:hAnsi="Arial" w:cs="Arial"/>
          <w:color w:val="464B4B"/>
          <w:sz w:val="18"/>
          <w:szCs w:val="18"/>
        </w:rPr>
        <w:t>are most useful for</w:t>
      </w:r>
      <w:r w:rsidR="003D4866">
        <w:rPr>
          <w:rFonts w:ascii="Arial" w:hAnsi="Arial" w:cs="Arial"/>
          <w:color w:val="464B4B"/>
          <w:sz w:val="18"/>
          <w:szCs w:val="18"/>
        </w:rPr>
        <w:t xml:space="preserve"> identifying, assessing, and managing various types of ESG risks.</w:t>
      </w:r>
      <w:r w:rsidR="004C22E5">
        <w:rPr>
          <w:rFonts w:ascii="Arial" w:hAnsi="Arial" w:cs="Arial"/>
          <w:color w:val="464B4B"/>
          <w:sz w:val="18"/>
          <w:szCs w:val="18"/>
        </w:rPr>
        <w:t xml:space="preserve"> </w:t>
      </w:r>
    </w:p>
    <w:p w14:paraId="11FF4342" w14:textId="55484628" w:rsidR="008E5538" w:rsidRDefault="008E5538" w:rsidP="008E5538">
      <w:pPr>
        <w:ind w:left="-284" w:right="-330"/>
        <w:rPr>
          <w:rFonts w:ascii="Arial" w:hAnsi="Arial" w:cs="Arial"/>
          <w:color w:val="464B4B"/>
          <w:sz w:val="18"/>
          <w:szCs w:val="18"/>
        </w:rPr>
      </w:pPr>
      <w:r w:rsidRPr="008E5538">
        <w:rPr>
          <w:rFonts w:ascii="Arial" w:hAnsi="Arial" w:cs="Arial"/>
          <w:color w:val="464B4B"/>
          <w:sz w:val="18"/>
          <w:szCs w:val="18"/>
        </w:rPr>
        <w:t xml:space="preserve">For example, the paper mentions SFDR as a source of </w:t>
      </w:r>
      <w:r w:rsidRPr="008E5538">
        <w:rPr>
          <w:rFonts w:ascii="Arial" w:hAnsi="Arial" w:cs="Arial"/>
          <w:i/>
          <w:iCs/>
          <w:color w:val="464B4B"/>
          <w:sz w:val="18"/>
          <w:szCs w:val="18"/>
        </w:rPr>
        <w:t>“a definition of sustainability factors meaning environmental, social and employee matters, respect for human rights, anti</w:t>
      </w:r>
      <w:r w:rsidRPr="008E5538">
        <w:rPr>
          <w:rFonts w:ascii="Cambria Math" w:hAnsi="Cambria Math" w:cs="Cambria Math"/>
          <w:i/>
          <w:iCs/>
          <w:color w:val="464B4B"/>
          <w:sz w:val="18"/>
          <w:szCs w:val="18"/>
        </w:rPr>
        <w:t>‐</w:t>
      </w:r>
      <w:r w:rsidRPr="008E5538">
        <w:rPr>
          <w:rFonts w:ascii="Arial" w:hAnsi="Arial" w:cs="Arial"/>
          <w:i/>
          <w:iCs/>
          <w:color w:val="464B4B"/>
          <w:sz w:val="18"/>
          <w:szCs w:val="18"/>
        </w:rPr>
        <w:t>corruption and anti</w:t>
      </w:r>
      <w:r w:rsidRPr="008E5538">
        <w:rPr>
          <w:rFonts w:ascii="Cambria Math" w:hAnsi="Cambria Math" w:cs="Cambria Math"/>
          <w:i/>
          <w:iCs/>
          <w:color w:val="464B4B"/>
          <w:sz w:val="18"/>
          <w:szCs w:val="18"/>
        </w:rPr>
        <w:t>‐</w:t>
      </w:r>
      <w:r w:rsidRPr="008E5538">
        <w:rPr>
          <w:rFonts w:ascii="Arial" w:hAnsi="Arial" w:cs="Arial"/>
          <w:i/>
          <w:iCs/>
          <w:color w:val="464B4B"/>
          <w:sz w:val="18"/>
          <w:szCs w:val="18"/>
        </w:rPr>
        <w:t>bribery matters”</w:t>
      </w:r>
      <w:r w:rsidRPr="008E5538">
        <w:rPr>
          <w:rFonts w:ascii="Arial" w:hAnsi="Arial" w:cs="Arial"/>
          <w:color w:val="464B4B"/>
          <w:sz w:val="18"/>
          <w:szCs w:val="18"/>
        </w:rPr>
        <w:t>, before suggesting that other frameworks such as UNPRI, UNEPFI and the Equator Principles can also serve as references for institutions when inferring their ESG risks.</w:t>
      </w:r>
    </w:p>
    <w:p w14:paraId="4BF8BAE2" w14:textId="0DFA0BDF" w:rsidR="00AA5231" w:rsidRDefault="008E5538" w:rsidP="00AA5231">
      <w:pPr>
        <w:ind w:left="-284" w:right="-330"/>
        <w:rPr>
          <w:rFonts w:ascii="Arial" w:hAnsi="Arial" w:cs="Arial"/>
          <w:color w:val="464B4B"/>
          <w:sz w:val="18"/>
          <w:szCs w:val="18"/>
        </w:rPr>
      </w:pPr>
      <w:r w:rsidRPr="008E5538">
        <w:rPr>
          <w:rFonts w:ascii="Arial" w:hAnsi="Arial" w:cs="Arial"/>
          <w:color w:val="464B4B"/>
          <w:sz w:val="18"/>
          <w:szCs w:val="18"/>
        </w:rPr>
        <w:t>We also believe that</w:t>
      </w:r>
      <w:r w:rsidR="001D7B92">
        <w:rPr>
          <w:rFonts w:ascii="Arial" w:hAnsi="Arial" w:cs="Arial"/>
          <w:color w:val="464B4B"/>
          <w:sz w:val="18"/>
          <w:szCs w:val="18"/>
        </w:rPr>
        <w:t xml:space="preserve"> more could be done to harmonise the international framework</w:t>
      </w:r>
      <w:r w:rsidR="00985B8E">
        <w:rPr>
          <w:rFonts w:ascii="Arial" w:hAnsi="Arial" w:cs="Arial"/>
          <w:color w:val="464B4B"/>
          <w:sz w:val="18"/>
          <w:szCs w:val="18"/>
        </w:rPr>
        <w:t xml:space="preserve"> </w:t>
      </w:r>
      <w:r w:rsidR="001D7B92">
        <w:rPr>
          <w:rFonts w:ascii="Arial" w:hAnsi="Arial" w:cs="Arial"/>
          <w:color w:val="464B4B"/>
          <w:sz w:val="18"/>
          <w:szCs w:val="18"/>
        </w:rPr>
        <w:t xml:space="preserve">and ensure useful concepts are </w:t>
      </w:r>
      <w:proofErr w:type="gramStart"/>
      <w:r w:rsidR="001D7B92">
        <w:rPr>
          <w:rFonts w:ascii="Arial" w:hAnsi="Arial" w:cs="Arial"/>
          <w:color w:val="464B4B"/>
          <w:sz w:val="18"/>
          <w:szCs w:val="18"/>
        </w:rPr>
        <w:t>taken into account</w:t>
      </w:r>
      <w:proofErr w:type="gramEnd"/>
      <w:r w:rsidR="001D7B92">
        <w:rPr>
          <w:rFonts w:ascii="Arial" w:hAnsi="Arial" w:cs="Arial"/>
          <w:color w:val="464B4B"/>
          <w:sz w:val="18"/>
          <w:szCs w:val="18"/>
        </w:rPr>
        <w:t xml:space="preserve"> in</w:t>
      </w:r>
      <w:r w:rsidR="00AA5231">
        <w:rPr>
          <w:rFonts w:ascii="Arial" w:hAnsi="Arial" w:cs="Arial"/>
          <w:color w:val="464B4B"/>
          <w:sz w:val="18"/>
          <w:szCs w:val="18"/>
        </w:rPr>
        <w:t xml:space="preserve"> European legislation. Given the aim to create a common global understanding of ESG risks, international discussions should inform any regional or local discussions.</w:t>
      </w:r>
    </w:p>
    <w:p w14:paraId="789ABB3D" w14:textId="26A87163" w:rsidR="00D46D4D" w:rsidRDefault="00F31EFC" w:rsidP="00D46D4D">
      <w:pPr>
        <w:ind w:left="-284" w:right="-330"/>
        <w:rPr>
          <w:rFonts w:ascii="Arial" w:hAnsi="Arial" w:cs="Arial"/>
          <w:color w:val="464B4B"/>
          <w:sz w:val="18"/>
          <w:szCs w:val="18"/>
        </w:rPr>
      </w:pPr>
      <w:r w:rsidRPr="008C7C71">
        <w:rPr>
          <w:rFonts w:ascii="Arial" w:hAnsi="Arial" w:cs="Arial"/>
          <w:color w:val="464B4B"/>
          <w:sz w:val="18"/>
          <w:szCs w:val="18"/>
        </w:rPr>
        <w:t xml:space="preserve">We note that ESG risks are considered to be negative impacts emerging from the ESG factors outlined in Table 1. In our view, the discussion paper could further stress the impact of institutions financing counterparties that are not directly exposed to (or contributors to) ESG factors, but are part of </w:t>
      </w:r>
      <w:r w:rsidR="008C7C71" w:rsidRPr="008C7C71">
        <w:rPr>
          <w:rFonts w:ascii="Arial" w:hAnsi="Arial" w:cs="Arial"/>
          <w:color w:val="464B4B"/>
          <w:sz w:val="18"/>
          <w:szCs w:val="18"/>
        </w:rPr>
        <w:t>a value chain which</w:t>
      </w:r>
      <w:r w:rsidR="002C211D" w:rsidRPr="008C7C71">
        <w:rPr>
          <w:rFonts w:ascii="Arial" w:hAnsi="Arial" w:cs="Arial"/>
          <w:color w:val="464B4B"/>
          <w:sz w:val="18"/>
          <w:szCs w:val="18"/>
        </w:rPr>
        <w:t xml:space="preserve"> may become negative for the environment in the future.</w:t>
      </w:r>
    </w:p>
    <w:p w14:paraId="2712B3F7" w14:textId="77777777" w:rsidR="003D4866" w:rsidRPr="002C211D" w:rsidRDefault="003D4866" w:rsidP="00D46D4D">
      <w:pPr>
        <w:ind w:left="-284" w:right="-330"/>
        <w:rPr>
          <w:rFonts w:ascii="Arial" w:hAnsi="Arial" w:cs="Arial"/>
          <w:color w:val="464B4B"/>
          <w:sz w:val="18"/>
          <w:szCs w:val="18"/>
        </w:rPr>
      </w:pPr>
    </w:p>
    <w:p w14:paraId="2FE46D8B" w14:textId="4B3DEFCA" w:rsidR="002A0E6E" w:rsidRPr="002A0E6E" w:rsidRDefault="002A0E6E" w:rsidP="00D46D4D">
      <w:pPr>
        <w:ind w:left="-284" w:right="-330"/>
        <w:rPr>
          <w:rFonts w:ascii="Arial" w:hAnsi="Arial" w:cs="Arial"/>
          <w:b/>
          <w:bCs/>
          <w:sz w:val="18"/>
          <w:szCs w:val="18"/>
        </w:rPr>
      </w:pPr>
      <w:r w:rsidRPr="002A0E6E">
        <w:rPr>
          <w:rFonts w:ascii="Arial" w:hAnsi="Arial" w:cs="Arial"/>
          <w:b/>
          <w:bCs/>
          <w:sz w:val="18"/>
          <w:szCs w:val="18"/>
        </w:rPr>
        <w:t>3. Do you agree that, for the purpose of assessing their inclusion in institutions’ and supervisors’ practices from a prudential perspective, ESG risks should be approached primarily from the angle of the negative impacts of ESG factors on institutions’ counterparties? Please explain why. </w:t>
      </w:r>
    </w:p>
    <w:p w14:paraId="47518ABE" w14:textId="388037A3" w:rsidR="002C211D" w:rsidRDefault="002A0E6E" w:rsidP="004D20C4">
      <w:pPr>
        <w:ind w:left="-284" w:right="-330"/>
        <w:rPr>
          <w:rFonts w:ascii="Arial" w:hAnsi="Arial" w:cs="Arial"/>
          <w:color w:val="464B4B"/>
          <w:sz w:val="18"/>
          <w:szCs w:val="18"/>
        </w:rPr>
      </w:pPr>
      <w:r w:rsidRPr="004D20C4">
        <w:rPr>
          <w:rFonts w:ascii="Arial" w:hAnsi="Arial" w:cs="Arial"/>
          <w:color w:val="464B4B"/>
          <w:sz w:val="18"/>
          <w:szCs w:val="18"/>
        </w:rPr>
        <w:t>We understand that the EBA is acting within its mandate</w:t>
      </w:r>
      <w:r w:rsidR="002C211D" w:rsidRPr="004D20C4">
        <w:rPr>
          <w:rFonts w:ascii="Arial" w:hAnsi="Arial" w:cs="Arial"/>
          <w:color w:val="464B4B"/>
          <w:sz w:val="18"/>
          <w:szCs w:val="18"/>
        </w:rPr>
        <w:t>,</w:t>
      </w:r>
      <w:r w:rsidRPr="004D20C4">
        <w:rPr>
          <w:rFonts w:ascii="Arial" w:hAnsi="Arial" w:cs="Arial"/>
          <w:color w:val="464B4B"/>
          <w:sz w:val="18"/>
          <w:szCs w:val="18"/>
        </w:rPr>
        <w:t xml:space="preserve"> provided </w:t>
      </w:r>
      <w:r w:rsidR="002C211D" w:rsidRPr="004D20C4">
        <w:rPr>
          <w:rFonts w:ascii="Arial" w:hAnsi="Arial" w:cs="Arial"/>
          <w:color w:val="464B4B"/>
          <w:sz w:val="18"/>
          <w:szCs w:val="18"/>
        </w:rPr>
        <w:t>with</w:t>
      </w:r>
      <w:r w:rsidRPr="004D20C4">
        <w:rPr>
          <w:rFonts w:ascii="Arial" w:hAnsi="Arial" w:cs="Arial"/>
          <w:color w:val="464B4B"/>
          <w:sz w:val="18"/>
          <w:szCs w:val="18"/>
        </w:rPr>
        <w:t>in CRD</w:t>
      </w:r>
      <w:r w:rsidR="002C211D" w:rsidRPr="004D20C4">
        <w:rPr>
          <w:rFonts w:ascii="Arial" w:hAnsi="Arial" w:cs="Arial"/>
          <w:color w:val="464B4B"/>
          <w:sz w:val="18"/>
          <w:szCs w:val="18"/>
        </w:rPr>
        <w:t xml:space="preserve"> V</w:t>
      </w:r>
      <w:r w:rsidRPr="004D20C4">
        <w:rPr>
          <w:rFonts w:ascii="Arial" w:hAnsi="Arial" w:cs="Arial"/>
          <w:color w:val="464B4B"/>
          <w:sz w:val="18"/>
          <w:szCs w:val="18"/>
        </w:rPr>
        <w:t>, to reflect ESG risks in the S</w:t>
      </w:r>
      <w:r w:rsidR="002C211D" w:rsidRPr="004D20C4">
        <w:rPr>
          <w:rFonts w:ascii="Arial" w:hAnsi="Arial" w:cs="Arial"/>
          <w:color w:val="464B4B"/>
          <w:sz w:val="18"/>
          <w:szCs w:val="18"/>
        </w:rPr>
        <w:t xml:space="preserve">upervisory </w:t>
      </w:r>
      <w:r w:rsidRPr="004D20C4">
        <w:rPr>
          <w:rFonts w:ascii="Arial" w:hAnsi="Arial" w:cs="Arial"/>
          <w:color w:val="464B4B"/>
          <w:sz w:val="18"/>
          <w:szCs w:val="18"/>
        </w:rPr>
        <w:t>R</w:t>
      </w:r>
      <w:r w:rsidR="002C211D" w:rsidRPr="004D20C4">
        <w:rPr>
          <w:rFonts w:ascii="Arial" w:hAnsi="Arial" w:cs="Arial"/>
          <w:color w:val="464B4B"/>
          <w:sz w:val="18"/>
          <w:szCs w:val="18"/>
        </w:rPr>
        <w:t xml:space="preserve">eview and </w:t>
      </w:r>
      <w:r w:rsidRPr="004D20C4">
        <w:rPr>
          <w:rFonts w:ascii="Arial" w:hAnsi="Arial" w:cs="Arial"/>
          <w:color w:val="464B4B"/>
          <w:sz w:val="18"/>
          <w:szCs w:val="18"/>
        </w:rPr>
        <w:t>E</w:t>
      </w:r>
      <w:r w:rsidR="002C211D" w:rsidRPr="004D20C4">
        <w:rPr>
          <w:rFonts w:ascii="Arial" w:hAnsi="Arial" w:cs="Arial"/>
          <w:color w:val="464B4B"/>
          <w:sz w:val="18"/>
          <w:szCs w:val="18"/>
        </w:rPr>
        <w:t xml:space="preserve">valuation </w:t>
      </w:r>
      <w:r w:rsidRPr="004D20C4">
        <w:rPr>
          <w:rFonts w:ascii="Arial" w:hAnsi="Arial" w:cs="Arial"/>
          <w:color w:val="464B4B"/>
          <w:sz w:val="18"/>
          <w:szCs w:val="18"/>
        </w:rPr>
        <w:t>P</w:t>
      </w:r>
      <w:r w:rsidR="002C211D" w:rsidRPr="004D20C4">
        <w:rPr>
          <w:rFonts w:ascii="Arial" w:hAnsi="Arial" w:cs="Arial"/>
          <w:color w:val="464B4B"/>
          <w:sz w:val="18"/>
          <w:szCs w:val="18"/>
        </w:rPr>
        <w:t>rocess</w:t>
      </w:r>
      <w:r w:rsidR="00E02233">
        <w:rPr>
          <w:rFonts w:ascii="Arial" w:hAnsi="Arial" w:cs="Arial"/>
          <w:color w:val="464B4B"/>
          <w:sz w:val="18"/>
          <w:szCs w:val="18"/>
        </w:rPr>
        <w:t>. T</w:t>
      </w:r>
      <w:r w:rsidR="002C211D" w:rsidRPr="004D20C4">
        <w:rPr>
          <w:rFonts w:ascii="Arial" w:hAnsi="Arial" w:cs="Arial"/>
          <w:color w:val="464B4B"/>
          <w:sz w:val="18"/>
          <w:szCs w:val="18"/>
        </w:rPr>
        <w:t>he EBA is therefore focusing on how ESG factors</w:t>
      </w:r>
      <w:r w:rsidR="004D20C4" w:rsidRPr="004D20C4">
        <w:rPr>
          <w:rFonts w:ascii="Arial" w:hAnsi="Arial" w:cs="Arial"/>
          <w:color w:val="464B4B"/>
          <w:sz w:val="18"/>
          <w:szCs w:val="18"/>
        </w:rPr>
        <w:t xml:space="preserve"> and risks may impact prudential risks, and by extension solvency.</w:t>
      </w:r>
    </w:p>
    <w:p w14:paraId="5F8FDC0C" w14:textId="62002789" w:rsidR="00E02233" w:rsidRPr="00E02233" w:rsidRDefault="00E02233" w:rsidP="004D20C4">
      <w:pPr>
        <w:ind w:left="-284" w:right="-330"/>
        <w:rPr>
          <w:rFonts w:ascii="Arial" w:hAnsi="Arial" w:cs="Arial"/>
          <w:color w:val="464B4B"/>
          <w:sz w:val="18"/>
          <w:szCs w:val="18"/>
        </w:rPr>
      </w:pPr>
      <w:r>
        <w:rPr>
          <w:rFonts w:ascii="Arial" w:hAnsi="Arial" w:cs="Arial"/>
          <w:color w:val="464B4B"/>
          <w:sz w:val="18"/>
          <w:szCs w:val="18"/>
        </w:rPr>
        <w:t xml:space="preserve">However, we note that credit institutions may not always have the necessary information to determine all factors to which a counterparty is exposed. In some cases, available information is only collected in the context of loan granting and is limited to financial data. Therefore, to perform a comprehensive analysis of their exposure to ESG risks and factors, </w:t>
      </w:r>
      <w:r w:rsidRPr="00E02233">
        <w:rPr>
          <w:rFonts w:ascii="Arial" w:hAnsi="Arial" w:cs="Arial"/>
          <w:color w:val="464B4B"/>
          <w:sz w:val="18"/>
          <w:szCs w:val="18"/>
        </w:rPr>
        <w:t>institutions would need to develop a stronger relationship with their counterparties.</w:t>
      </w:r>
    </w:p>
    <w:p w14:paraId="52C6BBAB" w14:textId="0E596958" w:rsidR="002A0E6E" w:rsidRDefault="00E02233" w:rsidP="008C7C71">
      <w:pPr>
        <w:ind w:left="-284" w:right="-330"/>
        <w:rPr>
          <w:rFonts w:ascii="Arial" w:hAnsi="Arial" w:cs="Arial"/>
          <w:color w:val="464B4B"/>
          <w:sz w:val="18"/>
          <w:szCs w:val="18"/>
        </w:rPr>
      </w:pPr>
      <w:r w:rsidRPr="00E02233">
        <w:rPr>
          <w:rFonts w:ascii="Arial" w:hAnsi="Arial" w:cs="Arial"/>
          <w:color w:val="464B4B"/>
          <w:sz w:val="18"/>
          <w:szCs w:val="18"/>
        </w:rPr>
        <w:t xml:space="preserve">Furthermore, we agree that </w:t>
      </w:r>
      <w:r w:rsidR="002A0E6E" w:rsidRPr="00E02233">
        <w:rPr>
          <w:rFonts w:ascii="Arial" w:hAnsi="Arial" w:cs="Arial"/>
          <w:color w:val="464B4B"/>
          <w:sz w:val="18"/>
          <w:szCs w:val="18"/>
        </w:rPr>
        <w:t xml:space="preserve">direct exposure of institutions to ESG factors </w:t>
      </w:r>
      <w:r w:rsidR="002A0E6E" w:rsidRPr="00E02233">
        <w:rPr>
          <w:rFonts w:ascii="Arial" w:hAnsi="Arial" w:cs="Arial"/>
          <w:i/>
          <w:iCs/>
          <w:color w:val="464B4B"/>
          <w:sz w:val="18"/>
          <w:szCs w:val="18"/>
        </w:rPr>
        <w:t>should “be already taken into account in the existing risks management and internal governance framework”</w:t>
      </w:r>
      <w:r w:rsidRPr="00E02233">
        <w:rPr>
          <w:rFonts w:ascii="Arial" w:hAnsi="Arial" w:cs="Arial"/>
          <w:color w:val="464B4B"/>
          <w:sz w:val="18"/>
          <w:szCs w:val="18"/>
        </w:rPr>
        <w:t>. However, we note that solvency is affected by an institution’s ability to manage its operational risk and analyse its direct exposure to ESG factors across multiple geographies. Therefore, it is our view that direct exposure should be within the scope of this discussion paper. This paper could leverage the ECB guidelines on climate and environmental risks, which consider direct exposure to these risks as an essential part of ESG risk assessment and management.</w:t>
      </w:r>
    </w:p>
    <w:p w14:paraId="26A9D57D" w14:textId="77777777" w:rsidR="008C7C71" w:rsidRPr="008C7C71" w:rsidRDefault="008C7C71" w:rsidP="008C7C71">
      <w:pPr>
        <w:ind w:left="-284" w:right="-330"/>
        <w:rPr>
          <w:rFonts w:ascii="Arial" w:hAnsi="Arial" w:cs="Arial"/>
          <w:color w:val="464B4B"/>
          <w:sz w:val="18"/>
          <w:szCs w:val="18"/>
        </w:rPr>
      </w:pPr>
    </w:p>
    <w:p w14:paraId="19D0F8DA" w14:textId="21C71EFD" w:rsidR="00D46D4D" w:rsidRPr="002A0E6E" w:rsidRDefault="00D46D4D" w:rsidP="00D46D4D">
      <w:pPr>
        <w:ind w:left="-284" w:right="-330"/>
        <w:rPr>
          <w:rFonts w:ascii="Arial" w:hAnsi="Arial" w:cs="Arial"/>
          <w:b/>
          <w:bCs/>
          <w:color w:val="000000" w:themeColor="text1"/>
          <w:sz w:val="18"/>
          <w:szCs w:val="18"/>
        </w:rPr>
      </w:pPr>
      <w:r w:rsidRPr="002A0E6E">
        <w:rPr>
          <w:rFonts w:ascii="Arial" w:hAnsi="Arial" w:cs="Arial"/>
          <w:b/>
          <w:bCs/>
          <w:color w:val="000000" w:themeColor="text1"/>
          <w:sz w:val="18"/>
          <w:szCs w:val="18"/>
        </w:rPr>
        <w:t>4. Please provide your views on the proposed definitions of transition risks and physical risks included in section. </w:t>
      </w:r>
    </w:p>
    <w:p w14:paraId="15F1C7B8" w14:textId="70A609D1" w:rsidR="00985B8E" w:rsidRDefault="00985B8E" w:rsidP="00985B8E">
      <w:pPr>
        <w:ind w:left="-284" w:right="-330"/>
        <w:rPr>
          <w:rFonts w:ascii="Arial" w:hAnsi="Arial" w:cs="Arial"/>
          <w:color w:val="464B4B"/>
          <w:sz w:val="18"/>
          <w:szCs w:val="18"/>
        </w:rPr>
      </w:pPr>
      <w:r w:rsidRPr="00D46D4D">
        <w:rPr>
          <w:rFonts w:ascii="Arial" w:hAnsi="Arial" w:cs="Arial"/>
          <w:color w:val="464B4B"/>
          <w:sz w:val="18"/>
          <w:szCs w:val="18"/>
        </w:rPr>
        <w:t>We support the definitions provided within this discussion paper</w:t>
      </w:r>
      <w:r>
        <w:rPr>
          <w:rFonts w:ascii="Arial" w:hAnsi="Arial" w:cs="Arial"/>
          <w:color w:val="464B4B"/>
          <w:sz w:val="18"/>
          <w:szCs w:val="18"/>
        </w:rPr>
        <w:t>, and believe it will be important to leverage definitions developed within voluntary frameworks</w:t>
      </w:r>
      <w:r w:rsidR="00451A5D">
        <w:rPr>
          <w:rFonts w:ascii="Arial" w:hAnsi="Arial" w:cs="Arial"/>
          <w:color w:val="464B4B"/>
          <w:sz w:val="18"/>
          <w:szCs w:val="18"/>
        </w:rPr>
        <w:t xml:space="preserve"> such as NGFS and TEG.</w:t>
      </w:r>
    </w:p>
    <w:p w14:paraId="5F2CF496" w14:textId="77777777" w:rsidR="003D4866" w:rsidRPr="00D46D4D" w:rsidRDefault="003D4866" w:rsidP="00985B8E">
      <w:pPr>
        <w:ind w:left="-284" w:right="-330"/>
        <w:rPr>
          <w:rFonts w:ascii="Arial" w:hAnsi="Arial" w:cs="Arial"/>
          <w:color w:val="464B4B"/>
          <w:sz w:val="18"/>
          <w:szCs w:val="18"/>
        </w:rPr>
      </w:pPr>
    </w:p>
    <w:p w14:paraId="4F7AA65E" w14:textId="2224FB84" w:rsidR="008E5538" w:rsidRDefault="00D46D4D" w:rsidP="00D46D4D">
      <w:pPr>
        <w:ind w:left="-284" w:right="-330"/>
        <w:rPr>
          <w:rFonts w:ascii="Arial" w:hAnsi="Arial" w:cs="Arial"/>
          <w:b/>
          <w:bCs/>
          <w:color w:val="000000" w:themeColor="text1"/>
          <w:sz w:val="18"/>
          <w:szCs w:val="18"/>
        </w:rPr>
      </w:pPr>
      <w:r w:rsidRPr="002A0E6E">
        <w:rPr>
          <w:rFonts w:ascii="Arial" w:hAnsi="Arial" w:cs="Arial"/>
          <w:b/>
          <w:bCs/>
          <w:color w:val="000000" w:themeColor="text1"/>
          <w:sz w:val="18"/>
          <w:szCs w:val="18"/>
        </w:rPr>
        <w:t xml:space="preserve">5. Please </w:t>
      </w:r>
      <w:r w:rsidRPr="00D46D4D">
        <w:rPr>
          <w:rFonts w:ascii="Arial" w:hAnsi="Arial" w:cs="Arial"/>
          <w:b/>
          <w:bCs/>
          <w:color w:val="000000" w:themeColor="text1"/>
          <w:sz w:val="18"/>
          <w:szCs w:val="18"/>
        </w:rPr>
        <w:t>provide your views on the proposed definitions of social risks and governance risks </w:t>
      </w:r>
    </w:p>
    <w:p w14:paraId="6FD5AF80" w14:textId="1B6AC420" w:rsidR="003D4866" w:rsidRPr="00D46D4D" w:rsidRDefault="00D46D4D" w:rsidP="00D46D4D">
      <w:pPr>
        <w:ind w:left="-284" w:right="-330"/>
        <w:rPr>
          <w:rFonts w:ascii="Arial" w:hAnsi="Arial" w:cs="Arial"/>
          <w:color w:val="464B4B"/>
          <w:sz w:val="18"/>
          <w:szCs w:val="18"/>
        </w:rPr>
      </w:pPr>
      <w:bookmarkStart w:id="0" w:name="_Hlk62834939"/>
      <w:r w:rsidRPr="00D46D4D">
        <w:rPr>
          <w:rFonts w:ascii="Arial" w:hAnsi="Arial" w:cs="Arial"/>
          <w:color w:val="464B4B"/>
          <w:sz w:val="18"/>
          <w:szCs w:val="18"/>
        </w:rPr>
        <w:t>We support the definitions provided within this discussion paper</w:t>
      </w:r>
      <w:r>
        <w:rPr>
          <w:rFonts w:ascii="Arial" w:hAnsi="Arial" w:cs="Arial"/>
          <w:color w:val="464B4B"/>
          <w:sz w:val="18"/>
          <w:szCs w:val="18"/>
        </w:rPr>
        <w:t>, and believe it will be important to leverage definitions developed within voluntary frameworks</w:t>
      </w:r>
      <w:r w:rsidR="00451A5D">
        <w:rPr>
          <w:rFonts w:ascii="Arial" w:hAnsi="Arial" w:cs="Arial"/>
          <w:color w:val="464B4B"/>
          <w:sz w:val="18"/>
          <w:szCs w:val="18"/>
        </w:rPr>
        <w:t>.</w:t>
      </w:r>
    </w:p>
    <w:bookmarkEnd w:id="0"/>
    <w:p w14:paraId="1A113912" w14:textId="77777777" w:rsidR="00D46D4D" w:rsidRPr="00D46D4D" w:rsidRDefault="00D46D4D" w:rsidP="00D46D4D">
      <w:pPr>
        <w:ind w:left="-284" w:right="-330"/>
        <w:rPr>
          <w:rFonts w:ascii="Arial" w:hAnsi="Arial" w:cs="Arial"/>
          <w:b/>
          <w:bCs/>
          <w:color w:val="000000" w:themeColor="text1"/>
          <w:sz w:val="18"/>
          <w:szCs w:val="18"/>
        </w:rPr>
      </w:pPr>
    </w:p>
    <w:p w14:paraId="214781B5" w14:textId="2B4D1B12" w:rsidR="007625ED" w:rsidRPr="009E69C1" w:rsidRDefault="007625ED" w:rsidP="007625ED">
      <w:pPr>
        <w:pStyle w:val="ListParagraph"/>
        <w:ind w:left="-284" w:right="-330"/>
        <w:rPr>
          <w:rFonts w:cs="Arial"/>
          <w:b/>
          <w:bCs/>
          <w:color w:val="44546A" w:themeColor="text2"/>
          <w:sz w:val="18"/>
          <w:szCs w:val="18"/>
        </w:rPr>
      </w:pPr>
      <w:r w:rsidRPr="007625ED">
        <w:rPr>
          <w:rFonts w:cs="Arial"/>
          <w:b/>
          <w:bCs/>
          <w:sz w:val="18"/>
          <w:szCs w:val="18"/>
        </w:rPr>
        <w:lastRenderedPageBreak/>
        <w:t xml:space="preserve">6. Do you agree with the description of liability transmission channels/liability risks, including the consideration that liability risks may also arise from social and governance factors? If not, please explain why. </w:t>
      </w:r>
    </w:p>
    <w:p w14:paraId="4F47C2BC" w14:textId="143D25C8" w:rsidR="007625ED" w:rsidRPr="007625ED" w:rsidRDefault="007625ED" w:rsidP="007625ED">
      <w:pPr>
        <w:ind w:left="-284" w:right="-330"/>
        <w:rPr>
          <w:rFonts w:ascii="Arial" w:hAnsi="Arial" w:cs="Arial"/>
          <w:color w:val="464B4B"/>
          <w:sz w:val="18"/>
          <w:szCs w:val="18"/>
        </w:rPr>
      </w:pPr>
      <w:r w:rsidRPr="007625ED">
        <w:rPr>
          <w:rFonts w:ascii="Arial" w:hAnsi="Arial" w:cs="Arial"/>
          <w:color w:val="464B4B"/>
          <w:sz w:val="18"/>
          <w:szCs w:val="18"/>
        </w:rPr>
        <w:t xml:space="preserve">We agree with the EBA’s description of liability transmission channels and liability risks, and with the notion that liability risks can arise from social and governance factors. However, we believe this section could better illustrate the channels through which social and governance factors can create liability risk, perhaps through some examples. For instance, lawsuits may arise from a counterparty’s treatment of its employees, or if business practices </w:t>
      </w:r>
      <w:r w:rsidR="003A2B38">
        <w:rPr>
          <w:rFonts w:ascii="Arial" w:hAnsi="Arial" w:cs="Arial"/>
          <w:color w:val="464B4B"/>
          <w:sz w:val="18"/>
          <w:szCs w:val="18"/>
        </w:rPr>
        <w:t>lead to</w:t>
      </w:r>
      <w:r w:rsidRPr="007625ED">
        <w:rPr>
          <w:rFonts w:ascii="Arial" w:hAnsi="Arial" w:cs="Arial"/>
          <w:color w:val="464B4B"/>
          <w:sz w:val="18"/>
          <w:szCs w:val="18"/>
        </w:rPr>
        <w:t xml:space="preserve"> social damage. Similarly, poor governance practices can engender negative outcomes for external stakeholders and result in demands for compensation.</w:t>
      </w:r>
    </w:p>
    <w:p w14:paraId="536AAD1F" w14:textId="20C8C8B7" w:rsidR="003A2B38" w:rsidRDefault="007625ED" w:rsidP="007625ED">
      <w:pPr>
        <w:ind w:left="-284" w:right="-330"/>
        <w:rPr>
          <w:rFonts w:ascii="Arial" w:hAnsi="Arial" w:cs="Arial"/>
          <w:color w:val="464B4B"/>
          <w:sz w:val="18"/>
          <w:szCs w:val="18"/>
        </w:rPr>
      </w:pPr>
      <w:r w:rsidRPr="007625ED">
        <w:rPr>
          <w:rFonts w:ascii="Arial" w:hAnsi="Arial" w:cs="Arial"/>
          <w:color w:val="464B4B"/>
          <w:sz w:val="18"/>
          <w:szCs w:val="18"/>
        </w:rPr>
        <w:t>Additionally, we note that potential lack of affordable access to liability insurance</w:t>
      </w:r>
      <w:r w:rsidR="003A2B38">
        <w:rPr>
          <w:rFonts w:ascii="Arial" w:hAnsi="Arial" w:cs="Arial"/>
          <w:color w:val="464B4B"/>
          <w:sz w:val="18"/>
          <w:szCs w:val="18"/>
        </w:rPr>
        <w:t xml:space="preserve"> could be applied beyond climate risk to also cover social and governance factors, given that liability insurance premiums often reflect these factors.</w:t>
      </w:r>
    </w:p>
    <w:p w14:paraId="0B2EA532" w14:textId="77777777" w:rsidR="007625ED" w:rsidRPr="007625ED" w:rsidRDefault="007625ED" w:rsidP="007625ED">
      <w:pPr>
        <w:ind w:left="-284" w:right="-330"/>
        <w:rPr>
          <w:rFonts w:ascii="Arial" w:hAnsi="Arial" w:cs="Arial"/>
          <w:sz w:val="18"/>
          <w:szCs w:val="18"/>
        </w:rPr>
      </w:pPr>
    </w:p>
    <w:p w14:paraId="43D2B802" w14:textId="481457EE" w:rsidR="007625ED" w:rsidRPr="003A2B38" w:rsidRDefault="007625ED" w:rsidP="007625ED">
      <w:pPr>
        <w:pStyle w:val="ListParagraph"/>
        <w:ind w:left="-284" w:right="-330"/>
        <w:rPr>
          <w:rFonts w:cs="Arial"/>
          <w:b/>
          <w:bCs/>
          <w:sz w:val="18"/>
          <w:szCs w:val="18"/>
        </w:rPr>
      </w:pPr>
      <w:r w:rsidRPr="007625ED">
        <w:rPr>
          <w:rFonts w:cs="Arial"/>
          <w:b/>
          <w:bCs/>
          <w:sz w:val="18"/>
          <w:szCs w:val="18"/>
        </w:rPr>
        <w:t>7. Do the specificities of investment firms compared to credit institutions justify the elaboration of different definitions, or are the proposed definitions included in chapter 4 also applicable to them (in particular the perspective of counterparties)? Please elaborate on the potential specificities of investment firms in relation to ESG risks and on how these specificities, if any, could be reflected in this paper.</w:t>
      </w:r>
      <w:r w:rsidR="009E69C1">
        <w:rPr>
          <w:rFonts w:cs="Arial"/>
          <w:b/>
          <w:bCs/>
          <w:sz w:val="18"/>
          <w:szCs w:val="18"/>
        </w:rPr>
        <w:t xml:space="preserve"> </w:t>
      </w:r>
    </w:p>
    <w:p w14:paraId="34D9C6D0" w14:textId="66EE8986" w:rsidR="003A2B38" w:rsidRDefault="003A2B38" w:rsidP="007625ED">
      <w:pPr>
        <w:ind w:left="-284" w:right="-330"/>
        <w:rPr>
          <w:rFonts w:ascii="Arial" w:hAnsi="Arial" w:cs="Arial"/>
          <w:color w:val="464B4B"/>
          <w:sz w:val="18"/>
          <w:szCs w:val="18"/>
        </w:rPr>
      </w:pPr>
      <w:r>
        <w:rPr>
          <w:rFonts w:ascii="Arial" w:hAnsi="Arial" w:cs="Arial"/>
          <w:color w:val="464B4B"/>
          <w:sz w:val="18"/>
          <w:szCs w:val="18"/>
        </w:rPr>
        <w:t>In our view, the</w:t>
      </w:r>
      <w:r w:rsidR="007625ED" w:rsidRPr="007625ED">
        <w:rPr>
          <w:rFonts w:ascii="Arial" w:hAnsi="Arial" w:cs="Arial"/>
          <w:color w:val="464B4B"/>
          <w:sz w:val="18"/>
          <w:szCs w:val="18"/>
        </w:rPr>
        <w:t xml:space="preserve"> definitions provided in Chapter 4 are applicable to both </w:t>
      </w:r>
      <w:r>
        <w:rPr>
          <w:rFonts w:ascii="Arial" w:hAnsi="Arial" w:cs="Arial"/>
          <w:color w:val="464B4B"/>
          <w:sz w:val="18"/>
          <w:szCs w:val="18"/>
        </w:rPr>
        <w:t xml:space="preserve">credit institutions and investment firms. Both are exposed to </w:t>
      </w:r>
      <w:r w:rsidR="007625ED" w:rsidRPr="007625ED">
        <w:rPr>
          <w:rFonts w:ascii="Arial" w:hAnsi="Arial" w:cs="Arial"/>
          <w:color w:val="464B4B"/>
          <w:sz w:val="18"/>
          <w:szCs w:val="18"/>
        </w:rPr>
        <w:t>counterparties through different channels</w:t>
      </w:r>
      <w:r>
        <w:rPr>
          <w:rFonts w:ascii="Arial" w:hAnsi="Arial" w:cs="Arial"/>
          <w:color w:val="464B4B"/>
          <w:sz w:val="18"/>
          <w:szCs w:val="18"/>
        </w:rPr>
        <w:t xml:space="preserve"> and </w:t>
      </w:r>
      <w:r w:rsidR="007625ED" w:rsidRPr="007625ED">
        <w:rPr>
          <w:rFonts w:ascii="Arial" w:hAnsi="Arial" w:cs="Arial"/>
          <w:color w:val="464B4B"/>
          <w:sz w:val="18"/>
          <w:szCs w:val="18"/>
        </w:rPr>
        <w:t xml:space="preserve">transactions. For example, investment firms are exposed to counterparties through financial investment products such as stocks, bonds, derivatives whereas credit institutions can be exposed through loans and financing obligations. This, together with other differences </w:t>
      </w:r>
      <w:r>
        <w:rPr>
          <w:rFonts w:ascii="Arial" w:hAnsi="Arial" w:cs="Arial"/>
          <w:color w:val="464B4B"/>
          <w:sz w:val="18"/>
          <w:szCs w:val="18"/>
        </w:rPr>
        <w:t>in</w:t>
      </w:r>
      <w:r w:rsidR="007625ED" w:rsidRPr="007625ED">
        <w:rPr>
          <w:rFonts w:ascii="Arial" w:hAnsi="Arial" w:cs="Arial"/>
          <w:color w:val="464B4B"/>
          <w:sz w:val="18"/>
          <w:szCs w:val="18"/>
        </w:rPr>
        <w:t xml:space="preserve"> their business models, affects the way</w:t>
      </w:r>
      <w:r>
        <w:rPr>
          <w:rFonts w:ascii="Arial" w:hAnsi="Arial" w:cs="Arial"/>
          <w:color w:val="464B4B"/>
          <w:sz w:val="18"/>
          <w:szCs w:val="18"/>
        </w:rPr>
        <w:t xml:space="preserve"> the aforementioned</w:t>
      </w:r>
      <w:r w:rsidR="007625ED" w:rsidRPr="007625ED">
        <w:rPr>
          <w:rFonts w:ascii="Arial" w:hAnsi="Arial" w:cs="Arial"/>
          <w:color w:val="464B4B"/>
          <w:sz w:val="18"/>
          <w:szCs w:val="18"/>
        </w:rPr>
        <w:t xml:space="preserve"> risks are </w:t>
      </w:r>
      <w:r>
        <w:rPr>
          <w:rFonts w:ascii="Arial" w:hAnsi="Arial" w:cs="Arial"/>
          <w:color w:val="464B4B"/>
          <w:sz w:val="18"/>
          <w:szCs w:val="18"/>
        </w:rPr>
        <w:t>managed</w:t>
      </w:r>
      <w:r w:rsidR="007625ED" w:rsidRPr="007625ED">
        <w:rPr>
          <w:rFonts w:ascii="Arial" w:hAnsi="Arial" w:cs="Arial"/>
          <w:color w:val="464B4B"/>
          <w:sz w:val="18"/>
          <w:szCs w:val="18"/>
        </w:rPr>
        <w:t xml:space="preserve"> rather than the </w:t>
      </w:r>
      <w:r>
        <w:rPr>
          <w:rFonts w:ascii="Arial" w:hAnsi="Arial" w:cs="Arial"/>
          <w:color w:val="464B4B"/>
          <w:sz w:val="18"/>
          <w:szCs w:val="18"/>
        </w:rPr>
        <w:t>ways in which they are defined.</w:t>
      </w:r>
    </w:p>
    <w:p w14:paraId="76D3AF40" w14:textId="4652AB23" w:rsidR="007625ED" w:rsidRDefault="007625ED" w:rsidP="007625ED">
      <w:pPr>
        <w:ind w:left="-284" w:right="-330"/>
        <w:rPr>
          <w:rFonts w:ascii="Arial" w:hAnsi="Arial" w:cs="Arial"/>
          <w:color w:val="464B4B"/>
          <w:sz w:val="18"/>
          <w:szCs w:val="18"/>
        </w:rPr>
      </w:pPr>
      <w:r w:rsidRPr="007625ED">
        <w:rPr>
          <w:rFonts w:ascii="Arial" w:hAnsi="Arial" w:cs="Arial"/>
          <w:color w:val="464B4B"/>
          <w:sz w:val="18"/>
          <w:szCs w:val="18"/>
        </w:rPr>
        <w:t xml:space="preserve">To illustrate this, we can </w:t>
      </w:r>
      <w:r w:rsidR="003A2B38">
        <w:rPr>
          <w:rFonts w:ascii="Arial" w:hAnsi="Arial" w:cs="Arial"/>
          <w:color w:val="464B4B"/>
          <w:sz w:val="18"/>
          <w:szCs w:val="18"/>
        </w:rPr>
        <w:t xml:space="preserve">consider an investment firm with exposure to a specific stock. </w:t>
      </w:r>
      <w:r w:rsidRPr="007625ED">
        <w:rPr>
          <w:rFonts w:ascii="Arial" w:hAnsi="Arial" w:cs="Arial"/>
          <w:color w:val="464B4B"/>
          <w:sz w:val="18"/>
          <w:szCs w:val="18"/>
        </w:rPr>
        <w:t xml:space="preserve">The counterparty in this case is the </w:t>
      </w:r>
      <w:r w:rsidR="003A2B38">
        <w:rPr>
          <w:rFonts w:ascii="Arial" w:hAnsi="Arial" w:cs="Arial"/>
          <w:color w:val="464B4B"/>
          <w:sz w:val="18"/>
          <w:szCs w:val="18"/>
        </w:rPr>
        <w:t xml:space="preserve">issuer. </w:t>
      </w:r>
      <w:r w:rsidRPr="007625ED">
        <w:rPr>
          <w:rFonts w:ascii="Arial" w:hAnsi="Arial" w:cs="Arial"/>
          <w:color w:val="464B4B"/>
          <w:sz w:val="18"/>
          <w:szCs w:val="18"/>
        </w:rPr>
        <w:t xml:space="preserve">An adverse ESG factor could negatively impact the firm’s business, which could impair its ability to pay the promised dividends. The investment firm’s balance sheet would be adversely impacted through the reduced (or unpaid) dividend and/or the resulting price depreciation of the stock in the market. Similarly, a credit institution that has lent capital to a corporate client would be negatively affected if an ESG factor impairs the firm’s ability to pay the interest due. </w:t>
      </w:r>
      <w:r w:rsidR="00B23564">
        <w:rPr>
          <w:rFonts w:ascii="Arial" w:hAnsi="Arial" w:cs="Arial"/>
          <w:color w:val="464B4B"/>
          <w:sz w:val="18"/>
          <w:szCs w:val="18"/>
        </w:rPr>
        <w:t>In short, while the mitigant actions may vary, similar definitions can be applied to both types of firms.</w:t>
      </w:r>
    </w:p>
    <w:p w14:paraId="513DAE40" w14:textId="77777777" w:rsidR="00B23564" w:rsidRPr="007625ED" w:rsidRDefault="00B23564" w:rsidP="007625ED">
      <w:pPr>
        <w:ind w:left="-284" w:right="-330"/>
        <w:rPr>
          <w:rFonts w:ascii="Arial" w:hAnsi="Arial" w:cs="Arial"/>
          <w:color w:val="464B4B"/>
          <w:sz w:val="18"/>
          <w:szCs w:val="18"/>
        </w:rPr>
      </w:pPr>
    </w:p>
    <w:p w14:paraId="31F719AB" w14:textId="4F7E2FDC" w:rsidR="007625ED" w:rsidRPr="007625ED" w:rsidRDefault="007625ED" w:rsidP="007625ED">
      <w:pPr>
        <w:pStyle w:val="ListParagraph"/>
        <w:ind w:left="-284" w:right="-330"/>
        <w:rPr>
          <w:rFonts w:cs="Arial"/>
          <w:b/>
          <w:bCs/>
          <w:sz w:val="18"/>
          <w:szCs w:val="18"/>
        </w:rPr>
      </w:pPr>
      <w:r w:rsidRPr="007625ED">
        <w:rPr>
          <w:rFonts w:cs="Arial"/>
          <w:b/>
          <w:bCs/>
          <w:sz w:val="18"/>
          <w:szCs w:val="18"/>
        </w:rPr>
        <w:t xml:space="preserve">15. Please provide your views on the extent to which smaller institutions can be vulnerable to ESG risks and on the criteria that should be used to design and implement a proportionate ESG risks management approach. </w:t>
      </w:r>
    </w:p>
    <w:p w14:paraId="4C4CAAD1" w14:textId="457566D9" w:rsidR="00B23564" w:rsidRDefault="007625ED" w:rsidP="007625ED">
      <w:pPr>
        <w:ind w:left="-284" w:right="-330"/>
        <w:rPr>
          <w:rFonts w:ascii="Arial" w:hAnsi="Arial" w:cs="Arial"/>
          <w:color w:val="464B4B"/>
          <w:sz w:val="18"/>
          <w:szCs w:val="18"/>
        </w:rPr>
      </w:pPr>
      <w:r w:rsidRPr="007625ED">
        <w:rPr>
          <w:rFonts w:ascii="Arial" w:hAnsi="Arial" w:cs="Arial"/>
          <w:color w:val="464B4B"/>
          <w:sz w:val="18"/>
          <w:szCs w:val="18"/>
        </w:rPr>
        <w:t xml:space="preserve">Smaller institutions </w:t>
      </w:r>
      <w:r w:rsidR="00B23564">
        <w:rPr>
          <w:rFonts w:ascii="Arial" w:hAnsi="Arial" w:cs="Arial"/>
          <w:color w:val="464B4B"/>
          <w:sz w:val="18"/>
          <w:szCs w:val="18"/>
        </w:rPr>
        <w:t xml:space="preserve">are often as vulnerable to ESG risks as larger institutions, and more vulnerable in some cases. However, they may lack the capacity to </w:t>
      </w:r>
      <w:r w:rsidRPr="007625ED">
        <w:rPr>
          <w:rFonts w:ascii="Arial" w:hAnsi="Arial" w:cs="Arial"/>
          <w:color w:val="464B4B"/>
          <w:sz w:val="18"/>
          <w:szCs w:val="18"/>
        </w:rPr>
        <w:t xml:space="preserve">rapidly and fully study, analyse and embed ESG risks into their risk management frameworks. </w:t>
      </w:r>
    </w:p>
    <w:p w14:paraId="49B5CB2F" w14:textId="3ADDB504" w:rsidR="00B23564" w:rsidRDefault="00B23564" w:rsidP="007625ED">
      <w:pPr>
        <w:ind w:left="-284" w:right="-330"/>
        <w:rPr>
          <w:rFonts w:ascii="Arial" w:hAnsi="Arial" w:cs="Arial"/>
          <w:color w:val="464B4B"/>
          <w:sz w:val="18"/>
          <w:szCs w:val="18"/>
        </w:rPr>
      </w:pPr>
      <w:r>
        <w:rPr>
          <w:rFonts w:ascii="Arial" w:hAnsi="Arial" w:cs="Arial"/>
          <w:color w:val="464B4B"/>
          <w:sz w:val="18"/>
          <w:szCs w:val="18"/>
        </w:rPr>
        <w:t xml:space="preserve">In our view, this can be addressed by applying the concept of materiality. </w:t>
      </w:r>
      <w:r w:rsidR="007625ED" w:rsidRPr="007625ED">
        <w:rPr>
          <w:rFonts w:ascii="Arial" w:hAnsi="Arial" w:cs="Arial"/>
          <w:color w:val="464B4B"/>
          <w:sz w:val="18"/>
          <w:szCs w:val="18"/>
        </w:rPr>
        <w:t xml:space="preserve">As the approach should be proportionate and risk-based, performing a materiality assessment to identify the most significant (and potential) ESG-related risks and issues may be the first step. Institutions would start the assessment from an established list of ESG risk factors (that would come from a regulator’s guide) and narrow it down to the most important, </w:t>
      </w:r>
      <w:proofErr w:type="gramStart"/>
      <w:r w:rsidR="007625ED" w:rsidRPr="007625ED">
        <w:rPr>
          <w:rFonts w:ascii="Arial" w:hAnsi="Arial" w:cs="Arial"/>
          <w:color w:val="464B4B"/>
          <w:sz w:val="18"/>
          <w:szCs w:val="18"/>
        </w:rPr>
        <w:t>relevant</w:t>
      </w:r>
      <w:proofErr w:type="gramEnd"/>
      <w:r w:rsidR="007625ED" w:rsidRPr="007625ED">
        <w:rPr>
          <w:rFonts w:ascii="Arial" w:hAnsi="Arial" w:cs="Arial"/>
          <w:color w:val="464B4B"/>
          <w:sz w:val="18"/>
          <w:szCs w:val="18"/>
        </w:rPr>
        <w:t xml:space="preserve"> and material ones. </w:t>
      </w:r>
      <w:r>
        <w:rPr>
          <w:rFonts w:ascii="Arial" w:hAnsi="Arial" w:cs="Arial"/>
          <w:color w:val="464B4B"/>
          <w:sz w:val="18"/>
          <w:szCs w:val="18"/>
        </w:rPr>
        <w:t xml:space="preserve">When discussing materiality in the context of risk management, we often </w:t>
      </w:r>
      <w:r w:rsidR="007625ED" w:rsidRPr="007625ED">
        <w:rPr>
          <w:rFonts w:ascii="Arial" w:hAnsi="Arial" w:cs="Arial"/>
          <w:color w:val="464B4B"/>
          <w:sz w:val="18"/>
          <w:szCs w:val="18"/>
        </w:rPr>
        <w:t xml:space="preserve">refer to likelihood of crystallisation and severity of impact. </w:t>
      </w:r>
    </w:p>
    <w:p w14:paraId="6FA092DB" w14:textId="5880FB29" w:rsidR="007625ED" w:rsidRPr="007625ED" w:rsidRDefault="007625ED" w:rsidP="007625ED">
      <w:pPr>
        <w:ind w:left="-284" w:right="-330"/>
        <w:rPr>
          <w:rFonts w:ascii="Arial" w:hAnsi="Arial" w:cs="Arial"/>
          <w:color w:val="464B4B"/>
          <w:sz w:val="18"/>
          <w:szCs w:val="18"/>
        </w:rPr>
      </w:pPr>
      <w:r w:rsidRPr="007625ED">
        <w:rPr>
          <w:rFonts w:ascii="Arial" w:hAnsi="Arial" w:cs="Arial"/>
          <w:color w:val="464B4B"/>
          <w:sz w:val="18"/>
          <w:szCs w:val="18"/>
        </w:rPr>
        <w:t>Those risks ‘singled out’ as most material should be acted upon</w:t>
      </w:r>
      <w:r w:rsidR="00985B8E">
        <w:rPr>
          <w:rFonts w:ascii="Arial" w:hAnsi="Arial" w:cs="Arial"/>
          <w:color w:val="464B4B"/>
          <w:sz w:val="18"/>
          <w:szCs w:val="18"/>
        </w:rPr>
        <w:t>. P</w:t>
      </w:r>
      <w:r w:rsidRPr="007625ED">
        <w:rPr>
          <w:rFonts w:ascii="Arial" w:hAnsi="Arial" w:cs="Arial"/>
          <w:color w:val="464B4B"/>
          <w:sz w:val="18"/>
          <w:szCs w:val="18"/>
        </w:rPr>
        <w:t xml:space="preserve">olicies should be drafted, their factors / sources should be comprehensively identified, </w:t>
      </w:r>
      <w:r w:rsidR="00985B8E">
        <w:rPr>
          <w:rFonts w:ascii="Arial" w:hAnsi="Arial" w:cs="Arial"/>
          <w:color w:val="464B4B"/>
          <w:sz w:val="18"/>
          <w:szCs w:val="18"/>
        </w:rPr>
        <w:t xml:space="preserve">and </w:t>
      </w:r>
      <w:r w:rsidRPr="007625ED">
        <w:rPr>
          <w:rFonts w:ascii="Arial" w:hAnsi="Arial" w:cs="Arial"/>
          <w:color w:val="464B4B"/>
          <w:sz w:val="18"/>
          <w:szCs w:val="18"/>
        </w:rPr>
        <w:t>they should be allocated with an agreed risk appetite (although here, the metrics or nature of the limits will require some work to be defined)</w:t>
      </w:r>
      <w:r w:rsidR="00985B8E">
        <w:rPr>
          <w:rFonts w:ascii="Arial" w:hAnsi="Arial" w:cs="Arial"/>
          <w:color w:val="464B4B"/>
          <w:sz w:val="18"/>
          <w:szCs w:val="18"/>
        </w:rPr>
        <w:t>. Following this, appropriate m</w:t>
      </w:r>
      <w:r w:rsidRPr="007625ED">
        <w:rPr>
          <w:rFonts w:ascii="Arial" w:hAnsi="Arial" w:cs="Arial"/>
          <w:color w:val="464B4B"/>
          <w:sz w:val="18"/>
          <w:szCs w:val="18"/>
        </w:rPr>
        <w:t>itigants should be implemented and exposure to the</w:t>
      </w:r>
      <w:r w:rsidR="00985B8E">
        <w:rPr>
          <w:rFonts w:ascii="Arial" w:hAnsi="Arial" w:cs="Arial"/>
          <w:color w:val="464B4B"/>
          <w:sz w:val="18"/>
          <w:szCs w:val="18"/>
        </w:rPr>
        <w:t>se risks</w:t>
      </w:r>
      <w:r w:rsidRPr="007625ED">
        <w:rPr>
          <w:rFonts w:ascii="Arial" w:hAnsi="Arial" w:cs="Arial"/>
          <w:color w:val="464B4B"/>
          <w:sz w:val="18"/>
          <w:szCs w:val="18"/>
        </w:rPr>
        <w:t xml:space="preserve"> should be regularly measured and monitored. </w:t>
      </w:r>
    </w:p>
    <w:p w14:paraId="7E2EBE50" w14:textId="77777777" w:rsidR="007625ED" w:rsidRPr="007625ED" w:rsidRDefault="007625ED" w:rsidP="007625ED">
      <w:pPr>
        <w:ind w:left="-284" w:right="-330"/>
        <w:rPr>
          <w:rFonts w:ascii="Arial" w:hAnsi="Arial" w:cs="Arial"/>
          <w:color w:val="464B4B"/>
          <w:sz w:val="18"/>
          <w:szCs w:val="18"/>
        </w:rPr>
      </w:pPr>
    </w:p>
    <w:p w14:paraId="6247EC7C" w14:textId="36FEE210" w:rsidR="007625ED" w:rsidRPr="007625ED" w:rsidRDefault="007625ED" w:rsidP="007625ED">
      <w:pPr>
        <w:pStyle w:val="ListParagraph"/>
        <w:ind w:left="-284" w:right="-330"/>
        <w:rPr>
          <w:rFonts w:cs="Arial"/>
          <w:b/>
          <w:bCs/>
          <w:sz w:val="18"/>
          <w:szCs w:val="18"/>
        </w:rPr>
      </w:pPr>
      <w:r w:rsidRPr="007625ED">
        <w:rPr>
          <w:rFonts w:cs="Arial"/>
          <w:b/>
          <w:bCs/>
          <w:sz w:val="18"/>
          <w:szCs w:val="18"/>
        </w:rPr>
        <w:t xml:space="preserve">16. Through which measures could the adoption of strategic ESG risk-related objectives and/or limits be further supported? </w:t>
      </w:r>
    </w:p>
    <w:p w14:paraId="7C4840C3" w14:textId="71F14967" w:rsidR="007625ED" w:rsidRPr="007625ED" w:rsidRDefault="00995E7E" w:rsidP="007625ED">
      <w:pPr>
        <w:ind w:left="-284" w:right="-330"/>
        <w:rPr>
          <w:rFonts w:ascii="Arial" w:hAnsi="Arial" w:cs="Arial"/>
          <w:color w:val="464B4B"/>
          <w:sz w:val="18"/>
          <w:szCs w:val="18"/>
        </w:rPr>
      </w:pPr>
      <w:r>
        <w:rPr>
          <w:rFonts w:ascii="Arial" w:hAnsi="Arial" w:cs="Arial"/>
          <w:color w:val="464B4B"/>
          <w:sz w:val="18"/>
          <w:szCs w:val="18"/>
        </w:rPr>
        <w:t xml:space="preserve">We believe that beyond publishing an end objective or implementation deadline, an indicative roadmap could be provided for each regulatory development. Notwithstanding differences in business models across institutions, this would </w:t>
      </w:r>
      <w:r w:rsidR="007625ED" w:rsidRPr="007625ED">
        <w:rPr>
          <w:rFonts w:ascii="Arial" w:hAnsi="Arial" w:cs="Arial"/>
          <w:color w:val="464B4B"/>
          <w:sz w:val="18"/>
          <w:szCs w:val="18"/>
        </w:rPr>
        <w:t xml:space="preserve">support the adoption of strategic ESG risk-related objectives and limits. Such a roadmap </w:t>
      </w:r>
      <w:r>
        <w:rPr>
          <w:rFonts w:ascii="Arial" w:hAnsi="Arial" w:cs="Arial"/>
          <w:color w:val="464B4B"/>
          <w:sz w:val="18"/>
          <w:szCs w:val="18"/>
        </w:rPr>
        <w:t>w</w:t>
      </w:r>
      <w:r w:rsidR="007625ED" w:rsidRPr="007625ED">
        <w:rPr>
          <w:rFonts w:ascii="Arial" w:hAnsi="Arial" w:cs="Arial"/>
          <w:color w:val="464B4B"/>
          <w:sz w:val="18"/>
          <w:szCs w:val="18"/>
        </w:rPr>
        <w:t>ould</w:t>
      </w:r>
      <w:r>
        <w:rPr>
          <w:rFonts w:ascii="Arial" w:hAnsi="Arial" w:cs="Arial"/>
          <w:color w:val="464B4B"/>
          <w:sz w:val="18"/>
          <w:szCs w:val="18"/>
        </w:rPr>
        <w:t xml:space="preserve"> ideally</w:t>
      </w:r>
      <w:r w:rsidR="007625ED" w:rsidRPr="007625ED">
        <w:rPr>
          <w:rFonts w:ascii="Arial" w:hAnsi="Arial" w:cs="Arial"/>
          <w:color w:val="464B4B"/>
          <w:sz w:val="18"/>
          <w:szCs w:val="18"/>
        </w:rPr>
        <w:t xml:space="preserve"> suggest the key steps</w:t>
      </w:r>
      <w:r>
        <w:rPr>
          <w:rFonts w:ascii="Arial" w:hAnsi="Arial" w:cs="Arial"/>
          <w:color w:val="464B4B"/>
          <w:sz w:val="18"/>
          <w:szCs w:val="18"/>
        </w:rPr>
        <w:t xml:space="preserve"> to be taken by institutions</w:t>
      </w:r>
      <w:r w:rsidR="007625ED" w:rsidRPr="007625ED">
        <w:rPr>
          <w:rFonts w:ascii="Arial" w:hAnsi="Arial" w:cs="Arial"/>
          <w:color w:val="464B4B"/>
          <w:sz w:val="18"/>
          <w:szCs w:val="18"/>
        </w:rPr>
        <w:t xml:space="preserve">, their sequence, </w:t>
      </w:r>
      <w:r>
        <w:rPr>
          <w:rFonts w:ascii="Arial" w:hAnsi="Arial" w:cs="Arial"/>
          <w:color w:val="464B4B"/>
          <w:sz w:val="18"/>
          <w:szCs w:val="18"/>
        </w:rPr>
        <w:t xml:space="preserve">significant </w:t>
      </w:r>
      <w:proofErr w:type="gramStart"/>
      <w:r w:rsidR="007625ED" w:rsidRPr="007625ED">
        <w:rPr>
          <w:rFonts w:ascii="Arial" w:hAnsi="Arial" w:cs="Arial"/>
          <w:color w:val="464B4B"/>
          <w:sz w:val="18"/>
          <w:szCs w:val="18"/>
        </w:rPr>
        <w:t>milestones</w:t>
      </w:r>
      <w:proofErr w:type="gramEnd"/>
      <w:r w:rsidR="007625ED" w:rsidRPr="007625ED">
        <w:rPr>
          <w:rFonts w:ascii="Arial" w:hAnsi="Arial" w:cs="Arial"/>
          <w:color w:val="464B4B"/>
          <w:sz w:val="18"/>
          <w:szCs w:val="18"/>
        </w:rPr>
        <w:t xml:space="preserve"> and important attention points to be considered when executing the roadmap.</w:t>
      </w:r>
    </w:p>
    <w:p w14:paraId="7AE9725F" w14:textId="77777777" w:rsidR="007625ED" w:rsidRPr="007625ED" w:rsidRDefault="007625ED" w:rsidP="007625ED">
      <w:pPr>
        <w:ind w:left="-284" w:right="-330"/>
        <w:rPr>
          <w:rFonts w:ascii="Arial" w:hAnsi="Arial" w:cs="Arial"/>
          <w:color w:val="464B4B"/>
          <w:sz w:val="18"/>
          <w:szCs w:val="18"/>
        </w:rPr>
      </w:pPr>
    </w:p>
    <w:p w14:paraId="68D59853" w14:textId="6B33632A" w:rsidR="007625ED" w:rsidRPr="007625ED" w:rsidRDefault="007625ED" w:rsidP="007625ED">
      <w:pPr>
        <w:pStyle w:val="ListParagraph"/>
        <w:ind w:left="-284" w:right="-330"/>
        <w:rPr>
          <w:rFonts w:cs="Arial"/>
          <w:b/>
          <w:bCs/>
          <w:sz w:val="18"/>
          <w:szCs w:val="18"/>
        </w:rPr>
      </w:pPr>
      <w:r w:rsidRPr="007625ED">
        <w:rPr>
          <w:rFonts w:cs="Arial"/>
          <w:b/>
          <w:bCs/>
          <w:sz w:val="18"/>
          <w:szCs w:val="18"/>
        </w:rPr>
        <w:lastRenderedPageBreak/>
        <w:t xml:space="preserve">17. Please provide your views on the proposed ways how to integrate ESG risks into the business strategies and processes of institutions. </w:t>
      </w:r>
    </w:p>
    <w:p w14:paraId="3B663227" w14:textId="77777777" w:rsidR="00B23564" w:rsidRDefault="00B23564" w:rsidP="007625ED">
      <w:pPr>
        <w:ind w:left="-284" w:right="-330"/>
        <w:rPr>
          <w:rFonts w:ascii="Arial" w:hAnsi="Arial" w:cs="Arial"/>
          <w:color w:val="464B4B"/>
          <w:sz w:val="18"/>
          <w:szCs w:val="18"/>
        </w:rPr>
      </w:pPr>
      <w:r>
        <w:rPr>
          <w:rFonts w:ascii="Arial" w:hAnsi="Arial" w:cs="Arial"/>
          <w:color w:val="464B4B"/>
          <w:sz w:val="18"/>
          <w:szCs w:val="18"/>
        </w:rPr>
        <w:t>We believe that the</w:t>
      </w:r>
      <w:r w:rsidR="007625ED" w:rsidRPr="007625ED">
        <w:rPr>
          <w:rFonts w:ascii="Arial" w:hAnsi="Arial" w:cs="Arial"/>
          <w:color w:val="464B4B"/>
          <w:sz w:val="18"/>
          <w:szCs w:val="18"/>
        </w:rPr>
        <w:t xml:space="preserve"> conclusions and policy recommendations provided are meaningful and articulated in a way that any type of institution, regardless of its size, </w:t>
      </w:r>
      <w:proofErr w:type="gramStart"/>
      <w:r w:rsidR="007625ED" w:rsidRPr="007625ED">
        <w:rPr>
          <w:rFonts w:ascii="Arial" w:hAnsi="Arial" w:cs="Arial"/>
          <w:color w:val="464B4B"/>
          <w:sz w:val="18"/>
          <w:szCs w:val="18"/>
        </w:rPr>
        <w:t>complexity</w:t>
      </w:r>
      <w:proofErr w:type="gramEnd"/>
      <w:r w:rsidR="007625ED" w:rsidRPr="007625ED">
        <w:rPr>
          <w:rFonts w:ascii="Arial" w:hAnsi="Arial" w:cs="Arial"/>
          <w:color w:val="464B4B"/>
          <w:sz w:val="18"/>
          <w:szCs w:val="18"/>
        </w:rPr>
        <w:t xml:space="preserve"> or areas of business, can understand, interpret and implement. </w:t>
      </w:r>
    </w:p>
    <w:p w14:paraId="6541A50E" w14:textId="6730335A" w:rsidR="007625ED" w:rsidRDefault="00B23564" w:rsidP="007625ED">
      <w:pPr>
        <w:ind w:left="-284" w:right="-330"/>
        <w:rPr>
          <w:rFonts w:ascii="Arial" w:hAnsi="Arial" w:cs="Arial"/>
          <w:color w:val="464B4B"/>
          <w:sz w:val="18"/>
          <w:szCs w:val="18"/>
        </w:rPr>
      </w:pPr>
      <w:r>
        <w:rPr>
          <w:rFonts w:ascii="Arial" w:hAnsi="Arial" w:cs="Arial"/>
          <w:color w:val="464B4B"/>
          <w:sz w:val="18"/>
          <w:szCs w:val="18"/>
        </w:rPr>
        <w:t xml:space="preserve">Furthermore, we consider incorporating </w:t>
      </w:r>
      <w:r w:rsidR="007625ED" w:rsidRPr="007625ED">
        <w:rPr>
          <w:rFonts w:ascii="Arial" w:hAnsi="Arial" w:cs="Arial"/>
          <w:color w:val="464B4B"/>
          <w:sz w:val="18"/>
          <w:szCs w:val="18"/>
        </w:rPr>
        <w:t xml:space="preserve">ESG risk-related considerations </w:t>
      </w:r>
      <w:r w:rsidR="009B254C">
        <w:rPr>
          <w:rFonts w:ascii="Arial" w:hAnsi="Arial" w:cs="Arial"/>
          <w:color w:val="464B4B"/>
          <w:sz w:val="18"/>
          <w:szCs w:val="18"/>
        </w:rPr>
        <w:t xml:space="preserve">within currently applicable </w:t>
      </w:r>
      <w:r w:rsidR="007625ED" w:rsidRPr="007625ED">
        <w:rPr>
          <w:rFonts w:ascii="Arial" w:hAnsi="Arial" w:cs="Arial"/>
          <w:color w:val="464B4B"/>
          <w:sz w:val="18"/>
          <w:szCs w:val="18"/>
        </w:rPr>
        <w:t>directives and regulations (such as CRR and CRD for the banking sector) to be a pragmatic approach</w:t>
      </w:r>
      <w:r w:rsidR="009B254C">
        <w:rPr>
          <w:rFonts w:ascii="Arial" w:hAnsi="Arial" w:cs="Arial"/>
          <w:color w:val="464B4B"/>
          <w:sz w:val="18"/>
          <w:szCs w:val="18"/>
        </w:rPr>
        <w:t>,</w:t>
      </w:r>
      <w:r w:rsidR="007625ED" w:rsidRPr="007625ED">
        <w:rPr>
          <w:rFonts w:ascii="Arial" w:hAnsi="Arial" w:cs="Arial"/>
          <w:color w:val="464B4B"/>
          <w:sz w:val="18"/>
          <w:szCs w:val="18"/>
        </w:rPr>
        <w:t xml:space="preserve"> as institutions </w:t>
      </w:r>
      <w:r w:rsidR="001D5E93">
        <w:rPr>
          <w:rFonts w:ascii="Arial" w:hAnsi="Arial" w:cs="Arial"/>
          <w:color w:val="464B4B"/>
          <w:sz w:val="18"/>
          <w:szCs w:val="18"/>
        </w:rPr>
        <w:t>already have a degree of familiarity with such legislative frameworks.</w:t>
      </w:r>
    </w:p>
    <w:p w14:paraId="233CFA27" w14:textId="7555679B" w:rsidR="009E69C1" w:rsidRDefault="009E69C1" w:rsidP="007625ED">
      <w:pPr>
        <w:ind w:left="-284" w:right="-330"/>
        <w:rPr>
          <w:rFonts w:ascii="Arial" w:hAnsi="Arial" w:cs="Arial"/>
          <w:color w:val="464B4B"/>
          <w:sz w:val="18"/>
          <w:szCs w:val="18"/>
        </w:rPr>
      </w:pPr>
    </w:p>
    <w:p w14:paraId="16D4A129" w14:textId="2D703CEB" w:rsidR="009F498D" w:rsidRPr="009F498D" w:rsidRDefault="009F498D" w:rsidP="009F498D">
      <w:pPr>
        <w:pStyle w:val="ListParagraph"/>
        <w:ind w:left="-284" w:right="-330"/>
        <w:rPr>
          <w:rFonts w:cs="Arial"/>
          <w:b/>
          <w:bCs/>
          <w:sz w:val="18"/>
          <w:szCs w:val="18"/>
        </w:rPr>
      </w:pPr>
      <w:r>
        <w:rPr>
          <w:rFonts w:cs="Arial"/>
          <w:b/>
          <w:bCs/>
          <w:sz w:val="18"/>
          <w:szCs w:val="18"/>
        </w:rPr>
        <w:t xml:space="preserve">19. </w:t>
      </w:r>
      <w:r w:rsidRPr="009F498D">
        <w:rPr>
          <w:rFonts w:cs="Arial"/>
          <w:b/>
          <w:bCs/>
          <w:sz w:val="18"/>
          <w:szCs w:val="18"/>
        </w:rPr>
        <w:t xml:space="preserve">Please provide your views on the proposed ways how to integrate ESG risks into the risk management framework of institutions. </w:t>
      </w:r>
    </w:p>
    <w:p w14:paraId="1221B779" w14:textId="77777777" w:rsidR="009B254C" w:rsidRDefault="00B23564" w:rsidP="009F498D">
      <w:pPr>
        <w:ind w:left="-284" w:right="-330"/>
        <w:rPr>
          <w:rFonts w:ascii="Arial" w:hAnsi="Arial" w:cs="Arial"/>
          <w:color w:val="464B4B"/>
          <w:sz w:val="18"/>
          <w:szCs w:val="18"/>
        </w:rPr>
      </w:pPr>
      <w:r>
        <w:rPr>
          <w:rFonts w:ascii="Arial" w:hAnsi="Arial" w:cs="Arial"/>
          <w:color w:val="464B4B"/>
          <w:sz w:val="18"/>
          <w:szCs w:val="18"/>
        </w:rPr>
        <w:t xml:space="preserve">We note that the proposed methods are not </w:t>
      </w:r>
      <w:r w:rsidR="009F498D" w:rsidRPr="009F498D">
        <w:rPr>
          <w:rFonts w:ascii="Arial" w:hAnsi="Arial" w:cs="Arial"/>
          <w:color w:val="464B4B"/>
          <w:sz w:val="18"/>
          <w:szCs w:val="18"/>
        </w:rPr>
        <w:t>necessarily new to the discipline of risk management, in</w:t>
      </w:r>
      <w:r>
        <w:rPr>
          <w:rFonts w:ascii="Arial" w:hAnsi="Arial" w:cs="Arial"/>
          <w:color w:val="464B4B"/>
          <w:sz w:val="18"/>
          <w:szCs w:val="18"/>
        </w:rPr>
        <w:t xml:space="preserve"> that they </w:t>
      </w:r>
      <w:r w:rsidR="009F498D" w:rsidRPr="009F498D">
        <w:rPr>
          <w:rFonts w:ascii="Arial" w:hAnsi="Arial" w:cs="Arial"/>
          <w:color w:val="464B4B"/>
          <w:sz w:val="18"/>
          <w:szCs w:val="18"/>
        </w:rPr>
        <w:t xml:space="preserve">leverage on the existing practices </w:t>
      </w:r>
      <w:r w:rsidR="009B254C">
        <w:rPr>
          <w:rFonts w:ascii="Arial" w:hAnsi="Arial" w:cs="Arial"/>
          <w:color w:val="464B4B"/>
          <w:sz w:val="18"/>
          <w:szCs w:val="18"/>
        </w:rPr>
        <w:t>such as:</w:t>
      </w:r>
    </w:p>
    <w:p w14:paraId="0B5E2551" w14:textId="77777777" w:rsidR="009B254C" w:rsidRDefault="009F498D" w:rsidP="009B254C">
      <w:pPr>
        <w:pStyle w:val="ListParagraph"/>
        <w:numPr>
          <w:ilvl w:val="0"/>
          <w:numId w:val="2"/>
        </w:numPr>
        <w:ind w:right="-330"/>
        <w:rPr>
          <w:rFonts w:cs="Arial"/>
          <w:color w:val="464B4B"/>
          <w:sz w:val="18"/>
          <w:szCs w:val="18"/>
        </w:rPr>
      </w:pPr>
      <w:r w:rsidRPr="009B254C">
        <w:rPr>
          <w:rFonts w:cs="Arial"/>
          <w:color w:val="464B4B"/>
          <w:sz w:val="18"/>
          <w:szCs w:val="18"/>
        </w:rPr>
        <w:t xml:space="preserve">having a </w:t>
      </w:r>
      <w:proofErr w:type="gramStart"/>
      <w:r w:rsidRPr="009B254C">
        <w:rPr>
          <w:rFonts w:cs="Arial"/>
          <w:color w:val="464B4B"/>
          <w:sz w:val="18"/>
          <w:szCs w:val="18"/>
        </w:rPr>
        <w:t>strategy</w:t>
      </w:r>
      <w:r w:rsidR="009B254C">
        <w:rPr>
          <w:rFonts w:cs="Arial"/>
          <w:color w:val="464B4B"/>
          <w:sz w:val="18"/>
          <w:szCs w:val="18"/>
        </w:rPr>
        <w:t>;</w:t>
      </w:r>
      <w:proofErr w:type="gramEnd"/>
    </w:p>
    <w:p w14:paraId="0E7496E2" w14:textId="77777777" w:rsidR="009B254C" w:rsidRDefault="009F498D" w:rsidP="009B254C">
      <w:pPr>
        <w:pStyle w:val="ListParagraph"/>
        <w:numPr>
          <w:ilvl w:val="0"/>
          <w:numId w:val="2"/>
        </w:numPr>
        <w:ind w:right="-330"/>
        <w:rPr>
          <w:rFonts w:cs="Arial"/>
          <w:color w:val="464B4B"/>
          <w:sz w:val="18"/>
          <w:szCs w:val="18"/>
        </w:rPr>
      </w:pPr>
      <w:r w:rsidRPr="009B254C">
        <w:rPr>
          <w:rFonts w:cs="Arial"/>
          <w:color w:val="464B4B"/>
          <w:sz w:val="18"/>
          <w:szCs w:val="18"/>
        </w:rPr>
        <w:t>identifying the risks and exposures that executing th</w:t>
      </w:r>
      <w:r w:rsidR="009B254C" w:rsidRPr="009B254C">
        <w:rPr>
          <w:rFonts w:cs="Arial"/>
          <w:color w:val="464B4B"/>
          <w:sz w:val="18"/>
          <w:szCs w:val="18"/>
        </w:rPr>
        <w:t>is</w:t>
      </w:r>
      <w:r w:rsidRPr="009B254C">
        <w:rPr>
          <w:rFonts w:cs="Arial"/>
          <w:color w:val="464B4B"/>
          <w:sz w:val="18"/>
          <w:szCs w:val="18"/>
        </w:rPr>
        <w:t xml:space="preserve"> strategy might </w:t>
      </w:r>
      <w:proofErr w:type="gramStart"/>
      <w:r w:rsidRPr="009B254C">
        <w:rPr>
          <w:rFonts w:cs="Arial"/>
          <w:color w:val="464B4B"/>
          <w:sz w:val="18"/>
          <w:szCs w:val="18"/>
        </w:rPr>
        <w:t>bring</w:t>
      </w:r>
      <w:r w:rsidR="009B254C">
        <w:rPr>
          <w:rFonts w:cs="Arial"/>
          <w:color w:val="464B4B"/>
          <w:sz w:val="18"/>
          <w:szCs w:val="18"/>
        </w:rPr>
        <w:t>;</w:t>
      </w:r>
      <w:proofErr w:type="gramEnd"/>
    </w:p>
    <w:p w14:paraId="19B7B0BA" w14:textId="6AB668AD" w:rsidR="009B254C" w:rsidRDefault="009F498D" w:rsidP="009B254C">
      <w:pPr>
        <w:pStyle w:val="ListParagraph"/>
        <w:numPr>
          <w:ilvl w:val="0"/>
          <w:numId w:val="2"/>
        </w:numPr>
        <w:ind w:right="-330"/>
        <w:rPr>
          <w:rFonts w:cs="Arial"/>
          <w:color w:val="464B4B"/>
          <w:sz w:val="18"/>
          <w:szCs w:val="18"/>
        </w:rPr>
      </w:pPr>
      <w:r w:rsidRPr="009B254C">
        <w:rPr>
          <w:rFonts w:cs="Arial"/>
          <w:color w:val="464B4B"/>
          <w:sz w:val="18"/>
          <w:szCs w:val="18"/>
        </w:rPr>
        <w:t>assessing the</w:t>
      </w:r>
      <w:r w:rsidR="009B254C">
        <w:rPr>
          <w:rFonts w:cs="Arial"/>
          <w:color w:val="464B4B"/>
          <w:sz w:val="18"/>
          <w:szCs w:val="18"/>
        </w:rPr>
        <w:t>se risks and exposures,</w:t>
      </w:r>
      <w:r w:rsidRPr="009B254C">
        <w:rPr>
          <w:rFonts w:cs="Arial"/>
          <w:color w:val="464B4B"/>
          <w:sz w:val="18"/>
          <w:szCs w:val="18"/>
        </w:rPr>
        <w:t xml:space="preserve"> and</w:t>
      </w:r>
      <w:r w:rsidR="009B254C" w:rsidRPr="009B254C">
        <w:rPr>
          <w:rFonts w:cs="Arial"/>
          <w:color w:val="464B4B"/>
          <w:sz w:val="18"/>
          <w:szCs w:val="18"/>
        </w:rPr>
        <w:t xml:space="preserve"> translating them into financial terms to the extent </w:t>
      </w:r>
      <w:proofErr w:type="gramStart"/>
      <w:r w:rsidR="009B254C" w:rsidRPr="009B254C">
        <w:rPr>
          <w:rFonts w:cs="Arial"/>
          <w:color w:val="464B4B"/>
          <w:sz w:val="18"/>
          <w:szCs w:val="18"/>
        </w:rPr>
        <w:t>possible</w:t>
      </w:r>
      <w:r w:rsidR="009B254C">
        <w:rPr>
          <w:rFonts w:cs="Arial"/>
          <w:color w:val="464B4B"/>
          <w:sz w:val="18"/>
          <w:szCs w:val="18"/>
        </w:rPr>
        <w:t>;</w:t>
      </w:r>
      <w:proofErr w:type="gramEnd"/>
    </w:p>
    <w:p w14:paraId="30370375" w14:textId="77777777" w:rsidR="009B254C" w:rsidRDefault="009F498D" w:rsidP="009B254C">
      <w:pPr>
        <w:pStyle w:val="ListParagraph"/>
        <w:numPr>
          <w:ilvl w:val="0"/>
          <w:numId w:val="2"/>
        </w:numPr>
        <w:ind w:right="-330"/>
        <w:rPr>
          <w:rFonts w:cs="Arial"/>
          <w:color w:val="464B4B"/>
          <w:sz w:val="18"/>
          <w:szCs w:val="18"/>
        </w:rPr>
      </w:pPr>
      <w:r w:rsidRPr="009B254C">
        <w:rPr>
          <w:rFonts w:cs="Arial"/>
          <w:color w:val="464B4B"/>
          <w:sz w:val="18"/>
          <w:szCs w:val="18"/>
        </w:rPr>
        <w:t xml:space="preserve">implementing mitigation </w:t>
      </w:r>
      <w:proofErr w:type="gramStart"/>
      <w:r w:rsidRPr="009B254C">
        <w:rPr>
          <w:rFonts w:cs="Arial"/>
          <w:color w:val="464B4B"/>
          <w:sz w:val="18"/>
          <w:szCs w:val="18"/>
        </w:rPr>
        <w:t>techniques</w:t>
      </w:r>
      <w:r w:rsidR="009B254C">
        <w:rPr>
          <w:rFonts w:cs="Arial"/>
          <w:color w:val="464B4B"/>
          <w:sz w:val="18"/>
          <w:szCs w:val="18"/>
        </w:rPr>
        <w:t>;</w:t>
      </w:r>
      <w:proofErr w:type="gramEnd"/>
      <w:r w:rsidR="009B254C">
        <w:rPr>
          <w:rFonts w:cs="Arial"/>
          <w:color w:val="464B4B"/>
          <w:sz w:val="18"/>
          <w:szCs w:val="18"/>
        </w:rPr>
        <w:t xml:space="preserve"> </w:t>
      </w:r>
    </w:p>
    <w:p w14:paraId="69F09FEB" w14:textId="77777777" w:rsidR="009B254C" w:rsidRDefault="009F498D" w:rsidP="009B254C">
      <w:pPr>
        <w:pStyle w:val="ListParagraph"/>
        <w:numPr>
          <w:ilvl w:val="0"/>
          <w:numId w:val="2"/>
        </w:numPr>
        <w:ind w:right="-330"/>
        <w:rPr>
          <w:rFonts w:cs="Arial"/>
          <w:color w:val="464B4B"/>
          <w:sz w:val="18"/>
          <w:szCs w:val="18"/>
        </w:rPr>
      </w:pPr>
      <w:r w:rsidRPr="009B254C">
        <w:rPr>
          <w:rFonts w:cs="Arial"/>
          <w:color w:val="464B4B"/>
          <w:sz w:val="18"/>
          <w:szCs w:val="18"/>
        </w:rPr>
        <w:t>building scenarios</w:t>
      </w:r>
      <w:r w:rsidR="009B254C">
        <w:rPr>
          <w:rFonts w:cs="Arial"/>
          <w:color w:val="464B4B"/>
          <w:sz w:val="18"/>
          <w:szCs w:val="18"/>
        </w:rPr>
        <w:t>;</w:t>
      </w:r>
      <w:r w:rsidRPr="009B254C">
        <w:rPr>
          <w:rFonts w:cs="Arial"/>
          <w:color w:val="464B4B"/>
          <w:sz w:val="18"/>
          <w:szCs w:val="18"/>
        </w:rPr>
        <w:t xml:space="preserve"> and </w:t>
      </w:r>
    </w:p>
    <w:p w14:paraId="4E1819F7" w14:textId="2CCA5A22" w:rsidR="00B23564" w:rsidRPr="009B254C" w:rsidRDefault="009F498D" w:rsidP="009B254C">
      <w:pPr>
        <w:pStyle w:val="ListParagraph"/>
        <w:numPr>
          <w:ilvl w:val="0"/>
          <w:numId w:val="2"/>
        </w:numPr>
        <w:ind w:right="-330"/>
        <w:rPr>
          <w:rFonts w:cs="Arial"/>
          <w:color w:val="464B4B"/>
          <w:sz w:val="18"/>
          <w:szCs w:val="18"/>
        </w:rPr>
      </w:pPr>
      <w:r w:rsidRPr="009B254C">
        <w:rPr>
          <w:rFonts w:cs="Arial"/>
          <w:color w:val="464B4B"/>
          <w:sz w:val="18"/>
          <w:szCs w:val="18"/>
        </w:rPr>
        <w:t xml:space="preserve">performing stress tests. </w:t>
      </w:r>
    </w:p>
    <w:p w14:paraId="456B1CD2" w14:textId="03E921EE" w:rsidR="009F498D" w:rsidRPr="00995E7E" w:rsidRDefault="00995E7E" w:rsidP="00995E7E">
      <w:pPr>
        <w:ind w:left="-284" w:right="-330"/>
        <w:rPr>
          <w:rFonts w:ascii="Arial" w:hAnsi="Arial" w:cs="Arial"/>
          <w:color w:val="464B4B"/>
          <w:sz w:val="18"/>
          <w:szCs w:val="18"/>
        </w:rPr>
      </w:pPr>
      <w:r>
        <w:rPr>
          <w:rFonts w:ascii="Arial" w:hAnsi="Arial" w:cs="Arial"/>
          <w:color w:val="464B4B"/>
          <w:sz w:val="18"/>
          <w:szCs w:val="18"/>
        </w:rPr>
        <w:t xml:space="preserve">However, it will be challenging to treat ESG risks </w:t>
      </w:r>
      <w:r w:rsidR="009F498D" w:rsidRPr="009F498D">
        <w:rPr>
          <w:rFonts w:ascii="Arial" w:hAnsi="Arial" w:cs="Arial"/>
          <w:color w:val="464B4B"/>
          <w:sz w:val="18"/>
          <w:szCs w:val="18"/>
        </w:rPr>
        <w:t>as an ‘upstream’ layer to traditional (and prudential) risks,</w:t>
      </w:r>
      <w:r>
        <w:rPr>
          <w:rFonts w:ascii="Arial" w:hAnsi="Arial" w:cs="Arial"/>
          <w:color w:val="464B4B"/>
          <w:sz w:val="18"/>
          <w:szCs w:val="18"/>
        </w:rPr>
        <w:t xml:space="preserve"> </w:t>
      </w:r>
      <w:r w:rsidR="009F498D" w:rsidRPr="009F498D">
        <w:rPr>
          <w:rFonts w:ascii="Arial" w:hAnsi="Arial" w:cs="Arial"/>
          <w:color w:val="464B4B"/>
          <w:sz w:val="18"/>
          <w:szCs w:val="18"/>
        </w:rPr>
        <w:t xml:space="preserve">systematically determine how </w:t>
      </w:r>
      <w:r>
        <w:rPr>
          <w:rFonts w:ascii="Arial" w:hAnsi="Arial" w:cs="Arial"/>
          <w:color w:val="464B4B"/>
          <w:sz w:val="18"/>
          <w:szCs w:val="18"/>
        </w:rPr>
        <w:t xml:space="preserve">these risks will </w:t>
      </w:r>
      <w:r w:rsidR="001D5E93">
        <w:rPr>
          <w:rFonts w:ascii="Arial" w:hAnsi="Arial" w:cs="Arial"/>
          <w:color w:val="464B4B"/>
          <w:sz w:val="18"/>
          <w:szCs w:val="18"/>
        </w:rPr>
        <w:t>relate to or feed in</w:t>
      </w:r>
      <w:r>
        <w:rPr>
          <w:rFonts w:ascii="Arial" w:hAnsi="Arial" w:cs="Arial"/>
          <w:color w:val="464B4B"/>
          <w:sz w:val="18"/>
          <w:szCs w:val="18"/>
        </w:rPr>
        <w:t xml:space="preserve">to </w:t>
      </w:r>
      <w:r w:rsidR="009F498D" w:rsidRPr="009F498D">
        <w:rPr>
          <w:rFonts w:ascii="Arial" w:hAnsi="Arial" w:cs="Arial"/>
          <w:color w:val="464B4B"/>
          <w:sz w:val="18"/>
          <w:szCs w:val="18"/>
        </w:rPr>
        <w:t>credit, market, operational and liquidity risks</w:t>
      </w:r>
      <w:r>
        <w:rPr>
          <w:rFonts w:ascii="Arial" w:hAnsi="Arial" w:cs="Arial"/>
          <w:color w:val="464B4B"/>
          <w:sz w:val="18"/>
          <w:szCs w:val="18"/>
        </w:rPr>
        <w:t>,</w:t>
      </w:r>
      <w:r w:rsidR="009F498D" w:rsidRPr="009F498D">
        <w:rPr>
          <w:rFonts w:ascii="Arial" w:hAnsi="Arial" w:cs="Arial"/>
          <w:color w:val="464B4B"/>
          <w:sz w:val="18"/>
          <w:szCs w:val="18"/>
        </w:rPr>
        <w:t xml:space="preserve"> and quantify the impact on capital and liquidity buffers.</w:t>
      </w:r>
      <w:r>
        <w:rPr>
          <w:rFonts w:ascii="Arial" w:hAnsi="Arial" w:cs="Arial"/>
          <w:color w:val="464B4B"/>
          <w:sz w:val="18"/>
          <w:szCs w:val="18"/>
        </w:rPr>
        <w:t xml:space="preserve"> In our view, processes for </w:t>
      </w:r>
      <w:r w:rsidR="009F498D" w:rsidRPr="009F498D">
        <w:rPr>
          <w:rFonts w:ascii="Arial" w:hAnsi="Arial" w:cs="Arial"/>
          <w:color w:val="464B4B"/>
          <w:sz w:val="18"/>
          <w:szCs w:val="18"/>
        </w:rPr>
        <w:t xml:space="preserve">assessing </w:t>
      </w:r>
      <w:r>
        <w:rPr>
          <w:rFonts w:ascii="Arial" w:hAnsi="Arial" w:cs="Arial"/>
          <w:color w:val="464B4B"/>
          <w:sz w:val="18"/>
          <w:szCs w:val="18"/>
        </w:rPr>
        <w:t>traditional (and prudential) risks will need to be reviewed</w:t>
      </w:r>
      <w:r w:rsidR="009F498D" w:rsidRPr="009F498D">
        <w:rPr>
          <w:rFonts w:ascii="Arial" w:hAnsi="Arial" w:cs="Arial"/>
          <w:color w:val="464B4B"/>
          <w:sz w:val="18"/>
          <w:szCs w:val="18"/>
        </w:rPr>
        <w:t xml:space="preserve">, </w:t>
      </w:r>
      <w:proofErr w:type="gramStart"/>
      <w:r w:rsidR="009F498D" w:rsidRPr="009F498D">
        <w:rPr>
          <w:rFonts w:ascii="Arial" w:hAnsi="Arial" w:cs="Arial"/>
          <w:color w:val="464B4B"/>
          <w:sz w:val="18"/>
          <w:szCs w:val="18"/>
        </w:rPr>
        <w:t>adjusted</w:t>
      </w:r>
      <w:proofErr w:type="gramEnd"/>
      <w:r w:rsidR="009F498D" w:rsidRPr="009F498D">
        <w:rPr>
          <w:rFonts w:ascii="Arial" w:hAnsi="Arial" w:cs="Arial"/>
          <w:color w:val="464B4B"/>
          <w:sz w:val="18"/>
          <w:szCs w:val="18"/>
        </w:rPr>
        <w:t xml:space="preserve"> and even redesigned</w:t>
      </w:r>
      <w:r>
        <w:rPr>
          <w:rFonts w:ascii="Arial" w:hAnsi="Arial" w:cs="Arial"/>
          <w:color w:val="464B4B"/>
          <w:sz w:val="18"/>
          <w:szCs w:val="18"/>
        </w:rPr>
        <w:t xml:space="preserve">. This will need to account for new data, </w:t>
      </w:r>
      <w:proofErr w:type="gramStart"/>
      <w:r>
        <w:rPr>
          <w:rFonts w:ascii="Arial" w:hAnsi="Arial" w:cs="Arial"/>
          <w:color w:val="464B4B"/>
          <w:sz w:val="18"/>
          <w:szCs w:val="18"/>
        </w:rPr>
        <w:t>parameters</w:t>
      </w:r>
      <w:proofErr w:type="gramEnd"/>
      <w:r>
        <w:rPr>
          <w:rFonts w:ascii="Arial" w:hAnsi="Arial" w:cs="Arial"/>
          <w:color w:val="464B4B"/>
          <w:sz w:val="18"/>
          <w:szCs w:val="18"/>
        </w:rPr>
        <w:t xml:space="preserve"> and rules, along with regulatory requirements and developments as these become available.</w:t>
      </w:r>
    </w:p>
    <w:p w14:paraId="7871C85E" w14:textId="4020B61C" w:rsidR="009E69C1" w:rsidRDefault="009E69C1" w:rsidP="007625ED">
      <w:pPr>
        <w:ind w:left="-284" w:right="-330"/>
      </w:pPr>
    </w:p>
    <w:p w14:paraId="2C0F5EB0" w14:textId="45DDC42F" w:rsidR="009E69C1" w:rsidRDefault="009E69C1" w:rsidP="009E69C1">
      <w:pPr>
        <w:pStyle w:val="ListParagraph"/>
        <w:ind w:left="-284" w:right="-330"/>
        <w:rPr>
          <w:rFonts w:cs="Arial"/>
          <w:b/>
          <w:bCs/>
          <w:sz w:val="18"/>
          <w:szCs w:val="18"/>
        </w:rPr>
      </w:pPr>
      <w:r w:rsidRPr="009E69C1">
        <w:rPr>
          <w:rFonts w:cs="Arial"/>
          <w:b/>
          <w:bCs/>
          <w:sz w:val="18"/>
          <w:szCs w:val="18"/>
        </w:rPr>
        <w:t>24. Please provide your views on the incorporation of ESG risks considerations into the assessment of the credit institution’s internal governance and wide controls.</w:t>
      </w:r>
      <w:r>
        <w:rPr>
          <w:rFonts w:cs="Arial"/>
          <w:b/>
          <w:bCs/>
          <w:sz w:val="18"/>
          <w:szCs w:val="18"/>
        </w:rPr>
        <w:t xml:space="preserve"> </w:t>
      </w:r>
    </w:p>
    <w:p w14:paraId="54732C1E" w14:textId="371311C8" w:rsidR="009E69C1" w:rsidRDefault="009E69C1" w:rsidP="009E69C1">
      <w:pPr>
        <w:ind w:left="-284" w:right="-330"/>
        <w:rPr>
          <w:rFonts w:ascii="Arial" w:hAnsi="Arial" w:cs="Arial"/>
          <w:color w:val="464B4B"/>
          <w:sz w:val="18"/>
          <w:szCs w:val="18"/>
        </w:rPr>
      </w:pPr>
      <w:r>
        <w:rPr>
          <w:rFonts w:ascii="Arial" w:hAnsi="Arial" w:cs="Arial"/>
          <w:color w:val="464B4B"/>
          <w:sz w:val="18"/>
          <w:szCs w:val="18"/>
        </w:rPr>
        <w:t>In our view, t</w:t>
      </w:r>
      <w:r w:rsidRPr="009E69C1">
        <w:rPr>
          <w:rFonts w:ascii="Arial" w:hAnsi="Arial" w:cs="Arial"/>
          <w:color w:val="464B4B"/>
          <w:sz w:val="18"/>
          <w:szCs w:val="18"/>
        </w:rPr>
        <w:t>he supervisory review should proportionately incorporate ESG risk-specific considerations into the assessment of credit institution</w:t>
      </w:r>
      <w:r>
        <w:rPr>
          <w:rFonts w:ascii="Arial" w:hAnsi="Arial" w:cs="Arial"/>
          <w:color w:val="464B4B"/>
          <w:sz w:val="18"/>
          <w:szCs w:val="18"/>
        </w:rPr>
        <w:t>s’</w:t>
      </w:r>
      <w:r w:rsidRPr="009E69C1">
        <w:rPr>
          <w:rFonts w:ascii="Arial" w:hAnsi="Arial" w:cs="Arial"/>
          <w:color w:val="464B4B"/>
          <w:sz w:val="18"/>
          <w:szCs w:val="18"/>
        </w:rPr>
        <w:t xml:space="preserve"> internal governance and wide controls</w:t>
      </w:r>
      <w:r>
        <w:rPr>
          <w:rFonts w:ascii="Arial" w:hAnsi="Arial" w:cs="Arial"/>
          <w:color w:val="464B4B"/>
          <w:sz w:val="18"/>
          <w:szCs w:val="18"/>
        </w:rPr>
        <w:t xml:space="preserve">. </w:t>
      </w:r>
    </w:p>
    <w:p w14:paraId="64012AE2" w14:textId="77777777" w:rsidR="009E69C1" w:rsidRDefault="009E69C1" w:rsidP="009E69C1">
      <w:pPr>
        <w:ind w:left="-284" w:right="-330"/>
        <w:rPr>
          <w:rFonts w:ascii="Arial" w:hAnsi="Arial" w:cs="Arial"/>
          <w:color w:val="464B4B"/>
          <w:sz w:val="18"/>
          <w:szCs w:val="18"/>
        </w:rPr>
      </w:pPr>
      <w:r>
        <w:rPr>
          <w:rFonts w:ascii="Arial" w:hAnsi="Arial" w:cs="Arial"/>
          <w:color w:val="464B4B"/>
          <w:sz w:val="18"/>
          <w:szCs w:val="18"/>
        </w:rPr>
        <w:t xml:space="preserve">In particular, we believe it should consider how ESG risks are embedded within: </w:t>
      </w:r>
    </w:p>
    <w:p w14:paraId="719DEB7D" w14:textId="573F3AA9" w:rsidR="009E69C1" w:rsidRDefault="009E69C1" w:rsidP="009E69C1">
      <w:pPr>
        <w:pStyle w:val="ListParagraph"/>
        <w:numPr>
          <w:ilvl w:val="0"/>
          <w:numId w:val="2"/>
        </w:numPr>
        <w:ind w:right="-330"/>
        <w:rPr>
          <w:rFonts w:cs="Arial"/>
          <w:color w:val="464B4B"/>
          <w:sz w:val="18"/>
          <w:szCs w:val="18"/>
        </w:rPr>
      </w:pPr>
      <w:r w:rsidRPr="009E69C1">
        <w:rPr>
          <w:rFonts w:cs="Arial"/>
          <w:color w:val="464B4B"/>
          <w:sz w:val="18"/>
          <w:szCs w:val="18"/>
        </w:rPr>
        <w:t xml:space="preserve">the overall internal governance </w:t>
      </w:r>
      <w:proofErr w:type="gramStart"/>
      <w:r>
        <w:rPr>
          <w:rFonts w:cs="Arial"/>
          <w:color w:val="464B4B"/>
          <w:sz w:val="18"/>
          <w:szCs w:val="18"/>
        </w:rPr>
        <w:t>framework;</w:t>
      </w:r>
      <w:proofErr w:type="gramEnd"/>
    </w:p>
    <w:p w14:paraId="2FBA5A82" w14:textId="25AF3F26" w:rsidR="009E69C1" w:rsidRDefault="009E69C1" w:rsidP="009E69C1">
      <w:pPr>
        <w:pStyle w:val="ListParagraph"/>
        <w:numPr>
          <w:ilvl w:val="0"/>
          <w:numId w:val="2"/>
        </w:numPr>
        <w:ind w:right="-330"/>
        <w:rPr>
          <w:rFonts w:cs="Arial"/>
          <w:color w:val="464B4B"/>
          <w:sz w:val="18"/>
          <w:szCs w:val="18"/>
        </w:rPr>
      </w:pPr>
      <w:r>
        <w:rPr>
          <w:rFonts w:cs="Arial"/>
          <w:color w:val="464B4B"/>
          <w:sz w:val="18"/>
          <w:szCs w:val="18"/>
        </w:rPr>
        <w:t xml:space="preserve">the functioning of the management </w:t>
      </w:r>
      <w:proofErr w:type="gramStart"/>
      <w:r>
        <w:rPr>
          <w:rFonts w:cs="Arial"/>
          <w:color w:val="464B4B"/>
          <w:sz w:val="18"/>
          <w:szCs w:val="18"/>
        </w:rPr>
        <w:t>body;</w:t>
      </w:r>
      <w:proofErr w:type="gramEnd"/>
    </w:p>
    <w:p w14:paraId="4F1657CA" w14:textId="13B5539E" w:rsidR="009E69C1" w:rsidRDefault="009E69C1" w:rsidP="009E69C1">
      <w:pPr>
        <w:pStyle w:val="ListParagraph"/>
        <w:numPr>
          <w:ilvl w:val="0"/>
          <w:numId w:val="2"/>
        </w:numPr>
        <w:ind w:right="-330"/>
        <w:rPr>
          <w:rFonts w:cs="Arial"/>
          <w:color w:val="464B4B"/>
          <w:sz w:val="18"/>
          <w:szCs w:val="18"/>
        </w:rPr>
      </w:pPr>
      <w:r>
        <w:rPr>
          <w:rFonts w:cs="Arial"/>
          <w:color w:val="464B4B"/>
          <w:sz w:val="18"/>
          <w:szCs w:val="18"/>
        </w:rPr>
        <w:t xml:space="preserve">corporate and risk </w:t>
      </w:r>
      <w:proofErr w:type="gramStart"/>
      <w:r>
        <w:rPr>
          <w:rFonts w:cs="Arial"/>
          <w:color w:val="464B4B"/>
          <w:sz w:val="18"/>
          <w:szCs w:val="18"/>
        </w:rPr>
        <w:t>culture;</w:t>
      </w:r>
      <w:proofErr w:type="gramEnd"/>
    </w:p>
    <w:p w14:paraId="2E559969" w14:textId="166CBE13" w:rsidR="009E69C1" w:rsidRDefault="009E69C1" w:rsidP="009E69C1">
      <w:pPr>
        <w:pStyle w:val="ListParagraph"/>
        <w:numPr>
          <w:ilvl w:val="0"/>
          <w:numId w:val="2"/>
        </w:numPr>
        <w:ind w:right="-330"/>
        <w:rPr>
          <w:rFonts w:cs="Arial"/>
          <w:color w:val="464B4B"/>
          <w:sz w:val="18"/>
          <w:szCs w:val="18"/>
        </w:rPr>
      </w:pPr>
      <w:r>
        <w:rPr>
          <w:rFonts w:cs="Arial"/>
          <w:color w:val="464B4B"/>
          <w:sz w:val="18"/>
          <w:szCs w:val="18"/>
        </w:rPr>
        <w:t xml:space="preserve">remuneration policies and </w:t>
      </w:r>
      <w:proofErr w:type="gramStart"/>
      <w:r>
        <w:rPr>
          <w:rFonts w:cs="Arial"/>
          <w:color w:val="464B4B"/>
          <w:sz w:val="18"/>
          <w:szCs w:val="18"/>
        </w:rPr>
        <w:t>practices;</w:t>
      </w:r>
      <w:proofErr w:type="gramEnd"/>
    </w:p>
    <w:p w14:paraId="6A44A534" w14:textId="19D84C11" w:rsidR="009E69C1" w:rsidRDefault="009E69C1" w:rsidP="009E69C1">
      <w:pPr>
        <w:pStyle w:val="ListParagraph"/>
        <w:numPr>
          <w:ilvl w:val="0"/>
          <w:numId w:val="2"/>
        </w:numPr>
        <w:ind w:right="-330"/>
        <w:rPr>
          <w:rFonts w:cs="Arial"/>
          <w:color w:val="464B4B"/>
          <w:sz w:val="18"/>
          <w:szCs w:val="18"/>
        </w:rPr>
      </w:pPr>
      <w:r>
        <w:rPr>
          <w:rFonts w:cs="Arial"/>
          <w:color w:val="464B4B"/>
          <w:sz w:val="18"/>
          <w:szCs w:val="18"/>
        </w:rPr>
        <w:t xml:space="preserve">internal control </w:t>
      </w:r>
      <w:proofErr w:type="gramStart"/>
      <w:r>
        <w:rPr>
          <w:rFonts w:cs="Arial"/>
          <w:color w:val="464B4B"/>
          <w:sz w:val="18"/>
          <w:szCs w:val="18"/>
        </w:rPr>
        <w:t>frameworks;</w:t>
      </w:r>
      <w:proofErr w:type="gramEnd"/>
    </w:p>
    <w:p w14:paraId="19EADC08" w14:textId="10FF6D76" w:rsidR="009E69C1" w:rsidRDefault="009E69C1" w:rsidP="009E69C1">
      <w:pPr>
        <w:pStyle w:val="ListParagraph"/>
        <w:numPr>
          <w:ilvl w:val="0"/>
          <w:numId w:val="2"/>
        </w:numPr>
        <w:ind w:right="-330"/>
        <w:rPr>
          <w:rFonts w:cs="Arial"/>
          <w:color w:val="464B4B"/>
          <w:sz w:val="18"/>
          <w:szCs w:val="18"/>
        </w:rPr>
      </w:pPr>
      <w:r>
        <w:rPr>
          <w:rFonts w:cs="Arial"/>
          <w:color w:val="464B4B"/>
          <w:sz w:val="18"/>
          <w:szCs w:val="18"/>
        </w:rPr>
        <w:t>risk management frameworks; and</w:t>
      </w:r>
    </w:p>
    <w:p w14:paraId="321705AF" w14:textId="58BB92CA" w:rsidR="009E69C1" w:rsidRPr="009E69C1" w:rsidRDefault="009E69C1" w:rsidP="009E69C1">
      <w:pPr>
        <w:pStyle w:val="ListParagraph"/>
        <w:numPr>
          <w:ilvl w:val="0"/>
          <w:numId w:val="2"/>
        </w:numPr>
        <w:ind w:right="-330"/>
        <w:rPr>
          <w:rFonts w:cs="Arial"/>
          <w:color w:val="464B4B"/>
          <w:sz w:val="18"/>
          <w:szCs w:val="18"/>
        </w:rPr>
      </w:pPr>
      <w:r>
        <w:rPr>
          <w:rFonts w:cs="Arial"/>
          <w:color w:val="464B4B"/>
          <w:sz w:val="18"/>
          <w:szCs w:val="18"/>
        </w:rPr>
        <w:t>information systems.</w:t>
      </w:r>
    </w:p>
    <w:p w14:paraId="58E7BA0C" w14:textId="2EFB3A9B" w:rsidR="009E69C1" w:rsidRPr="009E69C1" w:rsidRDefault="009E69C1" w:rsidP="009E69C1">
      <w:pPr>
        <w:ind w:left="-284" w:right="-330"/>
        <w:rPr>
          <w:rFonts w:ascii="Arial" w:hAnsi="Arial" w:cs="Arial"/>
          <w:color w:val="464B4B"/>
          <w:sz w:val="18"/>
          <w:szCs w:val="18"/>
        </w:rPr>
      </w:pPr>
    </w:p>
    <w:sectPr w:rsidR="009E69C1" w:rsidRPr="009E69C1" w:rsidSect="009E69C1">
      <w:headerReference w:type="default" r:id="rId7"/>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8BA03" w14:textId="77777777" w:rsidR="00F8560D" w:rsidRDefault="00F8560D" w:rsidP="007625ED">
      <w:pPr>
        <w:spacing w:after="0" w:line="240" w:lineRule="auto"/>
      </w:pPr>
      <w:r>
        <w:separator/>
      </w:r>
    </w:p>
  </w:endnote>
  <w:endnote w:type="continuationSeparator" w:id="0">
    <w:p w14:paraId="227FE509" w14:textId="77777777" w:rsidR="00F8560D" w:rsidRDefault="00F8560D" w:rsidP="0076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8A075" w14:textId="77777777" w:rsidR="00F8560D" w:rsidRDefault="00F8560D" w:rsidP="007625ED">
      <w:pPr>
        <w:spacing w:after="0" w:line="240" w:lineRule="auto"/>
      </w:pPr>
      <w:r>
        <w:separator/>
      </w:r>
    </w:p>
  </w:footnote>
  <w:footnote w:type="continuationSeparator" w:id="0">
    <w:p w14:paraId="4C19950C" w14:textId="77777777" w:rsidR="00F8560D" w:rsidRDefault="00F8560D" w:rsidP="0076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46CE3" w14:textId="77777777" w:rsidR="007625ED" w:rsidRDefault="007625ED" w:rsidP="007625E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1049D"/>
    <w:multiLevelType w:val="hybridMultilevel"/>
    <w:tmpl w:val="05528EA0"/>
    <w:lvl w:ilvl="0" w:tplc="0DEEB57C">
      <w:start w:val="3"/>
      <w:numFmt w:val="bullet"/>
      <w:lvlText w:val=""/>
      <w:lvlJc w:val="left"/>
      <w:pPr>
        <w:ind w:left="76" w:hanging="360"/>
      </w:pPr>
      <w:rPr>
        <w:rFonts w:ascii="Symbol" w:eastAsiaTheme="minorHAnsi" w:hAnsi="Symbo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 w15:restartNumberingAfterBreak="0">
    <w:nsid w:val="194D443B"/>
    <w:multiLevelType w:val="hybridMultilevel"/>
    <w:tmpl w:val="7E306588"/>
    <w:lvl w:ilvl="0" w:tplc="6BA03E5C">
      <w:start w:val="19"/>
      <w:numFmt w:val="decimal"/>
      <w:lvlText w:val="%1."/>
      <w:lvlJc w:val="left"/>
      <w:pPr>
        <w:tabs>
          <w:tab w:val="num" w:pos="720"/>
        </w:tabs>
        <w:ind w:left="720" w:hanging="360"/>
      </w:pPr>
    </w:lvl>
    <w:lvl w:ilvl="1" w:tplc="C516600E" w:tentative="1">
      <w:start w:val="1"/>
      <w:numFmt w:val="decimal"/>
      <w:lvlText w:val="%2."/>
      <w:lvlJc w:val="left"/>
      <w:pPr>
        <w:tabs>
          <w:tab w:val="num" w:pos="1440"/>
        </w:tabs>
        <w:ind w:left="1440" w:hanging="360"/>
      </w:pPr>
    </w:lvl>
    <w:lvl w:ilvl="2" w:tplc="5A0CD0C0" w:tentative="1">
      <w:start w:val="1"/>
      <w:numFmt w:val="decimal"/>
      <w:lvlText w:val="%3."/>
      <w:lvlJc w:val="left"/>
      <w:pPr>
        <w:tabs>
          <w:tab w:val="num" w:pos="2160"/>
        </w:tabs>
        <w:ind w:left="2160" w:hanging="360"/>
      </w:pPr>
    </w:lvl>
    <w:lvl w:ilvl="3" w:tplc="EEE46176" w:tentative="1">
      <w:start w:val="1"/>
      <w:numFmt w:val="decimal"/>
      <w:lvlText w:val="%4."/>
      <w:lvlJc w:val="left"/>
      <w:pPr>
        <w:tabs>
          <w:tab w:val="num" w:pos="2880"/>
        </w:tabs>
        <w:ind w:left="2880" w:hanging="360"/>
      </w:pPr>
    </w:lvl>
    <w:lvl w:ilvl="4" w:tplc="693A3EE4" w:tentative="1">
      <w:start w:val="1"/>
      <w:numFmt w:val="decimal"/>
      <w:lvlText w:val="%5."/>
      <w:lvlJc w:val="left"/>
      <w:pPr>
        <w:tabs>
          <w:tab w:val="num" w:pos="3600"/>
        </w:tabs>
        <w:ind w:left="3600" w:hanging="360"/>
      </w:pPr>
    </w:lvl>
    <w:lvl w:ilvl="5" w:tplc="4094CECA" w:tentative="1">
      <w:start w:val="1"/>
      <w:numFmt w:val="decimal"/>
      <w:lvlText w:val="%6."/>
      <w:lvlJc w:val="left"/>
      <w:pPr>
        <w:tabs>
          <w:tab w:val="num" w:pos="4320"/>
        </w:tabs>
        <w:ind w:left="4320" w:hanging="360"/>
      </w:pPr>
    </w:lvl>
    <w:lvl w:ilvl="6" w:tplc="A5F2B564" w:tentative="1">
      <w:start w:val="1"/>
      <w:numFmt w:val="decimal"/>
      <w:lvlText w:val="%7."/>
      <w:lvlJc w:val="left"/>
      <w:pPr>
        <w:tabs>
          <w:tab w:val="num" w:pos="5040"/>
        </w:tabs>
        <w:ind w:left="5040" w:hanging="360"/>
      </w:pPr>
    </w:lvl>
    <w:lvl w:ilvl="7" w:tplc="4FD295DC" w:tentative="1">
      <w:start w:val="1"/>
      <w:numFmt w:val="decimal"/>
      <w:lvlText w:val="%8."/>
      <w:lvlJc w:val="left"/>
      <w:pPr>
        <w:tabs>
          <w:tab w:val="num" w:pos="5760"/>
        </w:tabs>
        <w:ind w:left="5760" w:hanging="360"/>
      </w:pPr>
    </w:lvl>
    <w:lvl w:ilvl="8" w:tplc="C6D6A986"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ED"/>
    <w:rsid w:val="00145D3C"/>
    <w:rsid w:val="00153A97"/>
    <w:rsid w:val="001D5E93"/>
    <w:rsid w:val="001D7B92"/>
    <w:rsid w:val="002A0E6E"/>
    <w:rsid w:val="002C211D"/>
    <w:rsid w:val="00397708"/>
    <w:rsid w:val="00397F5A"/>
    <w:rsid w:val="003A2B38"/>
    <w:rsid w:val="003D4866"/>
    <w:rsid w:val="0041757C"/>
    <w:rsid w:val="00451A5D"/>
    <w:rsid w:val="004C22E5"/>
    <w:rsid w:val="004D20C4"/>
    <w:rsid w:val="0058560E"/>
    <w:rsid w:val="00625B92"/>
    <w:rsid w:val="007625ED"/>
    <w:rsid w:val="008C7C71"/>
    <w:rsid w:val="008E5538"/>
    <w:rsid w:val="00985B8E"/>
    <w:rsid w:val="00995E7E"/>
    <w:rsid w:val="009B254C"/>
    <w:rsid w:val="009E4E70"/>
    <w:rsid w:val="009E69C1"/>
    <w:rsid w:val="009F498D"/>
    <w:rsid w:val="00A15956"/>
    <w:rsid w:val="00AA5231"/>
    <w:rsid w:val="00B23564"/>
    <w:rsid w:val="00C559FB"/>
    <w:rsid w:val="00C56A97"/>
    <w:rsid w:val="00D3489E"/>
    <w:rsid w:val="00D46D4D"/>
    <w:rsid w:val="00E02233"/>
    <w:rsid w:val="00F31EFC"/>
    <w:rsid w:val="00F85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96E3"/>
  <w15:chartTrackingRefBased/>
  <w15:docId w15:val="{3935E1C3-54F4-42AF-82D0-8B8566F2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Normal numbered"/>
    <w:basedOn w:val="Normal"/>
    <w:link w:val="ListParagraphChar"/>
    <w:uiPriority w:val="34"/>
    <w:qFormat/>
    <w:rsid w:val="007625ED"/>
    <w:pPr>
      <w:ind w:left="720"/>
      <w:contextualSpacing/>
    </w:pPr>
    <w:rPr>
      <w:rFonts w:ascii="Arial" w:hAnsi="Arial"/>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basedOn w:val="DefaultParagraphFont"/>
    <w:link w:val="ListParagraph"/>
    <w:uiPriority w:val="34"/>
    <w:qFormat/>
    <w:rsid w:val="007625ED"/>
    <w:rPr>
      <w:rFonts w:ascii="Arial" w:hAnsi="Arial"/>
    </w:rPr>
  </w:style>
  <w:style w:type="paragraph" w:styleId="Header">
    <w:name w:val="header"/>
    <w:basedOn w:val="Normal"/>
    <w:link w:val="HeaderChar"/>
    <w:uiPriority w:val="99"/>
    <w:unhideWhenUsed/>
    <w:rsid w:val="00762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5ED"/>
  </w:style>
  <w:style w:type="paragraph" w:styleId="Footer">
    <w:name w:val="footer"/>
    <w:basedOn w:val="Normal"/>
    <w:link w:val="FooterChar"/>
    <w:uiPriority w:val="99"/>
    <w:unhideWhenUsed/>
    <w:rsid w:val="00762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5ED"/>
  </w:style>
  <w:style w:type="paragraph" w:customStyle="1" w:styleId="paragraph">
    <w:name w:val="paragraph"/>
    <w:basedOn w:val="Normal"/>
    <w:rsid w:val="007625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625ED"/>
  </w:style>
  <w:style w:type="character" w:customStyle="1" w:styleId="advancedproofingissue">
    <w:name w:val="advancedproofingissue"/>
    <w:basedOn w:val="DefaultParagraphFont"/>
    <w:rsid w:val="007625ED"/>
  </w:style>
  <w:style w:type="character" w:customStyle="1" w:styleId="eop">
    <w:name w:val="eop"/>
    <w:basedOn w:val="DefaultParagraphFont"/>
    <w:rsid w:val="007625ED"/>
  </w:style>
  <w:style w:type="character" w:styleId="CommentReference">
    <w:name w:val="annotation reference"/>
    <w:basedOn w:val="DefaultParagraphFont"/>
    <w:uiPriority w:val="99"/>
    <w:semiHidden/>
    <w:unhideWhenUsed/>
    <w:rsid w:val="00D46D4D"/>
    <w:rPr>
      <w:sz w:val="16"/>
      <w:szCs w:val="16"/>
    </w:rPr>
  </w:style>
  <w:style w:type="paragraph" w:styleId="CommentText">
    <w:name w:val="annotation text"/>
    <w:basedOn w:val="Normal"/>
    <w:link w:val="CommentTextChar"/>
    <w:uiPriority w:val="99"/>
    <w:semiHidden/>
    <w:unhideWhenUsed/>
    <w:rsid w:val="00D46D4D"/>
    <w:pPr>
      <w:spacing w:line="240" w:lineRule="auto"/>
    </w:pPr>
    <w:rPr>
      <w:sz w:val="20"/>
      <w:szCs w:val="20"/>
    </w:rPr>
  </w:style>
  <w:style w:type="character" w:customStyle="1" w:styleId="CommentTextChar">
    <w:name w:val="Comment Text Char"/>
    <w:basedOn w:val="DefaultParagraphFont"/>
    <w:link w:val="CommentText"/>
    <w:uiPriority w:val="99"/>
    <w:semiHidden/>
    <w:rsid w:val="00D46D4D"/>
    <w:rPr>
      <w:sz w:val="20"/>
      <w:szCs w:val="20"/>
    </w:rPr>
  </w:style>
  <w:style w:type="paragraph" w:styleId="CommentSubject">
    <w:name w:val="annotation subject"/>
    <w:basedOn w:val="CommentText"/>
    <w:next w:val="CommentText"/>
    <w:link w:val="CommentSubjectChar"/>
    <w:uiPriority w:val="99"/>
    <w:semiHidden/>
    <w:unhideWhenUsed/>
    <w:rsid w:val="00D46D4D"/>
    <w:rPr>
      <w:b/>
      <w:bCs/>
    </w:rPr>
  </w:style>
  <w:style w:type="character" w:customStyle="1" w:styleId="CommentSubjectChar">
    <w:name w:val="Comment Subject Char"/>
    <w:basedOn w:val="CommentTextChar"/>
    <w:link w:val="CommentSubject"/>
    <w:uiPriority w:val="99"/>
    <w:semiHidden/>
    <w:rsid w:val="00D46D4D"/>
    <w:rPr>
      <w:b/>
      <w:bCs/>
      <w:sz w:val="20"/>
      <w:szCs w:val="20"/>
    </w:rPr>
  </w:style>
  <w:style w:type="paragraph" w:styleId="BalloonText">
    <w:name w:val="Balloon Text"/>
    <w:basedOn w:val="Normal"/>
    <w:link w:val="BalloonTextChar"/>
    <w:uiPriority w:val="99"/>
    <w:semiHidden/>
    <w:unhideWhenUsed/>
    <w:rsid w:val="00D46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98466">
      <w:bodyDiv w:val="1"/>
      <w:marLeft w:val="0"/>
      <w:marRight w:val="0"/>
      <w:marTop w:val="0"/>
      <w:marBottom w:val="0"/>
      <w:divBdr>
        <w:top w:val="none" w:sz="0" w:space="0" w:color="auto"/>
        <w:left w:val="none" w:sz="0" w:space="0" w:color="auto"/>
        <w:bottom w:val="none" w:sz="0" w:space="0" w:color="auto"/>
        <w:right w:val="none" w:sz="0" w:space="0" w:color="auto"/>
      </w:divBdr>
    </w:div>
    <w:div w:id="58602934">
      <w:bodyDiv w:val="1"/>
      <w:marLeft w:val="0"/>
      <w:marRight w:val="0"/>
      <w:marTop w:val="0"/>
      <w:marBottom w:val="0"/>
      <w:divBdr>
        <w:top w:val="none" w:sz="0" w:space="0" w:color="auto"/>
        <w:left w:val="none" w:sz="0" w:space="0" w:color="auto"/>
        <w:bottom w:val="none" w:sz="0" w:space="0" w:color="auto"/>
        <w:right w:val="none" w:sz="0" w:space="0" w:color="auto"/>
      </w:divBdr>
    </w:div>
    <w:div w:id="291523193">
      <w:bodyDiv w:val="1"/>
      <w:marLeft w:val="0"/>
      <w:marRight w:val="0"/>
      <w:marTop w:val="0"/>
      <w:marBottom w:val="0"/>
      <w:divBdr>
        <w:top w:val="none" w:sz="0" w:space="0" w:color="auto"/>
        <w:left w:val="none" w:sz="0" w:space="0" w:color="auto"/>
        <w:bottom w:val="none" w:sz="0" w:space="0" w:color="auto"/>
        <w:right w:val="none" w:sz="0" w:space="0" w:color="auto"/>
      </w:divBdr>
    </w:div>
    <w:div w:id="1310594497">
      <w:bodyDiv w:val="1"/>
      <w:marLeft w:val="0"/>
      <w:marRight w:val="0"/>
      <w:marTop w:val="0"/>
      <w:marBottom w:val="0"/>
      <w:divBdr>
        <w:top w:val="none" w:sz="0" w:space="0" w:color="auto"/>
        <w:left w:val="none" w:sz="0" w:space="0" w:color="auto"/>
        <w:bottom w:val="none" w:sz="0" w:space="0" w:color="auto"/>
        <w:right w:val="none" w:sz="0" w:space="0" w:color="auto"/>
      </w:divBdr>
    </w:div>
    <w:div w:id="1339190072">
      <w:bodyDiv w:val="1"/>
      <w:marLeft w:val="0"/>
      <w:marRight w:val="0"/>
      <w:marTop w:val="0"/>
      <w:marBottom w:val="0"/>
      <w:divBdr>
        <w:top w:val="none" w:sz="0" w:space="0" w:color="auto"/>
        <w:left w:val="none" w:sz="0" w:space="0" w:color="auto"/>
        <w:bottom w:val="none" w:sz="0" w:space="0" w:color="auto"/>
        <w:right w:val="none" w:sz="0" w:space="0" w:color="auto"/>
      </w:divBdr>
    </w:div>
    <w:div w:id="1467039635">
      <w:bodyDiv w:val="1"/>
      <w:marLeft w:val="0"/>
      <w:marRight w:val="0"/>
      <w:marTop w:val="0"/>
      <w:marBottom w:val="0"/>
      <w:divBdr>
        <w:top w:val="none" w:sz="0" w:space="0" w:color="auto"/>
        <w:left w:val="none" w:sz="0" w:space="0" w:color="auto"/>
        <w:bottom w:val="none" w:sz="0" w:space="0" w:color="auto"/>
        <w:right w:val="none" w:sz="0" w:space="0" w:color="auto"/>
      </w:divBdr>
    </w:div>
    <w:div w:id="1587348972">
      <w:bodyDiv w:val="1"/>
      <w:marLeft w:val="0"/>
      <w:marRight w:val="0"/>
      <w:marTop w:val="0"/>
      <w:marBottom w:val="0"/>
      <w:divBdr>
        <w:top w:val="none" w:sz="0" w:space="0" w:color="auto"/>
        <w:left w:val="none" w:sz="0" w:space="0" w:color="auto"/>
        <w:bottom w:val="none" w:sz="0" w:space="0" w:color="auto"/>
        <w:right w:val="none" w:sz="0" w:space="0" w:color="auto"/>
      </w:divBdr>
      <w:divsChild>
        <w:div w:id="17570898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Taylor</dc:creator>
  <cp:keywords/>
  <dc:description/>
  <cp:lastModifiedBy>Benjamin Taylor</cp:lastModifiedBy>
  <cp:revision>4</cp:revision>
  <dcterms:created xsi:type="dcterms:W3CDTF">2021-02-03T15:53:00Z</dcterms:created>
  <dcterms:modified xsi:type="dcterms:W3CDTF">2021-02-03T16:01:00Z</dcterms:modified>
</cp:coreProperties>
</file>