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77" w:type="dxa"/>
        <w:tblLayout w:type="fixed"/>
        <w:tblCellMar>
          <w:left w:w="0" w:type="dxa"/>
          <w:right w:w="0" w:type="dxa"/>
        </w:tblCellMar>
        <w:tblLook w:val="0000" w:firstRow="0" w:lastRow="0" w:firstColumn="0" w:lastColumn="0" w:noHBand="0" w:noVBand="0"/>
      </w:tblPr>
      <w:tblGrid>
        <w:gridCol w:w="4252"/>
        <w:gridCol w:w="4025"/>
      </w:tblGrid>
      <w:tr w:rsidR="009D09E3" w:rsidRPr="009D09E3" w:rsidTr="009D09E3">
        <w:tblPrEx>
          <w:tblCellMar>
            <w:top w:w="0" w:type="dxa"/>
            <w:bottom w:w="0" w:type="dxa"/>
          </w:tblCellMar>
        </w:tblPrEx>
        <w:trPr>
          <w:trHeight w:val="850"/>
        </w:trPr>
        <w:tc>
          <w:tcPr>
            <w:tcW w:w="4252" w:type="dxa"/>
            <w:shd w:val="clear" w:color="auto" w:fill="auto"/>
          </w:tcPr>
          <w:p w:rsidR="009D09E3" w:rsidRPr="009D09E3" w:rsidRDefault="009D09E3" w:rsidP="009D09E3">
            <w:pPr>
              <w:pStyle w:val="Normalutanavstnd"/>
            </w:pPr>
            <w:proofErr w:type="gramStart"/>
            <w:r w:rsidRPr="009D09E3">
              <w:t>27/01/2015</w:t>
            </w:r>
            <w:proofErr w:type="gramEnd"/>
          </w:p>
        </w:tc>
        <w:tc>
          <w:tcPr>
            <w:tcW w:w="4025" w:type="dxa"/>
            <w:shd w:val="clear" w:color="auto" w:fill="auto"/>
            <w:tcMar>
              <w:bottom w:w="567" w:type="dxa"/>
            </w:tcMar>
          </w:tcPr>
          <w:p w:rsidR="009D09E3" w:rsidRPr="009D09E3" w:rsidRDefault="009D09E3" w:rsidP="009D09E3">
            <w:pPr>
              <w:pStyle w:val="Normalutanavstnd"/>
            </w:pPr>
            <w:proofErr w:type="spellStart"/>
            <w:r w:rsidRPr="009D09E3">
              <w:t>European</w:t>
            </w:r>
            <w:proofErr w:type="spellEnd"/>
            <w:r w:rsidRPr="009D09E3">
              <w:t xml:space="preserve"> </w:t>
            </w:r>
            <w:proofErr w:type="spellStart"/>
            <w:r w:rsidRPr="009D09E3">
              <w:t>Banking</w:t>
            </w:r>
            <w:proofErr w:type="spellEnd"/>
            <w:r w:rsidRPr="009D09E3">
              <w:t xml:space="preserve"> </w:t>
            </w:r>
            <w:proofErr w:type="spellStart"/>
            <w:r w:rsidRPr="009D09E3">
              <w:t>Authority</w:t>
            </w:r>
            <w:proofErr w:type="spellEnd"/>
          </w:p>
        </w:tc>
      </w:tr>
    </w:tbl>
    <w:p w:rsidR="006F00EF" w:rsidRPr="009D09E3" w:rsidRDefault="009D09E3" w:rsidP="009D09E3">
      <w:pPr>
        <w:pStyle w:val="Huvudrubrik"/>
        <w:rPr>
          <w:lang w:val="en-GB"/>
        </w:rPr>
      </w:pPr>
      <w:r w:rsidRPr="009D09E3">
        <w:rPr>
          <w:lang w:val="en-GB"/>
        </w:rPr>
        <w:t>Supervisory reporting with regard to the Leverage ratio</w:t>
      </w:r>
      <w:r>
        <w:rPr>
          <w:lang w:val="en-GB"/>
        </w:rPr>
        <w:t xml:space="preserve"> following the EC’s delegated act on the Leverage ratio</w:t>
      </w:r>
    </w:p>
    <w:p w:rsidR="009D09E3" w:rsidRPr="009D09E3" w:rsidRDefault="009D09E3" w:rsidP="009D09E3">
      <w:pPr>
        <w:rPr>
          <w:lang w:val="en-GB"/>
        </w:rPr>
      </w:pPr>
      <w:bookmarkStart w:id="0" w:name="xxDocument"/>
      <w:bookmarkEnd w:id="0"/>
    </w:p>
    <w:p w:rsidR="00903D32" w:rsidRPr="00903D32" w:rsidRDefault="00903D32" w:rsidP="00903D32">
      <w:pPr>
        <w:rPr>
          <w:b/>
          <w:lang w:val="en-GB"/>
        </w:rPr>
      </w:pPr>
      <w:r w:rsidRPr="00903D32">
        <w:rPr>
          <w:b/>
          <w:lang w:val="en-GB"/>
        </w:rPr>
        <w:t>Disclosure of leverage ratio</w:t>
      </w:r>
    </w:p>
    <w:p w:rsidR="00903D32" w:rsidRDefault="00903D32" w:rsidP="00903D32">
      <w:pPr>
        <w:rPr>
          <w:lang w:val="en-GB"/>
        </w:rPr>
      </w:pPr>
      <w:r w:rsidRPr="00903D32">
        <w:rPr>
          <w:lang w:val="en-GB"/>
        </w:rPr>
        <w:t xml:space="preserve">The </w:t>
      </w:r>
      <w:proofErr w:type="gramStart"/>
      <w:r w:rsidRPr="00903D32">
        <w:rPr>
          <w:lang w:val="en-GB"/>
        </w:rPr>
        <w:t>ITS</w:t>
      </w:r>
      <w:proofErr w:type="gramEnd"/>
      <w:r w:rsidRPr="00903D32">
        <w:rPr>
          <w:lang w:val="en-GB"/>
        </w:rPr>
        <w:t xml:space="preserve"> on supervisory reporting with regard to leverage ratio has to be amended due to the delegated act on leverage ratio from October 2014 published in Official Journal in January 2015. The new amendments on the leverage reporting in the ITS on supervisory reporting will according to the proposal be applicable on the later of December 2015 and 6 months after the adoption date by the Commission. </w:t>
      </w:r>
    </w:p>
    <w:p w:rsidR="00903D32" w:rsidRPr="00903D32" w:rsidRDefault="00903D32" w:rsidP="00903D32">
      <w:pPr>
        <w:rPr>
          <w:lang w:val="en-GB"/>
        </w:rPr>
      </w:pPr>
    </w:p>
    <w:p w:rsidR="00903D32" w:rsidRDefault="00903D32" w:rsidP="00903D32">
      <w:pPr>
        <w:rPr>
          <w:lang w:val="en-GB"/>
        </w:rPr>
      </w:pPr>
      <w:r w:rsidRPr="00903D32">
        <w:rPr>
          <w:lang w:val="en-GB"/>
        </w:rPr>
        <w:t xml:space="preserve">According to the final draft </w:t>
      </w:r>
      <w:proofErr w:type="gramStart"/>
      <w:r w:rsidRPr="00903D32">
        <w:rPr>
          <w:lang w:val="en-GB"/>
        </w:rPr>
        <w:t>ITS</w:t>
      </w:r>
      <w:proofErr w:type="gramEnd"/>
      <w:r w:rsidRPr="00903D32">
        <w:rPr>
          <w:lang w:val="en-GB"/>
        </w:rPr>
        <w:t xml:space="preserve"> on disclosure of the leverage ratio the publication of the ratio shall start from the 1st of January 2015. No final version ITS on disclosure of the leverage ratio, reflecting changes due to the delegated act on leverage ratio, is however yet adopted. </w:t>
      </w:r>
    </w:p>
    <w:p w:rsidR="00903D32" w:rsidRPr="00903D32" w:rsidRDefault="00903D32" w:rsidP="00903D32">
      <w:pPr>
        <w:rPr>
          <w:lang w:val="en-GB"/>
        </w:rPr>
      </w:pPr>
    </w:p>
    <w:p w:rsidR="009D09E3" w:rsidRPr="009D09E3" w:rsidRDefault="00903D32" w:rsidP="00903D32">
      <w:pPr>
        <w:rPr>
          <w:lang w:val="en-GB"/>
        </w:rPr>
      </w:pPr>
      <w:r w:rsidRPr="00903D32">
        <w:rPr>
          <w:lang w:val="en-GB"/>
        </w:rPr>
        <w:t>The time-lag between the entry-into-force of the delegated act on leverage ratio and the amendments of the disclosure ITS and the ITS on supervisory reporting creates difficulties for the banks. The delegated act on leverage</w:t>
      </w:r>
      <w:bookmarkStart w:id="1" w:name="_GoBack"/>
      <w:bookmarkEnd w:id="1"/>
      <w:r w:rsidRPr="00903D32">
        <w:rPr>
          <w:lang w:val="en-GB"/>
        </w:rPr>
        <w:t xml:space="preserve"> ratio has implications on both the disclosure ITS and the </w:t>
      </w:r>
      <w:proofErr w:type="gramStart"/>
      <w:r w:rsidRPr="00903D32">
        <w:rPr>
          <w:lang w:val="en-GB"/>
        </w:rPr>
        <w:t>ITS</w:t>
      </w:r>
      <w:proofErr w:type="gramEnd"/>
      <w:r w:rsidRPr="00903D32">
        <w:rPr>
          <w:lang w:val="en-GB"/>
        </w:rPr>
        <w:t xml:space="preserve"> on supervisory reporting. If the disclosure requirements are applicable from Q1 2015 they will require publishing of figures on the leverage ratio according to reporting standards that is no longer valid. Preferably the implementation date of the disclosure ITS and the ITS on supervisory reporting should be aligned with the entry-into-force of the delegated act. An alternative would be that the disclosure of the leverage ratio should not be required before December 2015 (in parallel with the entry-into-force of the new EBA reporting and disclosure standards) for the first time.</w:t>
      </w:r>
    </w:p>
    <w:p w:rsidR="009D09E3" w:rsidRPr="009D09E3" w:rsidRDefault="009D09E3" w:rsidP="009D09E3">
      <w:pPr>
        <w:rPr>
          <w:lang w:val="en-GB"/>
        </w:rPr>
      </w:pPr>
    </w:p>
    <w:tbl>
      <w:tblPr>
        <w:tblW w:w="8277" w:type="dxa"/>
        <w:tblLayout w:type="fixed"/>
        <w:tblCellMar>
          <w:left w:w="0" w:type="dxa"/>
          <w:right w:w="0" w:type="dxa"/>
        </w:tblCellMar>
        <w:tblLook w:val="0000" w:firstRow="0" w:lastRow="0" w:firstColumn="0" w:lastColumn="0" w:noHBand="0" w:noVBand="0"/>
      </w:tblPr>
      <w:tblGrid>
        <w:gridCol w:w="4252"/>
        <w:gridCol w:w="4025"/>
      </w:tblGrid>
      <w:tr w:rsidR="009D09E3" w:rsidRPr="009D09E3" w:rsidTr="009D09E3">
        <w:tblPrEx>
          <w:tblCellMar>
            <w:top w:w="0" w:type="dxa"/>
            <w:bottom w:w="0" w:type="dxa"/>
          </w:tblCellMar>
        </w:tblPrEx>
        <w:trPr>
          <w:trHeight w:val="1247"/>
        </w:trPr>
        <w:tc>
          <w:tcPr>
            <w:tcW w:w="4252" w:type="dxa"/>
            <w:shd w:val="clear" w:color="auto" w:fill="auto"/>
          </w:tcPr>
          <w:p w:rsidR="009D09E3" w:rsidRPr="009D09E3" w:rsidRDefault="009D09E3" w:rsidP="009D09E3">
            <w:r w:rsidRPr="009D09E3">
              <w:rPr>
                <w:caps/>
              </w:rPr>
              <w:t>SWEDISH BANKERS' ASSOCIATION</w:t>
            </w:r>
          </w:p>
        </w:tc>
        <w:tc>
          <w:tcPr>
            <w:tcW w:w="4025" w:type="dxa"/>
            <w:shd w:val="clear" w:color="auto" w:fill="auto"/>
          </w:tcPr>
          <w:p w:rsidR="009D09E3" w:rsidRPr="009D09E3" w:rsidRDefault="009D09E3" w:rsidP="009D09E3"/>
        </w:tc>
      </w:tr>
      <w:tr w:rsidR="009D09E3" w:rsidRPr="009D09E3" w:rsidTr="00903D32">
        <w:tblPrEx>
          <w:tblCellMar>
            <w:top w:w="0" w:type="dxa"/>
            <w:bottom w:w="0" w:type="dxa"/>
          </w:tblCellMar>
        </w:tblPrEx>
        <w:trPr>
          <w:trHeight w:val="80"/>
        </w:trPr>
        <w:tc>
          <w:tcPr>
            <w:tcW w:w="4252" w:type="dxa"/>
            <w:shd w:val="clear" w:color="auto" w:fill="auto"/>
          </w:tcPr>
          <w:p w:rsidR="009D09E3" w:rsidRPr="009D09E3" w:rsidRDefault="009D09E3" w:rsidP="009D09E3">
            <w:r w:rsidRPr="009D09E3">
              <w:t>Christian Nilsson</w:t>
            </w:r>
          </w:p>
        </w:tc>
        <w:tc>
          <w:tcPr>
            <w:tcW w:w="4025" w:type="dxa"/>
            <w:shd w:val="clear" w:color="auto" w:fill="auto"/>
          </w:tcPr>
          <w:p w:rsidR="009D09E3" w:rsidRPr="009D09E3" w:rsidRDefault="009D09E3" w:rsidP="009D09E3">
            <w:bookmarkStart w:id="2" w:name="Position"/>
            <w:bookmarkEnd w:id="2"/>
          </w:p>
        </w:tc>
      </w:tr>
    </w:tbl>
    <w:p w:rsidR="009D09E3" w:rsidRPr="009D09E3" w:rsidRDefault="009D09E3" w:rsidP="00903D32"/>
    <w:sectPr w:rsidR="009D09E3" w:rsidRPr="009D09E3" w:rsidSect="00E932E1">
      <w:headerReference w:type="default" r:id="rId7"/>
      <w:headerReference w:type="first" r:id="rId8"/>
      <w:footerReference w:type="first" r:id="rId9"/>
      <w:pgSz w:w="11907" w:h="16839" w:code="9"/>
      <w:pgMar w:top="2835" w:right="1304" w:bottom="1361" w:left="2325"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C3" w:rsidRDefault="00AD19C3" w:rsidP="00A75A57">
      <w:pPr>
        <w:spacing w:line="240" w:lineRule="auto"/>
      </w:pPr>
      <w:r>
        <w:separator/>
      </w:r>
    </w:p>
  </w:endnote>
  <w:endnote w:type="continuationSeparator" w:id="0">
    <w:p w:rsidR="00AD19C3" w:rsidRDefault="00AD19C3"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932E1" w:rsidTr="00E932E1">
      <w:trPr>
        <w:cantSplit/>
        <w:trHeight w:hRule="exact" w:val="851"/>
      </w:trPr>
      <w:tc>
        <w:tcPr>
          <w:tcW w:w="8222" w:type="dxa"/>
          <w:shd w:val="clear" w:color="auto" w:fill="auto"/>
          <w:tcMar>
            <w:left w:w="0" w:type="dxa"/>
            <w:right w:w="0" w:type="dxa"/>
          </w:tcMar>
        </w:tcPr>
        <w:p w:rsidR="00E932E1" w:rsidRDefault="00E932E1" w:rsidP="00E932E1">
          <w:pPr>
            <w:pStyle w:val="Sidfot"/>
          </w:pPr>
        </w:p>
      </w:tc>
    </w:tr>
    <w:tr w:rsidR="00A75A57" w:rsidTr="00E932E1">
      <w:trPr>
        <w:cantSplit/>
        <w:trHeight w:val="283"/>
      </w:trPr>
      <w:tc>
        <w:tcPr>
          <w:tcW w:w="8222" w:type="dxa"/>
          <w:shd w:val="clear" w:color="auto" w:fill="auto"/>
          <w:tcMar>
            <w:left w:w="0" w:type="dxa"/>
            <w:right w:w="0" w:type="dxa"/>
          </w:tcMar>
        </w:tcPr>
        <w:p w:rsidR="00A75A57" w:rsidRDefault="009D09E3" w:rsidP="00E932E1">
          <w:pPr>
            <w:pStyle w:val="Sidfot"/>
          </w:pPr>
          <w:bookmarkStart w:id="11" w:name="xxFooterCell1"/>
          <w:bookmarkStart w:id="12" w:name="xxAddressCell1"/>
          <w:bookmarkStart w:id="13" w:name="xxAddress1"/>
          <w:bookmarkStart w:id="14" w:name="xxFooter1"/>
          <w:bookmarkEnd w:id="11"/>
          <w:bookmarkEnd w:id="12"/>
          <w:bookmarkEnd w:id="13"/>
          <w:bookmarkEnd w:id="14"/>
          <w:r>
            <w:rPr>
              <w:noProof/>
            </w:rPr>
            <w:drawing>
              <wp:inline distT="0" distB="0" distL="0" distR="0">
                <wp:extent cx="4526280" cy="432816"/>
                <wp:effectExtent l="0" t="0" r="0" b="571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6280" cy="432816"/>
                        </a:xfrm>
                        <a:prstGeom prst="rect">
                          <a:avLst/>
                        </a:prstGeom>
                      </pic:spPr>
                    </pic:pic>
                  </a:graphicData>
                </a:graphic>
              </wp:inline>
            </w:drawing>
          </w:r>
        </w:p>
      </w:tc>
    </w:tr>
  </w:tbl>
  <w:p w:rsidR="00A75A57" w:rsidRPr="0038209D" w:rsidRDefault="00A75A57" w:rsidP="0038209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C3" w:rsidRDefault="00AD19C3" w:rsidP="00A75A57">
      <w:pPr>
        <w:spacing w:line="240" w:lineRule="auto"/>
      </w:pPr>
      <w:r>
        <w:separator/>
      </w:r>
    </w:p>
  </w:footnote>
  <w:footnote w:type="continuationSeparator" w:id="0">
    <w:p w:rsidR="00AD19C3" w:rsidRDefault="00AD19C3" w:rsidP="00A75A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A7914" w:rsidTr="00461383">
      <w:trPr>
        <w:cantSplit/>
        <w:trHeight w:val="1814"/>
      </w:trPr>
      <w:tc>
        <w:tcPr>
          <w:tcW w:w="4820" w:type="dxa"/>
          <w:shd w:val="clear" w:color="auto" w:fill="auto"/>
          <w:tcMar>
            <w:left w:w="0" w:type="dxa"/>
            <w:right w:w="0" w:type="dxa"/>
          </w:tcMar>
        </w:tcPr>
        <w:p w:rsidR="00AA7914" w:rsidRDefault="009D09E3" w:rsidP="00461383">
          <w:pPr>
            <w:pStyle w:val="Sidfot"/>
          </w:pPr>
          <w:bookmarkStart w:id="3" w:name="xxLogga2"/>
          <w:bookmarkStart w:id="4" w:name="xxHeader2" w:colFirst="0" w:colLast="0"/>
          <w:bookmarkEnd w:id="3"/>
          <w:r>
            <w:rPr>
              <w:noProof/>
            </w:rPr>
            <w:drawing>
              <wp:inline distT="0" distB="0" distL="0" distR="0" wp14:anchorId="74546AC5" wp14:editId="6590F256">
                <wp:extent cx="2919984" cy="792480"/>
                <wp:effectExtent l="0" t="0" r="0" b="7620"/>
                <wp:docPr id="3" name="Bildobjekt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4"/>
  </w:tbl>
  <w:p w:rsidR="007B09C9" w:rsidRDefault="007B09C9"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99402B" w:rsidTr="00074B9C">
      <w:trPr>
        <w:trHeight w:hRule="exact" w:val="850"/>
      </w:trPr>
      <w:tc>
        <w:tcPr>
          <w:tcW w:w="3402" w:type="dxa"/>
        </w:tcPr>
        <w:p w:rsidR="0099402B" w:rsidRDefault="0099402B" w:rsidP="007B1B52">
          <w:pPr>
            <w:pStyle w:val="Sidhuvud"/>
            <w:jc w:val="right"/>
          </w:pPr>
          <w:bookmarkStart w:id="5" w:name="xxHeaderText2"/>
          <w:bookmarkEnd w:id="5"/>
        </w:p>
      </w:tc>
    </w:tr>
    <w:tr w:rsidR="0099402B" w:rsidTr="00074B9C">
      <w:trPr>
        <w:trHeight w:hRule="exact" w:val="340"/>
      </w:trPr>
      <w:tc>
        <w:tcPr>
          <w:tcW w:w="3402" w:type="dxa"/>
          <w:vAlign w:val="bottom"/>
        </w:tcPr>
        <w:p w:rsidR="0099402B" w:rsidRDefault="0099402B" w:rsidP="007B1B52">
          <w:pPr>
            <w:pStyle w:val="Sidhuvud"/>
            <w:jc w:val="right"/>
          </w:pPr>
          <w:bookmarkStart w:id="6" w:name="xxPageNo2"/>
          <w:bookmarkEnd w:id="6"/>
        </w:p>
      </w:tc>
    </w:tr>
  </w:tbl>
  <w:p w:rsidR="0099402B" w:rsidRDefault="0099402B" w:rsidP="006778F5">
    <w:pPr>
      <w:pStyle w:val="Sidhuvu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6778F5" w:rsidRPr="009D09E3" w:rsidTr="00BC1FB2">
      <w:trPr>
        <w:trHeight w:hRule="exact" w:val="851"/>
      </w:trPr>
      <w:tc>
        <w:tcPr>
          <w:tcW w:w="3402" w:type="dxa"/>
        </w:tcPr>
        <w:p w:rsidR="009D09E3" w:rsidRPr="009D09E3" w:rsidRDefault="009D09E3" w:rsidP="00E56F31">
          <w:pPr>
            <w:pStyle w:val="Etikett"/>
            <w:rPr>
              <w:b/>
              <w:caps/>
              <w:sz w:val="28"/>
              <w:lang w:val="en-GB"/>
            </w:rPr>
          </w:pPr>
          <w:bookmarkStart w:id="7" w:name="xxDokumentnamn"/>
          <w:bookmarkEnd w:id="7"/>
          <w:r w:rsidRPr="009D09E3">
            <w:rPr>
              <w:b/>
              <w:caps/>
              <w:sz w:val="28"/>
              <w:lang w:val="en-GB"/>
            </w:rPr>
            <w:t>POSITION PAPER</w:t>
          </w:r>
        </w:p>
        <w:p w:rsidR="009D09E3" w:rsidRPr="009D09E3" w:rsidRDefault="009D09E3" w:rsidP="00E56F31">
          <w:pPr>
            <w:pStyle w:val="Etikett"/>
            <w:rPr>
              <w:lang w:val="en-GB"/>
            </w:rPr>
          </w:pPr>
          <w:r w:rsidRPr="009D09E3">
            <w:rPr>
              <w:lang w:val="en-GB"/>
            </w:rPr>
            <w:t xml:space="preserve"> </w:t>
          </w:r>
        </w:p>
        <w:p w:rsidR="009D09E3" w:rsidRPr="009D09E3" w:rsidRDefault="009D09E3" w:rsidP="00E56F31">
          <w:pPr>
            <w:pStyle w:val="Etikett"/>
            <w:rPr>
              <w:lang w:val="en-GB"/>
            </w:rPr>
          </w:pPr>
          <w:r w:rsidRPr="009D09E3">
            <w:rPr>
              <w:lang w:val="en-GB"/>
            </w:rPr>
            <w:t>Your reference: EBA/CP/2014/44</w:t>
          </w:r>
        </w:p>
        <w:p w:rsidR="00E56F31" w:rsidRPr="009D09E3" w:rsidRDefault="00E56F31" w:rsidP="00E56F31">
          <w:pPr>
            <w:pStyle w:val="Etikett"/>
            <w:rPr>
              <w:lang w:val="en-GB"/>
            </w:rPr>
          </w:pPr>
        </w:p>
        <w:p w:rsidR="00E56F31" w:rsidRPr="009D09E3" w:rsidRDefault="00E56F31" w:rsidP="0099402B">
          <w:pPr>
            <w:pStyle w:val="Sidhuvud"/>
            <w:jc w:val="right"/>
            <w:rPr>
              <w:b/>
              <w:sz w:val="28"/>
              <w:szCs w:val="28"/>
              <w:lang w:val="en-GB"/>
            </w:rPr>
          </w:pPr>
        </w:p>
      </w:tc>
    </w:tr>
    <w:tr w:rsidR="006778F5" w:rsidRPr="009D09E3" w:rsidTr="007E1A90">
      <w:trPr>
        <w:trHeight w:hRule="exact" w:val="340"/>
      </w:trPr>
      <w:tc>
        <w:tcPr>
          <w:tcW w:w="3402" w:type="dxa"/>
          <w:vAlign w:val="bottom"/>
        </w:tcPr>
        <w:p w:rsidR="006778F5" w:rsidRPr="009D09E3" w:rsidRDefault="006778F5" w:rsidP="0099402B">
          <w:pPr>
            <w:pStyle w:val="Sidhuvud"/>
            <w:jc w:val="right"/>
            <w:rPr>
              <w:lang w:val="en-GB"/>
            </w:rPr>
          </w:pPr>
          <w:bookmarkStart w:id="8" w:name="xxPageNo1"/>
          <w:bookmarkEnd w:id="8"/>
        </w:p>
      </w:tc>
    </w:tr>
  </w:tbl>
  <w:p w:rsidR="00A75A57" w:rsidRPr="009D09E3" w:rsidRDefault="00A75A57" w:rsidP="00F26D2A">
    <w:pPr>
      <w:pStyle w:val="Sidhuvud"/>
      <w:jc w:val="right"/>
      <w:rPr>
        <w:lang w:val="en-GB"/>
      </w:rPr>
    </w:pPr>
  </w:p>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866CF" w:rsidTr="00B446BA">
      <w:trPr>
        <w:cantSplit/>
        <w:trHeight w:val="1814"/>
      </w:trPr>
      <w:tc>
        <w:tcPr>
          <w:tcW w:w="4820" w:type="dxa"/>
          <w:shd w:val="clear" w:color="auto" w:fill="auto"/>
          <w:tcMar>
            <w:left w:w="0" w:type="dxa"/>
            <w:right w:w="0" w:type="dxa"/>
          </w:tcMar>
        </w:tcPr>
        <w:p w:rsidR="003866CF" w:rsidRDefault="009D09E3" w:rsidP="00B446BA">
          <w:pPr>
            <w:pStyle w:val="Sidfot"/>
          </w:pPr>
          <w:bookmarkStart w:id="9" w:name="xxLogga1"/>
          <w:bookmarkStart w:id="10" w:name="xxHeader1" w:colFirst="0" w:colLast="0"/>
          <w:bookmarkEnd w:id="9"/>
          <w:r>
            <w:rPr>
              <w:noProof/>
            </w:rPr>
            <w:drawing>
              <wp:inline distT="0" distB="0" distL="0" distR="0">
                <wp:extent cx="2919984" cy="792480"/>
                <wp:effectExtent l="0" t="0" r="0" b="762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10"/>
  </w:tbl>
  <w:p w:rsidR="003866CF" w:rsidRDefault="003866CF" w:rsidP="006778F5">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1">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7">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9"/>
  </w:num>
  <w:num w:numId="3">
    <w:abstractNumId w:val="0"/>
  </w:num>
  <w:num w:numId="4">
    <w:abstractNumId w:val="23"/>
  </w:num>
  <w:num w:numId="5">
    <w:abstractNumId w:val="30"/>
  </w:num>
  <w:num w:numId="6">
    <w:abstractNumId w:val="23"/>
  </w:num>
  <w:num w:numId="7">
    <w:abstractNumId w:val="30"/>
  </w:num>
  <w:num w:numId="8">
    <w:abstractNumId w:val="2"/>
  </w:num>
  <w:num w:numId="9">
    <w:abstractNumId w:val="5"/>
  </w:num>
  <w:num w:numId="10">
    <w:abstractNumId w:val="22"/>
  </w:num>
  <w:num w:numId="11">
    <w:abstractNumId w:val="31"/>
  </w:num>
  <w:num w:numId="12">
    <w:abstractNumId w:val="9"/>
  </w:num>
  <w:num w:numId="13">
    <w:abstractNumId w:val="0"/>
  </w:num>
  <w:num w:numId="14">
    <w:abstractNumId w:val="23"/>
  </w:num>
  <w:num w:numId="15">
    <w:abstractNumId w:val="29"/>
  </w:num>
  <w:num w:numId="16">
    <w:abstractNumId w:val="2"/>
  </w:num>
  <w:num w:numId="17">
    <w:abstractNumId w:val="5"/>
  </w:num>
  <w:num w:numId="18">
    <w:abstractNumId w:val="12"/>
  </w:num>
  <w:num w:numId="19">
    <w:abstractNumId w:val="14"/>
  </w:num>
  <w:num w:numId="20">
    <w:abstractNumId w:val="21"/>
  </w:num>
  <w:num w:numId="21">
    <w:abstractNumId w:val="10"/>
  </w:num>
  <w:num w:numId="22">
    <w:abstractNumId w:val="13"/>
  </w:num>
  <w:num w:numId="23">
    <w:abstractNumId w:val="7"/>
  </w:num>
  <w:num w:numId="24">
    <w:abstractNumId w:val="1"/>
  </w:num>
  <w:num w:numId="25">
    <w:abstractNumId w:val="26"/>
  </w:num>
  <w:num w:numId="26">
    <w:abstractNumId w:val="20"/>
  </w:num>
  <w:num w:numId="27">
    <w:abstractNumId w:val="24"/>
  </w:num>
  <w:num w:numId="28">
    <w:abstractNumId w:val="4"/>
  </w:num>
  <w:num w:numId="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AddressFile" w:val="Address"/>
    <w:docVar w:name="DVarAddressInserted" w:val="Yes"/>
    <w:docVar w:name="DVarLanguage" w:val="English"/>
    <w:docVar w:name="DVarLogotypeFile" w:val="SBF"/>
    <w:docVar w:name="DVarLogotypeInserted" w:val="Yes"/>
  </w:docVars>
  <w:rsids>
    <w:rsidRoot w:val="009D09E3"/>
    <w:rsid w:val="00004663"/>
    <w:rsid w:val="00006808"/>
    <w:rsid w:val="00006CAE"/>
    <w:rsid w:val="00013340"/>
    <w:rsid w:val="00015318"/>
    <w:rsid w:val="00021CC3"/>
    <w:rsid w:val="00024843"/>
    <w:rsid w:val="00042344"/>
    <w:rsid w:val="000621CB"/>
    <w:rsid w:val="00062267"/>
    <w:rsid w:val="00062D55"/>
    <w:rsid w:val="00065E16"/>
    <w:rsid w:val="00070672"/>
    <w:rsid w:val="00070D62"/>
    <w:rsid w:val="00074B9C"/>
    <w:rsid w:val="00084C99"/>
    <w:rsid w:val="000A42BE"/>
    <w:rsid w:val="000A70E4"/>
    <w:rsid w:val="000C0BB3"/>
    <w:rsid w:val="000C6115"/>
    <w:rsid w:val="000C6A6D"/>
    <w:rsid w:val="000D0EA6"/>
    <w:rsid w:val="000E157B"/>
    <w:rsid w:val="000E280A"/>
    <w:rsid w:val="0011150A"/>
    <w:rsid w:val="00112ABB"/>
    <w:rsid w:val="00121043"/>
    <w:rsid w:val="00124B7E"/>
    <w:rsid w:val="0013381B"/>
    <w:rsid w:val="00141850"/>
    <w:rsid w:val="00145E4F"/>
    <w:rsid w:val="00152F1B"/>
    <w:rsid w:val="00156724"/>
    <w:rsid w:val="001568E3"/>
    <w:rsid w:val="00160699"/>
    <w:rsid w:val="00192943"/>
    <w:rsid w:val="00195457"/>
    <w:rsid w:val="001A480F"/>
    <w:rsid w:val="001B7B69"/>
    <w:rsid w:val="001C3F2F"/>
    <w:rsid w:val="001F78D9"/>
    <w:rsid w:val="002211C6"/>
    <w:rsid w:val="00222C32"/>
    <w:rsid w:val="002249D9"/>
    <w:rsid w:val="002375F4"/>
    <w:rsid w:val="00240078"/>
    <w:rsid w:val="00242750"/>
    <w:rsid w:val="00246B50"/>
    <w:rsid w:val="00250C7D"/>
    <w:rsid w:val="002538ED"/>
    <w:rsid w:val="002572CF"/>
    <w:rsid w:val="002672C7"/>
    <w:rsid w:val="00280B90"/>
    <w:rsid w:val="00284C34"/>
    <w:rsid w:val="00294807"/>
    <w:rsid w:val="002A09A7"/>
    <w:rsid w:val="002C726F"/>
    <w:rsid w:val="002D025C"/>
    <w:rsid w:val="002D3BB0"/>
    <w:rsid w:val="002E5A93"/>
    <w:rsid w:val="002F008B"/>
    <w:rsid w:val="00303B5C"/>
    <w:rsid w:val="00305F56"/>
    <w:rsid w:val="003146F8"/>
    <w:rsid w:val="00336388"/>
    <w:rsid w:val="0035032E"/>
    <w:rsid w:val="0035271F"/>
    <w:rsid w:val="003537FA"/>
    <w:rsid w:val="00354D0B"/>
    <w:rsid w:val="00363828"/>
    <w:rsid w:val="00371F21"/>
    <w:rsid w:val="0038209D"/>
    <w:rsid w:val="003866CF"/>
    <w:rsid w:val="00387A92"/>
    <w:rsid w:val="003A20C6"/>
    <w:rsid w:val="003A6908"/>
    <w:rsid w:val="003B31C5"/>
    <w:rsid w:val="003B38B7"/>
    <w:rsid w:val="003D5710"/>
    <w:rsid w:val="003D7D8A"/>
    <w:rsid w:val="003E6176"/>
    <w:rsid w:val="003E7A7C"/>
    <w:rsid w:val="00400B49"/>
    <w:rsid w:val="0040165C"/>
    <w:rsid w:val="00406B47"/>
    <w:rsid w:val="00407425"/>
    <w:rsid w:val="00423F47"/>
    <w:rsid w:val="0045394C"/>
    <w:rsid w:val="00454243"/>
    <w:rsid w:val="00461383"/>
    <w:rsid w:val="00462ADB"/>
    <w:rsid w:val="004701A8"/>
    <w:rsid w:val="004939F4"/>
    <w:rsid w:val="004A1B7E"/>
    <w:rsid w:val="004A7CF0"/>
    <w:rsid w:val="004B341D"/>
    <w:rsid w:val="004B7006"/>
    <w:rsid w:val="004C4FB2"/>
    <w:rsid w:val="004C5021"/>
    <w:rsid w:val="004D7177"/>
    <w:rsid w:val="004E3777"/>
    <w:rsid w:val="004E658A"/>
    <w:rsid w:val="004F5C67"/>
    <w:rsid w:val="00503511"/>
    <w:rsid w:val="00504518"/>
    <w:rsid w:val="00506BD0"/>
    <w:rsid w:val="00507476"/>
    <w:rsid w:val="005129C4"/>
    <w:rsid w:val="005368B1"/>
    <w:rsid w:val="00541BFF"/>
    <w:rsid w:val="005463F2"/>
    <w:rsid w:val="00565F88"/>
    <w:rsid w:val="00573B78"/>
    <w:rsid w:val="005931C7"/>
    <w:rsid w:val="005A3BFC"/>
    <w:rsid w:val="005D09A1"/>
    <w:rsid w:val="005D5BC0"/>
    <w:rsid w:val="005F1EDD"/>
    <w:rsid w:val="005F306C"/>
    <w:rsid w:val="005F4F72"/>
    <w:rsid w:val="006020B2"/>
    <w:rsid w:val="006021B5"/>
    <w:rsid w:val="00602F7E"/>
    <w:rsid w:val="0060351E"/>
    <w:rsid w:val="006043AC"/>
    <w:rsid w:val="00605B36"/>
    <w:rsid w:val="00605B95"/>
    <w:rsid w:val="006171E1"/>
    <w:rsid w:val="00617D2E"/>
    <w:rsid w:val="00620345"/>
    <w:rsid w:val="0064669E"/>
    <w:rsid w:val="00660CE5"/>
    <w:rsid w:val="006626AE"/>
    <w:rsid w:val="00671394"/>
    <w:rsid w:val="006764DC"/>
    <w:rsid w:val="006768BA"/>
    <w:rsid w:val="006778F5"/>
    <w:rsid w:val="006815AC"/>
    <w:rsid w:val="00686342"/>
    <w:rsid w:val="00696C2D"/>
    <w:rsid w:val="006A04F2"/>
    <w:rsid w:val="006A2ECB"/>
    <w:rsid w:val="006A4C1E"/>
    <w:rsid w:val="006A632E"/>
    <w:rsid w:val="006A74A6"/>
    <w:rsid w:val="006A7A68"/>
    <w:rsid w:val="006B23ED"/>
    <w:rsid w:val="006B5B45"/>
    <w:rsid w:val="006B6114"/>
    <w:rsid w:val="006B7672"/>
    <w:rsid w:val="006D2A5F"/>
    <w:rsid w:val="006D78D7"/>
    <w:rsid w:val="006E1185"/>
    <w:rsid w:val="006E3ACC"/>
    <w:rsid w:val="006F00EF"/>
    <w:rsid w:val="006F5D25"/>
    <w:rsid w:val="007047F7"/>
    <w:rsid w:val="00737D1A"/>
    <w:rsid w:val="00743049"/>
    <w:rsid w:val="00750870"/>
    <w:rsid w:val="00755566"/>
    <w:rsid w:val="00760E22"/>
    <w:rsid w:val="00761622"/>
    <w:rsid w:val="00763A9F"/>
    <w:rsid w:val="007725AF"/>
    <w:rsid w:val="0078210B"/>
    <w:rsid w:val="007A0BA9"/>
    <w:rsid w:val="007A37E8"/>
    <w:rsid w:val="007A4B52"/>
    <w:rsid w:val="007A5882"/>
    <w:rsid w:val="007B09C9"/>
    <w:rsid w:val="007B320D"/>
    <w:rsid w:val="007B61E7"/>
    <w:rsid w:val="007D27AD"/>
    <w:rsid w:val="007D3820"/>
    <w:rsid w:val="007E1A90"/>
    <w:rsid w:val="00804CF4"/>
    <w:rsid w:val="00806486"/>
    <w:rsid w:val="00806BCE"/>
    <w:rsid w:val="00825BF0"/>
    <w:rsid w:val="00830DD7"/>
    <w:rsid w:val="00831F09"/>
    <w:rsid w:val="00841F95"/>
    <w:rsid w:val="008431A0"/>
    <w:rsid w:val="008462B1"/>
    <w:rsid w:val="008501C5"/>
    <w:rsid w:val="00863279"/>
    <w:rsid w:val="008656B3"/>
    <w:rsid w:val="008719A3"/>
    <w:rsid w:val="008973F0"/>
    <w:rsid w:val="008C4532"/>
    <w:rsid w:val="008E28EA"/>
    <w:rsid w:val="008E3CF5"/>
    <w:rsid w:val="008E41D1"/>
    <w:rsid w:val="008E4E25"/>
    <w:rsid w:val="008F2BBB"/>
    <w:rsid w:val="008F3D35"/>
    <w:rsid w:val="008F7DAD"/>
    <w:rsid w:val="0090196D"/>
    <w:rsid w:val="00903D32"/>
    <w:rsid w:val="00905980"/>
    <w:rsid w:val="009059FC"/>
    <w:rsid w:val="00906FF2"/>
    <w:rsid w:val="0091394B"/>
    <w:rsid w:val="00930FB1"/>
    <w:rsid w:val="0094074A"/>
    <w:rsid w:val="00957FC0"/>
    <w:rsid w:val="00970085"/>
    <w:rsid w:val="009771BF"/>
    <w:rsid w:val="00986493"/>
    <w:rsid w:val="00991707"/>
    <w:rsid w:val="009919EE"/>
    <w:rsid w:val="00993736"/>
    <w:rsid w:val="0099402B"/>
    <w:rsid w:val="00997595"/>
    <w:rsid w:val="009A08EF"/>
    <w:rsid w:val="009A59AC"/>
    <w:rsid w:val="009B0444"/>
    <w:rsid w:val="009B33EC"/>
    <w:rsid w:val="009B4CF9"/>
    <w:rsid w:val="009B7DC3"/>
    <w:rsid w:val="009C51B2"/>
    <w:rsid w:val="009D09E3"/>
    <w:rsid w:val="009E1D49"/>
    <w:rsid w:val="009E37F5"/>
    <w:rsid w:val="009E3B00"/>
    <w:rsid w:val="009F665E"/>
    <w:rsid w:val="00A0259D"/>
    <w:rsid w:val="00A15A87"/>
    <w:rsid w:val="00A173E9"/>
    <w:rsid w:val="00A214A0"/>
    <w:rsid w:val="00A218F9"/>
    <w:rsid w:val="00A21B61"/>
    <w:rsid w:val="00A231C8"/>
    <w:rsid w:val="00A30690"/>
    <w:rsid w:val="00A35DA8"/>
    <w:rsid w:val="00A36180"/>
    <w:rsid w:val="00A452BD"/>
    <w:rsid w:val="00A63054"/>
    <w:rsid w:val="00A6393A"/>
    <w:rsid w:val="00A6758C"/>
    <w:rsid w:val="00A704DF"/>
    <w:rsid w:val="00A72D25"/>
    <w:rsid w:val="00A74077"/>
    <w:rsid w:val="00A75A57"/>
    <w:rsid w:val="00A86547"/>
    <w:rsid w:val="00A91730"/>
    <w:rsid w:val="00A97CBA"/>
    <w:rsid w:val="00AA3BBE"/>
    <w:rsid w:val="00AA7914"/>
    <w:rsid w:val="00AB5599"/>
    <w:rsid w:val="00AC17BD"/>
    <w:rsid w:val="00AC75F6"/>
    <w:rsid w:val="00AD19C3"/>
    <w:rsid w:val="00AE793E"/>
    <w:rsid w:val="00B00CAC"/>
    <w:rsid w:val="00B02200"/>
    <w:rsid w:val="00B03A09"/>
    <w:rsid w:val="00B10C53"/>
    <w:rsid w:val="00B2386F"/>
    <w:rsid w:val="00B30269"/>
    <w:rsid w:val="00B439E8"/>
    <w:rsid w:val="00B446BA"/>
    <w:rsid w:val="00B77B5A"/>
    <w:rsid w:val="00B80229"/>
    <w:rsid w:val="00B91657"/>
    <w:rsid w:val="00B92EB8"/>
    <w:rsid w:val="00BB3E84"/>
    <w:rsid w:val="00BB713F"/>
    <w:rsid w:val="00BC1FB2"/>
    <w:rsid w:val="00BC5163"/>
    <w:rsid w:val="00BD42FD"/>
    <w:rsid w:val="00BE3D28"/>
    <w:rsid w:val="00BF4841"/>
    <w:rsid w:val="00C060B3"/>
    <w:rsid w:val="00C1428A"/>
    <w:rsid w:val="00C1527A"/>
    <w:rsid w:val="00C156E6"/>
    <w:rsid w:val="00C164CD"/>
    <w:rsid w:val="00C20AA6"/>
    <w:rsid w:val="00C31514"/>
    <w:rsid w:val="00C32DB5"/>
    <w:rsid w:val="00C3740C"/>
    <w:rsid w:val="00C423F5"/>
    <w:rsid w:val="00C50493"/>
    <w:rsid w:val="00C5124E"/>
    <w:rsid w:val="00C520C9"/>
    <w:rsid w:val="00C6314D"/>
    <w:rsid w:val="00C65254"/>
    <w:rsid w:val="00C7624A"/>
    <w:rsid w:val="00C80F6A"/>
    <w:rsid w:val="00C824FC"/>
    <w:rsid w:val="00C908FE"/>
    <w:rsid w:val="00CA1572"/>
    <w:rsid w:val="00CA1960"/>
    <w:rsid w:val="00CA7DF4"/>
    <w:rsid w:val="00CB3DEB"/>
    <w:rsid w:val="00CD2B22"/>
    <w:rsid w:val="00CE183C"/>
    <w:rsid w:val="00CF0D9E"/>
    <w:rsid w:val="00CF3A21"/>
    <w:rsid w:val="00D14666"/>
    <w:rsid w:val="00D15E45"/>
    <w:rsid w:val="00D2007B"/>
    <w:rsid w:val="00D24C7B"/>
    <w:rsid w:val="00D25D5F"/>
    <w:rsid w:val="00D52D5C"/>
    <w:rsid w:val="00D55827"/>
    <w:rsid w:val="00D56EAF"/>
    <w:rsid w:val="00D6287A"/>
    <w:rsid w:val="00D70E3A"/>
    <w:rsid w:val="00D7300A"/>
    <w:rsid w:val="00D74AF9"/>
    <w:rsid w:val="00D77263"/>
    <w:rsid w:val="00D80AC7"/>
    <w:rsid w:val="00D857A7"/>
    <w:rsid w:val="00D86596"/>
    <w:rsid w:val="00D958DF"/>
    <w:rsid w:val="00DB0F87"/>
    <w:rsid w:val="00DB60A0"/>
    <w:rsid w:val="00DC204B"/>
    <w:rsid w:val="00DE24F5"/>
    <w:rsid w:val="00DF1DC1"/>
    <w:rsid w:val="00DF7725"/>
    <w:rsid w:val="00E00610"/>
    <w:rsid w:val="00E154F7"/>
    <w:rsid w:val="00E164ED"/>
    <w:rsid w:val="00E17ABF"/>
    <w:rsid w:val="00E204BE"/>
    <w:rsid w:val="00E20830"/>
    <w:rsid w:val="00E2361A"/>
    <w:rsid w:val="00E2603E"/>
    <w:rsid w:val="00E26D3A"/>
    <w:rsid w:val="00E4087A"/>
    <w:rsid w:val="00E56F31"/>
    <w:rsid w:val="00E6048C"/>
    <w:rsid w:val="00E63FD5"/>
    <w:rsid w:val="00E64A60"/>
    <w:rsid w:val="00E72CAE"/>
    <w:rsid w:val="00E73B82"/>
    <w:rsid w:val="00E932E1"/>
    <w:rsid w:val="00E975AD"/>
    <w:rsid w:val="00EA7D57"/>
    <w:rsid w:val="00ED1675"/>
    <w:rsid w:val="00ED293C"/>
    <w:rsid w:val="00ED3871"/>
    <w:rsid w:val="00ED3A0C"/>
    <w:rsid w:val="00EE7206"/>
    <w:rsid w:val="00F0291B"/>
    <w:rsid w:val="00F04FB5"/>
    <w:rsid w:val="00F064DC"/>
    <w:rsid w:val="00F1724A"/>
    <w:rsid w:val="00F20B7C"/>
    <w:rsid w:val="00F2426B"/>
    <w:rsid w:val="00F26D2A"/>
    <w:rsid w:val="00F35C48"/>
    <w:rsid w:val="00F60E66"/>
    <w:rsid w:val="00F634FC"/>
    <w:rsid w:val="00F66129"/>
    <w:rsid w:val="00F67667"/>
    <w:rsid w:val="00F751CE"/>
    <w:rsid w:val="00F9010B"/>
    <w:rsid w:val="00F96B59"/>
    <w:rsid w:val="00FB0E52"/>
    <w:rsid w:val="00FB1A9C"/>
    <w:rsid w:val="00FB5124"/>
    <w:rsid w:val="00FB56B8"/>
    <w:rsid w:val="00FB5EC5"/>
    <w:rsid w:val="00FB7F90"/>
    <w:rsid w:val="00FD184D"/>
    <w:rsid w:val="00FD42D4"/>
    <w:rsid w:val="00FE5508"/>
    <w:rsid w:val="00FF313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6E2139-9C67-4013-8C9D-AB1C795F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rPr>
      <w:noProof w:val="0"/>
      <w:lang w:val="sv-SE"/>
    </w:rPr>
  </w:style>
  <w:style w:type="table" w:default="1" w:styleId="Normaltabell">
    <w:name w:val="Normal Table"/>
    <w:uiPriority w:val="99"/>
    <w:semiHidden/>
    <w:unhideWhenUsed/>
    <w:rPr>
      <w:lang w:val="sv-SE"/>
    </w:rPr>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noProof w:val="0"/>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noProof w:val="0"/>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noProof w:val="0"/>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noProof w:val="0"/>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noProof w:val="0"/>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noProof w:val="0"/>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noProof w:val="0"/>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noProof w:val="0"/>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noProof w:val="0"/>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noProof w:val="0"/>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noProof w:val="0"/>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noProof w:val="0"/>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noProof w:val="0"/>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noProof w:val="0"/>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noProof w:val="0"/>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noProof w:val="0"/>
      <w:color w:val="0063AC" w:themeColor="accent1"/>
      <w:sz w:val="22"/>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ni\appdata\roaming\microsoft\templates\Remiss.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Remiss</Template>
  <TotalTime>9</TotalTime>
  <Pages>1</Pages>
  <Words>284</Words>
  <Characters>1511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Nilsson</dc:creator>
  <cp:keywords/>
  <dc:description/>
  <cp:lastModifiedBy>Christian Nilsson</cp:lastModifiedBy>
  <cp:revision>2</cp:revision>
  <dcterms:created xsi:type="dcterms:W3CDTF">2015-01-27T16:06:00Z</dcterms:created>
  <dcterms:modified xsi:type="dcterms:W3CDTF">2015-01-27T16:15:00Z</dcterms:modified>
</cp:coreProperties>
</file>