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102"/>
        <w:gridCol w:w="4649"/>
      </w:tblGrid>
      <w:tr w:rsidR="00642235" w:rsidRPr="004057F3" w:rsidTr="00D364F4">
        <w:trPr>
          <w:trHeight w:hRule="exact" w:val="3600"/>
        </w:trPr>
        <w:tc>
          <w:tcPr>
            <w:tcW w:w="5102" w:type="dxa"/>
          </w:tcPr>
          <w:p w:rsidR="00B51CB0" w:rsidRPr="00805DBB" w:rsidRDefault="00650AE5" w:rsidP="00CE5D6F">
            <w:r>
              <w:rPr>
                <w:lang w:val="fi-FI"/>
              </w:rPr>
              <w:br/>
            </w:r>
          </w:p>
          <w:p w:rsidR="00B51CB0" w:rsidRDefault="00DA4E3C" w:rsidP="00CE5D6F">
            <w:pPr>
              <w:rPr>
                <w:lang w:val="fi-FI"/>
              </w:rPr>
            </w:pPr>
            <w:r>
              <w:rPr>
                <w:lang w:val="fi-FI"/>
              </w:rPr>
              <w:t>European Banking Authority (EBA)</w:t>
            </w:r>
          </w:p>
          <w:p w:rsidR="00CB2954" w:rsidRPr="00B22761" w:rsidRDefault="00CB2954" w:rsidP="00CE5D6F">
            <w:pPr>
              <w:rPr>
                <w:sz w:val="52"/>
                <w:szCs w:val="52"/>
                <w:lang w:val="fi-FI"/>
              </w:rPr>
            </w:pPr>
          </w:p>
        </w:tc>
        <w:tc>
          <w:tcPr>
            <w:tcW w:w="4649" w:type="dxa"/>
          </w:tcPr>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60" w:lineRule="atLeast"/>
              <w:jc w:val="right"/>
              <w:rPr>
                <w:b/>
                <w:bCs/>
                <w:noProof/>
                <w:color w:val="000000"/>
                <w:sz w:val="18"/>
                <w:szCs w:val="18"/>
                <w:lang w:val="en-GB"/>
              </w:rPr>
            </w:pPr>
            <w:r w:rsidRPr="00B55633">
              <w:rPr>
                <w:b/>
                <w:bCs/>
                <w:noProof/>
                <w:color w:val="000000"/>
                <w:sz w:val="18"/>
                <w:szCs w:val="18"/>
                <w:lang w:val="fi-FI"/>
              </w:rPr>
              <w:t xml:space="preserve"> </w:t>
            </w:r>
            <w:r w:rsidRPr="00D364F4">
              <w:rPr>
                <w:b/>
                <w:bCs/>
                <w:noProof/>
                <w:color w:val="000000"/>
                <w:sz w:val="18"/>
                <w:szCs w:val="18"/>
                <w:lang w:val="en-GB"/>
              </w:rPr>
              <w:t>Division Bank and Insurance</w:t>
            </w:r>
          </w:p>
          <w:p w:rsidR="00C47B46" w:rsidRPr="00D364F4" w:rsidRDefault="00C47B46" w:rsidP="00CE5D6F">
            <w:pPr>
              <w:spacing w:line="260" w:lineRule="atLeast"/>
              <w:jc w:val="right"/>
              <w:rPr>
                <w:bCs/>
                <w:color w:val="000000"/>
                <w:sz w:val="18"/>
                <w:szCs w:val="18"/>
                <w:lang w:val="en-GB"/>
              </w:rPr>
            </w:pPr>
            <w:r w:rsidRPr="00D364F4">
              <w:rPr>
                <w:bCs/>
                <w:noProof/>
                <w:color w:val="000000"/>
                <w:sz w:val="18"/>
                <w:szCs w:val="18"/>
                <w:lang w:val="en-GB"/>
              </w:rPr>
              <w:t>Austrian Federal Economic Chamber</w:t>
            </w:r>
          </w:p>
          <w:p w:rsidR="00642235" w:rsidRPr="00CE5D6F" w:rsidRDefault="00642235" w:rsidP="00CE5D6F">
            <w:pPr>
              <w:spacing w:line="260" w:lineRule="atLeast"/>
              <w:jc w:val="right"/>
              <w:rPr>
                <w:color w:val="000000"/>
                <w:sz w:val="18"/>
                <w:szCs w:val="18"/>
                <w:lang w:val="de-AT"/>
              </w:rPr>
            </w:pPr>
            <w:r w:rsidRPr="00CE5D6F">
              <w:rPr>
                <w:noProof/>
                <w:color w:val="000000"/>
                <w:sz w:val="18"/>
                <w:szCs w:val="18"/>
                <w:lang w:val="de-AT"/>
              </w:rPr>
              <w:t>Wiedner Hauptstraße 63 | P.O. Box 320</w:t>
            </w:r>
          </w:p>
          <w:p w:rsidR="00642235" w:rsidRPr="00CE5D6F" w:rsidRDefault="00642235" w:rsidP="00CE5D6F">
            <w:pPr>
              <w:spacing w:line="260" w:lineRule="atLeast"/>
              <w:jc w:val="right"/>
              <w:rPr>
                <w:color w:val="000000"/>
                <w:sz w:val="18"/>
                <w:szCs w:val="18"/>
                <w:lang w:val="de-AT"/>
              </w:rPr>
            </w:pPr>
            <w:r w:rsidRPr="00CE5D6F">
              <w:rPr>
                <w:noProof/>
                <w:color w:val="000000"/>
                <w:sz w:val="18"/>
                <w:szCs w:val="18"/>
                <w:lang w:val="de-AT"/>
              </w:rPr>
              <w:t>1045 Vienna</w:t>
            </w:r>
          </w:p>
          <w:p w:rsidR="00642235" w:rsidRPr="00D364F4" w:rsidRDefault="00642235" w:rsidP="00CE5D6F">
            <w:pPr>
              <w:spacing w:line="260" w:lineRule="atLeast"/>
              <w:jc w:val="right"/>
              <w:rPr>
                <w:color w:val="000000"/>
                <w:sz w:val="18"/>
                <w:szCs w:val="18"/>
              </w:rPr>
            </w:pPr>
            <w:r w:rsidRPr="00B51CB0">
              <w:rPr>
                <w:noProof/>
                <w:color w:val="000000"/>
                <w:sz w:val="18"/>
                <w:szCs w:val="18"/>
                <w:lang w:val="de-AT"/>
              </w:rPr>
              <w:t>T +43 (0)5 90 900-DW | F +43 (0)5 90 900-27</w:t>
            </w:r>
            <w:r w:rsidRPr="00D364F4">
              <w:rPr>
                <w:noProof/>
                <w:color w:val="000000"/>
                <w:sz w:val="18"/>
                <w:szCs w:val="18"/>
              </w:rPr>
              <w:t>2</w:t>
            </w:r>
          </w:p>
          <w:p w:rsidR="00642235" w:rsidRPr="00D364F4" w:rsidRDefault="00642235" w:rsidP="00CE5D6F">
            <w:pPr>
              <w:spacing w:line="260" w:lineRule="atLeast"/>
              <w:jc w:val="right"/>
              <w:rPr>
                <w:color w:val="000000"/>
                <w:sz w:val="18"/>
                <w:szCs w:val="18"/>
              </w:rPr>
            </w:pPr>
            <w:r w:rsidRPr="00D364F4">
              <w:rPr>
                <w:noProof/>
                <w:color w:val="000000"/>
                <w:sz w:val="18"/>
                <w:szCs w:val="18"/>
              </w:rPr>
              <w:t>E  bsbv@wko.at</w:t>
            </w:r>
          </w:p>
          <w:p w:rsidR="00642235" w:rsidRPr="00D364F4" w:rsidRDefault="00642235" w:rsidP="00CE5D6F">
            <w:pPr>
              <w:spacing w:line="260" w:lineRule="atLeast"/>
              <w:jc w:val="right"/>
              <w:rPr>
                <w:lang w:val="en-GB"/>
              </w:rPr>
            </w:pPr>
            <w:r w:rsidRPr="00D364F4">
              <w:rPr>
                <w:noProof/>
                <w:color w:val="000000"/>
                <w:sz w:val="18"/>
                <w:szCs w:val="18"/>
                <w:lang w:val="en-GB"/>
              </w:rPr>
              <w:t>W  http://wko.at/bsbv</w:t>
            </w:r>
          </w:p>
        </w:tc>
      </w:tr>
    </w:tbl>
    <w:p w:rsidR="00642235" w:rsidRPr="00C21BF0" w:rsidRDefault="00642235" w:rsidP="00CE5D6F">
      <w:pPr>
        <w:tabs>
          <w:tab w:val="left" w:pos="2892"/>
          <w:tab w:val="left" w:pos="5783"/>
          <w:tab w:val="left" w:pos="7655"/>
        </w:tabs>
        <w:rPr>
          <w:color w:val="000000"/>
          <w:sz w:val="16"/>
          <w:szCs w:val="16"/>
          <w:lang w:val="en-GB"/>
        </w:rPr>
      </w:pPr>
      <w:r w:rsidRPr="00C21BF0">
        <w:rPr>
          <w:noProof/>
          <w:color w:val="000000"/>
          <w:sz w:val="16"/>
          <w:szCs w:val="16"/>
          <w:lang w:val="en-GB"/>
        </w:rPr>
        <w:t>Your ref., Your message of</w:t>
      </w:r>
      <w:r w:rsidRPr="00C21BF0">
        <w:rPr>
          <w:color w:val="000000"/>
          <w:sz w:val="16"/>
          <w:szCs w:val="16"/>
          <w:lang w:val="en-GB"/>
        </w:rPr>
        <w:tab/>
      </w:r>
      <w:r w:rsidRPr="00C21BF0">
        <w:rPr>
          <w:noProof/>
          <w:color w:val="000000"/>
          <w:sz w:val="16"/>
          <w:szCs w:val="16"/>
          <w:lang w:val="en-GB"/>
        </w:rPr>
        <w:t>Our ref., person in charge</w:t>
      </w:r>
      <w:r w:rsidRPr="00C21BF0">
        <w:rPr>
          <w:color w:val="000000"/>
          <w:sz w:val="16"/>
          <w:szCs w:val="16"/>
          <w:lang w:val="en-GB"/>
        </w:rPr>
        <w:tab/>
      </w:r>
      <w:r w:rsidRPr="00C21BF0">
        <w:rPr>
          <w:noProof/>
          <w:color w:val="000000"/>
          <w:sz w:val="16"/>
          <w:szCs w:val="16"/>
          <w:lang w:val="en-GB"/>
        </w:rPr>
        <w:t>Extension</w:t>
      </w:r>
      <w:r w:rsidRPr="00C21BF0">
        <w:rPr>
          <w:color w:val="000000"/>
          <w:sz w:val="16"/>
          <w:szCs w:val="16"/>
          <w:lang w:val="en-GB"/>
        </w:rPr>
        <w:tab/>
      </w:r>
      <w:r w:rsidRPr="00C21BF0">
        <w:rPr>
          <w:noProof/>
          <w:color w:val="000000"/>
          <w:sz w:val="16"/>
          <w:szCs w:val="16"/>
          <w:lang w:val="en-GB"/>
        </w:rPr>
        <w:t>Date</w:t>
      </w:r>
    </w:p>
    <w:p w:rsidR="00642235" w:rsidRPr="00DC0A36" w:rsidRDefault="00642235" w:rsidP="00CE5D6F">
      <w:pPr>
        <w:tabs>
          <w:tab w:val="left" w:pos="2892"/>
          <w:tab w:val="left" w:pos="5783"/>
          <w:tab w:val="left" w:pos="7655"/>
        </w:tabs>
        <w:rPr>
          <w:color w:val="000000"/>
          <w:lang w:val="en-GB"/>
        </w:rPr>
      </w:pPr>
      <w:r w:rsidRPr="00C21BF0">
        <w:rPr>
          <w:color w:val="000000"/>
          <w:lang w:val="en-GB"/>
        </w:rPr>
        <w:tab/>
      </w:r>
      <w:r w:rsidRPr="00DC0A36">
        <w:rPr>
          <w:noProof/>
          <w:color w:val="000000"/>
          <w:lang w:val="en-GB"/>
        </w:rPr>
        <w:t>BSBV</w:t>
      </w:r>
      <w:r w:rsidR="00CE5D6F">
        <w:rPr>
          <w:noProof/>
          <w:color w:val="000000"/>
          <w:lang w:val="en-GB"/>
        </w:rPr>
        <w:t xml:space="preserve"> </w:t>
      </w:r>
      <w:r w:rsidR="00DB34E3">
        <w:rPr>
          <w:noProof/>
          <w:color w:val="000000"/>
          <w:lang w:val="en-GB"/>
        </w:rPr>
        <w:t>115</w:t>
      </w:r>
      <w:r w:rsidR="00641DC4" w:rsidRPr="00DC0A36">
        <w:rPr>
          <w:noProof/>
          <w:color w:val="000000"/>
          <w:lang w:val="en-GB"/>
        </w:rPr>
        <w:t>/</w:t>
      </w:r>
      <w:r w:rsidR="00DB34E3">
        <w:rPr>
          <w:noProof/>
          <w:color w:val="000000"/>
          <w:lang w:val="en-GB"/>
        </w:rPr>
        <w:t>Dr. Egger</w:t>
      </w:r>
      <w:r w:rsidR="00641DC4" w:rsidRPr="00DC0A36">
        <w:rPr>
          <w:noProof/>
          <w:color w:val="000000"/>
          <w:lang w:val="en-GB"/>
        </w:rPr>
        <w:tab/>
        <w:t>31</w:t>
      </w:r>
      <w:r w:rsidR="00DB34E3">
        <w:rPr>
          <w:noProof/>
          <w:color w:val="000000"/>
          <w:lang w:val="en-GB"/>
        </w:rPr>
        <w:t>37</w:t>
      </w:r>
      <w:r w:rsidRPr="00DC0A36">
        <w:rPr>
          <w:color w:val="000000"/>
          <w:lang w:val="en-GB"/>
        </w:rPr>
        <w:tab/>
      </w:r>
      <w:r w:rsidR="00CD4FCE">
        <w:rPr>
          <w:color w:val="000000"/>
          <w:lang w:val="en-GB"/>
        </w:rPr>
        <w:t>3</w:t>
      </w:r>
      <w:r w:rsidR="00D13A95">
        <w:rPr>
          <w:color w:val="000000"/>
          <w:lang w:val="en-GB"/>
        </w:rPr>
        <w:t>1 August</w:t>
      </w:r>
      <w:r w:rsidR="00C737BA">
        <w:rPr>
          <w:color w:val="000000"/>
          <w:lang w:val="en-GB"/>
        </w:rPr>
        <w:t xml:space="preserve"> </w:t>
      </w:r>
      <w:r w:rsidR="00D82226" w:rsidRPr="00DC0A36">
        <w:rPr>
          <w:color w:val="000000"/>
          <w:lang w:val="en-GB"/>
        </w:rPr>
        <w:t>20</w:t>
      </w:r>
      <w:r w:rsidR="004057F3">
        <w:rPr>
          <w:color w:val="000000"/>
          <w:lang w:val="en-GB"/>
        </w:rPr>
        <w:t>20</w:t>
      </w:r>
    </w:p>
    <w:p w:rsidR="00E754C8" w:rsidRDefault="00E754C8" w:rsidP="00CE5D6F">
      <w:pPr>
        <w:rPr>
          <w:color w:val="000000"/>
          <w:sz w:val="24"/>
          <w:szCs w:val="24"/>
          <w:lang w:val="en-GB"/>
        </w:rPr>
      </w:pPr>
    </w:p>
    <w:p w:rsidR="00A82C13" w:rsidRPr="00DC0A36" w:rsidRDefault="00A82C13" w:rsidP="009B3CDE">
      <w:pPr>
        <w:spacing w:line="240" w:lineRule="auto"/>
        <w:rPr>
          <w:color w:val="000000"/>
          <w:sz w:val="24"/>
          <w:szCs w:val="24"/>
          <w:lang w:val="en-GB"/>
        </w:rPr>
      </w:pPr>
    </w:p>
    <w:p w:rsidR="00DB34E3" w:rsidRPr="00DB34E3" w:rsidRDefault="00DB34E3" w:rsidP="009B3CDE">
      <w:pPr>
        <w:spacing w:line="240" w:lineRule="auto"/>
        <w:rPr>
          <w:rFonts w:cs="Calibri"/>
          <w:lang w:val="en-US"/>
        </w:rPr>
      </w:pPr>
      <w:r w:rsidRPr="00DB34E3">
        <w:rPr>
          <w:rFonts w:cs="Calibri"/>
          <w:lang w:val="en-US"/>
        </w:rPr>
        <w:t>Dear Sir or Madam,</w:t>
      </w:r>
    </w:p>
    <w:p w:rsidR="00DB34E3" w:rsidRDefault="00DB34E3" w:rsidP="009B3CDE">
      <w:pPr>
        <w:spacing w:line="240" w:lineRule="auto"/>
        <w:rPr>
          <w:rFonts w:cs="Calibri"/>
          <w:b/>
          <w:lang w:val="en-US"/>
        </w:rPr>
      </w:pPr>
    </w:p>
    <w:p w:rsidR="00A43FAC" w:rsidRPr="00A43FAC" w:rsidRDefault="00DB34E3" w:rsidP="009B3CDE">
      <w:pPr>
        <w:spacing w:line="240" w:lineRule="auto"/>
        <w:rPr>
          <w:rFonts w:cs="Calibri"/>
          <w:b/>
          <w:lang w:val="en-US"/>
        </w:rPr>
      </w:pPr>
      <w:r>
        <w:rPr>
          <w:rFonts w:cs="Calibri"/>
          <w:b/>
          <w:lang w:val="en-US"/>
        </w:rPr>
        <w:t xml:space="preserve">Re: </w:t>
      </w:r>
      <w:r w:rsidR="00DA4E3C" w:rsidRPr="00D13A95">
        <w:rPr>
          <w:rFonts w:cs="Calibri"/>
          <w:b/>
          <w:u w:val="single"/>
          <w:lang w:val="en-US"/>
        </w:rPr>
        <w:t xml:space="preserve">EBA Draft RTS </w:t>
      </w:r>
      <w:r w:rsidR="00416786" w:rsidRPr="00D13A95">
        <w:rPr>
          <w:rFonts w:cs="Calibri"/>
          <w:b/>
          <w:u w:val="single"/>
          <w:lang w:val="en-US"/>
        </w:rPr>
        <w:t xml:space="preserve">on </w:t>
      </w:r>
      <w:r w:rsidR="00D13A95" w:rsidRPr="00D13A95">
        <w:rPr>
          <w:rFonts w:cs="Calibri"/>
          <w:b/>
          <w:u w:val="single"/>
          <w:lang w:val="en-US"/>
        </w:rPr>
        <w:t>own funds and eligible liabilities</w:t>
      </w:r>
      <w:r w:rsidR="00D13A95">
        <w:rPr>
          <w:rFonts w:cs="Calibri"/>
          <w:b/>
          <w:lang w:val="en-US"/>
        </w:rPr>
        <w:t xml:space="preserve"> </w:t>
      </w:r>
    </w:p>
    <w:p w:rsidR="00A43FAC" w:rsidRPr="00A43FAC" w:rsidRDefault="00A43FAC" w:rsidP="009B3CDE">
      <w:pPr>
        <w:spacing w:line="240" w:lineRule="auto"/>
        <w:rPr>
          <w:rFonts w:cs="Calibri"/>
          <w:lang w:val="en-US"/>
        </w:rPr>
      </w:pPr>
    </w:p>
    <w:p w:rsidR="00DB34E3" w:rsidRPr="00DA4E3C" w:rsidRDefault="00DB34E3" w:rsidP="009B3CDE">
      <w:pPr>
        <w:spacing w:line="240" w:lineRule="auto"/>
        <w:rPr>
          <w:rFonts w:cs="Calibri"/>
          <w:lang w:val="en-US"/>
        </w:rPr>
      </w:pPr>
      <w:r w:rsidRPr="00DA4E3C">
        <w:rPr>
          <w:rFonts w:cs="Calibri"/>
          <w:lang w:val="en-US"/>
        </w:rPr>
        <w:t>With regards to the above mentioned consultation we would like to submit the following comments</w:t>
      </w:r>
      <w:r w:rsidR="00DA4E3C" w:rsidRPr="00DA4E3C">
        <w:rPr>
          <w:rFonts w:cs="Calibri"/>
          <w:lang w:val="en-US"/>
        </w:rPr>
        <w:t xml:space="preserve"> on behalf of the Austrian banking industry</w:t>
      </w:r>
      <w:r w:rsidRPr="00DA4E3C">
        <w:rPr>
          <w:rFonts w:cs="Calibri"/>
          <w:lang w:val="en-US"/>
        </w:rPr>
        <w:t xml:space="preserve">: </w:t>
      </w:r>
    </w:p>
    <w:p w:rsidR="00DA4E3C" w:rsidRPr="00C54064" w:rsidRDefault="00DA4E3C" w:rsidP="00C54064">
      <w:pPr>
        <w:rPr>
          <w:lang w:val="en-US"/>
        </w:rPr>
      </w:pPr>
    </w:p>
    <w:p w:rsidR="00C54064" w:rsidRPr="00C54064" w:rsidRDefault="00C54064" w:rsidP="00C54064">
      <w:pPr>
        <w:pStyle w:val="Listenabsatz"/>
        <w:numPr>
          <w:ilvl w:val="0"/>
          <w:numId w:val="2"/>
        </w:numPr>
        <w:spacing w:line="240" w:lineRule="auto"/>
        <w:ind w:left="284" w:hanging="284"/>
        <w:rPr>
          <w:rFonts w:cs="Arial"/>
          <w:b/>
          <w:bCs/>
          <w:sz w:val="21"/>
          <w:szCs w:val="21"/>
          <w:u w:val="single"/>
          <w:lang w:val="en-US"/>
        </w:rPr>
      </w:pPr>
      <w:r w:rsidRPr="00C54064">
        <w:rPr>
          <w:rFonts w:cs="Arial"/>
          <w:b/>
          <w:bCs/>
          <w:sz w:val="21"/>
          <w:szCs w:val="21"/>
          <w:u w:val="single"/>
          <w:lang w:val="en-US"/>
        </w:rPr>
        <w:t>General Comments on the Consultation Paper (‘CP’)</w:t>
      </w:r>
    </w:p>
    <w:p w:rsidR="00C54064" w:rsidRPr="00C54064" w:rsidRDefault="00C54064" w:rsidP="00C54064">
      <w:pPr>
        <w:spacing w:before="120" w:after="120"/>
        <w:rPr>
          <w:rFonts w:cs="Arial"/>
          <w:sz w:val="21"/>
          <w:szCs w:val="21"/>
          <w:lang w:val="en-US"/>
        </w:rPr>
      </w:pPr>
      <w:r w:rsidRPr="00C54064">
        <w:rPr>
          <w:rFonts w:cs="Arial"/>
          <w:sz w:val="21"/>
          <w:szCs w:val="21"/>
          <w:lang w:val="en-US"/>
        </w:rPr>
        <w:t xml:space="preserve">While we see that EBA </w:t>
      </w:r>
      <w:bookmarkStart w:id="0" w:name="_Hlk46932685"/>
      <w:r w:rsidRPr="00C54064">
        <w:rPr>
          <w:rFonts w:cs="Arial"/>
          <w:sz w:val="21"/>
          <w:szCs w:val="21"/>
          <w:lang w:val="en-US"/>
        </w:rPr>
        <w:t>intends to establish comparable procedures for own funds an</w:t>
      </w:r>
      <w:r w:rsidR="00481BCF">
        <w:rPr>
          <w:rFonts w:cs="Arial"/>
          <w:sz w:val="21"/>
          <w:szCs w:val="21"/>
          <w:lang w:val="en-US"/>
        </w:rPr>
        <w:t>d</w:t>
      </w:r>
      <w:r w:rsidRPr="00C54064">
        <w:rPr>
          <w:rFonts w:cs="Arial"/>
          <w:sz w:val="21"/>
          <w:szCs w:val="21"/>
          <w:lang w:val="en-US"/>
        </w:rPr>
        <w:t xml:space="preserve"> eligible liabilities </w:t>
      </w:r>
      <w:bookmarkEnd w:id="0"/>
      <w:r w:rsidRPr="00C54064">
        <w:rPr>
          <w:rFonts w:cs="Arial"/>
          <w:sz w:val="21"/>
          <w:szCs w:val="21"/>
          <w:lang w:val="en-US"/>
        </w:rPr>
        <w:t xml:space="preserve">we </w:t>
      </w:r>
      <w:r w:rsidRPr="00C54064">
        <w:rPr>
          <w:rFonts w:cs="Arial"/>
          <w:b/>
          <w:bCs/>
          <w:sz w:val="21"/>
          <w:szCs w:val="21"/>
          <w:lang w:val="en-US"/>
        </w:rPr>
        <w:t>do not understand</w:t>
      </w:r>
      <w:r w:rsidRPr="00C54064">
        <w:rPr>
          <w:rFonts w:cs="Arial"/>
          <w:sz w:val="21"/>
          <w:szCs w:val="21"/>
          <w:lang w:val="en-US"/>
        </w:rPr>
        <w:t xml:space="preserve"> that </w:t>
      </w:r>
      <w:r w:rsidRPr="00C54064">
        <w:rPr>
          <w:rFonts w:cs="Arial"/>
          <w:b/>
          <w:bCs/>
          <w:sz w:val="21"/>
          <w:szCs w:val="21"/>
          <w:lang w:val="en-US"/>
        </w:rPr>
        <w:t>EBA proposes</w:t>
      </w:r>
      <w:r w:rsidRPr="00C54064">
        <w:rPr>
          <w:rFonts w:cs="Arial"/>
          <w:sz w:val="21"/>
          <w:szCs w:val="21"/>
          <w:lang w:val="en-US"/>
        </w:rPr>
        <w:t xml:space="preserve"> for every part of this reviewed RTS the </w:t>
      </w:r>
      <w:r w:rsidRPr="00C54064">
        <w:rPr>
          <w:rFonts w:cs="Arial"/>
          <w:b/>
          <w:bCs/>
          <w:sz w:val="21"/>
          <w:szCs w:val="21"/>
          <w:lang w:val="en-US"/>
        </w:rPr>
        <w:t>strictest, most bureaucratic</w:t>
      </w:r>
      <w:r w:rsidRPr="00C54064">
        <w:rPr>
          <w:rFonts w:cs="Arial"/>
          <w:i/>
          <w:iCs/>
          <w:sz w:val="21"/>
          <w:szCs w:val="21"/>
          <w:lang w:val="en-US"/>
        </w:rPr>
        <w:t xml:space="preserve"> </w:t>
      </w:r>
      <w:r w:rsidRPr="00C54064">
        <w:rPr>
          <w:rFonts w:cs="Arial"/>
          <w:sz w:val="21"/>
          <w:szCs w:val="21"/>
          <w:lang w:val="en-US"/>
        </w:rPr>
        <w:t xml:space="preserve">and </w:t>
      </w:r>
      <w:r w:rsidRPr="00C54064">
        <w:rPr>
          <w:rFonts w:cs="Arial"/>
          <w:b/>
          <w:bCs/>
          <w:sz w:val="21"/>
          <w:szCs w:val="21"/>
          <w:lang w:val="en-US"/>
        </w:rPr>
        <w:t>undifferentiated option</w:t>
      </w:r>
      <w:r w:rsidRPr="00C54064">
        <w:rPr>
          <w:rFonts w:cs="Arial"/>
          <w:sz w:val="21"/>
          <w:szCs w:val="21"/>
          <w:lang w:val="en-US"/>
        </w:rPr>
        <w:t xml:space="preserve"> (while alternative solutions as outlined in the accompanying documents are not considered) so that the </w:t>
      </w:r>
      <w:r w:rsidRPr="00C54064">
        <w:rPr>
          <w:rFonts w:cs="Arial"/>
          <w:b/>
          <w:bCs/>
          <w:sz w:val="21"/>
          <w:szCs w:val="21"/>
          <w:lang w:val="en-US"/>
        </w:rPr>
        <w:t>scope is extended to a maximum</w:t>
      </w:r>
      <w:r w:rsidRPr="00C54064">
        <w:rPr>
          <w:rFonts w:cs="Arial"/>
          <w:sz w:val="21"/>
          <w:szCs w:val="21"/>
          <w:lang w:val="en-US"/>
        </w:rPr>
        <w:t xml:space="preserve"> (regarding liabilities covered and institutions in scope) without granting flexibility to the authorities. This would lead to an extreme time pressure for banks and huge additional burden on both banks and authorities. Thus, we </w:t>
      </w:r>
      <w:r w:rsidRPr="00C54064">
        <w:rPr>
          <w:rFonts w:cs="Arial"/>
          <w:b/>
          <w:bCs/>
          <w:sz w:val="21"/>
          <w:szCs w:val="21"/>
          <w:lang w:val="en-US"/>
        </w:rPr>
        <w:t>recommend</w:t>
      </w:r>
      <w:r w:rsidRPr="00C54064">
        <w:rPr>
          <w:rFonts w:cs="Arial"/>
          <w:sz w:val="21"/>
          <w:szCs w:val="21"/>
          <w:lang w:val="en-US"/>
        </w:rPr>
        <w:t xml:space="preserve"> to establish a </w:t>
      </w:r>
      <w:r w:rsidRPr="00C54064">
        <w:rPr>
          <w:rFonts w:cs="Arial"/>
          <w:b/>
          <w:bCs/>
          <w:sz w:val="21"/>
          <w:szCs w:val="21"/>
          <w:lang w:val="en-US"/>
        </w:rPr>
        <w:t>proportionate, flexible</w:t>
      </w:r>
      <w:r w:rsidRPr="00C54064">
        <w:rPr>
          <w:rFonts w:cs="Arial"/>
          <w:sz w:val="21"/>
          <w:szCs w:val="21"/>
          <w:lang w:val="en-US"/>
        </w:rPr>
        <w:t xml:space="preserve"> and </w:t>
      </w:r>
      <w:r w:rsidRPr="00C54064">
        <w:rPr>
          <w:rFonts w:cs="Arial"/>
          <w:b/>
          <w:bCs/>
          <w:sz w:val="21"/>
          <w:szCs w:val="21"/>
          <w:lang w:val="en-US"/>
        </w:rPr>
        <w:t>phased-in approach</w:t>
      </w:r>
      <w:r w:rsidRPr="00C54064">
        <w:rPr>
          <w:rFonts w:cs="Arial"/>
          <w:sz w:val="21"/>
          <w:szCs w:val="21"/>
          <w:lang w:val="en-US"/>
        </w:rPr>
        <w:t xml:space="preserve">. </w:t>
      </w:r>
    </w:p>
    <w:p w:rsidR="00C54064" w:rsidRPr="00C54064" w:rsidRDefault="00C54064" w:rsidP="00C54064">
      <w:pPr>
        <w:spacing w:before="120" w:after="120"/>
        <w:rPr>
          <w:rFonts w:cs="Arial"/>
          <w:sz w:val="21"/>
          <w:szCs w:val="21"/>
          <w:lang w:val="en-US"/>
        </w:rPr>
      </w:pPr>
      <w:r w:rsidRPr="00C54064">
        <w:rPr>
          <w:rFonts w:cs="Arial"/>
          <w:sz w:val="21"/>
          <w:szCs w:val="21"/>
          <w:lang w:val="en-US"/>
        </w:rPr>
        <w:t xml:space="preserve">Our </w:t>
      </w:r>
      <w:r w:rsidRPr="00C54064">
        <w:rPr>
          <w:rFonts w:cs="Arial"/>
          <w:b/>
          <w:bCs/>
          <w:sz w:val="21"/>
          <w:szCs w:val="21"/>
          <w:lang w:val="en-US"/>
        </w:rPr>
        <w:t>key concerns</w:t>
      </w:r>
      <w:r w:rsidRPr="00C54064">
        <w:rPr>
          <w:rFonts w:cs="Arial"/>
          <w:sz w:val="21"/>
          <w:szCs w:val="21"/>
          <w:lang w:val="en-US"/>
        </w:rPr>
        <w:t xml:space="preserve"> regarding this draft RTS can be summarized as follows, details are provided under Point B to the questions raised in the consultation:</w:t>
      </w:r>
    </w:p>
    <w:p w:rsidR="00C54064" w:rsidRPr="00C54064" w:rsidRDefault="00C54064" w:rsidP="00C54064">
      <w:pPr>
        <w:spacing w:before="120" w:after="120"/>
        <w:rPr>
          <w:rFonts w:cs="Arial"/>
          <w:b/>
          <w:bCs/>
          <w:sz w:val="21"/>
          <w:szCs w:val="21"/>
          <w:lang w:val="en-US"/>
        </w:rPr>
      </w:pPr>
      <w:r w:rsidRPr="00C54064">
        <w:rPr>
          <w:rFonts w:cs="Arial"/>
          <w:b/>
          <w:bCs/>
          <w:sz w:val="21"/>
          <w:szCs w:val="21"/>
          <w:lang w:val="en-US"/>
        </w:rPr>
        <w:t>Own funds:</w:t>
      </w:r>
    </w:p>
    <w:p w:rsidR="00C54064" w:rsidRPr="00C54064" w:rsidRDefault="00C54064" w:rsidP="00C54064">
      <w:pPr>
        <w:pStyle w:val="Listenabsatz"/>
        <w:numPr>
          <w:ilvl w:val="0"/>
          <w:numId w:val="4"/>
        </w:numPr>
        <w:spacing w:before="120" w:after="120"/>
        <w:rPr>
          <w:rFonts w:cs="Arial"/>
          <w:sz w:val="21"/>
          <w:szCs w:val="21"/>
          <w:lang w:val="en-US"/>
        </w:rPr>
      </w:pPr>
      <w:r w:rsidRPr="00C54064">
        <w:rPr>
          <w:rFonts w:cs="Arial"/>
          <w:sz w:val="21"/>
          <w:szCs w:val="21"/>
          <w:lang w:val="en-US"/>
        </w:rPr>
        <w:t xml:space="preserve">In general, we do </w:t>
      </w:r>
      <w:r w:rsidRPr="00C54064">
        <w:rPr>
          <w:rFonts w:cs="Arial"/>
          <w:b/>
          <w:bCs/>
          <w:sz w:val="21"/>
          <w:szCs w:val="21"/>
          <w:lang w:val="en-US"/>
        </w:rPr>
        <w:t>not agree</w:t>
      </w:r>
      <w:r w:rsidRPr="00C54064">
        <w:rPr>
          <w:rFonts w:cs="Arial"/>
          <w:sz w:val="21"/>
          <w:szCs w:val="21"/>
          <w:lang w:val="en-US"/>
        </w:rPr>
        <w:t xml:space="preserve"> that the </w:t>
      </w:r>
      <w:r w:rsidRPr="00C54064">
        <w:rPr>
          <w:rFonts w:cs="Arial"/>
          <w:b/>
          <w:bCs/>
          <w:sz w:val="21"/>
          <w:szCs w:val="21"/>
          <w:lang w:val="en-US"/>
        </w:rPr>
        <w:t>timeline</w:t>
      </w:r>
      <w:r w:rsidRPr="00C54064">
        <w:rPr>
          <w:rFonts w:cs="Arial"/>
          <w:sz w:val="21"/>
          <w:szCs w:val="21"/>
          <w:lang w:val="en-US"/>
        </w:rPr>
        <w:t xml:space="preserve"> for authorities </w:t>
      </w:r>
      <w:r w:rsidRPr="00C54064">
        <w:rPr>
          <w:rFonts w:cs="Arial"/>
          <w:b/>
          <w:bCs/>
          <w:sz w:val="21"/>
          <w:szCs w:val="21"/>
          <w:lang w:val="en-US"/>
        </w:rPr>
        <w:t>to grant permission</w:t>
      </w:r>
      <w:r w:rsidRPr="00C54064">
        <w:rPr>
          <w:rFonts w:cs="Arial"/>
          <w:sz w:val="21"/>
          <w:szCs w:val="21"/>
          <w:lang w:val="en-US"/>
        </w:rPr>
        <w:t xml:space="preserve"> should be </w:t>
      </w:r>
      <w:r w:rsidRPr="00C54064">
        <w:rPr>
          <w:rFonts w:cs="Arial"/>
          <w:b/>
          <w:bCs/>
          <w:sz w:val="21"/>
          <w:szCs w:val="21"/>
          <w:lang w:val="en-US"/>
        </w:rPr>
        <w:t>extended to 4 months</w:t>
      </w:r>
      <w:r w:rsidRPr="00C54064">
        <w:rPr>
          <w:rFonts w:cs="Arial"/>
          <w:sz w:val="21"/>
          <w:szCs w:val="21"/>
          <w:lang w:val="en-US"/>
        </w:rPr>
        <w:t xml:space="preserve">. The current 3-month decision period should be kept and </w:t>
      </w:r>
      <w:r w:rsidRPr="00C54064">
        <w:rPr>
          <w:rFonts w:cs="Arial"/>
          <w:b/>
          <w:bCs/>
          <w:sz w:val="21"/>
          <w:szCs w:val="21"/>
          <w:lang w:val="en-US"/>
        </w:rPr>
        <w:t>in specific cases</w:t>
      </w:r>
      <w:r w:rsidRPr="00C54064">
        <w:rPr>
          <w:rFonts w:cs="Arial"/>
          <w:sz w:val="21"/>
          <w:szCs w:val="21"/>
          <w:lang w:val="en-US"/>
        </w:rPr>
        <w:t xml:space="preserve"> a </w:t>
      </w:r>
      <w:r w:rsidRPr="00C54064">
        <w:rPr>
          <w:rFonts w:cs="Arial"/>
          <w:b/>
          <w:bCs/>
          <w:sz w:val="21"/>
          <w:szCs w:val="21"/>
          <w:lang w:val="en-US"/>
        </w:rPr>
        <w:t>shorter period</w:t>
      </w:r>
      <w:r w:rsidRPr="00C54064">
        <w:rPr>
          <w:rFonts w:cs="Arial"/>
          <w:sz w:val="21"/>
          <w:szCs w:val="21"/>
          <w:lang w:val="en-US"/>
        </w:rPr>
        <w:t xml:space="preserve"> should be defined/</w:t>
      </w:r>
      <w:r w:rsidRPr="00C54064">
        <w:rPr>
          <w:rFonts w:cs="Arial"/>
          <w:b/>
          <w:bCs/>
          <w:sz w:val="21"/>
          <w:szCs w:val="21"/>
          <w:lang w:val="en-US"/>
        </w:rPr>
        <w:t>applicable</w:t>
      </w:r>
      <w:r w:rsidRPr="00C54064">
        <w:rPr>
          <w:rFonts w:cs="Arial"/>
          <w:sz w:val="21"/>
          <w:szCs w:val="21"/>
          <w:lang w:val="en-US"/>
        </w:rPr>
        <w:t>.</w:t>
      </w:r>
    </w:p>
    <w:p w:rsidR="00C54064" w:rsidRPr="00C54064" w:rsidRDefault="00C54064" w:rsidP="00C54064">
      <w:pPr>
        <w:pStyle w:val="Listenabsatz"/>
        <w:numPr>
          <w:ilvl w:val="0"/>
          <w:numId w:val="4"/>
        </w:numPr>
        <w:spacing w:before="120" w:after="120"/>
        <w:rPr>
          <w:rFonts w:cs="Arial"/>
          <w:sz w:val="21"/>
          <w:szCs w:val="21"/>
          <w:lang w:val="en-US"/>
        </w:rPr>
      </w:pPr>
      <w:r w:rsidRPr="00C54064">
        <w:rPr>
          <w:rFonts w:cs="Arial"/>
          <w:sz w:val="21"/>
          <w:szCs w:val="21"/>
          <w:lang w:val="en-US"/>
        </w:rPr>
        <w:t xml:space="preserve">In case the decision is not granted/renewed by competent authorities within the time period foreseen </w:t>
      </w:r>
      <w:r w:rsidRPr="00C54064">
        <w:rPr>
          <w:rFonts w:cs="Arial"/>
          <w:b/>
          <w:bCs/>
          <w:sz w:val="21"/>
          <w:szCs w:val="21"/>
          <w:lang w:val="en-US"/>
        </w:rPr>
        <w:t>at least the permission for market making purposes</w:t>
      </w:r>
      <w:r w:rsidRPr="00C54064">
        <w:rPr>
          <w:rFonts w:cs="Arial"/>
          <w:sz w:val="21"/>
          <w:szCs w:val="21"/>
          <w:lang w:val="en-US"/>
        </w:rPr>
        <w:t xml:space="preserve"> </w:t>
      </w:r>
      <w:r w:rsidRPr="00C54064">
        <w:rPr>
          <w:rFonts w:cs="Arial"/>
          <w:b/>
          <w:bCs/>
          <w:sz w:val="21"/>
          <w:szCs w:val="21"/>
          <w:lang w:val="en-US"/>
        </w:rPr>
        <w:t>should remain valid</w:t>
      </w:r>
      <w:r w:rsidRPr="00C54064">
        <w:rPr>
          <w:rFonts w:cs="Arial"/>
          <w:sz w:val="21"/>
          <w:szCs w:val="21"/>
          <w:lang w:val="en-US"/>
        </w:rPr>
        <w:t xml:space="preserve">. </w:t>
      </w:r>
    </w:p>
    <w:p w:rsidR="00C54064" w:rsidRPr="00C54064" w:rsidRDefault="00C54064" w:rsidP="00C54064">
      <w:pPr>
        <w:pStyle w:val="Listenabsatz"/>
        <w:numPr>
          <w:ilvl w:val="0"/>
          <w:numId w:val="4"/>
        </w:numPr>
        <w:spacing w:before="120" w:after="120"/>
        <w:rPr>
          <w:rFonts w:cs="Arial"/>
          <w:sz w:val="21"/>
          <w:szCs w:val="21"/>
          <w:lang w:val="en-US"/>
        </w:rPr>
      </w:pPr>
      <w:r w:rsidRPr="00C54064">
        <w:rPr>
          <w:rFonts w:cs="Arial"/>
          <w:sz w:val="21"/>
          <w:szCs w:val="21"/>
          <w:lang w:val="en-US"/>
        </w:rPr>
        <w:t xml:space="preserve">In case of own funds the repurchase of </w:t>
      </w:r>
      <w:r w:rsidRPr="00C54064">
        <w:rPr>
          <w:rFonts w:cs="Arial"/>
          <w:b/>
          <w:bCs/>
          <w:sz w:val="21"/>
          <w:szCs w:val="21"/>
          <w:lang w:val="en-US"/>
        </w:rPr>
        <w:t>immaterial amounts</w:t>
      </w:r>
      <w:r w:rsidRPr="00C54064">
        <w:rPr>
          <w:rFonts w:cs="Arial"/>
          <w:sz w:val="21"/>
          <w:szCs w:val="21"/>
          <w:lang w:val="en-US"/>
        </w:rPr>
        <w:t xml:space="preserve"> and </w:t>
      </w:r>
      <w:r w:rsidRPr="00C54064">
        <w:rPr>
          <w:rFonts w:cs="Arial"/>
          <w:b/>
          <w:bCs/>
          <w:sz w:val="21"/>
          <w:szCs w:val="21"/>
          <w:lang w:val="en-US"/>
        </w:rPr>
        <w:t>remuneration repurchases</w:t>
      </w:r>
      <w:r w:rsidRPr="00C54064">
        <w:rPr>
          <w:rFonts w:cs="Arial"/>
          <w:sz w:val="21"/>
          <w:szCs w:val="21"/>
          <w:lang w:val="en-US"/>
        </w:rPr>
        <w:t xml:space="preserve"> should </w:t>
      </w:r>
      <w:r w:rsidRPr="00C54064">
        <w:rPr>
          <w:rFonts w:cs="Arial"/>
          <w:b/>
          <w:bCs/>
          <w:sz w:val="21"/>
          <w:szCs w:val="21"/>
          <w:lang w:val="en-US"/>
        </w:rPr>
        <w:t>be kept separately</w:t>
      </w:r>
      <w:r w:rsidRPr="00C54064">
        <w:rPr>
          <w:rFonts w:cs="Arial"/>
          <w:sz w:val="21"/>
          <w:szCs w:val="21"/>
          <w:lang w:val="en-US"/>
        </w:rPr>
        <w:t xml:space="preserve"> and </w:t>
      </w:r>
      <w:r w:rsidRPr="00C54064">
        <w:rPr>
          <w:rFonts w:cs="Arial"/>
          <w:b/>
          <w:bCs/>
          <w:sz w:val="21"/>
          <w:szCs w:val="21"/>
          <w:lang w:val="en-US"/>
        </w:rPr>
        <w:t>not be included</w:t>
      </w:r>
      <w:r w:rsidRPr="00C54064">
        <w:rPr>
          <w:rFonts w:cs="Arial"/>
          <w:sz w:val="21"/>
          <w:szCs w:val="21"/>
          <w:lang w:val="en-US"/>
        </w:rPr>
        <w:t xml:space="preserve"> in the general prior permission regime (including the </w:t>
      </w:r>
      <w:r w:rsidRPr="00C54064">
        <w:rPr>
          <w:rFonts w:cs="Arial"/>
          <w:b/>
          <w:bCs/>
          <w:sz w:val="21"/>
          <w:szCs w:val="21"/>
          <w:lang w:val="en-US"/>
        </w:rPr>
        <w:t>time frame</w:t>
      </w:r>
      <w:r w:rsidRPr="00C54064">
        <w:rPr>
          <w:rFonts w:cs="Arial"/>
          <w:sz w:val="21"/>
          <w:szCs w:val="21"/>
          <w:lang w:val="en-US"/>
        </w:rPr>
        <w:t xml:space="preserve"> and </w:t>
      </w:r>
      <w:r w:rsidRPr="00C54064">
        <w:rPr>
          <w:rFonts w:cs="Arial"/>
          <w:b/>
          <w:bCs/>
          <w:sz w:val="21"/>
          <w:szCs w:val="21"/>
          <w:lang w:val="en-US"/>
        </w:rPr>
        <w:t>limits</w:t>
      </w:r>
      <w:r w:rsidRPr="00C54064">
        <w:rPr>
          <w:rFonts w:cs="Arial"/>
          <w:sz w:val="21"/>
          <w:szCs w:val="21"/>
          <w:lang w:val="en-US"/>
        </w:rPr>
        <w:t xml:space="preserve"> proposed). To establish a proportionate approach the decision period should be shortened in case of immaterial amounts and the necessity of an annual renewal should cease.  </w:t>
      </w:r>
    </w:p>
    <w:p w:rsidR="00C54064" w:rsidRPr="00C54064" w:rsidRDefault="00C54064" w:rsidP="00C54064">
      <w:pPr>
        <w:pStyle w:val="Listenabsatz"/>
        <w:numPr>
          <w:ilvl w:val="0"/>
          <w:numId w:val="4"/>
        </w:numPr>
        <w:spacing w:before="120" w:after="120"/>
        <w:rPr>
          <w:rFonts w:cs="Arial"/>
          <w:b/>
          <w:bCs/>
          <w:sz w:val="21"/>
          <w:szCs w:val="21"/>
          <w:lang w:val="en-US"/>
        </w:rPr>
      </w:pPr>
      <w:r w:rsidRPr="00C54064">
        <w:rPr>
          <w:rFonts w:cs="Arial"/>
          <w:sz w:val="21"/>
          <w:szCs w:val="21"/>
          <w:lang w:val="en-US"/>
        </w:rPr>
        <w:t xml:space="preserve">The </w:t>
      </w:r>
      <w:r w:rsidRPr="00C54064">
        <w:rPr>
          <w:rFonts w:cs="Arial"/>
          <w:b/>
          <w:bCs/>
          <w:sz w:val="21"/>
          <w:szCs w:val="21"/>
          <w:lang w:val="en-US"/>
        </w:rPr>
        <w:t xml:space="preserve">treatment </w:t>
      </w:r>
      <w:r w:rsidRPr="00C54064">
        <w:rPr>
          <w:rFonts w:cs="Arial"/>
          <w:sz w:val="21"/>
          <w:szCs w:val="21"/>
          <w:lang w:val="en-US"/>
        </w:rPr>
        <w:t xml:space="preserve">of </w:t>
      </w:r>
      <w:r w:rsidRPr="00C54064">
        <w:rPr>
          <w:rFonts w:cs="Arial"/>
          <w:b/>
          <w:bCs/>
          <w:sz w:val="21"/>
          <w:szCs w:val="21"/>
          <w:lang w:val="en-US"/>
        </w:rPr>
        <w:t>amortized Tier 2 instruments</w:t>
      </w:r>
      <w:r w:rsidRPr="00C54064">
        <w:rPr>
          <w:rFonts w:cs="Arial"/>
          <w:sz w:val="21"/>
          <w:szCs w:val="21"/>
          <w:lang w:val="en-US"/>
        </w:rPr>
        <w:t xml:space="preserve"> has to be </w:t>
      </w:r>
      <w:r w:rsidRPr="00C54064">
        <w:rPr>
          <w:rFonts w:cs="Arial"/>
          <w:b/>
          <w:bCs/>
          <w:sz w:val="21"/>
          <w:szCs w:val="21"/>
          <w:lang w:val="en-US"/>
        </w:rPr>
        <w:t>clarified.</w:t>
      </w:r>
    </w:p>
    <w:p w:rsidR="00C54064" w:rsidRPr="00C54064" w:rsidRDefault="00C54064" w:rsidP="00C54064">
      <w:pPr>
        <w:pStyle w:val="Listenabsatz"/>
        <w:numPr>
          <w:ilvl w:val="0"/>
          <w:numId w:val="4"/>
        </w:numPr>
        <w:spacing w:before="120" w:after="120"/>
        <w:rPr>
          <w:rFonts w:cs="Arial"/>
          <w:sz w:val="21"/>
          <w:szCs w:val="21"/>
          <w:lang w:val="en-US"/>
        </w:rPr>
      </w:pPr>
      <w:r w:rsidRPr="00C54064">
        <w:rPr>
          <w:rFonts w:cs="Arial"/>
          <w:sz w:val="21"/>
          <w:szCs w:val="21"/>
          <w:lang w:val="en-US"/>
        </w:rPr>
        <w:lastRenderedPageBreak/>
        <w:t>In case of an own funds applications the detailed breakdown of eligible liabilities is overshooting</w:t>
      </w:r>
      <w:r w:rsidRPr="00C54064">
        <w:rPr>
          <w:rFonts w:cs="Arial"/>
          <w:b/>
          <w:bCs/>
          <w:sz w:val="21"/>
          <w:szCs w:val="21"/>
          <w:lang w:val="en-US"/>
        </w:rPr>
        <w:t xml:space="preserve"> and the information requested</w:t>
      </w:r>
      <w:r w:rsidRPr="00C54064">
        <w:rPr>
          <w:rFonts w:cs="Arial"/>
          <w:sz w:val="21"/>
          <w:szCs w:val="21"/>
          <w:lang w:val="en-US"/>
        </w:rPr>
        <w:t xml:space="preserve"> should be </w:t>
      </w:r>
      <w:r w:rsidRPr="00C54064">
        <w:rPr>
          <w:rFonts w:cs="Arial"/>
          <w:b/>
          <w:bCs/>
          <w:sz w:val="21"/>
          <w:szCs w:val="21"/>
          <w:lang w:val="en-US"/>
        </w:rPr>
        <w:t xml:space="preserve">reduced. </w:t>
      </w:r>
      <w:bookmarkStart w:id="1" w:name="_Hlk47451297"/>
      <w:r w:rsidRPr="00C54064">
        <w:rPr>
          <w:rFonts w:cs="Arial"/>
          <w:sz w:val="21"/>
          <w:szCs w:val="21"/>
          <w:lang w:val="en-US"/>
        </w:rPr>
        <w:t>For</w:t>
      </w:r>
      <w:r w:rsidRPr="00C54064">
        <w:rPr>
          <w:rFonts w:cs="Arial"/>
          <w:b/>
          <w:bCs/>
          <w:sz w:val="21"/>
          <w:szCs w:val="21"/>
          <w:lang w:val="en-US"/>
        </w:rPr>
        <w:t xml:space="preserve"> annual renewals simplifications </w:t>
      </w:r>
      <w:r w:rsidRPr="00C54064">
        <w:rPr>
          <w:rFonts w:cs="Arial"/>
          <w:sz w:val="21"/>
          <w:szCs w:val="21"/>
          <w:lang w:val="en-US"/>
        </w:rPr>
        <w:t>should be granted, in particular with respect to renewal of market making permissions.</w:t>
      </w:r>
      <w:bookmarkEnd w:id="1"/>
    </w:p>
    <w:p w:rsidR="00C54064" w:rsidRPr="00C54064" w:rsidRDefault="00C54064" w:rsidP="00C54064">
      <w:pPr>
        <w:pStyle w:val="Listenabsatz"/>
        <w:numPr>
          <w:ilvl w:val="0"/>
          <w:numId w:val="4"/>
        </w:numPr>
        <w:spacing w:before="120" w:after="120"/>
        <w:rPr>
          <w:rFonts w:cs="Arial"/>
          <w:sz w:val="21"/>
          <w:szCs w:val="21"/>
          <w:lang w:val="en-US"/>
        </w:rPr>
      </w:pPr>
      <w:r w:rsidRPr="00C54064">
        <w:rPr>
          <w:rFonts w:cs="Arial"/>
          <w:sz w:val="21"/>
          <w:szCs w:val="21"/>
          <w:lang w:val="en-US"/>
        </w:rPr>
        <w:t xml:space="preserve">According to Art 28 (3) of the draft RTS, in case of a general prior permission, the </w:t>
      </w:r>
      <w:r w:rsidRPr="00C54064">
        <w:rPr>
          <w:rFonts w:cs="Arial"/>
          <w:b/>
          <w:bCs/>
          <w:sz w:val="21"/>
          <w:szCs w:val="21"/>
          <w:lang w:val="en-US"/>
        </w:rPr>
        <w:t>predetermined amount</w:t>
      </w:r>
      <w:r w:rsidRPr="00C54064">
        <w:rPr>
          <w:rFonts w:cs="Arial"/>
          <w:sz w:val="21"/>
          <w:szCs w:val="21"/>
          <w:lang w:val="en-US"/>
        </w:rPr>
        <w:t xml:space="preserve"> permitted by the relevant authority has to </w:t>
      </w:r>
      <w:r w:rsidRPr="00C54064">
        <w:rPr>
          <w:rFonts w:cs="Arial"/>
          <w:b/>
          <w:bCs/>
          <w:sz w:val="21"/>
          <w:szCs w:val="21"/>
          <w:lang w:val="en-US"/>
        </w:rPr>
        <w:t>be deducted from the moment the authorization is granted</w:t>
      </w:r>
      <w:r w:rsidRPr="00C54064">
        <w:rPr>
          <w:rFonts w:cs="Arial"/>
          <w:sz w:val="21"/>
          <w:szCs w:val="21"/>
          <w:lang w:val="en-US"/>
        </w:rPr>
        <w:t xml:space="preserve">. In case that the institution decides not to renew the general prior permission, the permission expires at the end of the one-year period. The RTS should clarify that in this case the deduction from own funds is no longer required and the institution can re-include the amounts in own funds without the need to execute any further steps. </w:t>
      </w:r>
    </w:p>
    <w:p w:rsidR="00C54064" w:rsidRPr="00C54064" w:rsidRDefault="00C54064" w:rsidP="00C54064">
      <w:pPr>
        <w:spacing w:before="120" w:after="120"/>
        <w:rPr>
          <w:rFonts w:cs="Arial"/>
          <w:b/>
          <w:bCs/>
          <w:sz w:val="21"/>
          <w:szCs w:val="21"/>
          <w:lang w:val="en-US"/>
        </w:rPr>
      </w:pPr>
    </w:p>
    <w:p w:rsidR="00C54064" w:rsidRPr="00C54064" w:rsidRDefault="00C54064" w:rsidP="00C54064">
      <w:pPr>
        <w:spacing w:before="120" w:after="120"/>
        <w:rPr>
          <w:rFonts w:cs="Arial"/>
          <w:b/>
          <w:bCs/>
          <w:sz w:val="21"/>
          <w:szCs w:val="21"/>
          <w:lang w:val="en-US"/>
        </w:rPr>
      </w:pPr>
      <w:r w:rsidRPr="00C54064">
        <w:rPr>
          <w:rFonts w:cs="Arial"/>
          <w:b/>
          <w:bCs/>
          <w:sz w:val="21"/>
          <w:szCs w:val="21"/>
          <w:lang w:val="en-US"/>
        </w:rPr>
        <w:t>Eligible liabilities:</w:t>
      </w:r>
    </w:p>
    <w:p w:rsidR="00C54064" w:rsidRPr="00C54064" w:rsidRDefault="00C54064" w:rsidP="00C54064">
      <w:pPr>
        <w:pStyle w:val="Listenabsatz"/>
        <w:numPr>
          <w:ilvl w:val="0"/>
          <w:numId w:val="5"/>
        </w:numPr>
        <w:spacing w:before="120" w:after="120"/>
        <w:rPr>
          <w:rFonts w:cs="Arial"/>
          <w:sz w:val="21"/>
          <w:szCs w:val="21"/>
          <w:lang w:val="en-US"/>
        </w:rPr>
      </w:pPr>
      <w:r w:rsidRPr="00C54064">
        <w:rPr>
          <w:rFonts w:cs="Arial"/>
          <w:sz w:val="21"/>
          <w:szCs w:val="21"/>
          <w:lang w:val="en-US"/>
        </w:rPr>
        <w:t xml:space="preserve">The </w:t>
      </w:r>
      <w:r w:rsidRPr="00C54064">
        <w:rPr>
          <w:rFonts w:cs="Arial"/>
          <w:b/>
          <w:bCs/>
          <w:sz w:val="21"/>
          <w:szCs w:val="21"/>
          <w:lang w:val="en-US"/>
        </w:rPr>
        <w:t xml:space="preserve">scope </w:t>
      </w:r>
      <w:r w:rsidRPr="00C54064">
        <w:rPr>
          <w:rFonts w:cs="Arial"/>
          <w:sz w:val="21"/>
          <w:szCs w:val="21"/>
          <w:lang w:val="en-US"/>
        </w:rPr>
        <w:t xml:space="preserve">of the permission regime needs to </w:t>
      </w:r>
      <w:r w:rsidRPr="00C54064">
        <w:rPr>
          <w:rFonts w:cs="Arial"/>
          <w:b/>
          <w:bCs/>
          <w:sz w:val="21"/>
          <w:szCs w:val="21"/>
          <w:lang w:val="en-US"/>
        </w:rPr>
        <w:t>be reduced</w:t>
      </w:r>
      <w:r w:rsidRPr="00C54064">
        <w:rPr>
          <w:rFonts w:cs="Arial"/>
          <w:sz w:val="21"/>
          <w:szCs w:val="21"/>
          <w:lang w:val="en-US"/>
        </w:rPr>
        <w:t>:</w:t>
      </w:r>
    </w:p>
    <w:p w:rsidR="00C54064" w:rsidRPr="00C54064" w:rsidRDefault="00C54064" w:rsidP="00C54064">
      <w:pPr>
        <w:pStyle w:val="Listenabsatz"/>
        <w:numPr>
          <w:ilvl w:val="0"/>
          <w:numId w:val="6"/>
        </w:numPr>
        <w:spacing w:before="120" w:after="120"/>
        <w:rPr>
          <w:rFonts w:cs="Arial"/>
          <w:sz w:val="21"/>
          <w:szCs w:val="21"/>
          <w:lang w:val="en-US"/>
        </w:rPr>
      </w:pPr>
      <w:r w:rsidRPr="00C54064">
        <w:rPr>
          <w:rFonts w:cs="Arial"/>
          <w:sz w:val="21"/>
          <w:szCs w:val="21"/>
          <w:lang w:val="en-US"/>
        </w:rPr>
        <w:t xml:space="preserve">the permission regime should </w:t>
      </w:r>
      <w:r w:rsidRPr="00C54064">
        <w:rPr>
          <w:rFonts w:cs="Arial"/>
          <w:b/>
          <w:bCs/>
          <w:sz w:val="21"/>
          <w:szCs w:val="21"/>
          <w:lang w:val="en-US"/>
        </w:rPr>
        <w:t>not apply to institutions</w:t>
      </w:r>
      <w:r w:rsidRPr="00C54064">
        <w:rPr>
          <w:rFonts w:cs="Arial"/>
          <w:sz w:val="21"/>
          <w:szCs w:val="21"/>
          <w:lang w:val="en-US"/>
        </w:rPr>
        <w:t xml:space="preserve"> that </w:t>
      </w:r>
      <w:r w:rsidRPr="00C54064">
        <w:rPr>
          <w:rFonts w:cs="Arial"/>
          <w:b/>
          <w:bCs/>
          <w:sz w:val="21"/>
          <w:szCs w:val="21"/>
          <w:lang w:val="en-US"/>
        </w:rPr>
        <w:t>have no MREL</w:t>
      </w:r>
      <w:r w:rsidRPr="00C54064">
        <w:rPr>
          <w:rFonts w:cs="Arial"/>
          <w:sz w:val="21"/>
          <w:szCs w:val="21"/>
          <w:lang w:val="en-US"/>
        </w:rPr>
        <w:t xml:space="preserve"> </w:t>
      </w:r>
      <w:r w:rsidRPr="00C54064">
        <w:rPr>
          <w:rFonts w:cs="Arial"/>
          <w:b/>
          <w:bCs/>
          <w:sz w:val="21"/>
          <w:szCs w:val="21"/>
          <w:lang w:val="en-US"/>
        </w:rPr>
        <w:t>requirement</w:t>
      </w:r>
      <w:r w:rsidRPr="00C54064">
        <w:rPr>
          <w:rFonts w:cs="Arial"/>
          <w:sz w:val="21"/>
          <w:szCs w:val="21"/>
          <w:lang w:val="en-US"/>
        </w:rPr>
        <w:t xml:space="preserve"> and/or where MREL </w:t>
      </w:r>
      <w:r w:rsidRPr="00C54064">
        <w:rPr>
          <w:rFonts w:cs="Arial"/>
          <w:b/>
          <w:bCs/>
          <w:sz w:val="21"/>
          <w:szCs w:val="21"/>
          <w:lang w:val="en-US"/>
        </w:rPr>
        <w:t>goes not beyond own funds requirements</w:t>
      </w:r>
      <w:r w:rsidRPr="00C54064">
        <w:rPr>
          <w:rFonts w:cs="Arial"/>
          <w:sz w:val="21"/>
          <w:szCs w:val="21"/>
          <w:lang w:val="en-US"/>
        </w:rPr>
        <w:t xml:space="preserve"> (where no recapitalization amount is defined)</w:t>
      </w:r>
    </w:p>
    <w:p w:rsidR="00C54064" w:rsidRPr="00C54064" w:rsidRDefault="00C54064" w:rsidP="00C54064">
      <w:pPr>
        <w:pStyle w:val="Listenabsatz"/>
        <w:numPr>
          <w:ilvl w:val="0"/>
          <w:numId w:val="6"/>
        </w:numPr>
        <w:spacing w:before="120" w:after="120"/>
        <w:rPr>
          <w:rFonts w:cs="Arial"/>
          <w:sz w:val="21"/>
          <w:szCs w:val="21"/>
          <w:lang w:val="en-US"/>
        </w:rPr>
      </w:pPr>
      <w:proofErr w:type="gramStart"/>
      <w:r w:rsidRPr="00C54064">
        <w:rPr>
          <w:rFonts w:cs="Arial"/>
          <w:sz w:val="21"/>
          <w:szCs w:val="21"/>
          <w:u w:val="single"/>
          <w:lang w:val="en-US"/>
        </w:rPr>
        <w:t>only</w:t>
      </w:r>
      <w:proofErr w:type="gramEnd"/>
      <w:r w:rsidRPr="00C54064">
        <w:rPr>
          <w:rFonts w:cs="Arial"/>
          <w:sz w:val="21"/>
          <w:szCs w:val="21"/>
          <w:u w:val="single"/>
          <w:lang w:val="en-US"/>
        </w:rPr>
        <w:t xml:space="preserve"> for </w:t>
      </w:r>
      <w:r w:rsidRPr="00C54064">
        <w:rPr>
          <w:rFonts w:cs="Arial"/>
          <w:b/>
          <w:bCs/>
          <w:sz w:val="21"/>
          <w:szCs w:val="21"/>
          <w:u w:val="single"/>
          <w:lang w:val="en-US"/>
        </w:rPr>
        <w:t>liabilities</w:t>
      </w:r>
      <w:r w:rsidRPr="00C54064">
        <w:rPr>
          <w:rFonts w:cs="Arial"/>
          <w:sz w:val="21"/>
          <w:szCs w:val="21"/>
          <w:u w:val="single"/>
          <w:lang w:val="en-US"/>
        </w:rPr>
        <w:t xml:space="preserve"> that </w:t>
      </w:r>
      <w:r w:rsidRPr="00C54064">
        <w:rPr>
          <w:rFonts w:cs="Arial"/>
          <w:b/>
          <w:bCs/>
          <w:sz w:val="21"/>
          <w:szCs w:val="21"/>
          <w:u w:val="single"/>
          <w:lang w:val="en-US"/>
        </w:rPr>
        <w:t>fulfill the subordination requirement</w:t>
      </w:r>
      <w:r w:rsidRPr="00C54064">
        <w:rPr>
          <w:rFonts w:cs="Arial"/>
          <w:sz w:val="21"/>
          <w:szCs w:val="21"/>
          <w:u w:val="single"/>
          <w:lang w:val="en-US"/>
        </w:rPr>
        <w:t xml:space="preserve"> the </w:t>
      </w:r>
      <w:r w:rsidRPr="00C54064">
        <w:rPr>
          <w:rFonts w:cs="Arial"/>
          <w:b/>
          <w:bCs/>
          <w:sz w:val="21"/>
          <w:szCs w:val="21"/>
          <w:u w:val="single"/>
          <w:lang w:val="en-US"/>
        </w:rPr>
        <w:t>strict permission regime</w:t>
      </w:r>
      <w:r w:rsidRPr="00C54064">
        <w:rPr>
          <w:rFonts w:cs="Arial"/>
          <w:sz w:val="21"/>
          <w:szCs w:val="21"/>
          <w:u w:val="single"/>
          <w:lang w:val="en-US"/>
        </w:rPr>
        <w:t xml:space="preserve"> (including the annual review) should </w:t>
      </w:r>
      <w:r w:rsidRPr="00C54064">
        <w:rPr>
          <w:rFonts w:cs="Arial"/>
          <w:b/>
          <w:bCs/>
          <w:sz w:val="21"/>
          <w:szCs w:val="21"/>
          <w:u w:val="single"/>
          <w:lang w:val="en-US"/>
        </w:rPr>
        <w:t>apply</w:t>
      </w:r>
      <w:r w:rsidRPr="00C54064">
        <w:rPr>
          <w:rFonts w:cs="Arial"/>
          <w:sz w:val="21"/>
          <w:szCs w:val="21"/>
          <w:lang w:val="en-US"/>
        </w:rPr>
        <w:t xml:space="preserve">. This would be not only in line with the current supervisory practice, but also with the wording of Art. 78a CRR II that refers to the term eligible liabilities instruments. The conditions for a liability to be classified as eligible liabilities instrument can be found in Art. 72b CRR II and contain also the subordination clause (Art. 72b (2) (d) CRR II). All </w:t>
      </w:r>
      <w:r w:rsidRPr="00C54064">
        <w:rPr>
          <w:rFonts w:cs="Arial"/>
          <w:b/>
          <w:bCs/>
          <w:sz w:val="21"/>
          <w:szCs w:val="21"/>
          <w:lang w:val="en-US"/>
        </w:rPr>
        <w:t>other eligible liabilities</w:t>
      </w:r>
      <w:r w:rsidRPr="00C54064">
        <w:rPr>
          <w:rFonts w:cs="Arial"/>
          <w:sz w:val="21"/>
          <w:szCs w:val="21"/>
          <w:lang w:val="en-US"/>
        </w:rPr>
        <w:t xml:space="preserve"> should be </w:t>
      </w:r>
      <w:r w:rsidRPr="00C54064">
        <w:rPr>
          <w:rFonts w:cs="Arial"/>
          <w:b/>
          <w:bCs/>
          <w:sz w:val="21"/>
          <w:szCs w:val="21"/>
          <w:lang w:val="en-US"/>
        </w:rPr>
        <w:t>covered in a separate general prior permission</w:t>
      </w:r>
      <w:r w:rsidRPr="00C54064">
        <w:rPr>
          <w:rFonts w:cs="Arial"/>
          <w:sz w:val="21"/>
          <w:szCs w:val="21"/>
          <w:lang w:val="en-US"/>
        </w:rPr>
        <w:t xml:space="preserve"> that is </w:t>
      </w:r>
      <w:r w:rsidRPr="00C54064">
        <w:rPr>
          <w:rFonts w:cs="Arial"/>
          <w:b/>
          <w:bCs/>
          <w:sz w:val="21"/>
          <w:szCs w:val="21"/>
          <w:lang w:val="en-US"/>
        </w:rPr>
        <w:t>not subject to annual renewal</w:t>
      </w:r>
      <w:r w:rsidRPr="00C54064">
        <w:rPr>
          <w:rFonts w:cs="Arial"/>
          <w:sz w:val="21"/>
          <w:szCs w:val="21"/>
          <w:lang w:val="en-US"/>
        </w:rPr>
        <w:t xml:space="preserve"> and be decided by the authorities within a </w:t>
      </w:r>
      <w:r w:rsidRPr="00C54064">
        <w:rPr>
          <w:rFonts w:cs="Arial"/>
          <w:b/>
          <w:bCs/>
          <w:sz w:val="21"/>
          <w:szCs w:val="21"/>
          <w:lang w:val="en-US"/>
        </w:rPr>
        <w:t>shorter timeframe</w:t>
      </w:r>
      <w:r w:rsidRPr="00C54064">
        <w:rPr>
          <w:rFonts w:cs="Arial"/>
          <w:sz w:val="21"/>
          <w:szCs w:val="21"/>
          <w:lang w:val="en-US"/>
        </w:rPr>
        <w:t xml:space="preserve">. </w:t>
      </w:r>
      <w:r w:rsidRPr="00C54064">
        <w:rPr>
          <w:rFonts w:cs="Arial"/>
          <w:b/>
          <w:bCs/>
          <w:sz w:val="21"/>
          <w:szCs w:val="21"/>
          <w:lang w:val="en-US"/>
        </w:rPr>
        <w:t>Separate 3% limits</w:t>
      </w:r>
      <w:r w:rsidRPr="00C54064">
        <w:rPr>
          <w:rFonts w:cs="Arial"/>
          <w:sz w:val="21"/>
          <w:szCs w:val="21"/>
          <w:lang w:val="en-US"/>
        </w:rPr>
        <w:t xml:space="preserve"> should apply for subordinated and non-subordinated liabilities. This approach would also be in line with the transitional regime (applicable for Austrian institutions until the regulatory standards will enter into force) installed by the Austrian Financial Market Authority (FMA), according to which Art 78a CRR II only applies to subordinated eligible liability instruments and eligible liability instruments with a remaining maturity of less than one year.</w:t>
      </w:r>
      <w:r>
        <w:rPr>
          <w:rFonts w:cs="Arial"/>
          <w:sz w:val="21"/>
          <w:szCs w:val="21"/>
          <w:lang w:val="en-US"/>
        </w:rPr>
        <w:t xml:space="preserve"> </w:t>
      </w:r>
    </w:p>
    <w:p w:rsidR="00C54064" w:rsidRPr="00C54064" w:rsidRDefault="00C54064" w:rsidP="00C54064">
      <w:pPr>
        <w:pStyle w:val="Listenabsatz"/>
        <w:numPr>
          <w:ilvl w:val="0"/>
          <w:numId w:val="6"/>
        </w:numPr>
        <w:spacing w:before="120" w:after="120"/>
        <w:rPr>
          <w:rFonts w:cs="Arial"/>
          <w:sz w:val="21"/>
          <w:szCs w:val="21"/>
          <w:lang w:val="en-US"/>
        </w:rPr>
      </w:pPr>
      <w:r w:rsidRPr="00C54064">
        <w:rPr>
          <w:rFonts w:cs="Arial"/>
          <w:b/>
          <w:bCs/>
          <w:sz w:val="21"/>
          <w:szCs w:val="21"/>
          <w:lang w:val="en-US"/>
        </w:rPr>
        <w:t>Instruments</w:t>
      </w:r>
      <w:r w:rsidRPr="00C54064">
        <w:rPr>
          <w:rFonts w:cs="Arial"/>
          <w:sz w:val="21"/>
          <w:szCs w:val="21"/>
          <w:lang w:val="en-US"/>
        </w:rPr>
        <w:t xml:space="preserve"> that are </w:t>
      </w:r>
      <w:r w:rsidRPr="00C54064">
        <w:rPr>
          <w:rFonts w:cs="Arial"/>
          <w:b/>
          <w:bCs/>
          <w:sz w:val="21"/>
          <w:szCs w:val="21"/>
          <w:lang w:val="en-US"/>
        </w:rPr>
        <w:t>grandfathered</w:t>
      </w:r>
      <w:r w:rsidRPr="00C54064">
        <w:rPr>
          <w:rFonts w:cs="Arial"/>
          <w:sz w:val="21"/>
          <w:szCs w:val="21"/>
          <w:lang w:val="en-US"/>
        </w:rPr>
        <w:t xml:space="preserve"> and </w:t>
      </w:r>
      <w:r w:rsidRPr="00C54064">
        <w:rPr>
          <w:rFonts w:cs="Arial"/>
          <w:b/>
          <w:bCs/>
          <w:sz w:val="21"/>
          <w:szCs w:val="21"/>
          <w:lang w:val="en-US"/>
        </w:rPr>
        <w:t>instruments</w:t>
      </w:r>
      <w:r w:rsidRPr="00C54064">
        <w:rPr>
          <w:rFonts w:cs="Arial"/>
          <w:sz w:val="21"/>
          <w:szCs w:val="21"/>
          <w:lang w:val="en-US"/>
        </w:rPr>
        <w:t xml:space="preserve"> that are </w:t>
      </w:r>
      <w:r w:rsidRPr="00C54064">
        <w:rPr>
          <w:rFonts w:cs="Arial"/>
          <w:b/>
          <w:bCs/>
          <w:sz w:val="21"/>
          <w:szCs w:val="21"/>
          <w:lang w:val="en-US"/>
        </w:rPr>
        <w:t>not MREL eligible</w:t>
      </w:r>
      <w:r w:rsidRPr="00C54064">
        <w:rPr>
          <w:rFonts w:cs="Arial"/>
          <w:sz w:val="21"/>
          <w:szCs w:val="21"/>
          <w:lang w:val="en-US"/>
        </w:rPr>
        <w:t xml:space="preserve"> (i.e. that do not meet the 1 year maturity requirement) should in any case </w:t>
      </w:r>
      <w:r w:rsidRPr="00C54064">
        <w:rPr>
          <w:rFonts w:cs="Arial"/>
          <w:b/>
          <w:bCs/>
          <w:sz w:val="21"/>
          <w:szCs w:val="21"/>
          <w:lang w:val="en-US"/>
        </w:rPr>
        <w:t>not be included.</w:t>
      </w:r>
    </w:p>
    <w:p w:rsidR="00C54064" w:rsidRPr="00C54064" w:rsidRDefault="00C54064" w:rsidP="00C54064">
      <w:pPr>
        <w:pStyle w:val="Listenabsatz"/>
        <w:numPr>
          <w:ilvl w:val="0"/>
          <w:numId w:val="5"/>
        </w:numPr>
        <w:spacing w:before="120" w:after="120"/>
        <w:rPr>
          <w:rFonts w:cs="Arial"/>
          <w:sz w:val="21"/>
          <w:szCs w:val="21"/>
          <w:lang w:val="en-US"/>
        </w:rPr>
      </w:pPr>
      <w:r w:rsidRPr="00C54064">
        <w:rPr>
          <w:rFonts w:cs="Arial"/>
          <w:sz w:val="21"/>
          <w:szCs w:val="21"/>
          <w:lang w:val="en-US"/>
        </w:rPr>
        <w:t xml:space="preserve">In addition, a </w:t>
      </w:r>
      <w:r w:rsidRPr="00C54064">
        <w:rPr>
          <w:rFonts w:cs="Arial"/>
          <w:b/>
          <w:bCs/>
          <w:sz w:val="21"/>
          <w:szCs w:val="21"/>
          <w:lang w:val="en-US"/>
        </w:rPr>
        <w:t>phasing-in approach</w:t>
      </w:r>
      <w:r w:rsidRPr="00C54064">
        <w:rPr>
          <w:rFonts w:cs="Arial"/>
          <w:sz w:val="21"/>
          <w:szCs w:val="21"/>
          <w:lang w:val="en-US"/>
        </w:rPr>
        <w:t xml:space="preserve"> should </w:t>
      </w:r>
      <w:r w:rsidRPr="00C54064">
        <w:rPr>
          <w:rFonts w:cs="Arial"/>
          <w:b/>
          <w:bCs/>
          <w:sz w:val="21"/>
          <w:szCs w:val="21"/>
          <w:lang w:val="en-US"/>
        </w:rPr>
        <w:t>be introduced</w:t>
      </w:r>
      <w:r w:rsidRPr="00C54064">
        <w:rPr>
          <w:rFonts w:cs="Arial"/>
          <w:sz w:val="21"/>
          <w:szCs w:val="21"/>
          <w:lang w:val="en-US"/>
        </w:rPr>
        <w:t xml:space="preserve"> that is </w:t>
      </w:r>
      <w:r w:rsidRPr="00C54064">
        <w:rPr>
          <w:rFonts w:cs="Arial"/>
          <w:b/>
          <w:bCs/>
          <w:sz w:val="21"/>
          <w:szCs w:val="21"/>
          <w:lang w:val="en-US"/>
        </w:rPr>
        <w:t>in line with</w:t>
      </w:r>
      <w:r w:rsidRPr="00C54064">
        <w:rPr>
          <w:rFonts w:cs="Arial"/>
          <w:sz w:val="21"/>
          <w:szCs w:val="21"/>
          <w:lang w:val="en-US"/>
        </w:rPr>
        <w:t xml:space="preserve"> the </w:t>
      </w:r>
      <w:r w:rsidRPr="00C54064">
        <w:rPr>
          <w:rFonts w:cs="Arial"/>
          <w:b/>
          <w:bCs/>
          <w:sz w:val="21"/>
          <w:szCs w:val="21"/>
          <w:lang w:val="en-US"/>
        </w:rPr>
        <w:t>MREL targets</w:t>
      </w:r>
      <w:r w:rsidRPr="00C54064">
        <w:rPr>
          <w:rFonts w:cs="Arial"/>
          <w:sz w:val="21"/>
          <w:szCs w:val="21"/>
          <w:lang w:val="en-US"/>
        </w:rPr>
        <w:t xml:space="preserve">. </w:t>
      </w:r>
      <w:r w:rsidRPr="00C54064">
        <w:rPr>
          <w:rFonts w:cs="Arial"/>
          <w:b/>
          <w:bCs/>
          <w:sz w:val="21"/>
          <w:szCs w:val="21"/>
          <w:lang w:val="en-US"/>
        </w:rPr>
        <w:t>Until 1.1.2024 only subordinated liabilities</w:t>
      </w:r>
      <w:r w:rsidRPr="00C54064">
        <w:rPr>
          <w:rFonts w:cs="Arial"/>
          <w:sz w:val="21"/>
          <w:szCs w:val="21"/>
          <w:lang w:val="en-US"/>
        </w:rPr>
        <w:t xml:space="preserve"> shall fall under the </w:t>
      </w:r>
      <w:r w:rsidRPr="00C54064">
        <w:rPr>
          <w:rFonts w:cs="Arial"/>
          <w:b/>
          <w:bCs/>
          <w:sz w:val="21"/>
          <w:szCs w:val="21"/>
          <w:lang w:val="en-US"/>
        </w:rPr>
        <w:t>permission regime</w:t>
      </w:r>
      <w:r w:rsidRPr="00C54064">
        <w:rPr>
          <w:rFonts w:cs="Arial"/>
          <w:sz w:val="21"/>
          <w:szCs w:val="21"/>
          <w:lang w:val="en-US"/>
        </w:rPr>
        <w:t xml:space="preserve">, other eligible liabilities when final MREL targets are applicable.   </w:t>
      </w:r>
    </w:p>
    <w:p w:rsidR="00C54064" w:rsidRPr="00C54064" w:rsidRDefault="00C54064" w:rsidP="00C54064">
      <w:pPr>
        <w:pStyle w:val="Listenabsatz"/>
        <w:numPr>
          <w:ilvl w:val="0"/>
          <w:numId w:val="5"/>
        </w:numPr>
        <w:spacing w:before="120" w:after="120"/>
        <w:rPr>
          <w:rFonts w:cs="Arial"/>
          <w:sz w:val="21"/>
          <w:szCs w:val="21"/>
          <w:lang w:val="en-US"/>
        </w:rPr>
      </w:pPr>
      <w:r w:rsidRPr="00C54064">
        <w:rPr>
          <w:rFonts w:cs="Arial"/>
          <w:sz w:val="21"/>
          <w:szCs w:val="21"/>
          <w:lang w:val="en-US"/>
        </w:rPr>
        <w:t xml:space="preserve">When performing their assessment </w:t>
      </w:r>
      <w:r w:rsidRPr="00C54064">
        <w:rPr>
          <w:rFonts w:cs="Arial"/>
          <w:b/>
          <w:bCs/>
          <w:sz w:val="21"/>
          <w:szCs w:val="21"/>
          <w:lang w:val="en-US"/>
        </w:rPr>
        <w:t>resolution authorities</w:t>
      </w:r>
      <w:r w:rsidRPr="00C54064">
        <w:rPr>
          <w:rFonts w:cs="Arial"/>
          <w:sz w:val="21"/>
          <w:szCs w:val="21"/>
          <w:lang w:val="en-US"/>
        </w:rPr>
        <w:t xml:space="preserve"> should </w:t>
      </w:r>
      <w:r w:rsidRPr="00C54064">
        <w:rPr>
          <w:rFonts w:cs="Arial"/>
          <w:b/>
          <w:bCs/>
          <w:sz w:val="21"/>
          <w:szCs w:val="21"/>
          <w:lang w:val="en-US"/>
        </w:rPr>
        <w:t>rely</w:t>
      </w:r>
      <w:r w:rsidRPr="00C54064">
        <w:rPr>
          <w:rFonts w:cs="Arial"/>
          <w:sz w:val="21"/>
          <w:szCs w:val="21"/>
          <w:lang w:val="en-US"/>
        </w:rPr>
        <w:t xml:space="preserve"> to the greatest extent possible </w:t>
      </w:r>
      <w:r w:rsidRPr="00C54064">
        <w:rPr>
          <w:rFonts w:cs="Arial"/>
          <w:b/>
          <w:bCs/>
          <w:sz w:val="21"/>
          <w:szCs w:val="21"/>
          <w:lang w:val="en-US"/>
        </w:rPr>
        <w:t xml:space="preserve">on </w:t>
      </w:r>
      <w:r w:rsidRPr="00C54064">
        <w:rPr>
          <w:rFonts w:cs="Arial"/>
          <w:sz w:val="21"/>
          <w:szCs w:val="21"/>
          <w:lang w:val="en-US"/>
        </w:rPr>
        <w:t xml:space="preserve">the </w:t>
      </w:r>
      <w:r w:rsidRPr="00C54064">
        <w:rPr>
          <w:rFonts w:cs="Arial"/>
          <w:b/>
          <w:bCs/>
          <w:sz w:val="21"/>
          <w:szCs w:val="21"/>
          <w:lang w:val="en-US"/>
        </w:rPr>
        <w:t>assessments/information provided by supervisory authorities.</w:t>
      </w:r>
    </w:p>
    <w:p w:rsidR="00C54064" w:rsidRDefault="00C54064" w:rsidP="00C54064">
      <w:pPr>
        <w:pStyle w:val="Listenabsatz"/>
        <w:numPr>
          <w:ilvl w:val="0"/>
          <w:numId w:val="5"/>
        </w:numPr>
        <w:spacing w:before="120" w:after="120"/>
        <w:rPr>
          <w:rFonts w:cs="Arial"/>
          <w:sz w:val="21"/>
          <w:szCs w:val="21"/>
          <w:lang w:val="en-US"/>
        </w:rPr>
      </w:pPr>
      <w:r w:rsidRPr="00C54064">
        <w:rPr>
          <w:rFonts w:cs="Arial"/>
          <w:sz w:val="21"/>
          <w:szCs w:val="21"/>
          <w:lang w:val="en-US"/>
        </w:rPr>
        <w:t>For</w:t>
      </w:r>
      <w:r w:rsidRPr="00C54064">
        <w:rPr>
          <w:rFonts w:cs="Arial"/>
          <w:b/>
          <w:bCs/>
          <w:sz w:val="21"/>
          <w:szCs w:val="21"/>
          <w:lang w:val="en-US"/>
        </w:rPr>
        <w:t xml:space="preserve"> annual renewals simplifications </w:t>
      </w:r>
      <w:r w:rsidRPr="00C54064">
        <w:rPr>
          <w:rFonts w:cs="Arial"/>
          <w:sz w:val="21"/>
          <w:szCs w:val="21"/>
          <w:lang w:val="en-US"/>
        </w:rPr>
        <w:t>should be granted.</w:t>
      </w:r>
    </w:p>
    <w:p w:rsidR="00C54064" w:rsidRPr="00C54064" w:rsidRDefault="00C54064" w:rsidP="00C54064">
      <w:pPr>
        <w:pStyle w:val="Listenabsatz"/>
        <w:spacing w:before="120" w:after="120"/>
        <w:ind w:left="360"/>
        <w:rPr>
          <w:rFonts w:cs="Arial"/>
          <w:sz w:val="21"/>
          <w:szCs w:val="21"/>
          <w:u w:val="single"/>
          <w:lang w:val="en-US"/>
        </w:rPr>
      </w:pPr>
    </w:p>
    <w:p w:rsidR="00C54064" w:rsidRPr="00C54064" w:rsidRDefault="00C54064" w:rsidP="00C54064">
      <w:pPr>
        <w:pStyle w:val="Listenabsatz"/>
        <w:numPr>
          <w:ilvl w:val="0"/>
          <w:numId w:val="2"/>
        </w:numPr>
        <w:spacing w:before="120" w:after="120"/>
        <w:rPr>
          <w:rFonts w:cs="Arial"/>
          <w:sz w:val="21"/>
          <w:szCs w:val="21"/>
          <w:u w:val="single"/>
          <w:lang w:val="en-US"/>
        </w:rPr>
      </w:pPr>
      <w:r w:rsidRPr="00C54064">
        <w:rPr>
          <w:rFonts w:cs="Arial"/>
          <w:b/>
          <w:bCs/>
          <w:sz w:val="21"/>
          <w:szCs w:val="21"/>
          <w:u w:val="single"/>
          <w:lang w:val="en-US"/>
        </w:rPr>
        <w:t>Question</w:t>
      </w:r>
      <w:r w:rsidR="00CD4FCE">
        <w:rPr>
          <w:rFonts w:cs="Arial"/>
          <w:b/>
          <w:bCs/>
          <w:sz w:val="21"/>
          <w:szCs w:val="21"/>
          <w:u w:val="single"/>
          <w:lang w:val="en-US"/>
        </w:rPr>
        <w:t>s</w:t>
      </w:r>
      <w:r w:rsidRPr="00C54064">
        <w:rPr>
          <w:rFonts w:cs="Arial"/>
          <w:b/>
          <w:bCs/>
          <w:sz w:val="21"/>
          <w:szCs w:val="21"/>
          <w:u w:val="single"/>
          <w:lang w:val="en-US"/>
        </w:rPr>
        <w:t xml:space="preserve"> for consultation</w:t>
      </w:r>
    </w:p>
    <w:p w:rsidR="00C54064" w:rsidRPr="00C54064" w:rsidRDefault="00C54064" w:rsidP="00C54064">
      <w:pPr>
        <w:pStyle w:val="Listenabsatz"/>
        <w:spacing w:before="120" w:after="120"/>
        <w:rPr>
          <w:rFonts w:cs="Arial"/>
          <w:sz w:val="21"/>
          <w:szCs w:val="21"/>
          <w:lang w:val="en-US"/>
        </w:rPr>
      </w:pPr>
    </w:p>
    <w:p w:rsidR="00C54064" w:rsidRPr="00C54064" w:rsidRDefault="00C54064" w:rsidP="00C54064">
      <w:pPr>
        <w:pStyle w:val="Listenabsatz"/>
        <w:numPr>
          <w:ilvl w:val="0"/>
          <w:numId w:val="1"/>
        </w:numPr>
        <w:spacing w:before="120" w:after="120"/>
        <w:contextualSpacing w:val="0"/>
        <w:rPr>
          <w:rFonts w:cs="Arial"/>
          <w:b/>
          <w:bCs/>
          <w:i/>
          <w:sz w:val="21"/>
          <w:szCs w:val="21"/>
          <w:lang w:val="en-US"/>
        </w:rPr>
      </w:pPr>
      <w:r w:rsidRPr="00C54064">
        <w:rPr>
          <w:rFonts w:cs="Arial"/>
          <w:b/>
          <w:bCs/>
          <w:i/>
          <w:sz w:val="21"/>
          <w:szCs w:val="21"/>
          <w:lang w:val="en-US"/>
        </w:rPr>
        <w:t xml:space="preserve">What is the percentage of senior non-preferred and senior preferred liabilities in relation to total liabilities for the institution(s) you represent? Within the senior-preferred layer, what is the percentage of eligible to non-eligible liabilities for this/these institution(s)? </w:t>
      </w:r>
    </w:p>
    <w:p w:rsidR="00C54064" w:rsidRPr="00C54064" w:rsidRDefault="00C54064" w:rsidP="00C54064">
      <w:pPr>
        <w:pStyle w:val="Listenabsatz"/>
        <w:spacing w:before="120" w:after="120"/>
        <w:contextualSpacing w:val="0"/>
        <w:rPr>
          <w:rFonts w:cs="Arial"/>
          <w:b/>
          <w:bCs/>
          <w:i/>
          <w:sz w:val="21"/>
          <w:szCs w:val="21"/>
          <w:lang w:val="en-US"/>
        </w:rPr>
      </w:pPr>
      <w:r w:rsidRPr="00C54064">
        <w:rPr>
          <w:rFonts w:cs="Arial"/>
          <w:b/>
          <w:bCs/>
          <w:i/>
          <w:sz w:val="21"/>
          <w:szCs w:val="21"/>
          <w:lang w:val="en-US"/>
        </w:rPr>
        <w:t xml:space="preserve">The CRR2 introduces new granular eligibility criteria for eligible liabilities related, inter alia, to acceleration, set-off and netting, reference to write down and conversion </w:t>
      </w:r>
      <w:r w:rsidRPr="00C54064">
        <w:rPr>
          <w:rFonts w:cs="Arial"/>
          <w:b/>
          <w:bCs/>
          <w:i/>
          <w:sz w:val="21"/>
          <w:szCs w:val="21"/>
          <w:lang w:val="en-US"/>
        </w:rPr>
        <w:lastRenderedPageBreak/>
        <w:t xml:space="preserve">etc. and the requirement that the instrument be subject to permission. However, some of these criteria are grandfathered indefinitely for existing instruments (legacy instruments) under Article </w:t>
      </w:r>
      <w:proofErr w:type="gramStart"/>
      <w:r w:rsidRPr="00C54064">
        <w:rPr>
          <w:rFonts w:cs="Arial"/>
          <w:b/>
          <w:bCs/>
          <w:i/>
          <w:sz w:val="21"/>
          <w:szCs w:val="21"/>
          <w:lang w:val="en-US"/>
        </w:rPr>
        <w:t>72b(</w:t>
      </w:r>
      <w:proofErr w:type="gramEnd"/>
      <w:r w:rsidRPr="00C54064">
        <w:rPr>
          <w:rFonts w:cs="Arial"/>
          <w:b/>
          <w:bCs/>
          <w:i/>
          <w:sz w:val="21"/>
          <w:szCs w:val="21"/>
          <w:lang w:val="en-US"/>
        </w:rPr>
        <w:t xml:space="preserve">2)(n) or Article 494b(3) CRR. </w:t>
      </w:r>
    </w:p>
    <w:p w:rsidR="00C54064" w:rsidRPr="00C54064" w:rsidRDefault="00C54064" w:rsidP="00C54064">
      <w:pPr>
        <w:spacing w:before="120" w:after="120"/>
        <w:rPr>
          <w:rFonts w:cs="Arial"/>
          <w:sz w:val="21"/>
          <w:szCs w:val="21"/>
          <w:lang w:val="en-US"/>
        </w:rPr>
      </w:pPr>
      <w:r w:rsidRPr="00C54064">
        <w:rPr>
          <w:rFonts w:cs="Arial"/>
          <w:sz w:val="21"/>
          <w:szCs w:val="21"/>
          <w:lang w:val="en-US"/>
        </w:rPr>
        <w:t xml:space="preserve">In general, we do not see the need to extend the scope of liabilities subject to the permission regime to the maximum (in comparison with the current praxis) as proposed in the consultation paper. However, we understand and support the intention to establish similar procedures for own funds and liabilities with comparable loss absorption based on their ranking in insolvency. While the level 1 text could be interpreted to cover all MREL eligible liabilities, we would strongly recommend that EBA gives flexibility to resolution authorities regarding the scope of liabilities covered and allows them to focus on subordinated liabilities while excluding other eligible liabilities from the annual renewal requirement. Such an approach would be in line with the current practice of the resolution authorities, where the prior permission is only applied for the senior non-preferred class of instruments. </w:t>
      </w:r>
    </w:p>
    <w:p w:rsidR="00C54064" w:rsidRPr="00C54064" w:rsidRDefault="00C54064" w:rsidP="00C54064">
      <w:pPr>
        <w:spacing w:before="120" w:after="120"/>
        <w:rPr>
          <w:rFonts w:cs="Arial"/>
          <w:sz w:val="21"/>
          <w:szCs w:val="21"/>
          <w:lang w:val="en-US"/>
        </w:rPr>
      </w:pPr>
      <w:r w:rsidRPr="00C54064">
        <w:rPr>
          <w:rFonts w:cs="Arial"/>
          <w:sz w:val="21"/>
          <w:szCs w:val="21"/>
          <w:lang w:val="en-US"/>
        </w:rPr>
        <w:t xml:space="preserve">In addition, the permission regime should at least follow the same step-wise approach as the MREL target level itself (that differentiates between intermediate (informational/binding) and final targets). In a first step and as long as final MREL targets do not become binding, only subordinated liabilities should be in scope of the permission regime until 1.1.2024.    </w:t>
      </w:r>
    </w:p>
    <w:p w:rsidR="00C54064" w:rsidRPr="00C54064" w:rsidRDefault="00C54064" w:rsidP="00C54064">
      <w:pPr>
        <w:spacing w:before="120" w:after="120"/>
        <w:rPr>
          <w:rFonts w:cs="Arial"/>
          <w:sz w:val="21"/>
          <w:szCs w:val="21"/>
          <w:lang w:val="en-US"/>
        </w:rPr>
      </w:pPr>
      <w:r w:rsidRPr="00C54064">
        <w:rPr>
          <w:rFonts w:cs="Arial"/>
          <w:sz w:val="21"/>
          <w:szCs w:val="21"/>
          <w:lang w:val="en-US"/>
        </w:rPr>
        <w:t xml:space="preserve">Furthermore it is not understandable that the permission regime should cover and apply to institutions for which MREL does not exceed the loss absorption amount and thus goes not beyond the own funds requirement (i.e. institutions without a </w:t>
      </w:r>
      <w:proofErr w:type="spellStart"/>
      <w:r w:rsidRPr="00C54064">
        <w:rPr>
          <w:rFonts w:cs="Arial"/>
          <w:sz w:val="21"/>
          <w:szCs w:val="21"/>
          <w:lang w:val="en-US"/>
        </w:rPr>
        <w:t>recapitalisation</w:t>
      </w:r>
      <w:proofErr w:type="spellEnd"/>
      <w:r w:rsidRPr="00C54064">
        <w:rPr>
          <w:rFonts w:cs="Arial"/>
          <w:sz w:val="21"/>
          <w:szCs w:val="21"/>
          <w:lang w:val="en-US"/>
        </w:rPr>
        <w:t xml:space="preserve"> amount that would be wound up using normal insolvency proceedings) and institutions for which no MREL is determined/waived. </w:t>
      </w:r>
    </w:p>
    <w:p w:rsidR="00C54064" w:rsidRPr="00C54064" w:rsidRDefault="00C54064" w:rsidP="00C54064">
      <w:pPr>
        <w:spacing w:before="120" w:after="120"/>
        <w:rPr>
          <w:rFonts w:cs="Arial"/>
          <w:sz w:val="21"/>
          <w:szCs w:val="21"/>
          <w:lang w:val="en-US"/>
        </w:rPr>
      </w:pPr>
      <w:r w:rsidRPr="00C54064">
        <w:rPr>
          <w:rFonts w:cs="Arial"/>
          <w:sz w:val="21"/>
          <w:szCs w:val="21"/>
          <w:lang w:val="en-US"/>
        </w:rPr>
        <w:t xml:space="preserve">The regime in general is closely connected to own funds and MREL requirements with the intention to not endanger the fulfillment of these regulatory requirements in case of a reduction following a repurchase. Thus, it does not make sense to make institutions subject to such a control regime for eligible liabilities if they have now additional regulatory requirement that goes beyond own funds. In such cases it is absolutely sufficient that resolution authorities are informed about permissions granted on own funds by supervisory authorities. </w:t>
      </w:r>
    </w:p>
    <w:p w:rsidR="00C54064" w:rsidRPr="00C54064" w:rsidRDefault="00C54064" w:rsidP="00C54064">
      <w:pPr>
        <w:spacing w:before="120" w:after="120"/>
        <w:rPr>
          <w:rFonts w:cs="Arial"/>
          <w:sz w:val="21"/>
          <w:szCs w:val="21"/>
          <w:lang w:val="en-US"/>
        </w:rPr>
      </w:pPr>
      <w:r w:rsidRPr="00C54064">
        <w:rPr>
          <w:rFonts w:cs="Arial"/>
          <w:sz w:val="21"/>
          <w:szCs w:val="21"/>
          <w:lang w:val="en-US"/>
        </w:rPr>
        <w:t>This new regime means anyhow a huge additional workload compared to the current status on all sides – supervisory and resolution authorities as well as banks - and thus should not be overextended from the very beginning.</w:t>
      </w:r>
    </w:p>
    <w:p w:rsidR="00C54064" w:rsidRPr="00C54064" w:rsidRDefault="00C54064" w:rsidP="00C54064">
      <w:pPr>
        <w:spacing w:before="120" w:after="120"/>
        <w:rPr>
          <w:rFonts w:cs="Arial"/>
          <w:sz w:val="21"/>
          <w:szCs w:val="21"/>
          <w:lang w:val="en-US"/>
        </w:rPr>
      </w:pPr>
      <w:r w:rsidRPr="00C54064">
        <w:rPr>
          <w:rFonts w:cs="Arial"/>
          <w:sz w:val="21"/>
          <w:szCs w:val="21"/>
          <w:lang w:val="en-US"/>
        </w:rPr>
        <w:t xml:space="preserve">Finally, grandfathered instruments should not be considered and subject to the permission regime and not be taken into account when limits for a general prior permission are calculated. </w:t>
      </w:r>
    </w:p>
    <w:p w:rsidR="00C54064" w:rsidRPr="00C54064" w:rsidRDefault="00C54064" w:rsidP="00C54064">
      <w:pPr>
        <w:spacing w:before="120" w:after="120"/>
        <w:rPr>
          <w:rFonts w:cs="Arial"/>
          <w:sz w:val="21"/>
          <w:szCs w:val="21"/>
          <w:lang w:val="en-US"/>
        </w:rPr>
      </w:pPr>
      <w:r w:rsidRPr="00C54064">
        <w:rPr>
          <w:rFonts w:cs="Arial"/>
          <w:sz w:val="21"/>
          <w:szCs w:val="21"/>
          <w:lang w:val="en-US"/>
        </w:rPr>
        <w:t>In addition, it does not make sense to include instruments that are not MREL eligible and to cover them even when they do not meet the one year maturity requirement anymore.</w:t>
      </w:r>
    </w:p>
    <w:p w:rsidR="00C54064" w:rsidRPr="00C54064" w:rsidRDefault="00C54064" w:rsidP="00C54064">
      <w:pPr>
        <w:spacing w:before="120" w:after="120"/>
        <w:rPr>
          <w:rFonts w:cs="Arial"/>
          <w:sz w:val="21"/>
          <w:szCs w:val="21"/>
          <w:lang w:val="en-US"/>
        </w:rPr>
      </w:pPr>
      <w:r w:rsidRPr="00C54064">
        <w:rPr>
          <w:rFonts w:cs="Arial"/>
          <w:sz w:val="21"/>
          <w:szCs w:val="21"/>
          <w:lang w:val="en-US"/>
        </w:rPr>
        <w:t xml:space="preserve">It is not clear whether the Tier 2 instruments with residual maturity of at least 1 year, to the extent to which they do not qualify as Tier 2 items (“amortized Tier 2 instruments” – see Art. 72a (1) (b) CRR II) fall under the scope of this RTS. In case they are under the scope it is unclear whether the part of the </w:t>
      </w:r>
      <w:proofErr w:type="gramStart"/>
      <w:r w:rsidRPr="00C54064">
        <w:rPr>
          <w:rFonts w:cs="Arial"/>
          <w:sz w:val="21"/>
          <w:szCs w:val="21"/>
          <w:lang w:val="en-US"/>
        </w:rPr>
        <w:t>instrument, that</w:t>
      </w:r>
      <w:proofErr w:type="gramEnd"/>
      <w:r w:rsidRPr="00C54064">
        <w:rPr>
          <w:rFonts w:cs="Arial"/>
          <w:sz w:val="21"/>
          <w:szCs w:val="21"/>
          <w:lang w:val="en-US"/>
        </w:rPr>
        <w:t xml:space="preserve"> does not qualify as Tier 2 item anymore (due to their amortization) should be considered as Own Funds or Eligible Liabilities. Since we are always dealing with ISINs for which one part is still considered OF, such instrument shall be subject to the OF regime and therefore be subject to permission regime under the remit of the supervisory authority.</w:t>
      </w:r>
    </w:p>
    <w:p w:rsidR="00C54064" w:rsidRPr="00C54064" w:rsidRDefault="00C54064" w:rsidP="00C54064">
      <w:pPr>
        <w:spacing w:before="120" w:after="120"/>
        <w:rPr>
          <w:rFonts w:cs="Arial"/>
          <w:sz w:val="21"/>
          <w:szCs w:val="21"/>
          <w:lang w:val="en-US"/>
        </w:rPr>
      </w:pPr>
    </w:p>
    <w:p w:rsidR="00C54064" w:rsidRPr="00C54064" w:rsidRDefault="00C54064" w:rsidP="00C54064">
      <w:pPr>
        <w:pStyle w:val="Listenabsatz"/>
        <w:numPr>
          <w:ilvl w:val="0"/>
          <w:numId w:val="7"/>
        </w:numPr>
        <w:spacing w:before="120" w:after="120"/>
        <w:rPr>
          <w:rFonts w:cs="Arial"/>
          <w:b/>
          <w:bCs/>
          <w:i/>
          <w:sz w:val="21"/>
          <w:szCs w:val="21"/>
          <w:lang w:val="en-US"/>
        </w:rPr>
      </w:pPr>
      <w:bookmarkStart w:id="2" w:name="_Hlk45891818"/>
      <w:r w:rsidRPr="00C54064">
        <w:rPr>
          <w:rFonts w:cs="Arial"/>
          <w:b/>
          <w:bCs/>
          <w:i/>
          <w:sz w:val="21"/>
          <w:szCs w:val="21"/>
          <w:lang w:val="en-US"/>
        </w:rPr>
        <w:t xml:space="preserve">Do you consider that the general prior permission as per the 2nd subparagraph of Article 78(1) CRR, with the limits included therein, would be sufficient to cater for permissions to repurchase own funds instruments then to be passed on to employees as part of their </w:t>
      </w:r>
      <w:r w:rsidRPr="00C54064">
        <w:rPr>
          <w:rFonts w:cs="Arial"/>
          <w:b/>
          <w:bCs/>
          <w:i/>
          <w:sz w:val="21"/>
          <w:szCs w:val="21"/>
          <w:lang w:val="en-US"/>
        </w:rPr>
        <w:lastRenderedPageBreak/>
        <w:t xml:space="preserve">remuneration (former Article 29(4) of the RTS), in addition to market making and other repurchase activities? Would you consider any derogations to be needed (in particular in terms of limits and one-year timeframe)? </w:t>
      </w:r>
    </w:p>
    <w:p w:rsidR="00C54064" w:rsidRPr="00C54064" w:rsidRDefault="00C54064" w:rsidP="00C54064">
      <w:pPr>
        <w:spacing w:before="120" w:after="120"/>
        <w:rPr>
          <w:rFonts w:cs="Arial"/>
          <w:bCs/>
          <w:sz w:val="21"/>
          <w:szCs w:val="21"/>
          <w:lang w:val="en-US"/>
        </w:rPr>
      </w:pPr>
      <w:r w:rsidRPr="00C54064">
        <w:rPr>
          <w:rFonts w:cs="Arial"/>
          <w:bCs/>
          <w:sz w:val="21"/>
          <w:szCs w:val="21"/>
          <w:lang w:val="en-US"/>
        </w:rPr>
        <w:t xml:space="preserve">Our understanding is that an institution can obtain one general prior permission for different purposes. In case an institution intends to seek such permission for market making purposes and other repurchases (which was separated in the past) the RTS should provide further guidance on the procedural requirements and formats to be used when dealing with different topics in one application. </w:t>
      </w:r>
    </w:p>
    <w:p w:rsidR="00C54064" w:rsidRDefault="00C54064" w:rsidP="00C54064">
      <w:pPr>
        <w:spacing w:before="120" w:after="120"/>
        <w:rPr>
          <w:rFonts w:cs="Arial"/>
          <w:bCs/>
          <w:sz w:val="21"/>
          <w:szCs w:val="21"/>
          <w:lang w:val="en-US"/>
        </w:rPr>
      </w:pPr>
      <w:r w:rsidRPr="00C54064">
        <w:rPr>
          <w:rFonts w:cs="Arial"/>
          <w:bCs/>
          <w:sz w:val="21"/>
          <w:szCs w:val="21"/>
          <w:lang w:val="en-US"/>
        </w:rPr>
        <w:t>Own funds instruments that are passed on to employees should not be part of the general prior permission regime. The intention here is very clear and defined and not comparable with other repurchases that are i.e. part of market making. We see no need to change the existing process and thus they should be treated separately. A 1-year time limit for these transactions is not useful. Banks normally do not change their remuneration programs on an annual basis but keep them over a longer time period and thus it should be sufficient if they approach the regulator once they cannot get along with the existing permission anymore.</w:t>
      </w:r>
    </w:p>
    <w:p w:rsidR="00C54064" w:rsidRPr="00C54064" w:rsidRDefault="00C54064" w:rsidP="00C54064">
      <w:pPr>
        <w:spacing w:before="120" w:after="120"/>
        <w:rPr>
          <w:rFonts w:cs="Arial"/>
          <w:bCs/>
          <w:sz w:val="21"/>
          <w:szCs w:val="21"/>
          <w:lang w:val="en-US"/>
        </w:rPr>
      </w:pPr>
    </w:p>
    <w:bookmarkEnd w:id="2"/>
    <w:p w:rsidR="00C54064" w:rsidRPr="00C54064" w:rsidRDefault="00C54064" w:rsidP="00C54064">
      <w:pPr>
        <w:pStyle w:val="Listenabsatz"/>
        <w:numPr>
          <w:ilvl w:val="0"/>
          <w:numId w:val="7"/>
        </w:numPr>
        <w:spacing w:before="120" w:after="120"/>
        <w:contextualSpacing w:val="0"/>
        <w:rPr>
          <w:rFonts w:cs="Arial"/>
          <w:b/>
          <w:bCs/>
          <w:i/>
          <w:sz w:val="21"/>
          <w:szCs w:val="21"/>
          <w:lang w:val="en-US"/>
        </w:rPr>
      </w:pPr>
      <w:r w:rsidRPr="00C54064">
        <w:rPr>
          <w:rFonts w:cs="Arial"/>
          <w:b/>
          <w:bCs/>
          <w:i/>
          <w:sz w:val="21"/>
          <w:szCs w:val="21"/>
          <w:lang w:val="en-US"/>
        </w:rPr>
        <w:t>Do you agree that the provision regarding permission for immaterial amounts to be called, redeemed or repurchased (former Article 29(5) of the RTS) is no longer needed? If you disagree please provide a substantiated rationale.</w:t>
      </w:r>
    </w:p>
    <w:p w:rsidR="00C54064" w:rsidRDefault="00C54064" w:rsidP="00C54064">
      <w:pPr>
        <w:spacing w:before="120" w:after="120"/>
        <w:rPr>
          <w:rFonts w:cs="Arial"/>
          <w:sz w:val="21"/>
          <w:szCs w:val="21"/>
          <w:lang w:val="en-US"/>
        </w:rPr>
      </w:pPr>
      <w:r w:rsidRPr="00C54064">
        <w:rPr>
          <w:rFonts w:cs="Arial"/>
          <w:sz w:val="21"/>
          <w:szCs w:val="21"/>
          <w:lang w:val="en-US"/>
        </w:rPr>
        <w:t>The possibility to seek for a prior permission for immaterial amounts should remain available in addition and independently of other general prior permissions at least for small and non-complex institutions. For these immaterial amounts/permissions the one-year time-limit should not apply. Such a proportionate approach should be kept, would reduce the bureaucratic burden and is absolutely necessary to cover the needs of smaller institutions to treat them separate from i.e. market making applications. This regime was intensively and constantly used in the past by small and non-complex institutions (even within banking groups). Article 29 (5) RTS should not be deleted.</w:t>
      </w:r>
    </w:p>
    <w:p w:rsidR="00C54064" w:rsidRPr="00C54064" w:rsidRDefault="00C54064" w:rsidP="00C54064">
      <w:pPr>
        <w:spacing w:before="120" w:after="120"/>
        <w:rPr>
          <w:rFonts w:cs="Arial"/>
          <w:sz w:val="21"/>
          <w:szCs w:val="21"/>
          <w:lang w:val="en-US"/>
        </w:rPr>
      </w:pPr>
    </w:p>
    <w:p w:rsidR="00C54064" w:rsidRPr="00C54064" w:rsidRDefault="00C54064" w:rsidP="00C54064">
      <w:pPr>
        <w:pStyle w:val="Listenabsatz"/>
        <w:numPr>
          <w:ilvl w:val="0"/>
          <w:numId w:val="7"/>
        </w:numPr>
        <w:spacing w:before="120" w:after="120"/>
        <w:contextualSpacing w:val="0"/>
        <w:rPr>
          <w:rFonts w:cs="Arial"/>
          <w:b/>
          <w:bCs/>
          <w:i/>
          <w:sz w:val="21"/>
          <w:szCs w:val="21"/>
          <w:lang w:val="en-US"/>
        </w:rPr>
      </w:pPr>
      <w:r w:rsidRPr="00C54064">
        <w:rPr>
          <w:rFonts w:cs="Arial"/>
          <w:b/>
          <w:bCs/>
          <w:i/>
          <w:sz w:val="21"/>
          <w:szCs w:val="21"/>
          <w:lang w:val="en-US"/>
        </w:rPr>
        <w:t xml:space="preserve">Is the information required appropriate? Please specify any change you would make and why. Please consider consistency with the prior permission regime for eligible liabilities instruments. </w:t>
      </w:r>
    </w:p>
    <w:p w:rsidR="00C54064" w:rsidRPr="00C54064" w:rsidRDefault="00C54064" w:rsidP="00C54064">
      <w:pPr>
        <w:spacing w:before="120" w:after="120"/>
        <w:rPr>
          <w:rFonts w:cs="Arial"/>
          <w:bCs/>
          <w:sz w:val="21"/>
          <w:szCs w:val="21"/>
          <w:lang w:val="en-US"/>
        </w:rPr>
      </w:pPr>
      <w:r w:rsidRPr="00C54064">
        <w:rPr>
          <w:rFonts w:cs="Arial"/>
          <w:bCs/>
          <w:sz w:val="21"/>
          <w:szCs w:val="21"/>
          <w:lang w:val="en-US"/>
        </w:rPr>
        <w:t>We agree with most of the information items required in case of the first, original application with the following exceptions:</w:t>
      </w:r>
    </w:p>
    <w:p w:rsidR="00C54064" w:rsidRPr="00C54064" w:rsidRDefault="00C54064" w:rsidP="00C54064">
      <w:pPr>
        <w:spacing w:before="120" w:after="120"/>
        <w:rPr>
          <w:rFonts w:cs="Arial"/>
          <w:bCs/>
          <w:sz w:val="21"/>
          <w:szCs w:val="21"/>
          <w:lang w:val="en-US"/>
        </w:rPr>
      </w:pPr>
      <w:r w:rsidRPr="00C54064">
        <w:rPr>
          <w:rFonts w:cs="Arial"/>
          <w:bCs/>
          <w:sz w:val="21"/>
          <w:szCs w:val="21"/>
          <w:lang w:val="en-US"/>
        </w:rPr>
        <w:t>(</w:t>
      </w:r>
      <w:proofErr w:type="spellStart"/>
      <w:r w:rsidRPr="00C54064">
        <w:rPr>
          <w:rFonts w:cs="Arial"/>
          <w:bCs/>
          <w:sz w:val="21"/>
          <w:szCs w:val="21"/>
          <w:lang w:val="en-US"/>
        </w:rPr>
        <w:t>i</w:t>
      </w:r>
      <w:proofErr w:type="spellEnd"/>
      <w:r w:rsidRPr="00C54064">
        <w:rPr>
          <w:rFonts w:cs="Arial"/>
          <w:bCs/>
          <w:sz w:val="21"/>
          <w:szCs w:val="21"/>
          <w:lang w:val="en-US"/>
        </w:rPr>
        <w:t>)</w:t>
      </w:r>
      <w:r w:rsidRPr="00C54064">
        <w:rPr>
          <w:rFonts w:cs="Arial"/>
          <w:bCs/>
          <w:sz w:val="21"/>
          <w:szCs w:val="21"/>
          <w:lang w:val="en-US"/>
        </w:rPr>
        <w:tab/>
        <w:t xml:space="preserve">The specifications foreseen in point e) in Article 30 are absolutely overshooting as these details have nothing to do with own funds and have to be provided anyhow in case of a permission for eligible liabilities. Asking for such a detailed breakdown is and should not be relevant for the supervisory authorities and their going concern perspective and would lead to a huge additional workload every year. We agree with the proposed three-year period, but the breakdown level of liabilities should be kept at a minimum level (i.e. subordinated and non-subordinated liabilities)  </w:t>
      </w:r>
    </w:p>
    <w:p w:rsidR="00C54064" w:rsidRPr="00C54064" w:rsidRDefault="00C54064" w:rsidP="00C54064">
      <w:pPr>
        <w:spacing w:before="120" w:after="120"/>
        <w:rPr>
          <w:rFonts w:cs="Arial"/>
          <w:bCs/>
          <w:sz w:val="21"/>
          <w:szCs w:val="21"/>
          <w:lang w:val="en-US"/>
        </w:rPr>
      </w:pPr>
      <w:r w:rsidRPr="00C54064">
        <w:rPr>
          <w:rFonts w:cs="Arial"/>
          <w:bCs/>
          <w:sz w:val="21"/>
          <w:szCs w:val="21"/>
          <w:lang w:val="en-US"/>
        </w:rPr>
        <w:t>(ii)</w:t>
      </w:r>
      <w:r w:rsidRPr="00C54064">
        <w:rPr>
          <w:rFonts w:cs="Arial"/>
          <w:bCs/>
          <w:sz w:val="21"/>
          <w:szCs w:val="21"/>
          <w:lang w:val="en-US"/>
        </w:rPr>
        <w:tab/>
        <w:t xml:space="preserve">Point g (iii) the costs for replacement should be deleted as it has to be considered in the impact calculation under point g (v) already. Asking for both has no added value but leads to additional effort. </w:t>
      </w:r>
    </w:p>
    <w:p w:rsidR="00C54064" w:rsidRDefault="00C54064" w:rsidP="00C54064">
      <w:pPr>
        <w:spacing w:before="120" w:after="120"/>
        <w:rPr>
          <w:rFonts w:cs="Arial"/>
          <w:bCs/>
          <w:sz w:val="21"/>
          <w:szCs w:val="21"/>
          <w:lang w:val="en-US"/>
        </w:rPr>
      </w:pPr>
      <w:r w:rsidRPr="00C54064">
        <w:rPr>
          <w:rFonts w:cs="Arial"/>
          <w:bCs/>
          <w:sz w:val="21"/>
          <w:szCs w:val="21"/>
          <w:lang w:val="en-US"/>
        </w:rPr>
        <w:t xml:space="preserve">However we in addition see a strong need to define additional reliefs and a quick and </w:t>
      </w:r>
      <w:proofErr w:type="spellStart"/>
      <w:r w:rsidRPr="00C54064">
        <w:rPr>
          <w:rFonts w:cs="Arial"/>
          <w:bCs/>
          <w:sz w:val="21"/>
          <w:szCs w:val="21"/>
          <w:lang w:val="en-US"/>
        </w:rPr>
        <w:t>unbureaucratic</w:t>
      </w:r>
      <w:proofErr w:type="spellEnd"/>
      <w:r w:rsidRPr="00C54064">
        <w:rPr>
          <w:rFonts w:cs="Arial"/>
          <w:bCs/>
          <w:sz w:val="21"/>
          <w:szCs w:val="21"/>
          <w:lang w:val="en-US"/>
        </w:rPr>
        <w:t xml:space="preserve"> process (fast procedure) in case of renewals of a general prior permission where the amount and the </w:t>
      </w:r>
      <w:r w:rsidRPr="00C54064">
        <w:rPr>
          <w:rFonts w:cs="Arial"/>
          <w:bCs/>
          <w:sz w:val="21"/>
          <w:szCs w:val="21"/>
          <w:lang w:val="en-US"/>
        </w:rPr>
        <w:lastRenderedPageBreak/>
        <w:t>instruments covered are highly comparable with the first original approval and in case of immaterial amounts.</w:t>
      </w:r>
    </w:p>
    <w:p w:rsidR="00C54064" w:rsidRPr="00C54064" w:rsidRDefault="00C54064" w:rsidP="00C54064">
      <w:pPr>
        <w:spacing w:before="120" w:after="120"/>
        <w:rPr>
          <w:rFonts w:cs="Arial"/>
          <w:bCs/>
          <w:sz w:val="21"/>
          <w:szCs w:val="21"/>
          <w:lang w:val="en-US"/>
        </w:rPr>
      </w:pPr>
    </w:p>
    <w:p w:rsidR="00C54064" w:rsidRPr="00C54064" w:rsidRDefault="00C54064" w:rsidP="00C54064">
      <w:pPr>
        <w:pStyle w:val="Listenabsatz"/>
        <w:numPr>
          <w:ilvl w:val="0"/>
          <w:numId w:val="7"/>
        </w:numPr>
        <w:spacing w:before="120" w:after="120"/>
        <w:contextualSpacing w:val="0"/>
        <w:rPr>
          <w:rFonts w:cs="Arial"/>
          <w:b/>
          <w:bCs/>
          <w:i/>
          <w:sz w:val="21"/>
          <w:szCs w:val="21"/>
          <w:lang w:val="en-US"/>
        </w:rPr>
      </w:pPr>
      <w:r w:rsidRPr="00C54064">
        <w:rPr>
          <w:rFonts w:cs="Arial"/>
          <w:b/>
          <w:bCs/>
          <w:i/>
          <w:sz w:val="21"/>
          <w:szCs w:val="21"/>
          <w:lang w:val="en-US"/>
        </w:rPr>
        <w:t xml:space="preserve">Do you consider the four months deadline appropriate? Would you consider making a difference between the individual permissions pursuant to Article 78(1) points (a) or (b) CRR and the general prior permission pursuant to the 2nd subparagraph of Article 78(1) CRR? In case the four months deadline was kept for first time applications for general prior permission, would you see merit in: </w:t>
      </w:r>
    </w:p>
    <w:p w:rsidR="00C54064" w:rsidRDefault="00C54064" w:rsidP="00C54064">
      <w:pPr>
        <w:pStyle w:val="Listenabsatz"/>
        <w:numPr>
          <w:ilvl w:val="0"/>
          <w:numId w:val="3"/>
        </w:numPr>
        <w:spacing w:before="120" w:after="120"/>
        <w:contextualSpacing w:val="0"/>
        <w:rPr>
          <w:rFonts w:cs="Arial"/>
          <w:b/>
          <w:bCs/>
          <w:i/>
          <w:sz w:val="21"/>
          <w:szCs w:val="21"/>
          <w:lang w:val="en-US"/>
        </w:rPr>
      </w:pPr>
      <w:proofErr w:type="gramStart"/>
      <w:r w:rsidRPr="00C54064">
        <w:rPr>
          <w:rFonts w:cs="Arial"/>
          <w:b/>
          <w:bCs/>
          <w:i/>
          <w:sz w:val="21"/>
          <w:szCs w:val="21"/>
          <w:lang w:val="en-US"/>
        </w:rPr>
        <w:t>shortening</w:t>
      </w:r>
      <w:proofErr w:type="gramEnd"/>
      <w:r w:rsidRPr="00C54064">
        <w:rPr>
          <w:rFonts w:cs="Arial"/>
          <w:b/>
          <w:bCs/>
          <w:i/>
          <w:sz w:val="21"/>
          <w:szCs w:val="21"/>
          <w:lang w:val="en-US"/>
        </w:rPr>
        <w:t xml:space="preserve"> the deadline for applications for the renewal of the permission? </w:t>
      </w:r>
    </w:p>
    <w:p w:rsidR="00C54064" w:rsidRPr="00C54064" w:rsidRDefault="00C54064" w:rsidP="00C54064">
      <w:pPr>
        <w:spacing w:before="120" w:after="120"/>
        <w:rPr>
          <w:rFonts w:cs="Arial"/>
          <w:bCs/>
          <w:sz w:val="21"/>
          <w:szCs w:val="21"/>
          <w:lang w:val="en-US"/>
        </w:rPr>
      </w:pPr>
      <w:r w:rsidRPr="00C54064">
        <w:rPr>
          <w:rFonts w:cs="Arial"/>
          <w:bCs/>
          <w:sz w:val="21"/>
          <w:szCs w:val="21"/>
          <w:lang w:val="en-US"/>
        </w:rPr>
        <w:t>In our opinion, the time period for individual permissions should not be extended and kept by a maximum of 3 months. The necessary interaction between authorities is no valid argument to extend the deadlines to the detriment of banks. A longer deadline increases uncertainty for banks in a to</w:t>
      </w:r>
      <w:r w:rsidR="00892640">
        <w:rPr>
          <w:rFonts w:cs="Arial"/>
          <w:bCs/>
          <w:sz w:val="21"/>
          <w:szCs w:val="21"/>
          <w:lang w:val="en-US"/>
        </w:rPr>
        <w:t>pic that is highly relevant vis-á-</w:t>
      </w:r>
      <w:r w:rsidRPr="00C54064">
        <w:rPr>
          <w:rFonts w:cs="Arial"/>
          <w:bCs/>
          <w:sz w:val="21"/>
          <w:szCs w:val="21"/>
          <w:lang w:val="en-US"/>
        </w:rPr>
        <w:t>vis investor</w:t>
      </w:r>
      <w:r w:rsidR="00892640">
        <w:rPr>
          <w:rFonts w:cs="Arial"/>
          <w:bCs/>
          <w:sz w:val="21"/>
          <w:szCs w:val="21"/>
          <w:lang w:val="en-US"/>
        </w:rPr>
        <w:t>s</w:t>
      </w:r>
      <w:r w:rsidRPr="00C54064">
        <w:rPr>
          <w:rFonts w:cs="Arial"/>
          <w:bCs/>
          <w:sz w:val="21"/>
          <w:szCs w:val="21"/>
          <w:lang w:val="en-US"/>
        </w:rPr>
        <w:t xml:space="preserve"> and the market. Since the application has to be renewed every 12 months the long timeframe of 4 months for authorities would be inappropriate. Supervisory and resolution authorities should be able to establish a smooth and </w:t>
      </w:r>
      <w:proofErr w:type="spellStart"/>
      <w:r w:rsidRPr="00C54064">
        <w:rPr>
          <w:rFonts w:cs="Arial"/>
          <w:bCs/>
          <w:sz w:val="21"/>
          <w:szCs w:val="21"/>
          <w:lang w:val="en-US"/>
        </w:rPr>
        <w:t>unbureaucratic</w:t>
      </w:r>
      <w:proofErr w:type="spellEnd"/>
      <w:r w:rsidRPr="00C54064">
        <w:rPr>
          <w:rFonts w:cs="Arial"/>
          <w:bCs/>
          <w:sz w:val="21"/>
          <w:szCs w:val="21"/>
          <w:lang w:val="en-US"/>
        </w:rPr>
        <w:t xml:space="preserve"> interaction process to ensure that from the very beginning information and data are shared immediately. </w:t>
      </w:r>
    </w:p>
    <w:p w:rsidR="00C54064" w:rsidRPr="00C54064" w:rsidRDefault="00C54064" w:rsidP="00C54064">
      <w:pPr>
        <w:spacing w:before="120" w:after="120"/>
        <w:rPr>
          <w:rFonts w:cs="Arial"/>
          <w:bCs/>
          <w:sz w:val="21"/>
          <w:szCs w:val="21"/>
          <w:lang w:val="en-US"/>
        </w:rPr>
      </w:pPr>
      <w:bookmarkStart w:id="3" w:name="_GoBack"/>
      <w:bookmarkEnd w:id="3"/>
      <w:r w:rsidRPr="00C54064">
        <w:rPr>
          <w:rFonts w:cs="Arial"/>
          <w:bCs/>
          <w:sz w:val="21"/>
          <w:szCs w:val="21"/>
          <w:lang w:val="en-US"/>
        </w:rPr>
        <w:t>Renewals should be dealt with by a fast track procedure of 1 or max 2 months. In particular if the application does not materially differentiate from the first application.</w:t>
      </w:r>
    </w:p>
    <w:p w:rsidR="00C54064" w:rsidRPr="00C54064" w:rsidRDefault="00C54064" w:rsidP="00C54064">
      <w:pPr>
        <w:pStyle w:val="Listenabsatz"/>
        <w:spacing w:before="120" w:after="120"/>
        <w:contextualSpacing w:val="0"/>
        <w:rPr>
          <w:rFonts w:cs="Arial"/>
          <w:b/>
          <w:bCs/>
          <w:i/>
          <w:sz w:val="21"/>
          <w:szCs w:val="21"/>
          <w:lang w:val="en-US"/>
        </w:rPr>
      </w:pPr>
      <w:r w:rsidRPr="00C54064">
        <w:rPr>
          <w:rFonts w:cs="Arial"/>
          <w:b/>
          <w:bCs/>
          <w:i/>
          <w:sz w:val="21"/>
          <w:szCs w:val="21"/>
          <w:lang w:val="en-US"/>
        </w:rPr>
        <w:t xml:space="preserve">b) </w:t>
      </w:r>
      <w:proofErr w:type="gramStart"/>
      <w:r w:rsidRPr="00C54064">
        <w:rPr>
          <w:rFonts w:cs="Arial"/>
          <w:b/>
          <w:bCs/>
          <w:i/>
          <w:sz w:val="21"/>
          <w:szCs w:val="21"/>
          <w:lang w:val="en-US"/>
        </w:rPr>
        <w:t>adjusting</w:t>
      </w:r>
      <w:proofErr w:type="gramEnd"/>
      <w:r w:rsidRPr="00C54064">
        <w:rPr>
          <w:rFonts w:cs="Arial"/>
          <w:b/>
          <w:bCs/>
          <w:i/>
          <w:sz w:val="21"/>
          <w:szCs w:val="21"/>
          <w:lang w:val="en-US"/>
        </w:rPr>
        <w:t xml:space="preserve"> the content of the application to be submitted to the competent authority? </w:t>
      </w:r>
    </w:p>
    <w:p w:rsidR="00C54064" w:rsidRPr="00C54064" w:rsidRDefault="00C54064" w:rsidP="00C54064">
      <w:pPr>
        <w:spacing w:before="120" w:after="120"/>
        <w:rPr>
          <w:rFonts w:cs="Arial"/>
          <w:bCs/>
          <w:sz w:val="21"/>
          <w:szCs w:val="21"/>
          <w:lang w:val="en-US"/>
        </w:rPr>
      </w:pPr>
      <w:r w:rsidRPr="00C54064">
        <w:rPr>
          <w:rFonts w:cs="Arial"/>
          <w:bCs/>
          <w:sz w:val="21"/>
          <w:szCs w:val="21"/>
          <w:lang w:val="en-US"/>
        </w:rPr>
        <w:t>The content in case of renewals should be adjusted and limited to those parts that have changed compared to the last/first application.</w:t>
      </w:r>
    </w:p>
    <w:p w:rsidR="00C54064" w:rsidRPr="00C54064" w:rsidRDefault="00C54064" w:rsidP="00C54064">
      <w:pPr>
        <w:pStyle w:val="Listenabsatz"/>
        <w:spacing w:before="120" w:after="120"/>
        <w:contextualSpacing w:val="0"/>
        <w:rPr>
          <w:rFonts w:cs="Arial"/>
          <w:b/>
          <w:bCs/>
          <w:i/>
          <w:sz w:val="21"/>
          <w:szCs w:val="21"/>
          <w:lang w:val="en-US"/>
        </w:rPr>
      </w:pPr>
      <w:r w:rsidRPr="00C54064">
        <w:rPr>
          <w:rFonts w:cs="Arial"/>
          <w:b/>
          <w:bCs/>
          <w:i/>
          <w:sz w:val="21"/>
          <w:szCs w:val="21"/>
          <w:lang w:val="en-US"/>
        </w:rPr>
        <w:t xml:space="preserve">Please provide some rationale. Also, please consider consistency with the prior permission regime for eligible liabilities instruments. </w:t>
      </w:r>
    </w:p>
    <w:p w:rsidR="00C54064" w:rsidRPr="00C54064" w:rsidRDefault="00C54064" w:rsidP="00C54064">
      <w:pPr>
        <w:spacing w:before="120" w:after="120"/>
        <w:rPr>
          <w:rFonts w:cs="Arial"/>
          <w:sz w:val="21"/>
          <w:szCs w:val="21"/>
          <w:lang w:val="en-US"/>
        </w:rPr>
      </w:pPr>
      <w:r w:rsidRPr="00C54064">
        <w:rPr>
          <w:rFonts w:cs="Arial"/>
          <w:sz w:val="21"/>
          <w:szCs w:val="21"/>
          <w:lang w:val="en-US"/>
        </w:rPr>
        <w:t xml:space="preserve">Further shortenings would be appropriate in case of renewals of general prior permissions. Here, adjusting of the content of the application, e.g. if the total volume to be repurchased will remain the same or will not change significantly (reduction of requirements to the necessary minimum to check whether the conditions are still met) is crucial considering the proposed extension of the scope. The reduction of information requirements would also be beneficial for competent (resolution) authorities and is also practically a precondition for a shorter time period. </w:t>
      </w:r>
    </w:p>
    <w:p w:rsidR="00C54064" w:rsidRPr="00C54064" w:rsidRDefault="00C54064" w:rsidP="00C54064">
      <w:pPr>
        <w:spacing w:before="120" w:after="120"/>
        <w:rPr>
          <w:rFonts w:cs="Arial"/>
          <w:sz w:val="21"/>
          <w:szCs w:val="21"/>
          <w:lang w:val="en-US"/>
        </w:rPr>
      </w:pPr>
      <w:r w:rsidRPr="00C54064">
        <w:rPr>
          <w:rFonts w:cs="Arial"/>
          <w:sz w:val="21"/>
          <w:szCs w:val="21"/>
          <w:lang w:val="en-US"/>
        </w:rPr>
        <w:t>Supervisory authorities should consider implementing a standardized and transparent process ensuring an efficient approval procedure of the yearly applications i.e. to deal with all applications within the same fixed time frame as it is the case for SREP decisions. This would ensure a level playing field and avoid different treatment/duration. If it cannot be ensured from supervisory side that decision will be delivered on time EBA should alternatively think about providing supervisory authorities additional discretion and flexibility   to grant an on-time extension of the GPP by further three months in case the expiration of the permission without renewal would lead to an adverse effects to the business of the institution.</w:t>
      </w:r>
    </w:p>
    <w:p w:rsidR="00C54064" w:rsidRPr="00C54064" w:rsidRDefault="00C54064" w:rsidP="00C54064">
      <w:pPr>
        <w:pStyle w:val="Listenabsatz"/>
        <w:numPr>
          <w:ilvl w:val="0"/>
          <w:numId w:val="7"/>
        </w:numPr>
        <w:spacing w:before="120" w:after="120"/>
        <w:contextualSpacing w:val="0"/>
        <w:rPr>
          <w:rFonts w:cs="Arial"/>
          <w:b/>
          <w:bCs/>
          <w:i/>
          <w:sz w:val="21"/>
          <w:szCs w:val="21"/>
          <w:lang w:val="en-US"/>
        </w:rPr>
      </w:pPr>
      <w:r w:rsidRPr="00C54064">
        <w:rPr>
          <w:rFonts w:cs="Arial"/>
          <w:b/>
          <w:bCs/>
          <w:i/>
          <w:sz w:val="21"/>
          <w:szCs w:val="21"/>
          <w:lang w:val="en-US"/>
        </w:rPr>
        <w:t>It is recalled that, as per the mandate to the EBA, the RTS on eligible liabilities for the purpose of specifying the meaning of sustainable for the income capacity of the institution has to be fully aligned with the one on own funds. Do you see any unintended consequences stemming from the drafting of Article 32a?</w:t>
      </w:r>
    </w:p>
    <w:p w:rsidR="00C54064" w:rsidRPr="00C54064" w:rsidRDefault="00C54064" w:rsidP="00C54064">
      <w:pPr>
        <w:spacing w:before="120" w:after="120"/>
        <w:rPr>
          <w:rFonts w:cs="Arial"/>
          <w:bCs/>
          <w:sz w:val="21"/>
          <w:szCs w:val="21"/>
          <w:lang w:val="en-US"/>
        </w:rPr>
      </w:pPr>
      <w:r w:rsidRPr="00C54064">
        <w:rPr>
          <w:rFonts w:cs="Arial"/>
          <w:bCs/>
          <w:sz w:val="21"/>
          <w:szCs w:val="21"/>
          <w:lang w:val="en-US"/>
        </w:rPr>
        <w:t xml:space="preserve">The sustainability assessment of the resolution authority should fully build on those performed by the supervisory authority. The profitability of institutions in stress situations is not the focus of resolution authorities and thus currently not assessed by them. It needs to be avoided that resolution </w:t>
      </w:r>
      <w:r w:rsidRPr="00C54064">
        <w:rPr>
          <w:rFonts w:cs="Arial"/>
          <w:bCs/>
          <w:sz w:val="21"/>
          <w:szCs w:val="21"/>
          <w:lang w:val="en-US"/>
        </w:rPr>
        <w:lastRenderedPageBreak/>
        <w:t>authorities start acting as shadow supervisors and duplicate the assessments of supervisors.  Therefore, this information should be provided by supervisory authorities to resolution authorities and based on that they should consider it as part of their approval process.</w:t>
      </w:r>
    </w:p>
    <w:p w:rsidR="00C54064" w:rsidRPr="00C54064" w:rsidRDefault="00C54064" w:rsidP="00C54064">
      <w:pPr>
        <w:spacing w:before="120" w:after="120"/>
        <w:rPr>
          <w:rFonts w:cs="Arial"/>
          <w:bCs/>
          <w:sz w:val="21"/>
          <w:szCs w:val="21"/>
          <w:lang w:val="en-US"/>
        </w:rPr>
      </w:pPr>
      <w:r w:rsidRPr="00C54064">
        <w:rPr>
          <w:rFonts w:cs="Arial"/>
          <w:bCs/>
          <w:sz w:val="21"/>
          <w:szCs w:val="21"/>
          <w:lang w:val="en-US"/>
        </w:rPr>
        <w:t>To reflect this the wording in Art 32a should be changed as follows:</w:t>
      </w:r>
    </w:p>
    <w:p w:rsidR="00C54064" w:rsidRPr="00C54064" w:rsidRDefault="00C54064" w:rsidP="00C54064">
      <w:pPr>
        <w:spacing w:before="120" w:after="120"/>
        <w:rPr>
          <w:rFonts w:cs="Arial"/>
          <w:bCs/>
          <w:sz w:val="21"/>
          <w:szCs w:val="21"/>
          <w:lang w:val="en-US"/>
        </w:rPr>
      </w:pPr>
      <w:r w:rsidRPr="00C54064">
        <w:rPr>
          <w:rFonts w:cs="Arial"/>
          <w:bCs/>
          <w:sz w:val="21"/>
          <w:szCs w:val="21"/>
          <w:lang w:val="en-US"/>
        </w:rPr>
        <w:t>The resolution authority’s assessment shall take into account the supervisory assessment of institution`s profitability in stress situation.</w:t>
      </w:r>
    </w:p>
    <w:p w:rsidR="00C54064" w:rsidRPr="00C54064" w:rsidRDefault="00C54064" w:rsidP="00C54064">
      <w:pPr>
        <w:pStyle w:val="Listenabsatz"/>
        <w:numPr>
          <w:ilvl w:val="0"/>
          <w:numId w:val="7"/>
        </w:numPr>
        <w:spacing w:before="120" w:after="120"/>
        <w:contextualSpacing w:val="0"/>
        <w:rPr>
          <w:rFonts w:cs="Arial"/>
          <w:b/>
          <w:bCs/>
          <w:i/>
          <w:sz w:val="21"/>
          <w:szCs w:val="21"/>
          <w:lang w:val="en-US"/>
        </w:rPr>
      </w:pPr>
      <w:r w:rsidRPr="00C54064">
        <w:rPr>
          <w:rFonts w:cs="Arial"/>
          <w:b/>
          <w:bCs/>
          <w:i/>
          <w:sz w:val="21"/>
          <w:szCs w:val="21"/>
          <w:lang w:val="en-US"/>
        </w:rPr>
        <w:t xml:space="preserve">Do you consider the deduction rules appropriate for eligible liabilities? If not, what would be the rationale for departing from the rules applicable for own funds? </w:t>
      </w:r>
    </w:p>
    <w:p w:rsidR="00C54064" w:rsidRPr="00C54064" w:rsidRDefault="00C54064" w:rsidP="00C54064">
      <w:pPr>
        <w:spacing w:before="120" w:after="120"/>
        <w:rPr>
          <w:rFonts w:cs="Arial"/>
          <w:bCs/>
          <w:sz w:val="21"/>
          <w:szCs w:val="21"/>
          <w:lang w:val="en-US"/>
        </w:rPr>
      </w:pPr>
      <w:r w:rsidRPr="00C54064">
        <w:rPr>
          <w:rFonts w:cs="Arial"/>
          <w:bCs/>
          <w:sz w:val="21"/>
          <w:szCs w:val="21"/>
          <w:lang w:val="en-US"/>
        </w:rPr>
        <w:t>The deduction regime should be limited to senior non preferred instruments and refer to the subordination requirement only (see above for more reasoning on this topic).  Otherwise it needs to be clarified from which stock the deduction shall be performed and what portion shall be deducted from NPS and PS instruments.</w:t>
      </w:r>
    </w:p>
    <w:p w:rsidR="00C54064" w:rsidRPr="00C54064" w:rsidRDefault="00C54064" w:rsidP="00C54064">
      <w:pPr>
        <w:pStyle w:val="Listenabsatz"/>
        <w:numPr>
          <w:ilvl w:val="0"/>
          <w:numId w:val="7"/>
        </w:numPr>
        <w:spacing w:before="120" w:after="120"/>
        <w:contextualSpacing w:val="0"/>
        <w:rPr>
          <w:rFonts w:cs="Arial"/>
          <w:b/>
          <w:bCs/>
          <w:i/>
          <w:sz w:val="21"/>
          <w:szCs w:val="21"/>
          <w:lang w:val="en-US"/>
        </w:rPr>
      </w:pPr>
      <w:r w:rsidRPr="00C54064">
        <w:rPr>
          <w:rFonts w:cs="Arial"/>
          <w:b/>
          <w:bCs/>
          <w:i/>
          <w:sz w:val="21"/>
          <w:szCs w:val="21"/>
          <w:lang w:val="en-US"/>
        </w:rPr>
        <w:t xml:space="preserve">Do you agree that general prior permissions should not be confined only to market making? Why would liability management operations not be sufficiently covered, as for own funds, via ad-hoc permissions? Please substantiate based on concrete experience. </w:t>
      </w:r>
    </w:p>
    <w:p w:rsidR="00C54064" w:rsidRPr="00C54064" w:rsidRDefault="00C54064" w:rsidP="00C54064">
      <w:pPr>
        <w:spacing w:before="120" w:after="120"/>
        <w:rPr>
          <w:rFonts w:cs="Arial"/>
          <w:bCs/>
          <w:sz w:val="21"/>
          <w:szCs w:val="21"/>
          <w:lang w:val="en-US"/>
        </w:rPr>
      </w:pPr>
      <w:r w:rsidRPr="00C54064">
        <w:rPr>
          <w:rFonts w:cs="Arial"/>
          <w:bCs/>
          <w:sz w:val="21"/>
          <w:szCs w:val="21"/>
          <w:lang w:val="en-US"/>
        </w:rPr>
        <w:t>Yes, we agree. In addition, we think that based on the principle of proportionality a separate general prior permission should be established and determined by EBA in this RTS in case of immaterial amounts of eligible liabilities and for eligible liabilities that are not subordinated. A paragraph comparable to the existing Article 29 (5) should be included in Article 32c to deal with such cases. In these cases, a 1 year time limit should not apply. The information required according to Article 32d in such a case should be narrowed down to a minimum (i.e. not asking for a detailed split as foreseen under letters c) d) f)). See our answer to Question 7 above.</w:t>
      </w:r>
    </w:p>
    <w:p w:rsidR="00C54064" w:rsidRPr="00C54064" w:rsidRDefault="00C54064" w:rsidP="00C54064">
      <w:pPr>
        <w:pStyle w:val="Listenabsatz"/>
        <w:numPr>
          <w:ilvl w:val="0"/>
          <w:numId w:val="7"/>
        </w:numPr>
        <w:spacing w:before="120" w:after="120"/>
        <w:contextualSpacing w:val="0"/>
        <w:rPr>
          <w:rFonts w:cs="Arial"/>
          <w:b/>
          <w:bCs/>
          <w:i/>
          <w:sz w:val="21"/>
          <w:szCs w:val="21"/>
          <w:lang w:val="en-US"/>
        </w:rPr>
      </w:pPr>
      <w:r w:rsidRPr="00C54064">
        <w:rPr>
          <w:rFonts w:cs="Arial"/>
          <w:b/>
          <w:bCs/>
          <w:i/>
          <w:sz w:val="21"/>
          <w:szCs w:val="21"/>
          <w:lang w:val="en-US"/>
        </w:rPr>
        <w:t xml:space="preserve">Is the maximum limit of 3% of the total amount of outstanding eligible liabilities instruments sufficient? If not, please explain which percentage value of outstanding eligible liabilities instruments you would suggest and justify based on your experience. </w:t>
      </w:r>
    </w:p>
    <w:p w:rsidR="00C54064" w:rsidRPr="00C54064" w:rsidRDefault="00C54064" w:rsidP="00C54064">
      <w:pPr>
        <w:spacing w:before="120" w:after="120"/>
        <w:rPr>
          <w:rFonts w:cs="Arial"/>
          <w:sz w:val="21"/>
          <w:szCs w:val="21"/>
          <w:lang w:val="en-US"/>
        </w:rPr>
      </w:pPr>
      <w:r w:rsidRPr="00C54064">
        <w:rPr>
          <w:rFonts w:cs="Arial"/>
          <w:sz w:val="21"/>
          <w:szCs w:val="21"/>
          <w:lang w:val="en-US"/>
        </w:rPr>
        <w:t xml:space="preserve">The current proposal of 3% for all eligible liabilities is not sufficient. As foreseen in the case of own funds (different thresholds for CET1 and AT1/T2 instruments) it should be differentiated between subordinated and non-subordinated liabilities. If applicable, the limit should be applied on both levels separately. 3% of the total amount of subordinated eligible liabilities and 3% for other eligible liabilities to reflect and differentiate in the ranking of liabilities. Since the Level 1 text does not specify the limits there is room for EBA to ensure sufficient flexibility.  </w:t>
      </w:r>
    </w:p>
    <w:p w:rsidR="00C54064" w:rsidRPr="00C54064" w:rsidRDefault="00C54064" w:rsidP="00C54064">
      <w:pPr>
        <w:spacing w:before="120" w:after="120"/>
        <w:rPr>
          <w:rFonts w:cs="Arial"/>
          <w:sz w:val="21"/>
          <w:szCs w:val="21"/>
          <w:lang w:val="en-US"/>
        </w:rPr>
      </w:pPr>
      <w:r w:rsidRPr="00C54064">
        <w:rPr>
          <w:rFonts w:cs="Arial"/>
          <w:sz w:val="21"/>
          <w:szCs w:val="21"/>
          <w:lang w:val="en-US"/>
        </w:rPr>
        <w:t>As outlined in the general remarks a phase-in approach should apply.</w:t>
      </w:r>
    </w:p>
    <w:p w:rsidR="00C54064" w:rsidRPr="00C54064" w:rsidRDefault="00C54064" w:rsidP="00C54064">
      <w:pPr>
        <w:spacing w:before="120" w:after="120"/>
        <w:rPr>
          <w:rFonts w:cs="Arial"/>
          <w:sz w:val="21"/>
          <w:szCs w:val="21"/>
          <w:lang w:val="en-US"/>
        </w:rPr>
      </w:pPr>
      <w:r w:rsidRPr="00C54064">
        <w:rPr>
          <w:rFonts w:cs="Arial"/>
          <w:sz w:val="21"/>
          <w:szCs w:val="21"/>
          <w:lang w:val="en-US"/>
        </w:rPr>
        <w:t>Furthermore, it is not clear how the amount of Amortized Tier 2 instruments (subordinated instruments – as stated above) is considered and would be included for the purposes of calculating the 3 % limit.</w:t>
      </w:r>
    </w:p>
    <w:p w:rsidR="00C54064" w:rsidRPr="00C54064" w:rsidRDefault="00C54064" w:rsidP="00C54064">
      <w:pPr>
        <w:pStyle w:val="Listenabsatz"/>
        <w:numPr>
          <w:ilvl w:val="0"/>
          <w:numId w:val="7"/>
        </w:numPr>
        <w:spacing w:before="120" w:after="120"/>
        <w:contextualSpacing w:val="0"/>
        <w:rPr>
          <w:rFonts w:cs="Arial"/>
          <w:b/>
          <w:bCs/>
          <w:i/>
          <w:sz w:val="21"/>
          <w:szCs w:val="21"/>
          <w:lang w:val="en-US"/>
        </w:rPr>
      </w:pPr>
      <w:r w:rsidRPr="00C54064">
        <w:rPr>
          <w:rFonts w:cs="Arial"/>
          <w:b/>
          <w:bCs/>
          <w:i/>
          <w:sz w:val="21"/>
          <w:szCs w:val="21"/>
          <w:lang w:val="en-US"/>
        </w:rPr>
        <w:t xml:space="preserve">Would you see some good rationale for exempting certain types of entities from the limits foreseen in Article 32c? Please describe cases and substantiate your rationale. </w:t>
      </w:r>
    </w:p>
    <w:p w:rsidR="00C54064" w:rsidRPr="00C54064" w:rsidRDefault="00C54064" w:rsidP="00C54064">
      <w:pPr>
        <w:spacing w:before="120" w:after="120"/>
        <w:rPr>
          <w:rFonts w:cs="Arial"/>
          <w:bCs/>
          <w:sz w:val="21"/>
          <w:szCs w:val="21"/>
          <w:lang w:val="en-US"/>
        </w:rPr>
      </w:pPr>
      <w:r w:rsidRPr="00C54064">
        <w:rPr>
          <w:rFonts w:cs="Arial"/>
          <w:bCs/>
          <w:sz w:val="21"/>
          <w:szCs w:val="21"/>
          <w:lang w:val="en-US"/>
        </w:rPr>
        <w:t xml:space="preserve">Institutions for which no MREL is determined/ where MREL is waived should not be subject to the permission regime for eligible liabilities and thus be exempted from the limits.    </w:t>
      </w:r>
    </w:p>
    <w:p w:rsidR="00C54064" w:rsidRPr="00C54064" w:rsidRDefault="00C54064" w:rsidP="00C54064">
      <w:pPr>
        <w:pStyle w:val="Listenabsatz"/>
        <w:numPr>
          <w:ilvl w:val="0"/>
          <w:numId w:val="8"/>
        </w:numPr>
        <w:spacing w:before="120" w:after="120"/>
        <w:rPr>
          <w:rFonts w:cs="Arial"/>
          <w:b/>
          <w:bCs/>
          <w:i/>
          <w:sz w:val="21"/>
          <w:szCs w:val="21"/>
          <w:lang w:val="en-US"/>
        </w:rPr>
      </w:pPr>
      <w:r w:rsidRPr="00C54064">
        <w:rPr>
          <w:rFonts w:cs="Arial"/>
          <w:b/>
          <w:bCs/>
          <w:i/>
          <w:sz w:val="21"/>
          <w:szCs w:val="21"/>
          <w:lang w:val="en-US"/>
        </w:rPr>
        <w:t xml:space="preserve">Do you consider the four months deadline in Article 32f appropriate? Would you consider making a difference between the individual prior permission pursuant to Article 78a(1) points (a), (b) or (c) CRR and the general prior permission pursuant to the 2nd subparagraph of Article 78a(1) CRR? </w:t>
      </w:r>
    </w:p>
    <w:p w:rsidR="00C54064" w:rsidRPr="00C54064" w:rsidRDefault="00C54064" w:rsidP="00C54064">
      <w:pPr>
        <w:pStyle w:val="Listenabsatz"/>
        <w:spacing w:before="120" w:after="120"/>
        <w:contextualSpacing w:val="0"/>
        <w:rPr>
          <w:rFonts w:cs="Arial"/>
          <w:b/>
          <w:bCs/>
          <w:i/>
          <w:sz w:val="21"/>
          <w:szCs w:val="21"/>
          <w:lang w:val="en-US"/>
        </w:rPr>
      </w:pPr>
      <w:r w:rsidRPr="00C54064">
        <w:rPr>
          <w:rFonts w:cs="Arial"/>
          <w:b/>
          <w:bCs/>
          <w:i/>
          <w:sz w:val="21"/>
          <w:szCs w:val="21"/>
          <w:lang w:val="en-US"/>
        </w:rPr>
        <w:lastRenderedPageBreak/>
        <w:t xml:space="preserve">In case the four months deadline was kept for first time applications for general prior permission, would you see merit </w:t>
      </w:r>
      <w:proofErr w:type="gramStart"/>
      <w:r w:rsidRPr="00C54064">
        <w:rPr>
          <w:rFonts w:cs="Arial"/>
          <w:b/>
          <w:bCs/>
          <w:i/>
          <w:sz w:val="21"/>
          <w:szCs w:val="21"/>
          <w:lang w:val="en-US"/>
        </w:rPr>
        <w:t>in:</w:t>
      </w:r>
      <w:proofErr w:type="gramEnd"/>
      <w:r w:rsidRPr="00C54064">
        <w:rPr>
          <w:rFonts w:cs="Arial"/>
          <w:b/>
          <w:bCs/>
          <w:i/>
          <w:sz w:val="21"/>
          <w:szCs w:val="21"/>
          <w:lang w:val="en-US"/>
        </w:rPr>
        <w:t xml:space="preserve"> </w:t>
      </w:r>
    </w:p>
    <w:p w:rsidR="00C54064" w:rsidRPr="00C54064" w:rsidRDefault="00C54064" w:rsidP="00C54064">
      <w:pPr>
        <w:pStyle w:val="Listenabsatz"/>
        <w:spacing w:before="120" w:after="120"/>
        <w:ind w:left="993"/>
        <w:contextualSpacing w:val="0"/>
        <w:rPr>
          <w:rFonts w:cs="Arial"/>
          <w:b/>
          <w:bCs/>
          <w:i/>
          <w:sz w:val="21"/>
          <w:szCs w:val="21"/>
          <w:lang w:val="en-US"/>
        </w:rPr>
      </w:pPr>
      <w:r w:rsidRPr="00C54064">
        <w:rPr>
          <w:rFonts w:cs="Arial"/>
          <w:b/>
          <w:bCs/>
          <w:i/>
          <w:sz w:val="21"/>
          <w:szCs w:val="21"/>
          <w:lang w:val="en-US"/>
        </w:rPr>
        <w:t xml:space="preserve">a) </w:t>
      </w:r>
      <w:proofErr w:type="gramStart"/>
      <w:r w:rsidRPr="00C54064">
        <w:rPr>
          <w:rFonts w:cs="Arial"/>
          <w:b/>
          <w:bCs/>
          <w:i/>
          <w:sz w:val="21"/>
          <w:szCs w:val="21"/>
          <w:lang w:val="en-US"/>
        </w:rPr>
        <w:t>shortening</w:t>
      </w:r>
      <w:proofErr w:type="gramEnd"/>
      <w:r w:rsidRPr="00C54064">
        <w:rPr>
          <w:rFonts w:cs="Arial"/>
          <w:b/>
          <w:bCs/>
          <w:i/>
          <w:sz w:val="21"/>
          <w:szCs w:val="21"/>
          <w:lang w:val="en-US"/>
        </w:rPr>
        <w:t xml:space="preserve"> the deadline for applications for the renewal of the permission? </w:t>
      </w:r>
    </w:p>
    <w:p w:rsidR="00C54064" w:rsidRPr="00C54064" w:rsidRDefault="00C54064" w:rsidP="00C54064">
      <w:pPr>
        <w:pStyle w:val="Listenabsatz"/>
        <w:spacing w:before="120" w:after="120"/>
        <w:ind w:left="993"/>
        <w:contextualSpacing w:val="0"/>
        <w:rPr>
          <w:rFonts w:cs="Arial"/>
          <w:b/>
          <w:bCs/>
          <w:i/>
          <w:sz w:val="21"/>
          <w:szCs w:val="21"/>
          <w:lang w:val="en-US"/>
        </w:rPr>
      </w:pPr>
      <w:r w:rsidRPr="00C54064">
        <w:rPr>
          <w:rFonts w:cs="Arial"/>
          <w:b/>
          <w:bCs/>
          <w:i/>
          <w:sz w:val="21"/>
          <w:szCs w:val="21"/>
          <w:lang w:val="en-US"/>
        </w:rPr>
        <w:t xml:space="preserve">b) </w:t>
      </w:r>
      <w:proofErr w:type="gramStart"/>
      <w:r w:rsidRPr="00C54064">
        <w:rPr>
          <w:rFonts w:cs="Arial"/>
          <w:b/>
          <w:bCs/>
          <w:i/>
          <w:sz w:val="21"/>
          <w:szCs w:val="21"/>
          <w:lang w:val="en-US"/>
        </w:rPr>
        <w:t>adjusting</w:t>
      </w:r>
      <w:proofErr w:type="gramEnd"/>
      <w:r w:rsidRPr="00C54064">
        <w:rPr>
          <w:rFonts w:cs="Arial"/>
          <w:b/>
          <w:bCs/>
          <w:i/>
          <w:sz w:val="21"/>
          <w:szCs w:val="21"/>
          <w:lang w:val="en-US"/>
        </w:rPr>
        <w:t xml:space="preserve"> the content of the application to be submitted to the competent authority? </w:t>
      </w:r>
    </w:p>
    <w:p w:rsidR="00C54064" w:rsidRPr="00C54064" w:rsidRDefault="00C54064" w:rsidP="00C54064">
      <w:pPr>
        <w:pStyle w:val="Listenabsatz"/>
        <w:spacing w:before="120" w:after="120"/>
        <w:contextualSpacing w:val="0"/>
        <w:rPr>
          <w:rFonts w:cs="Arial"/>
          <w:b/>
          <w:bCs/>
          <w:i/>
          <w:sz w:val="21"/>
          <w:szCs w:val="21"/>
          <w:lang w:val="en-US"/>
        </w:rPr>
      </w:pPr>
      <w:r w:rsidRPr="00C54064">
        <w:rPr>
          <w:rFonts w:cs="Arial"/>
          <w:b/>
          <w:bCs/>
          <w:i/>
          <w:sz w:val="21"/>
          <w:szCs w:val="21"/>
          <w:lang w:val="en-US"/>
        </w:rPr>
        <w:t>Please provide some rationale. Also, please consider consistency with the prior permission regime for own funds.</w:t>
      </w:r>
    </w:p>
    <w:p w:rsidR="00C54064" w:rsidRPr="00C54064" w:rsidRDefault="00C54064" w:rsidP="00C54064">
      <w:pPr>
        <w:pStyle w:val="Listenabsatz"/>
        <w:spacing w:before="120" w:after="120"/>
        <w:contextualSpacing w:val="0"/>
        <w:rPr>
          <w:rFonts w:cs="Arial"/>
          <w:b/>
          <w:bCs/>
          <w:sz w:val="21"/>
          <w:szCs w:val="21"/>
          <w:lang w:val="en-US"/>
        </w:rPr>
      </w:pPr>
    </w:p>
    <w:p w:rsidR="00DA4E3C" w:rsidRPr="00C54064" w:rsidRDefault="00C54064" w:rsidP="00C54064">
      <w:pPr>
        <w:spacing w:line="240" w:lineRule="auto"/>
        <w:rPr>
          <w:lang w:val="en-US"/>
        </w:rPr>
      </w:pPr>
      <w:r w:rsidRPr="00C54064">
        <w:rPr>
          <w:lang w:val="en-US"/>
        </w:rPr>
        <w:t>The same comments/statement as provided in the answer to question 9 above are relevant and should be taken into account in case of eligible liabilities as well.</w:t>
      </w:r>
    </w:p>
    <w:p w:rsidR="00D13A95" w:rsidRPr="00C54064" w:rsidRDefault="00D13A95" w:rsidP="009B3CDE">
      <w:pPr>
        <w:spacing w:line="240" w:lineRule="auto"/>
        <w:rPr>
          <w:lang w:val="en-US"/>
        </w:rPr>
      </w:pPr>
    </w:p>
    <w:p w:rsidR="00D13A95" w:rsidRDefault="00D13A95" w:rsidP="009B3CDE">
      <w:pPr>
        <w:spacing w:line="240" w:lineRule="auto"/>
        <w:rPr>
          <w:rFonts w:cs="Arial"/>
          <w:color w:val="000000"/>
          <w:lang w:val="en-US"/>
        </w:rPr>
      </w:pPr>
    </w:p>
    <w:p w:rsidR="00CD4FCE" w:rsidRDefault="00CD4FCE" w:rsidP="009B3CDE">
      <w:pPr>
        <w:spacing w:line="240" w:lineRule="auto"/>
        <w:rPr>
          <w:rFonts w:cs="Arial"/>
          <w:color w:val="000000"/>
          <w:lang w:val="en-US"/>
        </w:rPr>
      </w:pPr>
      <w:r>
        <w:rPr>
          <w:rFonts w:cs="Arial"/>
          <w:color w:val="000000"/>
          <w:lang w:val="en-US"/>
        </w:rPr>
        <w:t xml:space="preserve">We ask you to take our remarks into due consideration.  </w:t>
      </w:r>
    </w:p>
    <w:p w:rsidR="00DA4E3C" w:rsidRDefault="00DA4E3C" w:rsidP="009B3CDE">
      <w:pPr>
        <w:spacing w:line="240" w:lineRule="auto"/>
        <w:rPr>
          <w:rFonts w:cs="Arial"/>
          <w:color w:val="000000"/>
          <w:lang w:val="en-US"/>
        </w:rPr>
      </w:pPr>
    </w:p>
    <w:p w:rsidR="00C84D8A" w:rsidRPr="00ED0AED" w:rsidRDefault="00686189" w:rsidP="009B3CDE">
      <w:pPr>
        <w:spacing w:line="240" w:lineRule="auto"/>
        <w:rPr>
          <w:rFonts w:cs="Arial"/>
          <w:color w:val="000000"/>
          <w:lang w:val="en-GB" w:eastAsia="en-US"/>
        </w:rPr>
      </w:pPr>
      <w:r w:rsidRPr="00ED0AED">
        <w:rPr>
          <w:rFonts w:cs="Arial"/>
          <w:color w:val="000000"/>
          <w:lang w:val="en-GB" w:eastAsia="en-US"/>
        </w:rPr>
        <w:t>Y</w:t>
      </w:r>
      <w:r w:rsidR="00C84D8A" w:rsidRPr="00ED0AED">
        <w:rPr>
          <w:rFonts w:cs="Arial"/>
          <w:color w:val="000000"/>
          <w:lang w:val="en-GB" w:eastAsia="en-US"/>
        </w:rPr>
        <w:t xml:space="preserve">ours </w:t>
      </w:r>
      <w:r w:rsidR="004A01A9" w:rsidRPr="00ED0AED">
        <w:rPr>
          <w:rFonts w:cs="Arial"/>
          <w:color w:val="000000"/>
          <w:lang w:val="en-GB" w:eastAsia="en-US"/>
        </w:rPr>
        <w:t>sincerely</w:t>
      </w:r>
      <w:r w:rsidR="00C84D8A" w:rsidRPr="00ED0AED">
        <w:rPr>
          <w:rFonts w:cs="Arial"/>
          <w:color w:val="000000"/>
          <w:lang w:val="en-GB" w:eastAsia="en-US"/>
        </w:rPr>
        <w:t>,</w:t>
      </w:r>
    </w:p>
    <w:p w:rsidR="00F31CB0" w:rsidRPr="00767DA3" w:rsidRDefault="00F31CB0" w:rsidP="009B3CDE">
      <w:pPr>
        <w:spacing w:line="240" w:lineRule="auto"/>
        <w:rPr>
          <w:rFonts w:cs="Arial"/>
          <w:color w:val="000000"/>
          <w:lang w:val="en-GB" w:eastAsia="en-US"/>
        </w:rPr>
      </w:pPr>
    </w:p>
    <w:p w:rsidR="00C84D8A" w:rsidRPr="00767DA3" w:rsidRDefault="00C84D8A" w:rsidP="009B3CDE">
      <w:pPr>
        <w:spacing w:line="240" w:lineRule="auto"/>
        <w:rPr>
          <w:rFonts w:cs="Arial"/>
          <w:color w:val="000000"/>
          <w:lang w:val="en-GB" w:eastAsia="en-US"/>
        </w:rPr>
      </w:pPr>
      <w:proofErr w:type="spellStart"/>
      <w:r w:rsidRPr="00767DA3">
        <w:rPr>
          <w:rFonts w:cs="Arial"/>
          <w:color w:val="000000"/>
          <w:lang w:val="en-GB" w:eastAsia="en-US"/>
        </w:rPr>
        <w:t>Dr.</w:t>
      </w:r>
      <w:proofErr w:type="spellEnd"/>
      <w:r w:rsidRPr="00767DA3">
        <w:rPr>
          <w:rFonts w:cs="Arial"/>
          <w:color w:val="000000"/>
          <w:lang w:val="en-GB" w:eastAsia="en-US"/>
        </w:rPr>
        <w:t xml:space="preserve"> Franz Rudorfer</w:t>
      </w:r>
    </w:p>
    <w:p w:rsidR="00C84D8A" w:rsidRPr="00767DA3" w:rsidRDefault="00C84D8A" w:rsidP="009B3CDE">
      <w:pPr>
        <w:spacing w:line="240" w:lineRule="auto"/>
        <w:rPr>
          <w:rFonts w:cs="Arial"/>
          <w:color w:val="000000"/>
          <w:lang w:val="en-GB" w:eastAsia="en-US"/>
        </w:rPr>
      </w:pPr>
      <w:r w:rsidRPr="00767DA3">
        <w:rPr>
          <w:rFonts w:cs="Arial"/>
          <w:color w:val="000000"/>
          <w:lang w:val="en-GB" w:eastAsia="en-US"/>
        </w:rPr>
        <w:t>Managing Director</w:t>
      </w:r>
    </w:p>
    <w:p w:rsidR="005E1BA5" w:rsidRPr="00767DA3" w:rsidRDefault="00C84D8A" w:rsidP="009B3CDE">
      <w:pPr>
        <w:spacing w:line="240" w:lineRule="auto"/>
        <w:rPr>
          <w:noProof/>
          <w:lang w:val="en-GB"/>
        </w:rPr>
      </w:pPr>
      <w:r w:rsidRPr="00767DA3">
        <w:rPr>
          <w:rFonts w:cs="Arial"/>
          <w:color w:val="000000"/>
          <w:lang w:val="en-GB" w:eastAsia="en-US"/>
        </w:rPr>
        <w:t>Division Bank and Insurance</w:t>
      </w:r>
    </w:p>
    <w:p w:rsidR="00346DF4" w:rsidRPr="007C2846" w:rsidRDefault="00346DF4" w:rsidP="00DB34E3">
      <w:pPr>
        <w:spacing w:line="240" w:lineRule="auto"/>
        <w:rPr>
          <w:noProof/>
          <w:lang w:val="en-GB"/>
        </w:rPr>
      </w:pPr>
    </w:p>
    <w:sectPr w:rsidR="00346DF4" w:rsidRPr="007C2846" w:rsidSect="00BA147F">
      <w:headerReference w:type="default" r:id="rId8"/>
      <w:headerReference w:type="first" r:id="rId9"/>
      <w:pgSz w:w="11906" w:h="16838"/>
      <w:pgMar w:top="1701" w:right="851" w:bottom="1276" w:left="1418"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723" w:rsidRDefault="003C7723">
      <w:r>
        <w:separator/>
      </w:r>
    </w:p>
  </w:endnote>
  <w:endnote w:type="continuationSeparator" w:id="0">
    <w:p w:rsidR="003C7723" w:rsidRDefault="003C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723" w:rsidRDefault="003C7723">
      <w:r>
        <w:separator/>
      </w:r>
    </w:p>
  </w:footnote>
  <w:footnote w:type="continuationSeparator" w:id="0">
    <w:p w:rsidR="003C7723" w:rsidRDefault="003C7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18E" w:rsidRDefault="0014018E">
    <w:pPr>
      <w:pStyle w:val="Kopfzeile"/>
      <w:jc w:val="center"/>
    </w:pPr>
    <w:r>
      <w:t xml:space="preserve">- </w:t>
    </w:r>
    <w:r w:rsidR="008D5D3B">
      <w:rPr>
        <w:rStyle w:val="Seitenzahl"/>
      </w:rPr>
      <w:fldChar w:fldCharType="begin"/>
    </w:r>
    <w:r>
      <w:rPr>
        <w:rStyle w:val="Seitenzahl"/>
      </w:rPr>
      <w:instrText xml:space="preserve"> PAGE </w:instrText>
    </w:r>
    <w:r w:rsidR="008D5D3B">
      <w:rPr>
        <w:rStyle w:val="Seitenzahl"/>
      </w:rPr>
      <w:fldChar w:fldCharType="separate"/>
    </w:r>
    <w:r w:rsidR="00892640">
      <w:rPr>
        <w:rStyle w:val="Seitenzahl"/>
        <w:noProof/>
      </w:rPr>
      <w:t>7</w:t>
    </w:r>
    <w:r w:rsidR="008D5D3B">
      <w:rPr>
        <w:rStyle w:val="Seitenzahl"/>
      </w:rPr>
      <w:fldChar w:fldCharType="end"/>
    </w:r>
    <w:r>
      <w:rPr>
        <w:rStyle w:val="Seitenzah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18E" w:rsidRDefault="0014018E">
    <w:pPr>
      <w:pStyle w:val="Kopfzeile"/>
      <w:jc w:val="right"/>
    </w:pPr>
    <w:r>
      <w:rPr>
        <w:noProof/>
        <w:snapToGrid/>
        <w:lang w:val="de-AT"/>
      </w:rPr>
      <w:drawing>
        <wp:anchor distT="0" distB="0" distL="114300" distR="114300" simplePos="0" relativeHeight="251657728" behindDoc="0" locked="1" layoutInCell="0" allowOverlap="1">
          <wp:simplePos x="0" y="0"/>
          <wp:positionH relativeFrom="page">
            <wp:posOffset>4859655</wp:posOffset>
          </wp:positionH>
          <wp:positionV relativeFrom="page">
            <wp:posOffset>197485</wp:posOffset>
          </wp:positionV>
          <wp:extent cx="2210435" cy="861695"/>
          <wp:effectExtent l="19050" t="0" r="0" b="0"/>
          <wp:wrapTopAndBottom/>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10435" cy="8616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7627"/>
    <w:multiLevelType w:val="hybridMultilevel"/>
    <w:tmpl w:val="A63A77D0"/>
    <w:lvl w:ilvl="0" w:tplc="3DEE37A8">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 w15:restartNumberingAfterBreak="0">
    <w:nsid w:val="0F1A17F1"/>
    <w:multiLevelType w:val="hybridMultilevel"/>
    <w:tmpl w:val="861EAB34"/>
    <w:lvl w:ilvl="0" w:tplc="05A62EB6">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33F554F"/>
    <w:multiLevelType w:val="hybridMultilevel"/>
    <w:tmpl w:val="23CCBBD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2D2D42A9"/>
    <w:multiLevelType w:val="hybridMultilevel"/>
    <w:tmpl w:val="C696F77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39C6C63"/>
    <w:multiLevelType w:val="hybridMultilevel"/>
    <w:tmpl w:val="15DCDCEC"/>
    <w:lvl w:ilvl="0" w:tplc="0C07000F">
      <w:start w:val="16"/>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201354F"/>
    <w:multiLevelType w:val="hybridMultilevel"/>
    <w:tmpl w:val="0C08D3D2"/>
    <w:lvl w:ilvl="0" w:tplc="87647620">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56B76DE7"/>
    <w:multiLevelType w:val="hybridMultilevel"/>
    <w:tmpl w:val="CFF6C970"/>
    <w:lvl w:ilvl="0" w:tplc="0C07000F">
      <w:start w:val="6"/>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B11210B"/>
    <w:multiLevelType w:val="hybridMultilevel"/>
    <w:tmpl w:val="A6C2EFF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2"/>
  </w:num>
  <w:num w:numId="6">
    <w:abstractNumId w:val="1"/>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de-AT"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CC"/>
    <w:rsid w:val="00001730"/>
    <w:rsid w:val="00013086"/>
    <w:rsid w:val="000135FB"/>
    <w:rsid w:val="000163E0"/>
    <w:rsid w:val="00021DBA"/>
    <w:rsid w:val="00024D8C"/>
    <w:rsid w:val="00026657"/>
    <w:rsid w:val="00035D58"/>
    <w:rsid w:val="00041C1E"/>
    <w:rsid w:val="00044A71"/>
    <w:rsid w:val="00053316"/>
    <w:rsid w:val="00057439"/>
    <w:rsid w:val="00061814"/>
    <w:rsid w:val="000619FB"/>
    <w:rsid w:val="0006215B"/>
    <w:rsid w:val="00071436"/>
    <w:rsid w:val="00071BF7"/>
    <w:rsid w:val="00076F33"/>
    <w:rsid w:val="00080C92"/>
    <w:rsid w:val="00080E83"/>
    <w:rsid w:val="0008171B"/>
    <w:rsid w:val="0008527D"/>
    <w:rsid w:val="0008698A"/>
    <w:rsid w:val="00086BFB"/>
    <w:rsid w:val="00090592"/>
    <w:rsid w:val="000919C4"/>
    <w:rsid w:val="00094EB8"/>
    <w:rsid w:val="0009753B"/>
    <w:rsid w:val="000A0183"/>
    <w:rsid w:val="000A205C"/>
    <w:rsid w:val="000A4FC6"/>
    <w:rsid w:val="000A55AE"/>
    <w:rsid w:val="000A771B"/>
    <w:rsid w:val="000A7D13"/>
    <w:rsid w:val="000B2CE7"/>
    <w:rsid w:val="000B449E"/>
    <w:rsid w:val="000B4D96"/>
    <w:rsid w:val="000B572C"/>
    <w:rsid w:val="000D7538"/>
    <w:rsid w:val="000E511B"/>
    <w:rsid w:val="000F1070"/>
    <w:rsid w:val="000F2220"/>
    <w:rsid w:val="000F28BB"/>
    <w:rsid w:val="000F3572"/>
    <w:rsid w:val="000F74C7"/>
    <w:rsid w:val="00101144"/>
    <w:rsid w:val="00101383"/>
    <w:rsid w:val="001042B8"/>
    <w:rsid w:val="00105F0E"/>
    <w:rsid w:val="0011743A"/>
    <w:rsid w:val="00121770"/>
    <w:rsid w:val="00121CBD"/>
    <w:rsid w:val="001276A5"/>
    <w:rsid w:val="00127F3B"/>
    <w:rsid w:val="00131416"/>
    <w:rsid w:val="00131A98"/>
    <w:rsid w:val="00135A40"/>
    <w:rsid w:val="00137EF5"/>
    <w:rsid w:val="0014018E"/>
    <w:rsid w:val="0014746B"/>
    <w:rsid w:val="00151673"/>
    <w:rsid w:val="00151A78"/>
    <w:rsid w:val="00155AEE"/>
    <w:rsid w:val="00161914"/>
    <w:rsid w:val="00163CC0"/>
    <w:rsid w:val="00163DDA"/>
    <w:rsid w:val="00174D0C"/>
    <w:rsid w:val="00183969"/>
    <w:rsid w:val="0019020E"/>
    <w:rsid w:val="00196D5C"/>
    <w:rsid w:val="00196EB4"/>
    <w:rsid w:val="001974F7"/>
    <w:rsid w:val="001B0788"/>
    <w:rsid w:val="001B4AB0"/>
    <w:rsid w:val="001C4931"/>
    <w:rsid w:val="001C49F8"/>
    <w:rsid w:val="001D2667"/>
    <w:rsid w:val="001D40CC"/>
    <w:rsid w:val="001E0374"/>
    <w:rsid w:val="001F3545"/>
    <w:rsid w:val="00200D4E"/>
    <w:rsid w:val="002045CC"/>
    <w:rsid w:val="00205DE9"/>
    <w:rsid w:val="002061DD"/>
    <w:rsid w:val="00207AC9"/>
    <w:rsid w:val="00210FDF"/>
    <w:rsid w:val="00224981"/>
    <w:rsid w:val="00236C5A"/>
    <w:rsid w:val="00240D9B"/>
    <w:rsid w:val="00250CBA"/>
    <w:rsid w:val="0026358F"/>
    <w:rsid w:val="00264C67"/>
    <w:rsid w:val="00265C18"/>
    <w:rsid w:val="002711FC"/>
    <w:rsid w:val="00272C43"/>
    <w:rsid w:val="00280548"/>
    <w:rsid w:val="00282636"/>
    <w:rsid w:val="002830FB"/>
    <w:rsid w:val="0028446E"/>
    <w:rsid w:val="00287819"/>
    <w:rsid w:val="00293410"/>
    <w:rsid w:val="00296269"/>
    <w:rsid w:val="002A00E4"/>
    <w:rsid w:val="002A15C7"/>
    <w:rsid w:val="002A3540"/>
    <w:rsid w:val="002B08BD"/>
    <w:rsid w:val="002B3BF4"/>
    <w:rsid w:val="002B4B41"/>
    <w:rsid w:val="002D14BF"/>
    <w:rsid w:val="002D4A90"/>
    <w:rsid w:val="002D69C4"/>
    <w:rsid w:val="002E4BD0"/>
    <w:rsid w:val="002F1DC4"/>
    <w:rsid w:val="003104AE"/>
    <w:rsid w:val="00312578"/>
    <w:rsid w:val="00316718"/>
    <w:rsid w:val="0031680D"/>
    <w:rsid w:val="00317CA7"/>
    <w:rsid w:val="00320A42"/>
    <w:rsid w:val="00325FCF"/>
    <w:rsid w:val="00327DD3"/>
    <w:rsid w:val="003303C4"/>
    <w:rsid w:val="00344DB8"/>
    <w:rsid w:val="00346DF4"/>
    <w:rsid w:val="00356254"/>
    <w:rsid w:val="003568E9"/>
    <w:rsid w:val="00361B24"/>
    <w:rsid w:val="003814C3"/>
    <w:rsid w:val="00384948"/>
    <w:rsid w:val="00390AC7"/>
    <w:rsid w:val="003933A5"/>
    <w:rsid w:val="0039371D"/>
    <w:rsid w:val="003A5633"/>
    <w:rsid w:val="003B3D28"/>
    <w:rsid w:val="003B6B36"/>
    <w:rsid w:val="003C35DC"/>
    <w:rsid w:val="003C5804"/>
    <w:rsid w:val="003C622F"/>
    <w:rsid w:val="003C7723"/>
    <w:rsid w:val="003C7778"/>
    <w:rsid w:val="003D07A4"/>
    <w:rsid w:val="003E09A5"/>
    <w:rsid w:val="003E6845"/>
    <w:rsid w:val="003F44A2"/>
    <w:rsid w:val="003F5EEF"/>
    <w:rsid w:val="003F6706"/>
    <w:rsid w:val="00404863"/>
    <w:rsid w:val="004057F3"/>
    <w:rsid w:val="00416786"/>
    <w:rsid w:val="004235FB"/>
    <w:rsid w:val="00425684"/>
    <w:rsid w:val="00430245"/>
    <w:rsid w:val="004302FD"/>
    <w:rsid w:val="004339AE"/>
    <w:rsid w:val="004400CB"/>
    <w:rsid w:val="00445FAF"/>
    <w:rsid w:val="0044708F"/>
    <w:rsid w:val="00450B6F"/>
    <w:rsid w:val="00461F65"/>
    <w:rsid w:val="004632A4"/>
    <w:rsid w:val="00470480"/>
    <w:rsid w:val="004745CD"/>
    <w:rsid w:val="00480120"/>
    <w:rsid w:val="00481BCF"/>
    <w:rsid w:val="00482639"/>
    <w:rsid w:val="00485220"/>
    <w:rsid w:val="0048523B"/>
    <w:rsid w:val="00487A00"/>
    <w:rsid w:val="004926F1"/>
    <w:rsid w:val="004A01A9"/>
    <w:rsid w:val="004A115F"/>
    <w:rsid w:val="004B2194"/>
    <w:rsid w:val="004C0E9B"/>
    <w:rsid w:val="004C5E94"/>
    <w:rsid w:val="004C6FA4"/>
    <w:rsid w:val="004D1102"/>
    <w:rsid w:val="004D1A1E"/>
    <w:rsid w:val="004E2249"/>
    <w:rsid w:val="004E2A45"/>
    <w:rsid w:val="004E51E5"/>
    <w:rsid w:val="004F1B60"/>
    <w:rsid w:val="004F53C0"/>
    <w:rsid w:val="004F6198"/>
    <w:rsid w:val="00505343"/>
    <w:rsid w:val="0051495A"/>
    <w:rsid w:val="00517690"/>
    <w:rsid w:val="00521B7F"/>
    <w:rsid w:val="00535CF4"/>
    <w:rsid w:val="00550380"/>
    <w:rsid w:val="005548F9"/>
    <w:rsid w:val="00556359"/>
    <w:rsid w:val="00560A66"/>
    <w:rsid w:val="00562C44"/>
    <w:rsid w:val="00576F32"/>
    <w:rsid w:val="00590AAE"/>
    <w:rsid w:val="00596B5B"/>
    <w:rsid w:val="005A2D33"/>
    <w:rsid w:val="005B1218"/>
    <w:rsid w:val="005B2525"/>
    <w:rsid w:val="005B2844"/>
    <w:rsid w:val="005B3FB7"/>
    <w:rsid w:val="005C04FF"/>
    <w:rsid w:val="005C218C"/>
    <w:rsid w:val="005C7948"/>
    <w:rsid w:val="005D0470"/>
    <w:rsid w:val="005D08DC"/>
    <w:rsid w:val="005D0B33"/>
    <w:rsid w:val="005D1620"/>
    <w:rsid w:val="005D442D"/>
    <w:rsid w:val="005D4F47"/>
    <w:rsid w:val="005E1BA5"/>
    <w:rsid w:val="005E7180"/>
    <w:rsid w:val="005F5B48"/>
    <w:rsid w:val="005F632A"/>
    <w:rsid w:val="006065F4"/>
    <w:rsid w:val="00606AFA"/>
    <w:rsid w:val="00622B51"/>
    <w:rsid w:val="00623752"/>
    <w:rsid w:val="00623872"/>
    <w:rsid w:val="006261AF"/>
    <w:rsid w:val="00641DC4"/>
    <w:rsid w:val="00642235"/>
    <w:rsid w:val="00642A57"/>
    <w:rsid w:val="006471E3"/>
    <w:rsid w:val="00650AE5"/>
    <w:rsid w:val="006518A3"/>
    <w:rsid w:val="0065464B"/>
    <w:rsid w:val="00677F47"/>
    <w:rsid w:val="00683614"/>
    <w:rsid w:val="0068403B"/>
    <w:rsid w:val="00686189"/>
    <w:rsid w:val="0069309F"/>
    <w:rsid w:val="00694B28"/>
    <w:rsid w:val="006A55B4"/>
    <w:rsid w:val="006B05A1"/>
    <w:rsid w:val="006C33D2"/>
    <w:rsid w:val="006D0E68"/>
    <w:rsid w:val="006D109C"/>
    <w:rsid w:val="006D6427"/>
    <w:rsid w:val="006E0163"/>
    <w:rsid w:val="006E5185"/>
    <w:rsid w:val="0070253E"/>
    <w:rsid w:val="007053E7"/>
    <w:rsid w:val="007114EC"/>
    <w:rsid w:val="00711C4D"/>
    <w:rsid w:val="007203E6"/>
    <w:rsid w:val="007230AC"/>
    <w:rsid w:val="00724C39"/>
    <w:rsid w:val="0072798F"/>
    <w:rsid w:val="00732AFB"/>
    <w:rsid w:val="0073402F"/>
    <w:rsid w:val="0073440E"/>
    <w:rsid w:val="00741DDB"/>
    <w:rsid w:val="00743A63"/>
    <w:rsid w:val="00754BAF"/>
    <w:rsid w:val="00766B69"/>
    <w:rsid w:val="00767DA3"/>
    <w:rsid w:val="007755BF"/>
    <w:rsid w:val="007757A9"/>
    <w:rsid w:val="007762A4"/>
    <w:rsid w:val="00776348"/>
    <w:rsid w:val="007816E4"/>
    <w:rsid w:val="00782541"/>
    <w:rsid w:val="00783F4D"/>
    <w:rsid w:val="007846C2"/>
    <w:rsid w:val="0079551E"/>
    <w:rsid w:val="00795782"/>
    <w:rsid w:val="007A01B8"/>
    <w:rsid w:val="007A1751"/>
    <w:rsid w:val="007B32D2"/>
    <w:rsid w:val="007B3A82"/>
    <w:rsid w:val="007B3EA1"/>
    <w:rsid w:val="007B641D"/>
    <w:rsid w:val="007C2846"/>
    <w:rsid w:val="007C2F92"/>
    <w:rsid w:val="007D0A79"/>
    <w:rsid w:val="007D3573"/>
    <w:rsid w:val="007D4FE3"/>
    <w:rsid w:val="007E1AC2"/>
    <w:rsid w:val="007E6B3B"/>
    <w:rsid w:val="007F5F54"/>
    <w:rsid w:val="00801234"/>
    <w:rsid w:val="0080414A"/>
    <w:rsid w:val="0081169B"/>
    <w:rsid w:val="00811CE5"/>
    <w:rsid w:val="00812F74"/>
    <w:rsid w:val="00815C5E"/>
    <w:rsid w:val="00816598"/>
    <w:rsid w:val="008255E7"/>
    <w:rsid w:val="00833BA4"/>
    <w:rsid w:val="008351DF"/>
    <w:rsid w:val="008406BB"/>
    <w:rsid w:val="0084684D"/>
    <w:rsid w:val="0086077B"/>
    <w:rsid w:val="00864AF6"/>
    <w:rsid w:val="008720A6"/>
    <w:rsid w:val="008745CD"/>
    <w:rsid w:val="00881BC0"/>
    <w:rsid w:val="00884544"/>
    <w:rsid w:val="0088500E"/>
    <w:rsid w:val="00892640"/>
    <w:rsid w:val="0089476E"/>
    <w:rsid w:val="008953FC"/>
    <w:rsid w:val="008B1362"/>
    <w:rsid w:val="008B1709"/>
    <w:rsid w:val="008B1D1A"/>
    <w:rsid w:val="008C0AE8"/>
    <w:rsid w:val="008C0C66"/>
    <w:rsid w:val="008C679C"/>
    <w:rsid w:val="008D1E25"/>
    <w:rsid w:val="008D469D"/>
    <w:rsid w:val="008D5D3B"/>
    <w:rsid w:val="008D70E6"/>
    <w:rsid w:val="008D77D7"/>
    <w:rsid w:val="008E02AC"/>
    <w:rsid w:val="008F1DD3"/>
    <w:rsid w:val="008F3076"/>
    <w:rsid w:val="008F3EA3"/>
    <w:rsid w:val="0091585E"/>
    <w:rsid w:val="00917182"/>
    <w:rsid w:val="009303DC"/>
    <w:rsid w:val="00935B03"/>
    <w:rsid w:val="00935BB6"/>
    <w:rsid w:val="0093708A"/>
    <w:rsid w:val="00942F6C"/>
    <w:rsid w:val="0094333B"/>
    <w:rsid w:val="0094518B"/>
    <w:rsid w:val="009458C0"/>
    <w:rsid w:val="009572BB"/>
    <w:rsid w:val="009632CC"/>
    <w:rsid w:val="00965380"/>
    <w:rsid w:val="009853E1"/>
    <w:rsid w:val="009922DC"/>
    <w:rsid w:val="009A6947"/>
    <w:rsid w:val="009B3CDE"/>
    <w:rsid w:val="009B6C3A"/>
    <w:rsid w:val="009C1E08"/>
    <w:rsid w:val="009C6136"/>
    <w:rsid w:val="009D188F"/>
    <w:rsid w:val="009D58FA"/>
    <w:rsid w:val="009E1189"/>
    <w:rsid w:val="009E38D2"/>
    <w:rsid w:val="009E5929"/>
    <w:rsid w:val="009E5A12"/>
    <w:rsid w:val="009E66CA"/>
    <w:rsid w:val="009F4450"/>
    <w:rsid w:val="009F57DA"/>
    <w:rsid w:val="009F6A00"/>
    <w:rsid w:val="00A01B18"/>
    <w:rsid w:val="00A0265B"/>
    <w:rsid w:val="00A04A94"/>
    <w:rsid w:val="00A06DE5"/>
    <w:rsid w:val="00A07FE0"/>
    <w:rsid w:val="00A147F7"/>
    <w:rsid w:val="00A21AEC"/>
    <w:rsid w:val="00A23371"/>
    <w:rsid w:val="00A23661"/>
    <w:rsid w:val="00A23779"/>
    <w:rsid w:val="00A36834"/>
    <w:rsid w:val="00A42F7B"/>
    <w:rsid w:val="00A437DE"/>
    <w:rsid w:val="00A43FAC"/>
    <w:rsid w:val="00A44D5F"/>
    <w:rsid w:val="00A500F1"/>
    <w:rsid w:val="00A5381E"/>
    <w:rsid w:val="00A54C2F"/>
    <w:rsid w:val="00A55757"/>
    <w:rsid w:val="00A64C34"/>
    <w:rsid w:val="00A705F5"/>
    <w:rsid w:val="00A707A7"/>
    <w:rsid w:val="00A70C7D"/>
    <w:rsid w:val="00A81341"/>
    <w:rsid w:val="00A82C13"/>
    <w:rsid w:val="00A8532A"/>
    <w:rsid w:val="00A912E3"/>
    <w:rsid w:val="00A955F6"/>
    <w:rsid w:val="00A97AE7"/>
    <w:rsid w:val="00AA0432"/>
    <w:rsid w:val="00AB5857"/>
    <w:rsid w:val="00AB59B3"/>
    <w:rsid w:val="00AD053F"/>
    <w:rsid w:val="00AE02B3"/>
    <w:rsid w:val="00AE1B6A"/>
    <w:rsid w:val="00AE457B"/>
    <w:rsid w:val="00AE6511"/>
    <w:rsid w:val="00B020A3"/>
    <w:rsid w:val="00B10218"/>
    <w:rsid w:val="00B17B80"/>
    <w:rsid w:val="00B22761"/>
    <w:rsid w:val="00B32456"/>
    <w:rsid w:val="00B33A2C"/>
    <w:rsid w:val="00B36C46"/>
    <w:rsid w:val="00B447AA"/>
    <w:rsid w:val="00B467F0"/>
    <w:rsid w:val="00B46C57"/>
    <w:rsid w:val="00B51CB0"/>
    <w:rsid w:val="00B532F2"/>
    <w:rsid w:val="00B55633"/>
    <w:rsid w:val="00B57C55"/>
    <w:rsid w:val="00B6209E"/>
    <w:rsid w:val="00B6213F"/>
    <w:rsid w:val="00B6399F"/>
    <w:rsid w:val="00B63C71"/>
    <w:rsid w:val="00B64838"/>
    <w:rsid w:val="00B6488D"/>
    <w:rsid w:val="00B6710C"/>
    <w:rsid w:val="00B67CEF"/>
    <w:rsid w:val="00B84738"/>
    <w:rsid w:val="00B85379"/>
    <w:rsid w:val="00B8623F"/>
    <w:rsid w:val="00B93882"/>
    <w:rsid w:val="00B960F5"/>
    <w:rsid w:val="00BA147F"/>
    <w:rsid w:val="00BA5BEC"/>
    <w:rsid w:val="00BA5E95"/>
    <w:rsid w:val="00BA6878"/>
    <w:rsid w:val="00BA7A5E"/>
    <w:rsid w:val="00BB344D"/>
    <w:rsid w:val="00BC6569"/>
    <w:rsid w:val="00BD2D5E"/>
    <w:rsid w:val="00BD3A1D"/>
    <w:rsid w:val="00BD7362"/>
    <w:rsid w:val="00BE0E6A"/>
    <w:rsid w:val="00BE7A33"/>
    <w:rsid w:val="00BF1820"/>
    <w:rsid w:val="00BF2A57"/>
    <w:rsid w:val="00BF3BB7"/>
    <w:rsid w:val="00C011CF"/>
    <w:rsid w:val="00C02F42"/>
    <w:rsid w:val="00C044AE"/>
    <w:rsid w:val="00C11030"/>
    <w:rsid w:val="00C21BF0"/>
    <w:rsid w:val="00C23AED"/>
    <w:rsid w:val="00C3459A"/>
    <w:rsid w:val="00C34E41"/>
    <w:rsid w:val="00C358D5"/>
    <w:rsid w:val="00C376E8"/>
    <w:rsid w:val="00C406D2"/>
    <w:rsid w:val="00C47B46"/>
    <w:rsid w:val="00C519C2"/>
    <w:rsid w:val="00C54064"/>
    <w:rsid w:val="00C543F8"/>
    <w:rsid w:val="00C619D3"/>
    <w:rsid w:val="00C64B6E"/>
    <w:rsid w:val="00C66013"/>
    <w:rsid w:val="00C728A8"/>
    <w:rsid w:val="00C737BA"/>
    <w:rsid w:val="00C84D8A"/>
    <w:rsid w:val="00C94C28"/>
    <w:rsid w:val="00C97D15"/>
    <w:rsid w:val="00CA1356"/>
    <w:rsid w:val="00CA6A50"/>
    <w:rsid w:val="00CB2954"/>
    <w:rsid w:val="00CB797F"/>
    <w:rsid w:val="00CC1072"/>
    <w:rsid w:val="00CD2A67"/>
    <w:rsid w:val="00CD4E8C"/>
    <w:rsid w:val="00CD4ED3"/>
    <w:rsid w:val="00CD4FCE"/>
    <w:rsid w:val="00CE1526"/>
    <w:rsid w:val="00CE1A19"/>
    <w:rsid w:val="00CE3F94"/>
    <w:rsid w:val="00CE4DD7"/>
    <w:rsid w:val="00CE5D6F"/>
    <w:rsid w:val="00CF63BD"/>
    <w:rsid w:val="00D10757"/>
    <w:rsid w:val="00D1088D"/>
    <w:rsid w:val="00D13A95"/>
    <w:rsid w:val="00D164AD"/>
    <w:rsid w:val="00D333BA"/>
    <w:rsid w:val="00D35759"/>
    <w:rsid w:val="00D364F4"/>
    <w:rsid w:val="00D371BE"/>
    <w:rsid w:val="00D37B81"/>
    <w:rsid w:val="00D42F9C"/>
    <w:rsid w:val="00D44582"/>
    <w:rsid w:val="00D51EC2"/>
    <w:rsid w:val="00D55968"/>
    <w:rsid w:val="00D57833"/>
    <w:rsid w:val="00D614D3"/>
    <w:rsid w:val="00D61E2F"/>
    <w:rsid w:val="00D63F9C"/>
    <w:rsid w:val="00D6614C"/>
    <w:rsid w:val="00D679C5"/>
    <w:rsid w:val="00D708D7"/>
    <w:rsid w:val="00D76BDD"/>
    <w:rsid w:val="00D77C55"/>
    <w:rsid w:val="00D82226"/>
    <w:rsid w:val="00D84A26"/>
    <w:rsid w:val="00D90D34"/>
    <w:rsid w:val="00D90EF8"/>
    <w:rsid w:val="00D9226A"/>
    <w:rsid w:val="00DA13B9"/>
    <w:rsid w:val="00DA4E3C"/>
    <w:rsid w:val="00DA5251"/>
    <w:rsid w:val="00DB117B"/>
    <w:rsid w:val="00DB34E3"/>
    <w:rsid w:val="00DB4FF8"/>
    <w:rsid w:val="00DC0A36"/>
    <w:rsid w:val="00DC2F9C"/>
    <w:rsid w:val="00DD4E27"/>
    <w:rsid w:val="00DE0704"/>
    <w:rsid w:val="00E0664D"/>
    <w:rsid w:val="00E2444D"/>
    <w:rsid w:val="00E25162"/>
    <w:rsid w:val="00E260A8"/>
    <w:rsid w:val="00E376EA"/>
    <w:rsid w:val="00E40277"/>
    <w:rsid w:val="00E41DFD"/>
    <w:rsid w:val="00E4233B"/>
    <w:rsid w:val="00E45332"/>
    <w:rsid w:val="00E46914"/>
    <w:rsid w:val="00E505CF"/>
    <w:rsid w:val="00E51B60"/>
    <w:rsid w:val="00E72490"/>
    <w:rsid w:val="00E754C8"/>
    <w:rsid w:val="00E8006A"/>
    <w:rsid w:val="00E81371"/>
    <w:rsid w:val="00E82191"/>
    <w:rsid w:val="00E87DCD"/>
    <w:rsid w:val="00E95C5D"/>
    <w:rsid w:val="00EA1FF4"/>
    <w:rsid w:val="00EB13E2"/>
    <w:rsid w:val="00EB2182"/>
    <w:rsid w:val="00EB3B01"/>
    <w:rsid w:val="00EC6597"/>
    <w:rsid w:val="00ED0561"/>
    <w:rsid w:val="00ED0AED"/>
    <w:rsid w:val="00ED171E"/>
    <w:rsid w:val="00ED2466"/>
    <w:rsid w:val="00EE33EF"/>
    <w:rsid w:val="00EF39D4"/>
    <w:rsid w:val="00F039F2"/>
    <w:rsid w:val="00F06018"/>
    <w:rsid w:val="00F17F3D"/>
    <w:rsid w:val="00F17F7B"/>
    <w:rsid w:val="00F21921"/>
    <w:rsid w:val="00F253EA"/>
    <w:rsid w:val="00F26986"/>
    <w:rsid w:val="00F31CB0"/>
    <w:rsid w:val="00F37341"/>
    <w:rsid w:val="00F42876"/>
    <w:rsid w:val="00F472AC"/>
    <w:rsid w:val="00F57342"/>
    <w:rsid w:val="00F700E4"/>
    <w:rsid w:val="00F71922"/>
    <w:rsid w:val="00F744E0"/>
    <w:rsid w:val="00F77CC4"/>
    <w:rsid w:val="00F77E12"/>
    <w:rsid w:val="00F8025E"/>
    <w:rsid w:val="00F81A01"/>
    <w:rsid w:val="00F83CF8"/>
    <w:rsid w:val="00F878D2"/>
    <w:rsid w:val="00F90148"/>
    <w:rsid w:val="00F9470D"/>
    <w:rsid w:val="00F9528C"/>
    <w:rsid w:val="00F9595F"/>
    <w:rsid w:val="00F9684B"/>
    <w:rsid w:val="00FB464A"/>
    <w:rsid w:val="00FB6113"/>
    <w:rsid w:val="00FC5F01"/>
    <w:rsid w:val="00FD1999"/>
    <w:rsid w:val="00FD1D18"/>
    <w:rsid w:val="00FD48B2"/>
    <w:rsid w:val="00FD4B23"/>
    <w:rsid w:val="00FE48D6"/>
    <w:rsid w:val="00FF18C9"/>
    <w:rsid w:val="00FF7E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07B9DB22"/>
  <w15:docId w15:val="{0D2A17A6-5C88-4FA6-9DDD-948BB5E3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00E4"/>
    <w:pPr>
      <w:spacing w:line="280" w:lineRule="atLeast"/>
    </w:pPr>
    <w:rPr>
      <w:rFonts w:ascii="Trebuchet MS" w:hAnsi="Trebuchet MS" w:cs="Trebuchet MS"/>
      <w:snapToGrid w:val="0"/>
      <w:sz w:val="22"/>
      <w:szCs w:val="22"/>
      <w:lang w:val="de-DE"/>
    </w:rPr>
  </w:style>
  <w:style w:type="paragraph" w:styleId="berschrift1">
    <w:name w:val="heading 1"/>
    <w:basedOn w:val="Standard"/>
    <w:next w:val="Standard"/>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700E4"/>
    <w:rPr>
      <w:sz w:val="18"/>
      <w:szCs w:val="18"/>
    </w:rPr>
  </w:style>
  <w:style w:type="paragraph" w:styleId="Kopfzeile">
    <w:name w:val="header"/>
    <w:basedOn w:val="Standard"/>
    <w:rsid w:val="00F700E4"/>
    <w:pPr>
      <w:tabs>
        <w:tab w:val="center" w:pos="4536"/>
        <w:tab w:val="right" w:pos="9072"/>
      </w:tabs>
    </w:pPr>
  </w:style>
  <w:style w:type="paragraph" w:styleId="Fuzeile">
    <w:name w:val="footer"/>
    <w:basedOn w:val="Standard"/>
    <w:link w:val="FuzeileZchn"/>
    <w:uiPriority w:val="99"/>
    <w:rsid w:val="00F700E4"/>
    <w:pPr>
      <w:tabs>
        <w:tab w:val="center" w:pos="4536"/>
        <w:tab w:val="right" w:pos="9072"/>
      </w:tabs>
    </w:pPr>
  </w:style>
  <w:style w:type="character" w:styleId="Seitenzahl">
    <w:name w:val="page number"/>
    <w:basedOn w:val="Absatz-Standardschriftart"/>
    <w:rsid w:val="00F700E4"/>
  </w:style>
  <w:style w:type="paragraph" w:styleId="Sprechblasentext">
    <w:name w:val="Balloon Text"/>
    <w:basedOn w:val="Standard"/>
    <w:semiHidden/>
    <w:rsid w:val="00F700E4"/>
    <w:rPr>
      <w:rFonts w:ascii="Times New Roman" w:hAnsi="Times New Roman" w:cs="Times New Roman"/>
      <w:sz w:val="16"/>
      <w:szCs w:val="16"/>
    </w:rPr>
  </w:style>
  <w:style w:type="paragraph" w:styleId="Titel">
    <w:name w:val="Title"/>
    <w:basedOn w:val="Standard"/>
    <w:qFormat/>
    <w:rsid w:val="00F700E4"/>
    <w:pPr>
      <w:spacing w:line="240" w:lineRule="auto"/>
      <w:jc w:val="center"/>
    </w:pPr>
    <w:rPr>
      <w:rFonts w:ascii="Arial" w:hAnsi="Arial" w:cs="Arial"/>
      <w:b/>
      <w:bCs/>
      <w:sz w:val="24"/>
      <w:szCs w:val="24"/>
    </w:rPr>
  </w:style>
  <w:style w:type="character" w:customStyle="1" w:styleId="tw4winMark">
    <w:name w:val="tw4winMark"/>
    <w:rsid w:val="00F700E4"/>
    <w:rPr>
      <w:rFonts w:ascii="Courier New" w:hAnsi="Courier New" w:cs="Courier New"/>
      <w:vanish/>
      <w:color w:val="800080"/>
      <w:sz w:val="24"/>
      <w:szCs w:val="24"/>
      <w:vertAlign w:val="subscript"/>
    </w:rPr>
  </w:style>
  <w:style w:type="character" w:customStyle="1" w:styleId="tw4winError">
    <w:name w:val="tw4winError"/>
    <w:rsid w:val="00F700E4"/>
    <w:rPr>
      <w:rFonts w:ascii="Courier New" w:hAnsi="Courier New" w:cs="Courier New"/>
      <w:color w:val="00FF00"/>
      <w:sz w:val="40"/>
      <w:szCs w:val="40"/>
    </w:rPr>
  </w:style>
  <w:style w:type="character" w:customStyle="1" w:styleId="tw4winTerm">
    <w:name w:val="tw4winTerm"/>
    <w:rsid w:val="00F700E4"/>
    <w:rPr>
      <w:color w:val="0000FF"/>
    </w:rPr>
  </w:style>
  <w:style w:type="character" w:customStyle="1" w:styleId="tw4winPopup">
    <w:name w:val="tw4winPopup"/>
    <w:rsid w:val="00F700E4"/>
    <w:rPr>
      <w:rFonts w:ascii="Courier New" w:hAnsi="Courier New" w:cs="Courier New"/>
      <w:noProof/>
      <w:color w:val="008000"/>
    </w:rPr>
  </w:style>
  <w:style w:type="character" w:customStyle="1" w:styleId="tw4winJump">
    <w:name w:val="tw4winJump"/>
    <w:rsid w:val="00F700E4"/>
    <w:rPr>
      <w:rFonts w:ascii="Courier New" w:hAnsi="Courier New" w:cs="Courier New"/>
      <w:noProof/>
      <w:color w:val="008080"/>
    </w:rPr>
  </w:style>
  <w:style w:type="character" w:customStyle="1" w:styleId="tw4winExternal">
    <w:name w:val="tw4winExternal"/>
    <w:rsid w:val="00F700E4"/>
    <w:rPr>
      <w:rFonts w:ascii="Courier New" w:hAnsi="Courier New" w:cs="Courier New"/>
      <w:noProof/>
      <w:color w:val="808080"/>
    </w:rPr>
  </w:style>
  <w:style w:type="character" w:customStyle="1" w:styleId="tw4winInternal">
    <w:name w:val="tw4winInternal"/>
    <w:rsid w:val="00F700E4"/>
    <w:rPr>
      <w:rFonts w:ascii="Courier New" w:hAnsi="Courier New" w:cs="Courier New"/>
      <w:noProof/>
      <w:color w:val="FF0000"/>
    </w:rPr>
  </w:style>
  <w:style w:type="character" w:customStyle="1" w:styleId="DONOTTRANSLATE">
    <w:name w:val="DO_NOT_TRANSLATE"/>
    <w:rsid w:val="00F700E4"/>
    <w:rPr>
      <w:rFonts w:ascii="Courier New" w:hAnsi="Courier New" w:cs="Courier New"/>
      <w:noProof/>
      <w:color w:val="800000"/>
    </w:rPr>
  </w:style>
  <w:style w:type="paragraph" w:styleId="NurText">
    <w:name w:val="Plain Text"/>
    <w:basedOn w:val="Standard"/>
    <w:link w:val="NurTextZchn"/>
    <w:uiPriority w:val="99"/>
    <w:unhideWhenUsed/>
    <w:rsid w:val="00B55633"/>
    <w:pPr>
      <w:spacing w:line="240" w:lineRule="auto"/>
    </w:pPr>
    <w:rPr>
      <w:rFonts w:ascii="Consolas" w:eastAsia="Calibri" w:hAnsi="Consolas" w:cs="Times New Roman"/>
      <w:snapToGrid/>
      <w:sz w:val="21"/>
      <w:szCs w:val="21"/>
      <w:lang w:val="de-AT" w:eastAsia="en-US"/>
    </w:rPr>
  </w:style>
  <w:style w:type="character" w:customStyle="1" w:styleId="NurTextZchn">
    <w:name w:val="Nur Text Zchn"/>
    <w:basedOn w:val="Absatz-Standardschriftart"/>
    <w:link w:val="NurText"/>
    <w:uiPriority w:val="99"/>
    <w:rsid w:val="00B55633"/>
    <w:rPr>
      <w:rFonts w:ascii="Consolas" w:eastAsia="Calibri" w:hAnsi="Consolas" w:cs="Times New Roman"/>
      <w:sz w:val="21"/>
      <w:szCs w:val="21"/>
      <w:lang w:eastAsia="en-US"/>
    </w:rPr>
  </w:style>
  <w:style w:type="character" w:styleId="Hervorhebung">
    <w:name w:val="Emphasis"/>
    <w:basedOn w:val="Absatz-Standardschriftart"/>
    <w:uiPriority w:val="20"/>
    <w:qFormat/>
    <w:rsid w:val="008B1362"/>
    <w:rPr>
      <w:i/>
      <w:iCs/>
    </w:rPr>
  </w:style>
  <w:style w:type="paragraph" w:styleId="Listenabsatz">
    <w:name w:val="List Paragraph"/>
    <w:aliases w:val="Paragraphe EI,Paragraphe de liste1,EC,List Paragraph Main,List first level"/>
    <w:basedOn w:val="Standard"/>
    <w:link w:val="ListenabsatzZchn"/>
    <w:uiPriority w:val="34"/>
    <w:qFormat/>
    <w:rsid w:val="00CD2A67"/>
    <w:pPr>
      <w:ind w:left="720"/>
      <w:contextualSpacing/>
    </w:pPr>
  </w:style>
  <w:style w:type="paragraph" w:styleId="StandardWeb">
    <w:name w:val="Normal (Web)"/>
    <w:basedOn w:val="Standard"/>
    <w:uiPriority w:val="99"/>
    <w:unhideWhenUsed/>
    <w:rsid w:val="00B63C71"/>
    <w:pPr>
      <w:spacing w:before="100" w:beforeAutospacing="1" w:after="100" w:afterAutospacing="1" w:line="240" w:lineRule="auto"/>
    </w:pPr>
    <w:rPr>
      <w:rFonts w:ascii="Times New Roman" w:eastAsiaTheme="minorHAnsi" w:hAnsi="Times New Roman" w:cs="Times New Roman"/>
      <w:snapToGrid/>
      <w:sz w:val="24"/>
      <w:szCs w:val="24"/>
      <w:lang w:val="de-AT"/>
    </w:rPr>
  </w:style>
  <w:style w:type="character" w:styleId="Fett">
    <w:name w:val="Strong"/>
    <w:basedOn w:val="Absatz-Standardschriftart"/>
    <w:uiPriority w:val="22"/>
    <w:qFormat/>
    <w:rsid w:val="00B63C71"/>
    <w:rPr>
      <w:b/>
      <w:bCs/>
    </w:rPr>
  </w:style>
  <w:style w:type="character" w:customStyle="1" w:styleId="FuzeileZchn">
    <w:name w:val="Fußzeile Zchn"/>
    <w:basedOn w:val="Absatz-Standardschriftart"/>
    <w:link w:val="Fuzeile"/>
    <w:uiPriority w:val="99"/>
    <w:rsid w:val="00ED2466"/>
    <w:rPr>
      <w:rFonts w:ascii="Trebuchet MS" w:hAnsi="Trebuchet MS" w:cs="Trebuchet MS"/>
      <w:snapToGrid w:val="0"/>
      <w:sz w:val="22"/>
      <w:szCs w:val="22"/>
      <w:lang w:val="de-DE"/>
    </w:rPr>
  </w:style>
  <w:style w:type="character" w:styleId="Hyperlink">
    <w:name w:val="Hyperlink"/>
    <w:basedOn w:val="Absatz-Standardschriftart"/>
    <w:rsid w:val="005B3FB7"/>
    <w:rPr>
      <w:color w:val="0000FF" w:themeColor="hyperlink"/>
      <w:u w:val="single"/>
    </w:rPr>
  </w:style>
  <w:style w:type="paragraph" w:customStyle="1" w:styleId="Default">
    <w:name w:val="Default"/>
    <w:uiPriority w:val="99"/>
    <w:rsid w:val="007755BF"/>
    <w:pPr>
      <w:widowControl w:val="0"/>
      <w:autoSpaceDE w:val="0"/>
      <w:autoSpaceDN w:val="0"/>
      <w:adjustRightInd w:val="0"/>
    </w:pPr>
    <w:rPr>
      <w:rFonts w:ascii="Arial" w:eastAsiaTheme="minorHAnsi" w:hAnsi="Arial" w:cs="Arial"/>
      <w:color w:val="000000"/>
      <w:sz w:val="24"/>
      <w:szCs w:val="24"/>
      <w:lang w:val="de-DE" w:eastAsia="en-US"/>
    </w:rPr>
  </w:style>
  <w:style w:type="character" w:customStyle="1" w:styleId="ListenabsatzZchn">
    <w:name w:val="Listenabsatz Zchn"/>
    <w:aliases w:val="Paragraphe EI Zchn,Paragraphe de liste1 Zchn,EC Zchn,List Paragraph Main Zchn,List first level Zchn"/>
    <w:link w:val="Listenabsatz"/>
    <w:uiPriority w:val="34"/>
    <w:rsid w:val="005C7948"/>
    <w:rPr>
      <w:rFonts w:ascii="Trebuchet MS" w:hAnsi="Trebuchet MS" w:cs="Trebuchet MS"/>
      <w:snapToGrid w:val="0"/>
      <w:sz w:val="22"/>
      <w:szCs w:val="22"/>
      <w:lang w:val="de-DE"/>
    </w:rPr>
  </w:style>
  <w:style w:type="character" w:customStyle="1" w:styleId="paragraph2">
    <w:name w:val="paragraph2"/>
    <w:basedOn w:val="Absatz-Standardschriftart"/>
    <w:rsid w:val="00C737BA"/>
    <w:rPr>
      <w:b w:val="0"/>
      <w:bCs w:val="0"/>
      <w:vanish w:val="0"/>
      <w:webHidden w:val="0"/>
      <w:sz w:val="18"/>
      <w:szCs w:val="18"/>
      <w:specVanish w:val="0"/>
    </w:rPr>
  </w:style>
  <w:style w:type="table" w:styleId="Tabellenraster">
    <w:name w:val="Table Grid"/>
    <w:basedOn w:val="NormaleTabelle"/>
    <w:uiPriority w:val="39"/>
    <w:rsid w:val="00E46914"/>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54276874">
      <w:bodyDiv w:val="1"/>
      <w:marLeft w:val="0"/>
      <w:marRight w:val="0"/>
      <w:marTop w:val="0"/>
      <w:marBottom w:val="0"/>
      <w:divBdr>
        <w:top w:val="none" w:sz="0" w:space="0" w:color="auto"/>
        <w:left w:val="none" w:sz="0" w:space="0" w:color="auto"/>
        <w:bottom w:val="none" w:sz="0" w:space="0" w:color="auto"/>
        <w:right w:val="none" w:sz="0" w:space="0" w:color="auto"/>
      </w:divBdr>
    </w:div>
    <w:div w:id="78412682">
      <w:bodyDiv w:val="1"/>
      <w:marLeft w:val="0"/>
      <w:marRight w:val="0"/>
      <w:marTop w:val="0"/>
      <w:marBottom w:val="0"/>
      <w:divBdr>
        <w:top w:val="none" w:sz="0" w:space="0" w:color="auto"/>
        <w:left w:val="none" w:sz="0" w:space="0" w:color="auto"/>
        <w:bottom w:val="none" w:sz="0" w:space="0" w:color="auto"/>
        <w:right w:val="none" w:sz="0" w:space="0" w:color="auto"/>
      </w:divBdr>
    </w:div>
    <w:div w:id="117992046">
      <w:bodyDiv w:val="1"/>
      <w:marLeft w:val="0"/>
      <w:marRight w:val="0"/>
      <w:marTop w:val="0"/>
      <w:marBottom w:val="0"/>
      <w:divBdr>
        <w:top w:val="none" w:sz="0" w:space="0" w:color="auto"/>
        <w:left w:val="none" w:sz="0" w:space="0" w:color="auto"/>
        <w:bottom w:val="none" w:sz="0" w:space="0" w:color="auto"/>
        <w:right w:val="none" w:sz="0" w:space="0" w:color="auto"/>
      </w:divBdr>
    </w:div>
    <w:div w:id="161164005">
      <w:bodyDiv w:val="1"/>
      <w:marLeft w:val="0"/>
      <w:marRight w:val="0"/>
      <w:marTop w:val="0"/>
      <w:marBottom w:val="0"/>
      <w:divBdr>
        <w:top w:val="none" w:sz="0" w:space="0" w:color="auto"/>
        <w:left w:val="none" w:sz="0" w:space="0" w:color="auto"/>
        <w:bottom w:val="none" w:sz="0" w:space="0" w:color="auto"/>
        <w:right w:val="none" w:sz="0" w:space="0" w:color="auto"/>
      </w:divBdr>
    </w:div>
    <w:div w:id="198661731">
      <w:bodyDiv w:val="1"/>
      <w:marLeft w:val="0"/>
      <w:marRight w:val="0"/>
      <w:marTop w:val="0"/>
      <w:marBottom w:val="0"/>
      <w:divBdr>
        <w:top w:val="none" w:sz="0" w:space="0" w:color="auto"/>
        <w:left w:val="none" w:sz="0" w:space="0" w:color="auto"/>
        <w:bottom w:val="none" w:sz="0" w:space="0" w:color="auto"/>
        <w:right w:val="none" w:sz="0" w:space="0" w:color="auto"/>
      </w:divBdr>
    </w:div>
    <w:div w:id="224804073">
      <w:bodyDiv w:val="1"/>
      <w:marLeft w:val="0"/>
      <w:marRight w:val="0"/>
      <w:marTop w:val="0"/>
      <w:marBottom w:val="0"/>
      <w:divBdr>
        <w:top w:val="none" w:sz="0" w:space="0" w:color="auto"/>
        <w:left w:val="none" w:sz="0" w:space="0" w:color="auto"/>
        <w:bottom w:val="none" w:sz="0" w:space="0" w:color="auto"/>
        <w:right w:val="none" w:sz="0" w:space="0" w:color="auto"/>
      </w:divBdr>
    </w:div>
    <w:div w:id="234628101">
      <w:bodyDiv w:val="1"/>
      <w:marLeft w:val="0"/>
      <w:marRight w:val="0"/>
      <w:marTop w:val="0"/>
      <w:marBottom w:val="0"/>
      <w:divBdr>
        <w:top w:val="none" w:sz="0" w:space="0" w:color="auto"/>
        <w:left w:val="none" w:sz="0" w:space="0" w:color="auto"/>
        <w:bottom w:val="none" w:sz="0" w:space="0" w:color="auto"/>
        <w:right w:val="none" w:sz="0" w:space="0" w:color="auto"/>
      </w:divBdr>
    </w:div>
    <w:div w:id="302588301">
      <w:bodyDiv w:val="1"/>
      <w:marLeft w:val="0"/>
      <w:marRight w:val="0"/>
      <w:marTop w:val="0"/>
      <w:marBottom w:val="0"/>
      <w:divBdr>
        <w:top w:val="none" w:sz="0" w:space="0" w:color="auto"/>
        <w:left w:val="none" w:sz="0" w:space="0" w:color="auto"/>
        <w:bottom w:val="none" w:sz="0" w:space="0" w:color="auto"/>
        <w:right w:val="none" w:sz="0" w:space="0" w:color="auto"/>
      </w:divBdr>
    </w:div>
    <w:div w:id="337125047">
      <w:bodyDiv w:val="1"/>
      <w:marLeft w:val="0"/>
      <w:marRight w:val="0"/>
      <w:marTop w:val="0"/>
      <w:marBottom w:val="0"/>
      <w:divBdr>
        <w:top w:val="none" w:sz="0" w:space="0" w:color="auto"/>
        <w:left w:val="none" w:sz="0" w:space="0" w:color="auto"/>
        <w:bottom w:val="none" w:sz="0" w:space="0" w:color="auto"/>
        <w:right w:val="none" w:sz="0" w:space="0" w:color="auto"/>
      </w:divBdr>
    </w:div>
    <w:div w:id="351954080">
      <w:bodyDiv w:val="1"/>
      <w:marLeft w:val="0"/>
      <w:marRight w:val="0"/>
      <w:marTop w:val="0"/>
      <w:marBottom w:val="0"/>
      <w:divBdr>
        <w:top w:val="none" w:sz="0" w:space="0" w:color="auto"/>
        <w:left w:val="none" w:sz="0" w:space="0" w:color="auto"/>
        <w:bottom w:val="none" w:sz="0" w:space="0" w:color="auto"/>
        <w:right w:val="none" w:sz="0" w:space="0" w:color="auto"/>
      </w:divBdr>
    </w:div>
    <w:div w:id="427432364">
      <w:bodyDiv w:val="1"/>
      <w:marLeft w:val="0"/>
      <w:marRight w:val="0"/>
      <w:marTop w:val="0"/>
      <w:marBottom w:val="0"/>
      <w:divBdr>
        <w:top w:val="none" w:sz="0" w:space="0" w:color="auto"/>
        <w:left w:val="none" w:sz="0" w:space="0" w:color="auto"/>
        <w:bottom w:val="none" w:sz="0" w:space="0" w:color="auto"/>
        <w:right w:val="none" w:sz="0" w:space="0" w:color="auto"/>
      </w:divBdr>
    </w:div>
    <w:div w:id="450175200">
      <w:bodyDiv w:val="1"/>
      <w:marLeft w:val="0"/>
      <w:marRight w:val="0"/>
      <w:marTop w:val="0"/>
      <w:marBottom w:val="0"/>
      <w:divBdr>
        <w:top w:val="none" w:sz="0" w:space="0" w:color="auto"/>
        <w:left w:val="none" w:sz="0" w:space="0" w:color="auto"/>
        <w:bottom w:val="none" w:sz="0" w:space="0" w:color="auto"/>
        <w:right w:val="none" w:sz="0" w:space="0" w:color="auto"/>
      </w:divBdr>
    </w:div>
    <w:div w:id="464276662">
      <w:bodyDiv w:val="1"/>
      <w:marLeft w:val="0"/>
      <w:marRight w:val="0"/>
      <w:marTop w:val="0"/>
      <w:marBottom w:val="0"/>
      <w:divBdr>
        <w:top w:val="none" w:sz="0" w:space="0" w:color="auto"/>
        <w:left w:val="none" w:sz="0" w:space="0" w:color="auto"/>
        <w:bottom w:val="none" w:sz="0" w:space="0" w:color="auto"/>
        <w:right w:val="none" w:sz="0" w:space="0" w:color="auto"/>
      </w:divBdr>
    </w:div>
    <w:div w:id="537739201">
      <w:bodyDiv w:val="1"/>
      <w:marLeft w:val="0"/>
      <w:marRight w:val="0"/>
      <w:marTop w:val="0"/>
      <w:marBottom w:val="0"/>
      <w:divBdr>
        <w:top w:val="none" w:sz="0" w:space="0" w:color="auto"/>
        <w:left w:val="none" w:sz="0" w:space="0" w:color="auto"/>
        <w:bottom w:val="none" w:sz="0" w:space="0" w:color="auto"/>
        <w:right w:val="none" w:sz="0" w:space="0" w:color="auto"/>
      </w:divBdr>
    </w:div>
    <w:div w:id="546066532">
      <w:bodyDiv w:val="1"/>
      <w:marLeft w:val="0"/>
      <w:marRight w:val="0"/>
      <w:marTop w:val="0"/>
      <w:marBottom w:val="0"/>
      <w:divBdr>
        <w:top w:val="none" w:sz="0" w:space="0" w:color="auto"/>
        <w:left w:val="none" w:sz="0" w:space="0" w:color="auto"/>
        <w:bottom w:val="none" w:sz="0" w:space="0" w:color="auto"/>
        <w:right w:val="none" w:sz="0" w:space="0" w:color="auto"/>
      </w:divBdr>
    </w:div>
    <w:div w:id="601913484">
      <w:bodyDiv w:val="1"/>
      <w:marLeft w:val="0"/>
      <w:marRight w:val="0"/>
      <w:marTop w:val="0"/>
      <w:marBottom w:val="0"/>
      <w:divBdr>
        <w:top w:val="none" w:sz="0" w:space="0" w:color="auto"/>
        <w:left w:val="none" w:sz="0" w:space="0" w:color="auto"/>
        <w:bottom w:val="none" w:sz="0" w:space="0" w:color="auto"/>
        <w:right w:val="none" w:sz="0" w:space="0" w:color="auto"/>
      </w:divBdr>
    </w:div>
    <w:div w:id="609632108">
      <w:bodyDiv w:val="1"/>
      <w:marLeft w:val="0"/>
      <w:marRight w:val="0"/>
      <w:marTop w:val="0"/>
      <w:marBottom w:val="0"/>
      <w:divBdr>
        <w:top w:val="none" w:sz="0" w:space="0" w:color="auto"/>
        <w:left w:val="none" w:sz="0" w:space="0" w:color="auto"/>
        <w:bottom w:val="none" w:sz="0" w:space="0" w:color="auto"/>
        <w:right w:val="none" w:sz="0" w:space="0" w:color="auto"/>
      </w:divBdr>
    </w:div>
    <w:div w:id="674309752">
      <w:bodyDiv w:val="1"/>
      <w:marLeft w:val="0"/>
      <w:marRight w:val="0"/>
      <w:marTop w:val="0"/>
      <w:marBottom w:val="0"/>
      <w:divBdr>
        <w:top w:val="none" w:sz="0" w:space="0" w:color="auto"/>
        <w:left w:val="none" w:sz="0" w:space="0" w:color="auto"/>
        <w:bottom w:val="none" w:sz="0" w:space="0" w:color="auto"/>
        <w:right w:val="none" w:sz="0" w:space="0" w:color="auto"/>
      </w:divBdr>
    </w:div>
    <w:div w:id="678191585">
      <w:bodyDiv w:val="1"/>
      <w:marLeft w:val="0"/>
      <w:marRight w:val="0"/>
      <w:marTop w:val="0"/>
      <w:marBottom w:val="0"/>
      <w:divBdr>
        <w:top w:val="none" w:sz="0" w:space="0" w:color="auto"/>
        <w:left w:val="none" w:sz="0" w:space="0" w:color="auto"/>
        <w:bottom w:val="none" w:sz="0" w:space="0" w:color="auto"/>
        <w:right w:val="none" w:sz="0" w:space="0" w:color="auto"/>
      </w:divBdr>
    </w:div>
    <w:div w:id="769204917">
      <w:bodyDiv w:val="1"/>
      <w:marLeft w:val="0"/>
      <w:marRight w:val="0"/>
      <w:marTop w:val="0"/>
      <w:marBottom w:val="0"/>
      <w:divBdr>
        <w:top w:val="none" w:sz="0" w:space="0" w:color="auto"/>
        <w:left w:val="none" w:sz="0" w:space="0" w:color="auto"/>
        <w:bottom w:val="none" w:sz="0" w:space="0" w:color="auto"/>
        <w:right w:val="none" w:sz="0" w:space="0" w:color="auto"/>
      </w:divBdr>
    </w:div>
    <w:div w:id="771054331">
      <w:bodyDiv w:val="1"/>
      <w:marLeft w:val="0"/>
      <w:marRight w:val="0"/>
      <w:marTop w:val="0"/>
      <w:marBottom w:val="0"/>
      <w:divBdr>
        <w:top w:val="none" w:sz="0" w:space="0" w:color="auto"/>
        <w:left w:val="none" w:sz="0" w:space="0" w:color="auto"/>
        <w:bottom w:val="none" w:sz="0" w:space="0" w:color="auto"/>
        <w:right w:val="none" w:sz="0" w:space="0" w:color="auto"/>
      </w:divBdr>
    </w:div>
    <w:div w:id="815998986">
      <w:bodyDiv w:val="1"/>
      <w:marLeft w:val="0"/>
      <w:marRight w:val="0"/>
      <w:marTop w:val="0"/>
      <w:marBottom w:val="0"/>
      <w:divBdr>
        <w:top w:val="none" w:sz="0" w:space="0" w:color="auto"/>
        <w:left w:val="none" w:sz="0" w:space="0" w:color="auto"/>
        <w:bottom w:val="none" w:sz="0" w:space="0" w:color="auto"/>
        <w:right w:val="none" w:sz="0" w:space="0" w:color="auto"/>
      </w:divBdr>
    </w:div>
    <w:div w:id="855340421">
      <w:bodyDiv w:val="1"/>
      <w:marLeft w:val="0"/>
      <w:marRight w:val="0"/>
      <w:marTop w:val="0"/>
      <w:marBottom w:val="0"/>
      <w:divBdr>
        <w:top w:val="none" w:sz="0" w:space="0" w:color="auto"/>
        <w:left w:val="none" w:sz="0" w:space="0" w:color="auto"/>
        <w:bottom w:val="none" w:sz="0" w:space="0" w:color="auto"/>
        <w:right w:val="none" w:sz="0" w:space="0" w:color="auto"/>
      </w:divBdr>
    </w:div>
    <w:div w:id="862595549">
      <w:bodyDiv w:val="1"/>
      <w:marLeft w:val="0"/>
      <w:marRight w:val="0"/>
      <w:marTop w:val="0"/>
      <w:marBottom w:val="0"/>
      <w:divBdr>
        <w:top w:val="none" w:sz="0" w:space="0" w:color="auto"/>
        <w:left w:val="none" w:sz="0" w:space="0" w:color="auto"/>
        <w:bottom w:val="none" w:sz="0" w:space="0" w:color="auto"/>
        <w:right w:val="none" w:sz="0" w:space="0" w:color="auto"/>
      </w:divBdr>
    </w:div>
    <w:div w:id="883759583">
      <w:bodyDiv w:val="1"/>
      <w:marLeft w:val="0"/>
      <w:marRight w:val="0"/>
      <w:marTop w:val="0"/>
      <w:marBottom w:val="0"/>
      <w:divBdr>
        <w:top w:val="none" w:sz="0" w:space="0" w:color="auto"/>
        <w:left w:val="none" w:sz="0" w:space="0" w:color="auto"/>
        <w:bottom w:val="none" w:sz="0" w:space="0" w:color="auto"/>
        <w:right w:val="none" w:sz="0" w:space="0" w:color="auto"/>
      </w:divBdr>
    </w:div>
    <w:div w:id="903637825">
      <w:bodyDiv w:val="1"/>
      <w:marLeft w:val="0"/>
      <w:marRight w:val="0"/>
      <w:marTop w:val="0"/>
      <w:marBottom w:val="0"/>
      <w:divBdr>
        <w:top w:val="none" w:sz="0" w:space="0" w:color="auto"/>
        <w:left w:val="none" w:sz="0" w:space="0" w:color="auto"/>
        <w:bottom w:val="none" w:sz="0" w:space="0" w:color="auto"/>
        <w:right w:val="none" w:sz="0" w:space="0" w:color="auto"/>
      </w:divBdr>
    </w:div>
    <w:div w:id="911503274">
      <w:bodyDiv w:val="1"/>
      <w:marLeft w:val="0"/>
      <w:marRight w:val="0"/>
      <w:marTop w:val="0"/>
      <w:marBottom w:val="0"/>
      <w:divBdr>
        <w:top w:val="none" w:sz="0" w:space="0" w:color="auto"/>
        <w:left w:val="none" w:sz="0" w:space="0" w:color="auto"/>
        <w:bottom w:val="none" w:sz="0" w:space="0" w:color="auto"/>
        <w:right w:val="none" w:sz="0" w:space="0" w:color="auto"/>
      </w:divBdr>
    </w:div>
    <w:div w:id="914778966">
      <w:bodyDiv w:val="1"/>
      <w:marLeft w:val="0"/>
      <w:marRight w:val="0"/>
      <w:marTop w:val="0"/>
      <w:marBottom w:val="0"/>
      <w:divBdr>
        <w:top w:val="none" w:sz="0" w:space="0" w:color="auto"/>
        <w:left w:val="none" w:sz="0" w:space="0" w:color="auto"/>
        <w:bottom w:val="none" w:sz="0" w:space="0" w:color="auto"/>
        <w:right w:val="none" w:sz="0" w:space="0" w:color="auto"/>
      </w:divBdr>
    </w:div>
    <w:div w:id="958217177">
      <w:bodyDiv w:val="1"/>
      <w:marLeft w:val="0"/>
      <w:marRight w:val="0"/>
      <w:marTop w:val="0"/>
      <w:marBottom w:val="0"/>
      <w:divBdr>
        <w:top w:val="none" w:sz="0" w:space="0" w:color="auto"/>
        <w:left w:val="none" w:sz="0" w:space="0" w:color="auto"/>
        <w:bottom w:val="none" w:sz="0" w:space="0" w:color="auto"/>
        <w:right w:val="none" w:sz="0" w:space="0" w:color="auto"/>
      </w:divBdr>
    </w:div>
    <w:div w:id="971325675">
      <w:bodyDiv w:val="1"/>
      <w:marLeft w:val="0"/>
      <w:marRight w:val="0"/>
      <w:marTop w:val="0"/>
      <w:marBottom w:val="0"/>
      <w:divBdr>
        <w:top w:val="none" w:sz="0" w:space="0" w:color="auto"/>
        <w:left w:val="none" w:sz="0" w:space="0" w:color="auto"/>
        <w:bottom w:val="none" w:sz="0" w:space="0" w:color="auto"/>
        <w:right w:val="none" w:sz="0" w:space="0" w:color="auto"/>
      </w:divBdr>
    </w:div>
    <w:div w:id="978919423">
      <w:bodyDiv w:val="1"/>
      <w:marLeft w:val="0"/>
      <w:marRight w:val="0"/>
      <w:marTop w:val="0"/>
      <w:marBottom w:val="0"/>
      <w:divBdr>
        <w:top w:val="none" w:sz="0" w:space="0" w:color="auto"/>
        <w:left w:val="none" w:sz="0" w:space="0" w:color="auto"/>
        <w:bottom w:val="none" w:sz="0" w:space="0" w:color="auto"/>
        <w:right w:val="none" w:sz="0" w:space="0" w:color="auto"/>
      </w:divBdr>
    </w:div>
    <w:div w:id="1006325011">
      <w:bodyDiv w:val="1"/>
      <w:marLeft w:val="0"/>
      <w:marRight w:val="0"/>
      <w:marTop w:val="0"/>
      <w:marBottom w:val="0"/>
      <w:divBdr>
        <w:top w:val="none" w:sz="0" w:space="0" w:color="auto"/>
        <w:left w:val="none" w:sz="0" w:space="0" w:color="auto"/>
        <w:bottom w:val="none" w:sz="0" w:space="0" w:color="auto"/>
        <w:right w:val="none" w:sz="0" w:space="0" w:color="auto"/>
      </w:divBdr>
    </w:div>
    <w:div w:id="1087001069">
      <w:bodyDiv w:val="1"/>
      <w:marLeft w:val="0"/>
      <w:marRight w:val="0"/>
      <w:marTop w:val="0"/>
      <w:marBottom w:val="0"/>
      <w:divBdr>
        <w:top w:val="none" w:sz="0" w:space="0" w:color="auto"/>
        <w:left w:val="none" w:sz="0" w:space="0" w:color="auto"/>
        <w:bottom w:val="none" w:sz="0" w:space="0" w:color="auto"/>
        <w:right w:val="none" w:sz="0" w:space="0" w:color="auto"/>
      </w:divBdr>
    </w:div>
    <w:div w:id="1107235512">
      <w:bodyDiv w:val="1"/>
      <w:marLeft w:val="0"/>
      <w:marRight w:val="0"/>
      <w:marTop w:val="0"/>
      <w:marBottom w:val="0"/>
      <w:divBdr>
        <w:top w:val="none" w:sz="0" w:space="0" w:color="auto"/>
        <w:left w:val="none" w:sz="0" w:space="0" w:color="auto"/>
        <w:bottom w:val="none" w:sz="0" w:space="0" w:color="auto"/>
        <w:right w:val="none" w:sz="0" w:space="0" w:color="auto"/>
      </w:divBdr>
      <w:divsChild>
        <w:div w:id="653029179">
          <w:marLeft w:val="0"/>
          <w:marRight w:val="0"/>
          <w:marTop w:val="0"/>
          <w:marBottom w:val="0"/>
          <w:divBdr>
            <w:top w:val="none" w:sz="0" w:space="0" w:color="auto"/>
            <w:left w:val="none" w:sz="0" w:space="0" w:color="auto"/>
            <w:bottom w:val="none" w:sz="0" w:space="0" w:color="auto"/>
            <w:right w:val="none" w:sz="0" w:space="0" w:color="auto"/>
          </w:divBdr>
          <w:divsChild>
            <w:div w:id="768431358">
              <w:marLeft w:val="0"/>
              <w:marRight w:val="0"/>
              <w:marTop w:val="0"/>
              <w:marBottom w:val="0"/>
              <w:divBdr>
                <w:top w:val="none" w:sz="0" w:space="0" w:color="auto"/>
                <w:left w:val="none" w:sz="0" w:space="0" w:color="auto"/>
                <w:bottom w:val="none" w:sz="0" w:space="0" w:color="auto"/>
                <w:right w:val="none" w:sz="0" w:space="0" w:color="auto"/>
              </w:divBdr>
              <w:divsChild>
                <w:div w:id="600725538">
                  <w:marLeft w:val="0"/>
                  <w:marRight w:val="0"/>
                  <w:marTop w:val="0"/>
                  <w:marBottom w:val="0"/>
                  <w:divBdr>
                    <w:top w:val="none" w:sz="0" w:space="0" w:color="auto"/>
                    <w:left w:val="none" w:sz="0" w:space="0" w:color="auto"/>
                    <w:bottom w:val="none" w:sz="0" w:space="0" w:color="auto"/>
                    <w:right w:val="none" w:sz="0" w:space="0" w:color="auto"/>
                  </w:divBdr>
                  <w:divsChild>
                    <w:div w:id="2102749636">
                      <w:marLeft w:val="0"/>
                      <w:marRight w:val="0"/>
                      <w:marTop w:val="0"/>
                      <w:marBottom w:val="0"/>
                      <w:divBdr>
                        <w:top w:val="none" w:sz="0" w:space="0" w:color="auto"/>
                        <w:left w:val="none" w:sz="0" w:space="0" w:color="auto"/>
                        <w:bottom w:val="none" w:sz="0" w:space="0" w:color="auto"/>
                        <w:right w:val="none" w:sz="0" w:space="0" w:color="auto"/>
                      </w:divBdr>
                      <w:divsChild>
                        <w:div w:id="665714901">
                          <w:marLeft w:val="0"/>
                          <w:marRight w:val="0"/>
                          <w:marTop w:val="0"/>
                          <w:marBottom w:val="0"/>
                          <w:divBdr>
                            <w:top w:val="none" w:sz="0" w:space="0" w:color="auto"/>
                            <w:left w:val="none" w:sz="0" w:space="0" w:color="auto"/>
                            <w:bottom w:val="none" w:sz="0" w:space="0" w:color="auto"/>
                            <w:right w:val="none" w:sz="0" w:space="0" w:color="auto"/>
                          </w:divBdr>
                          <w:divsChild>
                            <w:div w:id="2098938035">
                              <w:marLeft w:val="0"/>
                              <w:marRight w:val="0"/>
                              <w:marTop w:val="0"/>
                              <w:marBottom w:val="0"/>
                              <w:divBdr>
                                <w:top w:val="none" w:sz="0" w:space="0" w:color="auto"/>
                                <w:left w:val="none" w:sz="0" w:space="0" w:color="auto"/>
                                <w:bottom w:val="none" w:sz="0" w:space="0" w:color="auto"/>
                                <w:right w:val="none" w:sz="0" w:space="0" w:color="auto"/>
                              </w:divBdr>
                              <w:divsChild>
                                <w:div w:id="216280424">
                                  <w:marLeft w:val="0"/>
                                  <w:marRight w:val="0"/>
                                  <w:marTop w:val="30"/>
                                  <w:marBottom w:val="2250"/>
                                  <w:divBdr>
                                    <w:top w:val="none" w:sz="0" w:space="0" w:color="auto"/>
                                    <w:left w:val="none" w:sz="0" w:space="0" w:color="auto"/>
                                    <w:bottom w:val="none" w:sz="0" w:space="0" w:color="auto"/>
                                    <w:right w:val="none" w:sz="0" w:space="0" w:color="auto"/>
                                  </w:divBdr>
                                  <w:divsChild>
                                    <w:div w:id="87777170">
                                      <w:marLeft w:val="0"/>
                                      <w:marRight w:val="0"/>
                                      <w:marTop w:val="0"/>
                                      <w:marBottom w:val="0"/>
                                      <w:divBdr>
                                        <w:top w:val="none" w:sz="0" w:space="0" w:color="auto"/>
                                        <w:left w:val="none" w:sz="0" w:space="0" w:color="auto"/>
                                        <w:bottom w:val="none" w:sz="0" w:space="0" w:color="auto"/>
                                        <w:right w:val="none" w:sz="0" w:space="0" w:color="auto"/>
                                      </w:divBdr>
                                      <w:divsChild>
                                        <w:div w:id="139658020">
                                          <w:marLeft w:val="0"/>
                                          <w:marRight w:val="0"/>
                                          <w:marTop w:val="0"/>
                                          <w:marBottom w:val="0"/>
                                          <w:divBdr>
                                            <w:top w:val="none" w:sz="0" w:space="0" w:color="auto"/>
                                            <w:left w:val="none" w:sz="0" w:space="0" w:color="auto"/>
                                            <w:bottom w:val="none" w:sz="0" w:space="0" w:color="auto"/>
                                            <w:right w:val="none" w:sz="0" w:space="0" w:color="auto"/>
                                          </w:divBdr>
                                          <w:divsChild>
                                            <w:div w:id="1138648184">
                                              <w:marLeft w:val="0"/>
                                              <w:marRight w:val="0"/>
                                              <w:marTop w:val="0"/>
                                              <w:marBottom w:val="0"/>
                                              <w:divBdr>
                                                <w:top w:val="none" w:sz="0" w:space="0" w:color="auto"/>
                                                <w:left w:val="none" w:sz="0" w:space="0" w:color="auto"/>
                                                <w:bottom w:val="none" w:sz="0" w:space="0" w:color="auto"/>
                                                <w:right w:val="none" w:sz="0" w:space="0" w:color="auto"/>
                                              </w:divBdr>
                                              <w:divsChild>
                                                <w:div w:id="1187602043">
                                                  <w:marLeft w:val="0"/>
                                                  <w:marRight w:val="0"/>
                                                  <w:marTop w:val="0"/>
                                                  <w:marBottom w:val="0"/>
                                                  <w:divBdr>
                                                    <w:top w:val="none" w:sz="0" w:space="0" w:color="auto"/>
                                                    <w:left w:val="none" w:sz="0" w:space="0" w:color="auto"/>
                                                    <w:bottom w:val="none" w:sz="0" w:space="0" w:color="auto"/>
                                                    <w:right w:val="none" w:sz="0" w:space="0" w:color="auto"/>
                                                  </w:divBdr>
                                                  <w:divsChild>
                                                    <w:div w:id="355471183">
                                                      <w:marLeft w:val="0"/>
                                                      <w:marRight w:val="0"/>
                                                      <w:marTop w:val="150"/>
                                                      <w:marBottom w:val="375"/>
                                                      <w:divBdr>
                                                        <w:top w:val="none" w:sz="0" w:space="0" w:color="auto"/>
                                                        <w:left w:val="none" w:sz="0" w:space="0" w:color="auto"/>
                                                        <w:bottom w:val="none" w:sz="0" w:space="0" w:color="auto"/>
                                                        <w:right w:val="none" w:sz="0" w:space="0" w:color="auto"/>
                                                      </w:divBdr>
                                                      <w:divsChild>
                                                        <w:div w:id="747119842">
                                                          <w:marLeft w:val="0"/>
                                                          <w:marRight w:val="0"/>
                                                          <w:marTop w:val="0"/>
                                                          <w:marBottom w:val="0"/>
                                                          <w:divBdr>
                                                            <w:top w:val="none" w:sz="0" w:space="0" w:color="auto"/>
                                                            <w:left w:val="none" w:sz="0" w:space="0" w:color="auto"/>
                                                            <w:bottom w:val="none" w:sz="0" w:space="0" w:color="auto"/>
                                                            <w:right w:val="none" w:sz="0" w:space="0" w:color="auto"/>
                                                          </w:divBdr>
                                                          <w:divsChild>
                                                            <w:div w:id="503669558">
                                                              <w:marLeft w:val="0"/>
                                                              <w:marRight w:val="0"/>
                                                              <w:marTop w:val="0"/>
                                                              <w:marBottom w:val="120"/>
                                                              <w:divBdr>
                                                                <w:top w:val="none" w:sz="0" w:space="0" w:color="auto"/>
                                                                <w:left w:val="none" w:sz="0" w:space="0" w:color="auto"/>
                                                                <w:bottom w:val="none" w:sz="0" w:space="0" w:color="auto"/>
                                                                <w:right w:val="none" w:sz="0" w:space="0" w:color="auto"/>
                                                              </w:divBdr>
                                                              <w:divsChild>
                                                                <w:div w:id="1968126791">
                                                                  <w:marLeft w:val="0"/>
                                                                  <w:marRight w:val="0"/>
                                                                  <w:marTop w:val="0"/>
                                                                  <w:marBottom w:val="0"/>
                                                                  <w:divBdr>
                                                                    <w:top w:val="none" w:sz="0" w:space="0" w:color="auto"/>
                                                                    <w:left w:val="none" w:sz="0" w:space="0" w:color="auto"/>
                                                                    <w:bottom w:val="none" w:sz="0" w:space="0" w:color="auto"/>
                                                                    <w:right w:val="none" w:sz="0" w:space="0" w:color="auto"/>
                                                                  </w:divBdr>
                                                                  <w:divsChild>
                                                                    <w:div w:id="1031609305">
                                                                      <w:marLeft w:val="0"/>
                                                                      <w:marRight w:val="0"/>
                                                                      <w:marTop w:val="0"/>
                                                                      <w:marBottom w:val="0"/>
                                                                      <w:divBdr>
                                                                        <w:top w:val="none" w:sz="0" w:space="0" w:color="auto"/>
                                                                        <w:left w:val="none" w:sz="0" w:space="0" w:color="auto"/>
                                                                        <w:bottom w:val="none" w:sz="0" w:space="0" w:color="auto"/>
                                                                        <w:right w:val="none" w:sz="0" w:space="0" w:color="auto"/>
                                                                      </w:divBdr>
                                                                      <w:divsChild>
                                                                        <w:div w:id="6958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075507">
      <w:bodyDiv w:val="1"/>
      <w:marLeft w:val="0"/>
      <w:marRight w:val="0"/>
      <w:marTop w:val="0"/>
      <w:marBottom w:val="0"/>
      <w:divBdr>
        <w:top w:val="none" w:sz="0" w:space="0" w:color="auto"/>
        <w:left w:val="none" w:sz="0" w:space="0" w:color="auto"/>
        <w:bottom w:val="none" w:sz="0" w:space="0" w:color="auto"/>
        <w:right w:val="none" w:sz="0" w:space="0" w:color="auto"/>
      </w:divBdr>
    </w:div>
    <w:div w:id="1175993054">
      <w:bodyDiv w:val="1"/>
      <w:marLeft w:val="0"/>
      <w:marRight w:val="0"/>
      <w:marTop w:val="0"/>
      <w:marBottom w:val="0"/>
      <w:divBdr>
        <w:top w:val="none" w:sz="0" w:space="0" w:color="auto"/>
        <w:left w:val="none" w:sz="0" w:space="0" w:color="auto"/>
        <w:bottom w:val="none" w:sz="0" w:space="0" w:color="auto"/>
        <w:right w:val="none" w:sz="0" w:space="0" w:color="auto"/>
      </w:divBdr>
    </w:div>
    <w:div w:id="1209225123">
      <w:bodyDiv w:val="1"/>
      <w:marLeft w:val="0"/>
      <w:marRight w:val="0"/>
      <w:marTop w:val="0"/>
      <w:marBottom w:val="0"/>
      <w:divBdr>
        <w:top w:val="none" w:sz="0" w:space="0" w:color="auto"/>
        <w:left w:val="none" w:sz="0" w:space="0" w:color="auto"/>
        <w:bottom w:val="none" w:sz="0" w:space="0" w:color="auto"/>
        <w:right w:val="none" w:sz="0" w:space="0" w:color="auto"/>
      </w:divBdr>
    </w:div>
    <w:div w:id="1210145135">
      <w:bodyDiv w:val="1"/>
      <w:marLeft w:val="0"/>
      <w:marRight w:val="0"/>
      <w:marTop w:val="0"/>
      <w:marBottom w:val="0"/>
      <w:divBdr>
        <w:top w:val="none" w:sz="0" w:space="0" w:color="auto"/>
        <w:left w:val="none" w:sz="0" w:space="0" w:color="auto"/>
        <w:bottom w:val="none" w:sz="0" w:space="0" w:color="auto"/>
        <w:right w:val="none" w:sz="0" w:space="0" w:color="auto"/>
      </w:divBdr>
    </w:div>
    <w:div w:id="1283347804">
      <w:bodyDiv w:val="1"/>
      <w:marLeft w:val="0"/>
      <w:marRight w:val="0"/>
      <w:marTop w:val="0"/>
      <w:marBottom w:val="0"/>
      <w:divBdr>
        <w:top w:val="none" w:sz="0" w:space="0" w:color="auto"/>
        <w:left w:val="none" w:sz="0" w:space="0" w:color="auto"/>
        <w:bottom w:val="none" w:sz="0" w:space="0" w:color="auto"/>
        <w:right w:val="none" w:sz="0" w:space="0" w:color="auto"/>
      </w:divBdr>
    </w:div>
    <w:div w:id="1375353865">
      <w:bodyDiv w:val="1"/>
      <w:marLeft w:val="0"/>
      <w:marRight w:val="0"/>
      <w:marTop w:val="0"/>
      <w:marBottom w:val="0"/>
      <w:divBdr>
        <w:top w:val="none" w:sz="0" w:space="0" w:color="auto"/>
        <w:left w:val="none" w:sz="0" w:space="0" w:color="auto"/>
        <w:bottom w:val="none" w:sz="0" w:space="0" w:color="auto"/>
        <w:right w:val="none" w:sz="0" w:space="0" w:color="auto"/>
      </w:divBdr>
    </w:div>
    <w:div w:id="1401950921">
      <w:bodyDiv w:val="1"/>
      <w:marLeft w:val="0"/>
      <w:marRight w:val="0"/>
      <w:marTop w:val="0"/>
      <w:marBottom w:val="0"/>
      <w:divBdr>
        <w:top w:val="none" w:sz="0" w:space="0" w:color="auto"/>
        <w:left w:val="none" w:sz="0" w:space="0" w:color="auto"/>
        <w:bottom w:val="none" w:sz="0" w:space="0" w:color="auto"/>
        <w:right w:val="none" w:sz="0" w:space="0" w:color="auto"/>
      </w:divBdr>
    </w:div>
    <w:div w:id="1436289696">
      <w:bodyDiv w:val="1"/>
      <w:marLeft w:val="0"/>
      <w:marRight w:val="0"/>
      <w:marTop w:val="0"/>
      <w:marBottom w:val="0"/>
      <w:divBdr>
        <w:top w:val="none" w:sz="0" w:space="0" w:color="auto"/>
        <w:left w:val="none" w:sz="0" w:space="0" w:color="auto"/>
        <w:bottom w:val="none" w:sz="0" w:space="0" w:color="auto"/>
        <w:right w:val="none" w:sz="0" w:space="0" w:color="auto"/>
      </w:divBdr>
    </w:div>
    <w:div w:id="1538153191">
      <w:bodyDiv w:val="1"/>
      <w:marLeft w:val="0"/>
      <w:marRight w:val="0"/>
      <w:marTop w:val="0"/>
      <w:marBottom w:val="0"/>
      <w:divBdr>
        <w:top w:val="none" w:sz="0" w:space="0" w:color="auto"/>
        <w:left w:val="none" w:sz="0" w:space="0" w:color="auto"/>
        <w:bottom w:val="none" w:sz="0" w:space="0" w:color="auto"/>
        <w:right w:val="none" w:sz="0" w:space="0" w:color="auto"/>
      </w:divBdr>
    </w:div>
    <w:div w:id="1572078641">
      <w:bodyDiv w:val="1"/>
      <w:marLeft w:val="0"/>
      <w:marRight w:val="0"/>
      <w:marTop w:val="0"/>
      <w:marBottom w:val="0"/>
      <w:divBdr>
        <w:top w:val="none" w:sz="0" w:space="0" w:color="auto"/>
        <w:left w:val="none" w:sz="0" w:space="0" w:color="auto"/>
        <w:bottom w:val="none" w:sz="0" w:space="0" w:color="auto"/>
        <w:right w:val="none" w:sz="0" w:space="0" w:color="auto"/>
      </w:divBdr>
    </w:div>
    <w:div w:id="1581714927">
      <w:bodyDiv w:val="1"/>
      <w:marLeft w:val="0"/>
      <w:marRight w:val="0"/>
      <w:marTop w:val="0"/>
      <w:marBottom w:val="0"/>
      <w:divBdr>
        <w:top w:val="none" w:sz="0" w:space="0" w:color="auto"/>
        <w:left w:val="none" w:sz="0" w:space="0" w:color="auto"/>
        <w:bottom w:val="none" w:sz="0" w:space="0" w:color="auto"/>
        <w:right w:val="none" w:sz="0" w:space="0" w:color="auto"/>
      </w:divBdr>
    </w:div>
    <w:div w:id="1606305908">
      <w:bodyDiv w:val="1"/>
      <w:marLeft w:val="0"/>
      <w:marRight w:val="0"/>
      <w:marTop w:val="0"/>
      <w:marBottom w:val="0"/>
      <w:divBdr>
        <w:top w:val="none" w:sz="0" w:space="0" w:color="auto"/>
        <w:left w:val="none" w:sz="0" w:space="0" w:color="auto"/>
        <w:bottom w:val="none" w:sz="0" w:space="0" w:color="auto"/>
        <w:right w:val="none" w:sz="0" w:space="0" w:color="auto"/>
      </w:divBdr>
    </w:div>
    <w:div w:id="1660037952">
      <w:bodyDiv w:val="1"/>
      <w:marLeft w:val="0"/>
      <w:marRight w:val="0"/>
      <w:marTop w:val="0"/>
      <w:marBottom w:val="0"/>
      <w:divBdr>
        <w:top w:val="none" w:sz="0" w:space="0" w:color="auto"/>
        <w:left w:val="none" w:sz="0" w:space="0" w:color="auto"/>
        <w:bottom w:val="none" w:sz="0" w:space="0" w:color="auto"/>
        <w:right w:val="none" w:sz="0" w:space="0" w:color="auto"/>
      </w:divBdr>
    </w:div>
    <w:div w:id="1784765544">
      <w:bodyDiv w:val="1"/>
      <w:marLeft w:val="0"/>
      <w:marRight w:val="0"/>
      <w:marTop w:val="0"/>
      <w:marBottom w:val="0"/>
      <w:divBdr>
        <w:top w:val="none" w:sz="0" w:space="0" w:color="auto"/>
        <w:left w:val="none" w:sz="0" w:space="0" w:color="auto"/>
        <w:bottom w:val="none" w:sz="0" w:space="0" w:color="auto"/>
        <w:right w:val="none" w:sz="0" w:space="0" w:color="auto"/>
      </w:divBdr>
    </w:div>
    <w:div w:id="1832208781">
      <w:bodyDiv w:val="1"/>
      <w:marLeft w:val="0"/>
      <w:marRight w:val="0"/>
      <w:marTop w:val="0"/>
      <w:marBottom w:val="0"/>
      <w:divBdr>
        <w:top w:val="none" w:sz="0" w:space="0" w:color="auto"/>
        <w:left w:val="none" w:sz="0" w:space="0" w:color="auto"/>
        <w:bottom w:val="none" w:sz="0" w:space="0" w:color="auto"/>
        <w:right w:val="none" w:sz="0" w:space="0" w:color="auto"/>
      </w:divBdr>
    </w:div>
    <w:div w:id="1841189066">
      <w:bodyDiv w:val="1"/>
      <w:marLeft w:val="0"/>
      <w:marRight w:val="0"/>
      <w:marTop w:val="0"/>
      <w:marBottom w:val="0"/>
      <w:divBdr>
        <w:top w:val="none" w:sz="0" w:space="0" w:color="auto"/>
        <w:left w:val="none" w:sz="0" w:space="0" w:color="auto"/>
        <w:bottom w:val="none" w:sz="0" w:space="0" w:color="auto"/>
        <w:right w:val="none" w:sz="0" w:space="0" w:color="auto"/>
      </w:divBdr>
    </w:div>
    <w:div w:id="1955208613">
      <w:bodyDiv w:val="1"/>
      <w:marLeft w:val="0"/>
      <w:marRight w:val="0"/>
      <w:marTop w:val="0"/>
      <w:marBottom w:val="0"/>
      <w:divBdr>
        <w:top w:val="none" w:sz="0" w:space="0" w:color="auto"/>
        <w:left w:val="none" w:sz="0" w:space="0" w:color="auto"/>
        <w:bottom w:val="none" w:sz="0" w:space="0" w:color="auto"/>
        <w:right w:val="none" w:sz="0" w:space="0" w:color="auto"/>
      </w:divBdr>
    </w:div>
    <w:div w:id="1970088177">
      <w:bodyDiv w:val="1"/>
      <w:marLeft w:val="0"/>
      <w:marRight w:val="0"/>
      <w:marTop w:val="0"/>
      <w:marBottom w:val="0"/>
      <w:divBdr>
        <w:top w:val="none" w:sz="0" w:space="0" w:color="auto"/>
        <w:left w:val="none" w:sz="0" w:space="0" w:color="auto"/>
        <w:bottom w:val="none" w:sz="0" w:space="0" w:color="auto"/>
        <w:right w:val="none" w:sz="0" w:space="0" w:color="auto"/>
      </w:divBdr>
    </w:div>
    <w:div w:id="1998993635">
      <w:bodyDiv w:val="1"/>
      <w:marLeft w:val="0"/>
      <w:marRight w:val="0"/>
      <w:marTop w:val="0"/>
      <w:marBottom w:val="0"/>
      <w:divBdr>
        <w:top w:val="none" w:sz="0" w:space="0" w:color="auto"/>
        <w:left w:val="none" w:sz="0" w:space="0" w:color="auto"/>
        <w:bottom w:val="none" w:sz="0" w:space="0" w:color="auto"/>
        <w:right w:val="none" w:sz="0" w:space="0" w:color="auto"/>
      </w:divBdr>
    </w:div>
    <w:div w:id="2025087811">
      <w:bodyDiv w:val="1"/>
      <w:marLeft w:val="0"/>
      <w:marRight w:val="0"/>
      <w:marTop w:val="0"/>
      <w:marBottom w:val="0"/>
      <w:divBdr>
        <w:top w:val="none" w:sz="0" w:space="0" w:color="auto"/>
        <w:left w:val="none" w:sz="0" w:space="0" w:color="auto"/>
        <w:bottom w:val="none" w:sz="0" w:space="0" w:color="auto"/>
        <w:right w:val="none" w:sz="0" w:space="0" w:color="auto"/>
      </w:divBdr>
    </w:div>
    <w:div w:id="21349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EF546-ECDE-413C-A1B9-55853614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3311</Words>
  <Characters>17888</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Translation: www.brainstorm.at</vt:lpstr>
    </vt:vector>
  </TitlesOfParts>
  <Company>Translation: www.brainstorm.at</Company>
  <LinksUpToDate>false</LinksUpToDate>
  <CharactersWithSpaces>21157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www.brainstorm.at</dc:title>
  <dc:creator>Manuela Bruck</dc:creator>
  <dc:description>Translation: www.brainstorm.at</dc:description>
  <cp:lastModifiedBy>Egger Bernhard, Dr, WKÖ BSBV</cp:lastModifiedBy>
  <cp:revision>5</cp:revision>
  <cp:lastPrinted>2015-09-30T08:11:00Z</cp:lastPrinted>
  <dcterms:created xsi:type="dcterms:W3CDTF">2020-08-11T15:06:00Z</dcterms:created>
  <dcterms:modified xsi:type="dcterms:W3CDTF">2020-08-31T15:27:00Z</dcterms:modified>
  <cp:category>Translation: www.brainstorm.at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ion">
    <vt:lpwstr>Translation: www.brainstorm.at</vt:lpwstr>
  </property>
</Properties>
</file>