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color w:val="2F5773" w:themeColor="accent1"/>
          <w:sz w:val="12"/>
          <w:szCs w:val="22"/>
          <w:lang w:val="en-GB"/>
        </w:rPr>
        <w:id w:val="2126582917"/>
        <w:docPartObj>
          <w:docPartGallery w:val="Cover Pages"/>
          <w:docPartUnique/>
        </w:docPartObj>
      </w:sdtPr>
      <w:sdtEndPr>
        <w:rPr>
          <w:sz w:val="22"/>
        </w:rPr>
      </w:sdtEndPr>
      <w:sdtContent>
        <w:p w:rsidR="00E00BB5" w:rsidRPr="00C60588" w:rsidRDefault="00E00BB5" w:rsidP="00C60588">
          <w:pPr>
            <w:tabs>
              <w:tab w:val="left" w:pos="1701"/>
            </w:tabs>
            <w:rPr>
              <w:color w:val="2F5773" w:themeColor="accent1"/>
              <w:lang w:val="en-GB"/>
            </w:rPr>
          </w:pPr>
        </w:p>
        <w:p w:rsidR="0077379B" w:rsidRPr="00C60588" w:rsidRDefault="00936E72" w:rsidP="00C60588">
          <w:pPr>
            <w:pStyle w:val="body"/>
            <w:tabs>
              <w:tab w:val="left" w:pos="1701"/>
            </w:tabs>
            <w:rPr>
              <w:color w:val="2F5773" w:themeColor="accent1"/>
            </w:rPr>
          </w:pPr>
          <w:r w:rsidRPr="00C60588">
            <w:rPr>
              <w:noProof/>
              <w:color w:val="2F5773" w:themeColor="accent1"/>
              <w:lang w:eastAsia="zh-CN"/>
            </w:rPr>
            <w:drawing>
              <wp:inline distT="0" distB="0" distL="0" distR="0" wp14:anchorId="06A8EF04" wp14:editId="19E62B9F">
                <wp:extent cx="2683315" cy="985652"/>
                <wp:effectExtent l="0" t="0" r="3175"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king Stakeholders Group v2.png"/>
                        <pic:cNvPicPr/>
                      </pic:nvPicPr>
                      <pic:blipFill rotWithShape="1">
                        <a:blip r:embed="rId9">
                          <a:extLst>
                            <a:ext uri="{28A0092B-C50C-407E-A947-70E740481C1C}">
                              <a14:useLocalDpi xmlns:a14="http://schemas.microsoft.com/office/drawing/2010/main" val="0"/>
                            </a:ext>
                          </a:extLst>
                        </a:blip>
                        <a:srcRect l="72624"/>
                        <a:stretch/>
                      </pic:blipFill>
                      <pic:spPr bwMode="auto">
                        <a:xfrm>
                          <a:off x="0" y="0"/>
                          <a:ext cx="2747109" cy="1009085"/>
                        </a:xfrm>
                        <a:prstGeom prst="rect">
                          <a:avLst/>
                        </a:prstGeom>
                        <a:ln>
                          <a:noFill/>
                        </a:ln>
                        <a:extLst>
                          <a:ext uri="{53640926-AAD7-44D8-BBD7-CCE9431645EC}">
                            <a14:shadowObscured xmlns:a14="http://schemas.microsoft.com/office/drawing/2010/main"/>
                          </a:ext>
                          <a:ext uri="{FAA26D3D-D897-4be2-8F04-BA451C77F1D7}">
                            <ma14:placeholderFlag xmlns:w15="http://schemas.microsoft.com/office/word/2012/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rsidR="00936E72" w:rsidRPr="00C60588" w:rsidRDefault="00936E72" w:rsidP="00C60588">
          <w:pPr>
            <w:pStyle w:val="body"/>
            <w:pBdr>
              <w:top w:val="thickThinLargeGap" w:sz="24" w:space="1" w:color="1163A7"/>
            </w:pBdr>
            <w:tabs>
              <w:tab w:val="left" w:pos="1701"/>
            </w:tabs>
            <w:spacing w:before="120"/>
            <w:ind w:right="4528"/>
            <w:rPr>
              <w:rFonts w:asciiTheme="majorHAnsi" w:hAnsiTheme="majorHAnsi"/>
              <w:b/>
              <w:smallCaps/>
              <w:color w:val="2F5773" w:themeColor="accent1"/>
              <w:spacing w:val="26"/>
              <w:sz w:val="32"/>
              <w:szCs w:val="40"/>
            </w:rPr>
          </w:pPr>
          <w:r w:rsidRPr="00C60588">
            <w:rPr>
              <w:rFonts w:asciiTheme="majorHAnsi" w:hAnsiTheme="majorHAnsi"/>
              <w:b/>
              <w:smallCaps/>
              <w:color w:val="2F5773" w:themeColor="accent1"/>
              <w:spacing w:val="26"/>
              <w:sz w:val="32"/>
              <w:szCs w:val="40"/>
            </w:rPr>
            <w:t>Banking Stakeholder Group</w:t>
          </w:r>
        </w:p>
        <w:p w:rsidR="0077379B" w:rsidRPr="00C60588" w:rsidRDefault="0077379B" w:rsidP="00C60588">
          <w:pPr>
            <w:pStyle w:val="body"/>
            <w:tabs>
              <w:tab w:val="left" w:pos="1701"/>
            </w:tabs>
            <w:rPr>
              <w:color w:val="2F5773" w:themeColor="accent1"/>
            </w:rPr>
          </w:pPr>
        </w:p>
        <w:p w:rsidR="003055C1" w:rsidRPr="00C60588" w:rsidRDefault="003055C1" w:rsidP="00C60588">
          <w:pPr>
            <w:pStyle w:val="body"/>
            <w:tabs>
              <w:tab w:val="left" w:pos="1701"/>
            </w:tabs>
            <w:rPr>
              <w:color w:val="2F5773" w:themeColor="accent1"/>
            </w:rPr>
          </w:pPr>
        </w:p>
        <w:p w:rsidR="003055C1" w:rsidRPr="00C60588" w:rsidRDefault="003055C1" w:rsidP="00C60588">
          <w:pPr>
            <w:pStyle w:val="body"/>
            <w:tabs>
              <w:tab w:val="left" w:pos="1701"/>
            </w:tabs>
            <w:rPr>
              <w:color w:val="2F5773" w:themeColor="accent1"/>
            </w:rPr>
          </w:pPr>
        </w:p>
        <w:p w:rsidR="00936E72" w:rsidRPr="00C60588" w:rsidRDefault="00936E72" w:rsidP="00C60588">
          <w:pPr>
            <w:pStyle w:val="Subtitle"/>
            <w:rPr>
              <w:color w:val="2F5773" w:themeColor="accent1"/>
            </w:rPr>
          </w:pPr>
          <w:r w:rsidRPr="00C60588">
            <w:rPr>
              <w:color w:val="2F5773" w:themeColor="accent1"/>
            </w:rPr>
            <w:t>Consultation on EBA/CP/201</w:t>
          </w:r>
          <w:r w:rsidR="00C60588" w:rsidRPr="00C60588">
            <w:rPr>
              <w:color w:val="2F5773" w:themeColor="accent1"/>
            </w:rPr>
            <w:t>4</w:t>
          </w:r>
          <w:r w:rsidRPr="00C60588">
            <w:rPr>
              <w:color w:val="2F5773" w:themeColor="accent1"/>
            </w:rPr>
            <w:t>/</w:t>
          </w:r>
          <w:r w:rsidR="00C60588" w:rsidRPr="00C60588">
            <w:rPr>
              <w:color w:val="2F5773" w:themeColor="accent1"/>
            </w:rPr>
            <w:t>19</w:t>
          </w:r>
          <w:r w:rsidRPr="00C60588">
            <w:rPr>
              <w:color w:val="2F5773" w:themeColor="accent1"/>
            </w:rPr>
            <w:t xml:space="preserve"> </w:t>
          </w:r>
          <w:r w:rsidR="00037237" w:rsidRPr="00C60588">
            <w:rPr>
              <w:color w:val="2F5773" w:themeColor="accent1"/>
            </w:rPr>
            <w:t>on</w:t>
          </w:r>
          <w:r w:rsidRPr="00C60588">
            <w:rPr>
              <w:color w:val="2F5773" w:themeColor="accent1"/>
            </w:rPr>
            <w:br/>
            <w:t>“Please insert cp title here”</w:t>
          </w:r>
        </w:p>
        <w:p w:rsidR="00C60588" w:rsidRPr="00C60588" w:rsidRDefault="00C60588" w:rsidP="00C60588">
          <w:pPr>
            <w:tabs>
              <w:tab w:val="left" w:pos="1701"/>
            </w:tabs>
            <w:jc w:val="center"/>
            <w:rPr>
              <w:color w:val="2F5773" w:themeColor="accent1"/>
              <w:lang w:val="en-GB"/>
            </w:rPr>
          </w:pPr>
        </w:p>
        <w:p w:rsidR="00C60588" w:rsidRPr="00C60588" w:rsidRDefault="00C60588" w:rsidP="00C60588">
          <w:pPr>
            <w:tabs>
              <w:tab w:val="left" w:pos="1701"/>
            </w:tabs>
            <w:jc w:val="center"/>
            <w:rPr>
              <w:color w:val="2F5773" w:themeColor="accent1"/>
              <w:lang w:val="en-GB"/>
            </w:rPr>
          </w:pPr>
        </w:p>
        <w:p w:rsidR="00947B0F" w:rsidRPr="00C60588" w:rsidRDefault="00B2355C" w:rsidP="00C60588">
          <w:pPr>
            <w:tabs>
              <w:tab w:val="left" w:pos="1701"/>
            </w:tabs>
            <w:jc w:val="center"/>
            <w:rPr>
              <w:color w:val="2F5773" w:themeColor="accent1"/>
              <w:lang w:val="en-GB"/>
            </w:rPr>
          </w:pPr>
        </w:p>
      </w:sdtContent>
    </w:sdt>
    <w:p w:rsidR="00947B0F" w:rsidRPr="00C60588" w:rsidRDefault="0077379B" w:rsidP="00C60588">
      <w:pPr>
        <w:pStyle w:val="Title"/>
        <w:tabs>
          <w:tab w:val="left" w:pos="1701"/>
        </w:tabs>
        <w:jc w:val="center"/>
        <w:rPr>
          <w:color w:val="2F5773" w:themeColor="accent1"/>
        </w:rPr>
      </w:pPr>
      <w:r w:rsidRPr="00C60588">
        <w:rPr>
          <w:color w:val="2F5773" w:themeColor="accent1"/>
        </w:rPr>
        <w:t xml:space="preserve">General Comments </w:t>
      </w:r>
      <w:r w:rsidRPr="00C60588">
        <w:rPr>
          <w:color w:val="2F5773" w:themeColor="accent1"/>
        </w:rPr>
        <w:br/>
        <w:t>and Replies to Questions</w:t>
      </w:r>
    </w:p>
    <w:p w:rsidR="00936E72" w:rsidRPr="00C60588" w:rsidRDefault="00936E72" w:rsidP="00C60588">
      <w:pPr>
        <w:pStyle w:val="Subtitle"/>
        <w:rPr>
          <w:color w:val="2F5773" w:themeColor="accent1"/>
        </w:rPr>
      </w:pPr>
      <w:r w:rsidRPr="00C60588">
        <w:rPr>
          <w:color w:val="2F5773" w:themeColor="accent1"/>
        </w:rPr>
        <w:t>By the EBA Banking Stakeholder Group</w:t>
      </w:r>
    </w:p>
    <w:p w:rsidR="00947B0F" w:rsidRDefault="00947B0F" w:rsidP="00947B0F"/>
    <w:p w:rsidR="00936E72" w:rsidRDefault="00936E72" w:rsidP="00947B0F"/>
    <w:p w:rsidR="00936E72" w:rsidRDefault="00936E72"/>
    <w:p w:rsidR="00936E72" w:rsidRDefault="00936E72"/>
    <w:p w:rsidR="00936E72" w:rsidRDefault="00936E72"/>
    <w:p w:rsidR="003055C1" w:rsidRDefault="003055C1"/>
    <w:p w:rsidR="003055C1" w:rsidRDefault="003055C1"/>
    <w:p w:rsidR="003055C1" w:rsidRDefault="003055C1"/>
    <w:p w:rsidR="003055C1" w:rsidRDefault="003055C1"/>
    <w:p w:rsidR="003055C1" w:rsidRDefault="003055C1"/>
    <w:p w:rsidR="003055C1" w:rsidRDefault="003055C1"/>
    <w:p w:rsidR="003055C1" w:rsidRDefault="003055C1"/>
    <w:p w:rsidR="003055C1" w:rsidRDefault="003055C1"/>
    <w:p w:rsidR="003055C1" w:rsidRDefault="003055C1"/>
    <w:p w:rsidR="003055C1" w:rsidRDefault="003055C1"/>
    <w:p w:rsidR="003055C1" w:rsidRDefault="003055C1"/>
    <w:p w:rsidR="00936E72" w:rsidRDefault="00C60588" w:rsidP="003055C1">
      <w:pPr>
        <w:jc w:val="right"/>
      </w:pPr>
      <w:r>
        <w:t>London, October 16th</w:t>
      </w:r>
      <w:r w:rsidR="00936E72">
        <w:t>, 2014</w:t>
      </w:r>
      <w:r w:rsidR="00936E72">
        <w:br w:type="page"/>
      </w:r>
    </w:p>
    <w:p w:rsidR="0077379B" w:rsidRPr="00C5106B" w:rsidRDefault="0077379B" w:rsidP="00947B0F">
      <w:pPr>
        <w:pStyle w:val="Titlelevel2"/>
        <w:rPr>
          <w:color w:val="3F8BD0" w:themeColor="accent6" w:themeTint="99"/>
        </w:rPr>
      </w:pPr>
      <w:r w:rsidRPr="00C5106B">
        <w:rPr>
          <w:color w:val="3F8BD0" w:themeColor="accent6" w:themeTint="99"/>
        </w:rPr>
        <w:lastRenderedPageBreak/>
        <w:t>Foreword</w:t>
      </w:r>
    </w:p>
    <w:p w:rsidR="00037237" w:rsidRPr="0010560D" w:rsidRDefault="00037237" w:rsidP="00B2355C">
      <w:pPr>
        <w:pStyle w:val="body"/>
        <w:jc w:val="both"/>
        <w:rPr>
          <w:rFonts w:asciiTheme="majorBidi" w:hAnsiTheme="majorBidi" w:cstheme="majorBidi"/>
        </w:rPr>
      </w:pPr>
      <w:r w:rsidRPr="0010560D">
        <w:rPr>
          <w:rFonts w:asciiTheme="majorBidi" w:hAnsiTheme="majorBidi" w:cstheme="majorBidi"/>
        </w:rPr>
        <w:t xml:space="preserve">The EBA Banking Stakeholder Group (“BSG”) welcomes the opportunity to comment on the Consultation Paper </w:t>
      </w:r>
      <w:r w:rsidR="00C60588" w:rsidRPr="0010560D">
        <w:rPr>
          <w:rFonts w:asciiTheme="majorBidi" w:hAnsiTheme="majorBidi" w:cstheme="majorBidi"/>
        </w:rPr>
        <w:t>(EBA/CP/2014/19)</w:t>
      </w:r>
      <w:r w:rsidRPr="0010560D">
        <w:rPr>
          <w:rFonts w:asciiTheme="majorBidi" w:hAnsiTheme="majorBidi" w:cstheme="majorBidi"/>
        </w:rPr>
        <w:t xml:space="preserve"> </w:t>
      </w:r>
      <w:r w:rsidR="00C60588" w:rsidRPr="0010560D">
        <w:rPr>
          <w:rFonts w:asciiTheme="majorBidi" w:hAnsiTheme="majorBidi" w:cstheme="majorBidi"/>
        </w:rPr>
        <w:t>on the guidelines on criteria to assess Other Systemically Important Institutions (O-SIIs).</w:t>
      </w:r>
    </w:p>
    <w:p w:rsidR="00037237" w:rsidRPr="0010560D" w:rsidRDefault="00037237" w:rsidP="00B2355C">
      <w:pPr>
        <w:pStyle w:val="body"/>
        <w:jc w:val="both"/>
        <w:rPr>
          <w:rFonts w:ascii="Times New Roman" w:hAnsi="Times New Roman" w:cs="Times New Roman"/>
        </w:rPr>
      </w:pPr>
      <w:r w:rsidRPr="0010560D">
        <w:rPr>
          <w:rFonts w:ascii="Times New Roman" w:hAnsi="Times New Roman" w:cs="Times New Roman"/>
        </w:rPr>
        <w:t xml:space="preserve">This response has been prepared on the basis of comments circulated and shared among the BSG members and the BSG’s Technical Working Group on </w:t>
      </w:r>
      <w:r w:rsidR="00C60588" w:rsidRPr="0010560D">
        <w:rPr>
          <w:rFonts w:ascii="Times New Roman" w:hAnsi="Times New Roman" w:cs="Times New Roman"/>
        </w:rPr>
        <w:t>Recover, Resolution and Systemic Issues.</w:t>
      </w:r>
    </w:p>
    <w:p w:rsidR="00037237" w:rsidRPr="0010560D" w:rsidRDefault="00037237" w:rsidP="00B2355C">
      <w:pPr>
        <w:pStyle w:val="body"/>
        <w:jc w:val="both"/>
        <w:rPr>
          <w:rFonts w:ascii="Times New Roman" w:hAnsi="Times New Roman" w:cs="Times New Roman"/>
        </w:rPr>
      </w:pPr>
      <w:r w:rsidRPr="0010560D">
        <w:rPr>
          <w:rFonts w:ascii="Times New Roman" w:hAnsi="Times New Roman" w:cs="Times New Roman"/>
        </w:rPr>
        <w:t xml:space="preserve">As in the past, the BSG supports an initiative that aims at harmonizing supervisory rules and practices across Europe, in order to ensure fair conditions of competition between institutions and more efficiency for cross-border groups. The BSG also expects these initiatives to facilitate data sharing between European supervisors and avoid reporting duplications for banks. However, the BSG identifies a number of issues which, unless properly addressed, could lead to unintended results. </w:t>
      </w:r>
    </w:p>
    <w:p w:rsidR="0077379B" w:rsidRPr="0010560D" w:rsidRDefault="00037237" w:rsidP="00B2355C">
      <w:pPr>
        <w:pStyle w:val="body"/>
        <w:jc w:val="both"/>
        <w:rPr>
          <w:rFonts w:ascii="Times New Roman" w:hAnsi="Times New Roman" w:cs="Times New Roman"/>
        </w:rPr>
      </w:pPr>
      <w:r w:rsidRPr="0010560D">
        <w:rPr>
          <w:rFonts w:ascii="Times New Roman" w:hAnsi="Times New Roman" w:cs="Times New Roman"/>
        </w:rPr>
        <w:t>This response outlines some general comments by the BSG, as well as our detailed answers to some questions indicated in the C</w:t>
      </w:r>
      <w:r w:rsidR="00C60588" w:rsidRPr="0010560D">
        <w:rPr>
          <w:rFonts w:ascii="Times New Roman" w:hAnsi="Times New Roman" w:cs="Times New Roman"/>
        </w:rPr>
        <w:t xml:space="preserve">onsultation </w:t>
      </w:r>
      <w:r w:rsidRPr="0010560D">
        <w:rPr>
          <w:rFonts w:ascii="Times New Roman" w:hAnsi="Times New Roman" w:cs="Times New Roman"/>
        </w:rPr>
        <w:t>P</w:t>
      </w:r>
      <w:r w:rsidR="00C60588" w:rsidRPr="0010560D">
        <w:rPr>
          <w:rFonts w:ascii="Times New Roman" w:hAnsi="Times New Roman" w:cs="Times New Roman"/>
        </w:rPr>
        <w:t>aper</w:t>
      </w:r>
      <w:r w:rsidRPr="0010560D">
        <w:rPr>
          <w:rFonts w:ascii="Times New Roman" w:hAnsi="Times New Roman" w:cs="Times New Roman"/>
        </w:rPr>
        <w:t>.</w:t>
      </w:r>
    </w:p>
    <w:p w:rsidR="00947B0F" w:rsidRDefault="00947B0F" w:rsidP="00947B0F">
      <w:pPr>
        <w:pStyle w:val="Titlelevel2"/>
      </w:pPr>
      <w:r w:rsidRPr="00B30DD1">
        <w:rPr>
          <w:color w:val="3F8BD0" w:themeColor="accent6" w:themeTint="99"/>
        </w:rPr>
        <w:t>G</w:t>
      </w:r>
      <w:r w:rsidR="00F77102" w:rsidRPr="00B30DD1">
        <w:rPr>
          <w:color w:val="3F8BD0" w:themeColor="accent6" w:themeTint="99"/>
        </w:rPr>
        <w:t>eneral</w:t>
      </w:r>
      <w:r w:rsidR="00F77102">
        <w:t xml:space="preserve"> </w:t>
      </w:r>
      <w:r w:rsidR="00F77102" w:rsidRPr="00B30DD1">
        <w:rPr>
          <w:color w:val="3F8BD0" w:themeColor="accent6" w:themeTint="99"/>
        </w:rPr>
        <w:t>comments</w:t>
      </w:r>
    </w:p>
    <w:p w:rsidR="00C60588" w:rsidRPr="0010560D" w:rsidRDefault="00C60588" w:rsidP="00C60588">
      <w:pPr>
        <w:spacing w:before="240" w:after="120" w:line="300" w:lineRule="atLeast"/>
        <w:jc w:val="both"/>
        <w:rPr>
          <w:rFonts w:asciiTheme="majorBidi" w:hAnsiTheme="majorBidi" w:cstheme="majorBidi"/>
          <w:sz w:val="24"/>
        </w:rPr>
      </w:pPr>
      <w:r w:rsidRPr="0010560D">
        <w:rPr>
          <w:rFonts w:asciiTheme="majorBidi" w:hAnsiTheme="majorBidi" w:cstheme="majorBidi"/>
          <w:sz w:val="24"/>
        </w:rPr>
        <w:t>The Banking Stakeholder Group (BSG) welcomes the opportunity to comment on the European Banking Authority’s (EBA) proposed guidelines aimed at defining the identification process for banks that will be deemed to be systemically important either at Member State or European Union level, the so called Other Systemically Important Institutions (O-SIIs) or Domestic Systemically Important Banks (D-SIBs) as named by the Basel Committee on Banking Supervision (BCBS).</w:t>
      </w:r>
    </w:p>
    <w:p w:rsidR="00C60588" w:rsidRPr="0010560D" w:rsidRDefault="00C60588" w:rsidP="00C60588">
      <w:pPr>
        <w:spacing w:before="240" w:after="120" w:line="300" w:lineRule="atLeast"/>
        <w:jc w:val="both"/>
        <w:rPr>
          <w:rFonts w:asciiTheme="majorBidi" w:hAnsiTheme="majorBidi" w:cstheme="majorBidi"/>
          <w:sz w:val="24"/>
        </w:rPr>
      </w:pPr>
      <w:r w:rsidRPr="0010560D">
        <w:rPr>
          <w:rFonts w:asciiTheme="majorBidi" w:hAnsiTheme="majorBidi" w:cstheme="majorBidi"/>
          <w:sz w:val="24"/>
        </w:rPr>
        <w:t xml:space="preserve">The BSG welcomes the efforts made by authorities to ensure the coherence between the identification methodologies and the policies for systemically important banks identified from a global perspective on the one hand (G-SIIs in the European framework, G-SIBs as named by the BCBS) and at a domestic level on the other hand. In that vein, we support the non-cumulative features of the G- and O- capital surcharges if they are applied at the same group level. Furthermore, the similarities between the identification methodologies of G- and O-SIIs (adaptation of the concepts used in the G-SII identification in the O-SII methodology) strengthen the credibility of the whole framework and this is </w:t>
      </w:r>
      <w:proofErr w:type="gramStart"/>
      <w:r w:rsidRPr="0010560D">
        <w:rPr>
          <w:rFonts w:asciiTheme="majorBidi" w:hAnsiTheme="majorBidi" w:cstheme="majorBidi"/>
          <w:sz w:val="24"/>
        </w:rPr>
        <w:t>to</w:t>
      </w:r>
      <w:proofErr w:type="gramEnd"/>
      <w:r w:rsidRPr="0010560D">
        <w:rPr>
          <w:rFonts w:asciiTheme="majorBidi" w:hAnsiTheme="majorBidi" w:cstheme="majorBidi"/>
          <w:sz w:val="24"/>
        </w:rPr>
        <w:t xml:space="preserve"> welcomed. However, these elements are not sufficient and various issues related to the design of the domestic framework still need to be addressed in order to avoid inconsistencies with the global framework and to ensure a level playing field among Member States.</w:t>
      </w:r>
    </w:p>
    <w:p w:rsidR="00C5106B" w:rsidRPr="00C5106B" w:rsidRDefault="00C5106B" w:rsidP="00C60588">
      <w:pPr>
        <w:spacing w:before="240" w:after="120" w:line="300" w:lineRule="atLeast"/>
        <w:jc w:val="both"/>
        <w:rPr>
          <w:rFonts w:ascii="Arial" w:hAnsi="Arial" w:cs="Arial"/>
          <w:color w:val="3F8BD0" w:themeColor="accent6" w:themeTint="99"/>
          <w:sz w:val="32"/>
          <w:szCs w:val="32"/>
        </w:rPr>
      </w:pPr>
      <w:r w:rsidRPr="00C5106B">
        <w:rPr>
          <w:rFonts w:ascii="Arial" w:hAnsi="Arial" w:cs="Arial"/>
          <w:color w:val="3F8BD0" w:themeColor="accent6" w:themeTint="99"/>
          <w:sz w:val="32"/>
          <w:szCs w:val="32"/>
        </w:rPr>
        <w:t>Main Concerns</w:t>
      </w:r>
    </w:p>
    <w:p w:rsidR="00C5106B" w:rsidRPr="0010560D" w:rsidRDefault="00C5106B" w:rsidP="00C5106B">
      <w:pPr>
        <w:spacing w:before="240" w:after="120" w:line="300" w:lineRule="atLeast"/>
        <w:jc w:val="both"/>
        <w:rPr>
          <w:rFonts w:asciiTheme="majorBidi" w:hAnsiTheme="majorBidi" w:cstheme="majorBidi"/>
          <w:sz w:val="24"/>
        </w:rPr>
      </w:pPr>
      <w:r w:rsidRPr="0010560D">
        <w:rPr>
          <w:rFonts w:asciiTheme="majorBidi" w:hAnsiTheme="majorBidi" w:cstheme="majorBidi"/>
          <w:sz w:val="24"/>
        </w:rPr>
        <w:t>The BSG is aware that the general design of the O-SII framework is not open to discussion in this consultation. However, we believe that authorities must consider the potential inconsistencies between the O- and G-SII frameworks, related to the risk that the O-SII framework dampens the effectiveness of the G-SII policy.</w:t>
      </w:r>
      <w:bookmarkStart w:id="0" w:name="_GoBack"/>
      <w:bookmarkEnd w:id="0"/>
    </w:p>
    <w:p w:rsidR="00C5106B" w:rsidRPr="0010560D" w:rsidRDefault="00C5106B" w:rsidP="00C5106B">
      <w:pPr>
        <w:spacing w:after="120" w:line="280" w:lineRule="exact"/>
        <w:jc w:val="both"/>
        <w:rPr>
          <w:rFonts w:asciiTheme="majorBidi" w:hAnsiTheme="majorBidi" w:cstheme="majorBidi"/>
          <w:b/>
          <w:sz w:val="24"/>
        </w:rPr>
      </w:pPr>
      <w:r w:rsidRPr="0010560D">
        <w:rPr>
          <w:rFonts w:asciiTheme="majorBidi" w:hAnsiTheme="majorBidi" w:cstheme="majorBidi"/>
          <w:b/>
          <w:sz w:val="24"/>
        </w:rPr>
        <w:lastRenderedPageBreak/>
        <w:t>I. The proposed O-SII framework would be superimposed on the G-SII framework which may lose its binding features and its effectiveness in many Member States.</w:t>
      </w:r>
    </w:p>
    <w:p w:rsidR="00C5106B" w:rsidRPr="0010560D" w:rsidRDefault="00C5106B" w:rsidP="00C5106B">
      <w:pPr>
        <w:pStyle w:val="ListParagraph"/>
        <w:numPr>
          <w:ilvl w:val="0"/>
          <w:numId w:val="21"/>
        </w:numPr>
        <w:spacing w:after="120" w:line="280" w:lineRule="exact"/>
        <w:ind w:left="426"/>
        <w:jc w:val="both"/>
        <w:rPr>
          <w:rFonts w:asciiTheme="majorBidi" w:hAnsiTheme="majorBidi" w:cstheme="majorBidi"/>
          <w:b/>
          <w:sz w:val="24"/>
          <w:szCs w:val="24"/>
          <w:lang w:val="en-US"/>
        </w:rPr>
      </w:pPr>
      <w:r w:rsidRPr="0010560D">
        <w:rPr>
          <w:rFonts w:asciiTheme="majorBidi" w:hAnsiTheme="majorBidi" w:cstheme="majorBidi"/>
          <w:b/>
          <w:sz w:val="24"/>
          <w:szCs w:val="24"/>
          <w:lang w:val="en-GB"/>
        </w:rPr>
        <w:t xml:space="preserve">Concern: </w:t>
      </w:r>
      <w:r w:rsidRPr="0010560D">
        <w:rPr>
          <w:rFonts w:asciiTheme="majorBidi" w:hAnsiTheme="majorBidi" w:cstheme="majorBidi"/>
          <w:sz w:val="24"/>
          <w:szCs w:val="24"/>
          <w:lang w:val="en-US"/>
        </w:rPr>
        <w:t>The present framework may imply that a bank faces a higher capital requirement for being systemic at a domestic level than at the global level.  Indeed, European G-SIIs are likely to face the highest level of O-SII capital requirements, i.e. a 2% capital surcharge, in many Member States. As a consequence, there will be a compression of the surcharges faced by European G-SIIs, and the G-SII regulation may lose its virtues in terms of creating the right incentives to mitigate systemic risk at a global level. This is because banks included in the two lowest buckets of global systemic risk would not be penalized if they increase their global systemic importance.</w:t>
      </w:r>
      <w:r w:rsidRPr="0010560D">
        <w:rPr>
          <w:rFonts w:asciiTheme="majorBidi" w:hAnsiTheme="majorBidi" w:cstheme="majorBidi"/>
          <w:sz w:val="24"/>
          <w:szCs w:val="24"/>
          <w:lang w:val="en-GB"/>
        </w:rPr>
        <w:t xml:space="preserve"> </w:t>
      </w:r>
    </w:p>
    <w:p w:rsidR="00C5106B" w:rsidRPr="0010560D" w:rsidRDefault="00C5106B" w:rsidP="00C5106B">
      <w:pPr>
        <w:pStyle w:val="ListParagraph"/>
        <w:spacing w:after="120" w:line="280" w:lineRule="exact"/>
        <w:ind w:left="426"/>
        <w:jc w:val="both"/>
        <w:rPr>
          <w:rFonts w:asciiTheme="majorBidi" w:hAnsiTheme="majorBidi" w:cstheme="majorBidi"/>
          <w:b/>
          <w:sz w:val="24"/>
          <w:szCs w:val="24"/>
          <w:lang w:val="en-US"/>
        </w:rPr>
      </w:pPr>
    </w:p>
    <w:p w:rsidR="00C5106B" w:rsidRPr="0010560D" w:rsidRDefault="00C5106B" w:rsidP="00C5106B">
      <w:pPr>
        <w:pStyle w:val="ListParagraph"/>
        <w:numPr>
          <w:ilvl w:val="0"/>
          <w:numId w:val="21"/>
        </w:numPr>
        <w:spacing w:after="120" w:line="280" w:lineRule="exact"/>
        <w:ind w:left="426"/>
        <w:jc w:val="both"/>
        <w:rPr>
          <w:rFonts w:asciiTheme="majorBidi" w:hAnsiTheme="majorBidi" w:cstheme="majorBidi"/>
          <w:sz w:val="24"/>
          <w:szCs w:val="24"/>
          <w:lang w:val="en-US"/>
        </w:rPr>
      </w:pPr>
      <w:r w:rsidRPr="0010560D">
        <w:rPr>
          <w:rFonts w:asciiTheme="majorBidi" w:hAnsiTheme="majorBidi" w:cstheme="majorBidi"/>
          <w:sz w:val="24"/>
          <w:szCs w:val="24"/>
          <w:lang w:val="en-GB"/>
        </w:rPr>
        <w:t>A way to address this problem might be for the local authority to set the domestic requirements at the level of individual balance sheets instead of consolidated accounts, when the business model of the institution and its resolvability assessment warrant this treatment.</w:t>
      </w:r>
      <w:r w:rsidRPr="0010560D">
        <w:rPr>
          <w:rFonts w:asciiTheme="majorBidi" w:hAnsiTheme="majorBidi" w:cstheme="majorBidi"/>
          <w:sz w:val="24"/>
          <w:szCs w:val="24"/>
          <w:lang w:val="en-US"/>
        </w:rPr>
        <w:t xml:space="preserve">  </w:t>
      </w:r>
    </w:p>
    <w:p w:rsidR="00C5106B" w:rsidRPr="0010560D" w:rsidRDefault="00C5106B" w:rsidP="00C5106B">
      <w:pPr>
        <w:spacing w:after="120" w:line="280" w:lineRule="exact"/>
        <w:jc w:val="both"/>
        <w:rPr>
          <w:rFonts w:asciiTheme="majorBidi" w:hAnsiTheme="majorBidi" w:cstheme="majorBidi"/>
          <w:b/>
          <w:sz w:val="24"/>
        </w:rPr>
      </w:pPr>
    </w:p>
    <w:p w:rsidR="00C5106B" w:rsidRPr="0010560D" w:rsidRDefault="00C5106B" w:rsidP="00C5106B">
      <w:pPr>
        <w:spacing w:after="120" w:line="280" w:lineRule="exact"/>
        <w:jc w:val="both"/>
        <w:rPr>
          <w:rFonts w:asciiTheme="majorBidi" w:hAnsiTheme="majorBidi" w:cstheme="majorBidi"/>
          <w:b/>
          <w:sz w:val="24"/>
        </w:rPr>
      </w:pPr>
      <w:r w:rsidRPr="0010560D">
        <w:rPr>
          <w:rFonts w:asciiTheme="majorBidi" w:hAnsiTheme="majorBidi" w:cstheme="majorBidi"/>
          <w:b/>
          <w:sz w:val="24"/>
        </w:rPr>
        <w:t xml:space="preserve">II. Authorities must define a relation between the domestic systemic score and the percentage of required capital surcharge. </w:t>
      </w:r>
      <w:r w:rsidRPr="0010560D">
        <w:rPr>
          <w:rFonts w:asciiTheme="majorBidi" w:hAnsiTheme="majorBidi" w:cstheme="majorBidi"/>
          <w:sz w:val="24"/>
        </w:rPr>
        <w:t>The guidelines aim at defining the identification process of O-SIIs but do not provide any details on how the capital surcharge is set according to their systemic score. CRDIV does not define the relation between a domestic systemic score and domestic capital surcharge. We understand that this key element will be left to the discretion of national supervisors. As a result, two banks with the same systemic score that operate in two different EU markets may be subject to significantly different capital surcharges. This could conflict with the Single Market objectives and create an uneven playing field in the EU.</w:t>
      </w:r>
    </w:p>
    <w:p w:rsidR="00C5106B" w:rsidRPr="0010560D" w:rsidRDefault="00C5106B" w:rsidP="00C5106B">
      <w:pPr>
        <w:spacing w:before="240" w:after="120" w:line="300" w:lineRule="atLeast"/>
        <w:jc w:val="both"/>
        <w:rPr>
          <w:rFonts w:asciiTheme="majorBidi" w:hAnsiTheme="majorBidi" w:cstheme="majorBidi"/>
          <w:sz w:val="24"/>
        </w:rPr>
      </w:pPr>
      <w:r w:rsidRPr="0010560D">
        <w:rPr>
          <w:rFonts w:asciiTheme="majorBidi" w:hAnsiTheme="majorBidi" w:cstheme="majorBidi"/>
          <w:b/>
          <w:sz w:val="24"/>
        </w:rPr>
        <w:t xml:space="preserve">III. Finally, authorities must also define the timetable to meet the required domestic capital requirements. </w:t>
      </w:r>
      <w:r w:rsidRPr="0010560D">
        <w:rPr>
          <w:rFonts w:asciiTheme="majorBidi" w:hAnsiTheme="majorBidi" w:cstheme="majorBidi"/>
          <w:sz w:val="24"/>
        </w:rPr>
        <w:t xml:space="preserve">Neither the EBA guidelines nor the CRD IV define the implementation timetable which is key to ensuring </w:t>
      </w:r>
      <w:proofErr w:type="gramStart"/>
      <w:r w:rsidRPr="0010560D">
        <w:rPr>
          <w:rFonts w:asciiTheme="majorBidi" w:hAnsiTheme="majorBidi" w:cstheme="majorBidi"/>
          <w:sz w:val="24"/>
        </w:rPr>
        <w:t>a the</w:t>
      </w:r>
      <w:proofErr w:type="gramEnd"/>
      <w:r w:rsidRPr="0010560D">
        <w:rPr>
          <w:rFonts w:asciiTheme="majorBidi" w:hAnsiTheme="majorBidi" w:cstheme="majorBidi"/>
          <w:sz w:val="24"/>
        </w:rPr>
        <w:t xml:space="preserve"> level playing field among the Member States. Since the O- and G-SII policies are complementary, we recommend that the domestic higher loss absorbency requirements are phased in in parallel with the G-SII implementation calendar, i.e. progressively between 2016 and 2018, becoming fully effective on 1 January 2019.</w:t>
      </w:r>
    </w:p>
    <w:p w:rsidR="0010560D" w:rsidRDefault="0010560D" w:rsidP="00C60588">
      <w:pPr>
        <w:spacing w:before="240" w:after="120" w:line="300" w:lineRule="atLeast"/>
        <w:jc w:val="both"/>
        <w:rPr>
          <w:rFonts w:ascii="Arial" w:hAnsi="Arial" w:cs="Arial"/>
          <w:sz w:val="20"/>
          <w:szCs w:val="20"/>
        </w:rPr>
      </w:pPr>
    </w:p>
    <w:p w:rsidR="00947B0F" w:rsidRPr="00C5106B" w:rsidRDefault="003055C1" w:rsidP="00C60588">
      <w:pPr>
        <w:spacing w:before="240" w:after="120" w:line="300" w:lineRule="atLeast"/>
        <w:jc w:val="both"/>
        <w:rPr>
          <w:color w:val="3F8BD0" w:themeColor="accent6" w:themeTint="99"/>
          <w:sz w:val="32"/>
          <w:szCs w:val="32"/>
        </w:rPr>
      </w:pPr>
      <w:r w:rsidRPr="00C5106B">
        <w:rPr>
          <w:color w:val="3F8BD0" w:themeColor="accent6" w:themeTint="99"/>
          <w:sz w:val="32"/>
          <w:szCs w:val="32"/>
        </w:rPr>
        <w:t>Replies to Questions</w:t>
      </w:r>
    </w:p>
    <w:p w:rsidR="00B30DD1" w:rsidRPr="00B30DD1" w:rsidRDefault="00B30DD1" w:rsidP="00B30DD1">
      <w:pPr>
        <w:pBdr>
          <w:top w:val="single" w:sz="4" w:space="1" w:color="auto"/>
          <w:left w:val="single" w:sz="4" w:space="4" w:color="auto"/>
          <w:bottom w:val="single" w:sz="4" w:space="1" w:color="auto"/>
          <w:right w:val="single" w:sz="4" w:space="4" w:color="auto"/>
        </w:pBdr>
        <w:spacing w:before="240" w:after="120" w:line="300" w:lineRule="atLeast"/>
        <w:jc w:val="both"/>
        <w:rPr>
          <w:rFonts w:ascii="Arial" w:hAnsi="Arial" w:cs="Arial"/>
          <w:color w:val="3F8BD0" w:themeColor="accent6" w:themeTint="99"/>
          <w:sz w:val="20"/>
          <w:szCs w:val="20"/>
        </w:rPr>
      </w:pPr>
      <w:r w:rsidRPr="00B30DD1">
        <w:rPr>
          <w:rFonts w:ascii="Arial" w:hAnsi="Arial" w:cs="Arial"/>
          <w:b/>
          <w:i/>
          <w:color w:val="3F8BD0" w:themeColor="accent6" w:themeTint="99"/>
          <w:sz w:val="20"/>
          <w:szCs w:val="20"/>
        </w:rPr>
        <w:t>Question 1:</w:t>
      </w:r>
      <w:r w:rsidRPr="00B30DD1">
        <w:rPr>
          <w:rFonts w:ascii="Arial" w:hAnsi="Arial" w:cs="Arial"/>
          <w:color w:val="3F8BD0" w:themeColor="accent6" w:themeTint="99"/>
          <w:sz w:val="20"/>
          <w:szCs w:val="20"/>
        </w:rPr>
        <w:t xml:space="preserve"> Can you think of any additional indicators that should be included in Table 1 of Annex 1, or indicators that are better suited to reflect systemic relevance? Please provide evidence supporting your view where possible.</w:t>
      </w:r>
    </w:p>
    <w:p w:rsidR="00B30DD1" w:rsidRPr="0010560D" w:rsidRDefault="00B30DD1" w:rsidP="00B30DD1">
      <w:pPr>
        <w:spacing w:before="240" w:after="120" w:line="300" w:lineRule="atLeast"/>
        <w:jc w:val="both"/>
        <w:rPr>
          <w:rFonts w:ascii="Times New Roman" w:hAnsi="Times New Roman" w:cs="Times New Roman"/>
          <w:sz w:val="24"/>
        </w:rPr>
      </w:pPr>
      <w:r w:rsidRPr="0010560D">
        <w:rPr>
          <w:rFonts w:ascii="Times New Roman" w:hAnsi="Times New Roman" w:cs="Times New Roman"/>
          <w:b/>
          <w:sz w:val="24"/>
        </w:rPr>
        <w:t xml:space="preserve">We think that the whole methodology is comprehensive enough and mainly in line with the G-SIB methodology. However, the inclusion of cross-border activities in the metrics raises some issues, as it is already included in the G-SII methodology and its </w:t>
      </w:r>
      <w:r w:rsidRPr="0010560D">
        <w:rPr>
          <w:rFonts w:ascii="Times New Roman" w:hAnsi="Times New Roman" w:cs="Times New Roman"/>
          <w:b/>
          <w:sz w:val="24"/>
        </w:rPr>
        <w:lastRenderedPageBreak/>
        <w:t xml:space="preserve">inclusion in the domestic framework could imply a certain degree of redundancy. </w:t>
      </w:r>
      <w:r w:rsidRPr="0010560D">
        <w:rPr>
          <w:rFonts w:ascii="Times New Roman" w:hAnsi="Times New Roman" w:cs="Times New Roman"/>
          <w:sz w:val="24"/>
        </w:rPr>
        <w:t>It is also worth noting that both the G- and O-SII frameworks omit the benefits arising from global presence that may improve diversification and provide additional non-negligible sources of resilience especially when banks operate in markets with non-correlated economic cycles.</w:t>
      </w:r>
    </w:p>
    <w:p w:rsidR="00B30DD1" w:rsidRPr="0010560D" w:rsidRDefault="00B30DD1" w:rsidP="00B30DD1">
      <w:pPr>
        <w:spacing w:before="240" w:after="120" w:line="300" w:lineRule="atLeast"/>
        <w:jc w:val="both"/>
        <w:rPr>
          <w:rFonts w:ascii="Times New Roman" w:hAnsi="Times New Roman" w:cs="Times New Roman"/>
          <w:sz w:val="24"/>
        </w:rPr>
      </w:pPr>
      <w:r w:rsidRPr="0010560D">
        <w:rPr>
          <w:rFonts w:ascii="Times New Roman" w:hAnsi="Times New Roman" w:cs="Times New Roman"/>
          <w:sz w:val="24"/>
        </w:rPr>
        <w:t xml:space="preserve">With regards to the criteria on Complexity/Cross border, the suggested indicators fail to reflect the full complexity. It would be more accurate to follow the BCBS framework on G-SIBs, including the following two indicators: </w:t>
      </w:r>
    </w:p>
    <w:p w:rsidR="00B30DD1" w:rsidRPr="0010560D" w:rsidRDefault="00B30DD1" w:rsidP="00B30DD1">
      <w:pPr>
        <w:numPr>
          <w:ilvl w:val="1"/>
          <w:numId w:val="20"/>
        </w:numPr>
        <w:tabs>
          <w:tab w:val="num" w:pos="360"/>
          <w:tab w:val="num" w:pos="720"/>
        </w:tabs>
        <w:spacing w:line="320" w:lineRule="atLeast"/>
        <w:ind w:left="720"/>
        <w:jc w:val="both"/>
        <w:rPr>
          <w:rFonts w:ascii="Times New Roman" w:hAnsi="Times New Roman" w:cs="Times New Roman"/>
          <w:sz w:val="24"/>
          <w:lang w:val="en-GB"/>
        </w:rPr>
      </w:pPr>
      <w:r w:rsidRPr="0010560D">
        <w:rPr>
          <w:rFonts w:ascii="Times New Roman" w:hAnsi="Times New Roman" w:cs="Times New Roman"/>
          <w:sz w:val="24"/>
          <w:lang w:val="en-GB"/>
        </w:rPr>
        <w:t>“Value of Trading &amp; AFS Securities less Stock of HQLA”</w:t>
      </w:r>
    </w:p>
    <w:p w:rsidR="00B30DD1" w:rsidRDefault="00B30DD1" w:rsidP="00B30DD1">
      <w:pPr>
        <w:numPr>
          <w:ilvl w:val="1"/>
          <w:numId w:val="20"/>
        </w:numPr>
        <w:tabs>
          <w:tab w:val="num" w:pos="360"/>
          <w:tab w:val="num" w:pos="720"/>
        </w:tabs>
        <w:spacing w:line="320" w:lineRule="atLeast"/>
        <w:ind w:left="720"/>
        <w:jc w:val="both"/>
        <w:rPr>
          <w:rFonts w:ascii="Times New Roman" w:hAnsi="Times New Roman" w:cs="Times New Roman"/>
          <w:sz w:val="24"/>
          <w:lang w:val="en-GB"/>
        </w:rPr>
      </w:pPr>
      <w:r w:rsidRPr="0010560D">
        <w:rPr>
          <w:rFonts w:ascii="Times New Roman" w:hAnsi="Times New Roman" w:cs="Times New Roman"/>
          <w:sz w:val="24"/>
          <w:lang w:val="en-GB"/>
        </w:rPr>
        <w:t>“Level 3 Assets”</w:t>
      </w:r>
    </w:p>
    <w:p w:rsidR="0010560D" w:rsidRPr="0010560D" w:rsidRDefault="0010560D" w:rsidP="0010560D">
      <w:pPr>
        <w:spacing w:line="320" w:lineRule="atLeast"/>
        <w:ind w:left="720"/>
        <w:jc w:val="both"/>
        <w:rPr>
          <w:rFonts w:ascii="Times New Roman" w:hAnsi="Times New Roman" w:cs="Times New Roman"/>
          <w:sz w:val="24"/>
          <w:lang w:val="en-GB"/>
        </w:rPr>
      </w:pPr>
    </w:p>
    <w:p w:rsidR="00B30DD1" w:rsidRPr="0010560D" w:rsidRDefault="00B30DD1" w:rsidP="00B30DD1">
      <w:pPr>
        <w:spacing w:line="320" w:lineRule="atLeast"/>
        <w:jc w:val="both"/>
        <w:rPr>
          <w:rFonts w:ascii="Times New Roman" w:hAnsi="Times New Roman" w:cs="Times New Roman"/>
          <w:sz w:val="24"/>
          <w:lang w:val="en-GB"/>
        </w:rPr>
      </w:pPr>
      <w:r w:rsidRPr="0010560D">
        <w:rPr>
          <w:rFonts w:ascii="Times New Roman" w:hAnsi="Times New Roman" w:cs="Times New Roman"/>
          <w:sz w:val="24"/>
          <w:lang w:val="en-GB"/>
        </w:rPr>
        <w:t>With regards to the “Interconnectedness” criteria the suggested indicators focus too much on interconnectedness within the banking sector but do not properly reflect the links with insurance companies or shadow banks. Thus, in compliance with the BCBS proposals regarding G-SIBs, the “Interbank liabilities” and “Interbank assets” indicators should be replaced with “Intra-financial system assets” and “Intra-financial system liabilities”</w:t>
      </w:r>
      <w:proofErr w:type="gramStart"/>
      <w:r w:rsidRPr="0010560D">
        <w:rPr>
          <w:rFonts w:ascii="Times New Roman" w:hAnsi="Times New Roman" w:cs="Times New Roman"/>
          <w:sz w:val="24"/>
          <w:lang w:val="en-GB"/>
        </w:rPr>
        <w:t>..</w:t>
      </w:r>
      <w:proofErr w:type="gramEnd"/>
      <w:r w:rsidRPr="0010560D">
        <w:rPr>
          <w:rFonts w:ascii="Times New Roman" w:hAnsi="Times New Roman" w:cs="Times New Roman"/>
          <w:sz w:val="24"/>
          <w:lang w:val="en-GB"/>
        </w:rPr>
        <w:t xml:space="preserve"> Furthermore, it would also be good to add the following indicators:  </w:t>
      </w:r>
    </w:p>
    <w:p w:rsidR="00B30DD1" w:rsidRPr="0010560D" w:rsidRDefault="00B30DD1" w:rsidP="00B30DD1">
      <w:pPr>
        <w:numPr>
          <w:ilvl w:val="1"/>
          <w:numId w:val="20"/>
        </w:numPr>
        <w:tabs>
          <w:tab w:val="num" w:pos="360"/>
          <w:tab w:val="num" w:pos="720"/>
        </w:tabs>
        <w:spacing w:line="320" w:lineRule="atLeast"/>
        <w:ind w:left="720"/>
        <w:jc w:val="both"/>
        <w:rPr>
          <w:rFonts w:ascii="Times New Roman" w:hAnsi="Times New Roman" w:cs="Times New Roman"/>
          <w:sz w:val="24"/>
          <w:lang w:val="en-GB"/>
        </w:rPr>
      </w:pPr>
      <w:r w:rsidRPr="0010560D">
        <w:rPr>
          <w:rFonts w:ascii="Times New Roman" w:hAnsi="Times New Roman" w:cs="Times New Roman"/>
          <w:sz w:val="24"/>
          <w:lang w:val="en-GB"/>
        </w:rPr>
        <w:t>“Securitised Debts”</w:t>
      </w:r>
    </w:p>
    <w:p w:rsidR="00B30DD1" w:rsidRPr="0010560D" w:rsidRDefault="00B30DD1" w:rsidP="00B30DD1">
      <w:pPr>
        <w:numPr>
          <w:ilvl w:val="1"/>
          <w:numId w:val="20"/>
        </w:numPr>
        <w:tabs>
          <w:tab w:val="num" w:pos="360"/>
          <w:tab w:val="num" w:pos="720"/>
        </w:tabs>
        <w:spacing w:line="320" w:lineRule="atLeast"/>
        <w:ind w:left="720"/>
        <w:jc w:val="both"/>
        <w:rPr>
          <w:rFonts w:ascii="Times New Roman" w:hAnsi="Times New Roman" w:cs="Times New Roman"/>
          <w:sz w:val="24"/>
          <w:lang w:val="en-GB"/>
        </w:rPr>
      </w:pPr>
      <w:r w:rsidRPr="0010560D">
        <w:rPr>
          <w:rFonts w:ascii="Times New Roman" w:hAnsi="Times New Roman" w:cs="Times New Roman"/>
          <w:sz w:val="24"/>
          <w:lang w:val="en-GB"/>
        </w:rPr>
        <w:t>“Volume of securities lending transactions”</w:t>
      </w:r>
    </w:p>
    <w:p w:rsidR="00B30DD1" w:rsidRPr="00A91B0B" w:rsidRDefault="00B30DD1" w:rsidP="00B30DD1">
      <w:pPr>
        <w:spacing w:before="240" w:after="120" w:line="300" w:lineRule="atLeast"/>
        <w:jc w:val="both"/>
        <w:rPr>
          <w:rFonts w:ascii="Arial" w:hAnsi="Arial" w:cs="Arial"/>
          <w:sz w:val="20"/>
          <w:szCs w:val="20"/>
          <w:lang w:val="en-GB"/>
        </w:rPr>
      </w:pPr>
    </w:p>
    <w:p w:rsidR="00B30DD1" w:rsidRPr="00B30DD1" w:rsidRDefault="00B30DD1" w:rsidP="00B30DD1">
      <w:pPr>
        <w:pBdr>
          <w:top w:val="single" w:sz="4" w:space="1" w:color="auto"/>
          <w:left w:val="single" w:sz="4" w:space="4" w:color="auto"/>
          <w:bottom w:val="single" w:sz="4" w:space="1" w:color="auto"/>
          <w:right w:val="single" w:sz="4" w:space="4" w:color="auto"/>
        </w:pBdr>
        <w:spacing w:before="240" w:after="120" w:line="300" w:lineRule="atLeast"/>
        <w:jc w:val="both"/>
        <w:rPr>
          <w:rFonts w:ascii="Arial" w:hAnsi="Arial" w:cs="Arial"/>
          <w:color w:val="3F8BD0" w:themeColor="accent6" w:themeTint="99"/>
          <w:sz w:val="20"/>
          <w:szCs w:val="20"/>
        </w:rPr>
      </w:pPr>
      <w:r w:rsidRPr="00B30DD1">
        <w:rPr>
          <w:rFonts w:ascii="Arial" w:hAnsi="Arial" w:cs="Arial"/>
          <w:b/>
          <w:i/>
          <w:color w:val="3F8BD0" w:themeColor="accent6" w:themeTint="99"/>
          <w:sz w:val="20"/>
          <w:szCs w:val="20"/>
        </w:rPr>
        <w:t>Question 2:</w:t>
      </w:r>
      <w:r w:rsidRPr="00B30DD1">
        <w:rPr>
          <w:rFonts w:ascii="Arial" w:hAnsi="Arial" w:cs="Arial"/>
          <w:color w:val="3F8BD0" w:themeColor="accent6" w:themeTint="99"/>
          <w:sz w:val="20"/>
          <w:szCs w:val="20"/>
        </w:rPr>
        <w:t xml:space="preserve"> Do you agree that there may be Member States where small institutions are unlikely to pose systemic threats to the domestic economy? Do you think the option to exclude these institutions could reduce the administrative burden for institutions, or do you think there is a risk that the results of the analysis could be distorted by excluding them?</w:t>
      </w:r>
    </w:p>
    <w:p w:rsidR="00B30DD1" w:rsidRPr="0010560D" w:rsidRDefault="00B30DD1" w:rsidP="00B30DD1">
      <w:pPr>
        <w:numPr>
          <w:ilvl w:val="0"/>
          <w:numId w:val="19"/>
        </w:numPr>
        <w:tabs>
          <w:tab w:val="num" w:pos="360"/>
        </w:tabs>
        <w:spacing w:line="320" w:lineRule="atLeast"/>
        <w:ind w:left="360" w:hanging="360"/>
        <w:jc w:val="both"/>
        <w:rPr>
          <w:rFonts w:ascii="Times New Roman" w:eastAsia="Times New Roman" w:hAnsi="Times New Roman" w:cs="Times New Roman"/>
          <w:sz w:val="24"/>
          <w:lang w:val="en-GB" w:eastAsia="de-DE"/>
        </w:rPr>
      </w:pPr>
      <w:r w:rsidRPr="0010560D">
        <w:rPr>
          <w:rFonts w:ascii="Times New Roman" w:hAnsi="Times New Roman" w:cs="Times New Roman"/>
          <w:sz w:val="24"/>
        </w:rPr>
        <w:t xml:space="preserve">The suggested threshold constitutes a step in the right direction to lessen the </w:t>
      </w:r>
      <w:r w:rsidRPr="0010560D">
        <w:rPr>
          <w:rFonts w:ascii="Times New Roman" w:hAnsi="Times New Roman" w:cs="Times New Roman"/>
          <w:sz w:val="24"/>
          <w:lang w:val="en-GB"/>
        </w:rPr>
        <w:t>burden that regulatory-administrative requirements entail for smaller credit institutions</w:t>
      </w:r>
      <w:r w:rsidRPr="0010560D">
        <w:rPr>
          <w:rFonts w:ascii="Times New Roman" w:hAnsi="Times New Roman" w:cs="Times New Roman"/>
          <w:sz w:val="24"/>
        </w:rPr>
        <w:t xml:space="preserve">. </w:t>
      </w:r>
      <w:r w:rsidRPr="0010560D">
        <w:rPr>
          <w:rFonts w:ascii="Times New Roman" w:hAnsi="Times New Roman" w:cs="Times New Roman"/>
          <w:sz w:val="24"/>
          <w:lang w:val="en-GB"/>
        </w:rPr>
        <w:t>Institutions performing such limited business activities do not have a system-destabilising effect.</w:t>
      </w:r>
      <w:r w:rsidRPr="0010560D">
        <w:rPr>
          <w:rFonts w:ascii="Times New Roman" w:hAnsi="Times New Roman" w:cs="Times New Roman"/>
          <w:sz w:val="24"/>
        </w:rPr>
        <w:t xml:space="preserve"> However, </w:t>
      </w:r>
      <w:r w:rsidRPr="0010560D">
        <w:rPr>
          <w:rFonts w:ascii="Times New Roman" w:hAnsi="Times New Roman" w:cs="Times New Roman"/>
          <w:sz w:val="24"/>
          <w:lang w:val="en-GB"/>
        </w:rPr>
        <w:t xml:space="preserve">we recommend raising this threshold to 0.1% of the overall market. </w:t>
      </w:r>
    </w:p>
    <w:p w:rsidR="00B30DD1" w:rsidRPr="009E4302" w:rsidRDefault="00B30DD1" w:rsidP="00B30DD1">
      <w:pPr>
        <w:spacing w:before="240" w:after="120" w:line="300" w:lineRule="atLeast"/>
        <w:jc w:val="both"/>
        <w:rPr>
          <w:rFonts w:ascii="Arial" w:hAnsi="Arial" w:cs="Arial"/>
          <w:sz w:val="20"/>
          <w:szCs w:val="20"/>
          <w:lang w:val="en-GB"/>
        </w:rPr>
      </w:pPr>
    </w:p>
    <w:p w:rsidR="00B30DD1" w:rsidRPr="00B30DD1" w:rsidRDefault="00B30DD1" w:rsidP="00B30DD1">
      <w:pPr>
        <w:pBdr>
          <w:top w:val="single" w:sz="4" w:space="1" w:color="auto"/>
          <w:left w:val="single" w:sz="4" w:space="4" w:color="auto"/>
          <w:bottom w:val="single" w:sz="4" w:space="1" w:color="auto"/>
          <w:right w:val="single" w:sz="4" w:space="4" w:color="auto"/>
        </w:pBdr>
        <w:spacing w:before="240" w:after="120" w:line="300" w:lineRule="atLeast"/>
        <w:jc w:val="both"/>
        <w:rPr>
          <w:rFonts w:ascii="Arial" w:hAnsi="Arial" w:cs="Arial"/>
          <w:color w:val="3F8BD0" w:themeColor="accent6" w:themeTint="99"/>
          <w:sz w:val="20"/>
          <w:szCs w:val="20"/>
        </w:rPr>
      </w:pPr>
      <w:r w:rsidRPr="00B30DD1">
        <w:rPr>
          <w:rFonts w:ascii="Arial" w:hAnsi="Arial" w:cs="Arial"/>
          <w:b/>
          <w:i/>
          <w:color w:val="3F8BD0" w:themeColor="accent6" w:themeTint="99"/>
          <w:sz w:val="20"/>
          <w:szCs w:val="20"/>
        </w:rPr>
        <w:t>Question 3:</w:t>
      </w:r>
      <w:r w:rsidRPr="00B30DD1">
        <w:rPr>
          <w:rFonts w:ascii="Arial" w:hAnsi="Arial" w:cs="Arial"/>
          <w:color w:val="3F8BD0" w:themeColor="accent6" w:themeTint="99"/>
          <w:sz w:val="20"/>
          <w:szCs w:val="20"/>
        </w:rPr>
        <w:t xml:space="preserve"> Can you think of any additional optional indicators that should be added to the list in Annex 2?</w:t>
      </w:r>
    </w:p>
    <w:p w:rsidR="00B30DD1" w:rsidRPr="0010560D" w:rsidRDefault="00B30DD1" w:rsidP="00B30DD1">
      <w:pPr>
        <w:spacing w:before="240" w:after="120" w:line="300" w:lineRule="atLeast"/>
        <w:jc w:val="both"/>
        <w:rPr>
          <w:rFonts w:asciiTheme="majorBidi" w:hAnsiTheme="majorBidi" w:cstheme="majorBidi"/>
          <w:sz w:val="24"/>
        </w:rPr>
      </w:pPr>
      <w:r w:rsidRPr="0010560D">
        <w:rPr>
          <w:rFonts w:asciiTheme="majorBidi" w:hAnsiTheme="majorBidi" w:cstheme="majorBidi"/>
          <w:sz w:val="24"/>
        </w:rPr>
        <w:t xml:space="preserve">The list of optional indicators is very wide, providing national supervisors with a high level of discretion. As a consequence, the final criteria used to assess systemic risk from a domestic perspective may vary strongly among Member States. This implies that two similar banks with similar business models, products, structures and resolvability may face different treatments if they operate in more than one Member State. Instead of widening </w:t>
      </w:r>
      <w:r w:rsidRPr="0010560D">
        <w:rPr>
          <w:rFonts w:asciiTheme="majorBidi" w:hAnsiTheme="majorBidi" w:cstheme="majorBidi"/>
          <w:sz w:val="24"/>
        </w:rPr>
        <w:lastRenderedPageBreak/>
        <w:t>the list of optional indicators, and in order to ensure a level playing field, we recommend EBA targeting a limited number of optional indicators or at least setting a maximum weight that the set of optional indicators can represent in the final systemic risk score.</w:t>
      </w:r>
    </w:p>
    <w:p w:rsidR="00B30DD1" w:rsidRPr="0010560D" w:rsidRDefault="00B30DD1" w:rsidP="00B30DD1">
      <w:pPr>
        <w:spacing w:line="320" w:lineRule="atLeast"/>
        <w:jc w:val="both"/>
        <w:rPr>
          <w:rFonts w:asciiTheme="majorBidi" w:hAnsiTheme="majorBidi" w:cstheme="majorBidi"/>
          <w:sz w:val="24"/>
          <w:lang w:val="en-GB"/>
        </w:rPr>
      </w:pPr>
      <w:r w:rsidRPr="0010560D">
        <w:rPr>
          <w:rFonts w:asciiTheme="majorBidi" w:hAnsiTheme="majorBidi" w:cstheme="majorBidi"/>
          <w:sz w:val="24"/>
          <w:lang w:val="en-GB"/>
        </w:rPr>
        <w:t xml:space="preserve">In particular, we suggest reconsidering the suitability of the criteria such as: </w:t>
      </w:r>
    </w:p>
    <w:p w:rsidR="00B30DD1" w:rsidRPr="0010560D" w:rsidRDefault="00B30DD1" w:rsidP="00B30DD1">
      <w:pPr>
        <w:numPr>
          <w:ilvl w:val="1"/>
          <w:numId w:val="20"/>
        </w:numPr>
        <w:tabs>
          <w:tab w:val="num" w:pos="360"/>
          <w:tab w:val="num" w:pos="720"/>
        </w:tabs>
        <w:spacing w:line="320" w:lineRule="atLeast"/>
        <w:ind w:left="720"/>
        <w:jc w:val="both"/>
        <w:rPr>
          <w:rFonts w:asciiTheme="majorBidi" w:hAnsiTheme="majorBidi" w:cstheme="majorBidi"/>
          <w:sz w:val="24"/>
          <w:lang w:val="en-GB"/>
        </w:rPr>
      </w:pPr>
      <w:r w:rsidRPr="0010560D">
        <w:rPr>
          <w:rFonts w:asciiTheme="majorBidi" w:hAnsiTheme="majorBidi" w:cstheme="majorBidi"/>
          <w:sz w:val="24"/>
          <w:lang w:val="en-GB"/>
        </w:rPr>
        <w:t>“private sector loans to recipients in a specific regions”, since this parameter would not fulfil the objective of dealing with the “domestic and European systemic relevance”  in Europe which is  the aim of the regulation</w:t>
      </w:r>
    </w:p>
    <w:p w:rsidR="00B30DD1" w:rsidRPr="0010560D" w:rsidRDefault="00B30DD1" w:rsidP="00B30DD1">
      <w:pPr>
        <w:numPr>
          <w:ilvl w:val="1"/>
          <w:numId w:val="20"/>
        </w:numPr>
        <w:tabs>
          <w:tab w:val="num" w:pos="360"/>
          <w:tab w:val="num" w:pos="720"/>
        </w:tabs>
        <w:spacing w:line="320" w:lineRule="atLeast"/>
        <w:ind w:left="720"/>
        <w:jc w:val="both"/>
        <w:rPr>
          <w:rFonts w:asciiTheme="majorBidi" w:hAnsiTheme="majorBidi" w:cstheme="majorBidi"/>
          <w:sz w:val="24"/>
          <w:lang w:val="en-GB"/>
        </w:rPr>
      </w:pPr>
      <w:r w:rsidRPr="0010560D">
        <w:rPr>
          <w:rFonts w:asciiTheme="majorBidi" w:hAnsiTheme="majorBidi" w:cstheme="majorBidi"/>
          <w:sz w:val="24"/>
          <w:lang w:val="en-GB"/>
        </w:rPr>
        <w:t>“potential reputational contagion” as it may lead to a specific reputational contagion which could be difficult to quantify and would be inconsistently applied</w:t>
      </w:r>
    </w:p>
    <w:p w:rsidR="00B30DD1" w:rsidRPr="0010560D" w:rsidRDefault="00B30DD1" w:rsidP="00B30DD1">
      <w:pPr>
        <w:numPr>
          <w:ilvl w:val="1"/>
          <w:numId w:val="20"/>
        </w:numPr>
        <w:tabs>
          <w:tab w:val="num" w:pos="360"/>
          <w:tab w:val="num" w:pos="720"/>
        </w:tabs>
        <w:spacing w:line="320" w:lineRule="atLeast"/>
        <w:ind w:left="720"/>
        <w:jc w:val="both"/>
        <w:rPr>
          <w:rFonts w:asciiTheme="majorBidi" w:hAnsiTheme="majorBidi" w:cstheme="majorBidi"/>
          <w:sz w:val="24"/>
          <w:lang w:val="en-GB"/>
        </w:rPr>
      </w:pPr>
      <w:proofErr w:type="gramStart"/>
      <w:r w:rsidRPr="0010560D">
        <w:rPr>
          <w:rFonts w:asciiTheme="majorBidi" w:hAnsiTheme="majorBidi" w:cstheme="majorBidi"/>
          <w:sz w:val="24"/>
          <w:lang w:val="en-GB"/>
        </w:rPr>
        <w:t>the</w:t>
      </w:r>
      <w:proofErr w:type="gramEnd"/>
      <w:r w:rsidRPr="0010560D">
        <w:rPr>
          <w:rFonts w:asciiTheme="majorBidi" w:hAnsiTheme="majorBidi" w:cstheme="majorBidi"/>
          <w:sz w:val="24"/>
          <w:lang w:val="en-GB"/>
        </w:rPr>
        <w:t xml:space="preserve"> “importance for an IPS of which the entity is a member”  as this would place the institutions at a disadvantage to ordinary deposit guarantee schemes since a respective identical criterion is not listed.</w:t>
      </w:r>
    </w:p>
    <w:p w:rsidR="00B30DD1" w:rsidRPr="0010560D" w:rsidRDefault="00B30DD1" w:rsidP="00B30DD1">
      <w:pPr>
        <w:rPr>
          <w:rFonts w:asciiTheme="majorBidi" w:hAnsiTheme="majorBidi" w:cstheme="majorBidi"/>
          <w:sz w:val="24"/>
          <w:lang w:val="en-GB"/>
        </w:rPr>
      </w:pPr>
    </w:p>
    <w:p w:rsidR="00B30DD1" w:rsidRPr="0010560D" w:rsidRDefault="00B30DD1" w:rsidP="00B30DD1">
      <w:pPr>
        <w:spacing w:before="240" w:after="120" w:line="300" w:lineRule="atLeast"/>
        <w:jc w:val="both"/>
        <w:rPr>
          <w:rFonts w:asciiTheme="majorBidi" w:hAnsiTheme="majorBidi" w:cstheme="majorBidi"/>
          <w:sz w:val="24"/>
        </w:rPr>
      </w:pPr>
      <w:r w:rsidRPr="0010560D">
        <w:rPr>
          <w:rFonts w:asciiTheme="majorBidi" w:hAnsiTheme="majorBidi" w:cstheme="majorBidi"/>
          <w:sz w:val="24"/>
        </w:rPr>
        <w:t>In addition to the list of optional indicators, the BSG recommends EBA including in the identification process a qualitative assessment of resolvability. We support this approach: a bank with a credible and coherent recovery and resolution strategy is less likely to pose a threat for domestic financial stability.</w:t>
      </w:r>
    </w:p>
    <w:p w:rsidR="00B30DD1" w:rsidRDefault="00B30DD1" w:rsidP="00B30DD1">
      <w:pPr>
        <w:pStyle w:val="body"/>
        <w:rPr>
          <w:rFonts w:ascii="Arial" w:hAnsi="Arial" w:cs="Arial"/>
          <w:sz w:val="20"/>
          <w:szCs w:val="20"/>
          <w:lang w:val="en-US"/>
        </w:rPr>
      </w:pPr>
    </w:p>
    <w:p w:rsidR="00947B0F" w:rsidRPr="00C5106B" w:rsidRDefault="00947B0F" w:rsidP="00B30DD1">
      <w:pPr>
        <w:pStyle w:val="body"/>
        <w:rPr>
          <w:color w:val="3F8BD0" w:themeColor="accent6" w:themeTint="99"/>
        </w:rPr>
      </w:pPr>
      <w:r w:rsidRPr="00C5106B">
        <w:rPr>
          <w:color w:val="3F8BD0" w:themeColor="accent6" w:themeTint="99"/>
        </w:rPr>
        <w:t>Submitted on behalf of the EBA Banking Stakeholder Group</w:t>
      </w:r>
    </w:p>
    <w:p w:rsidR="00947B0F" w:rsidRPr="00022D37" w:rsidRDefault="00022D37" w:rsidP="00F77102">
      <w:pPr>
        <w:rPr>
          <w:i/>
        </w:rPr>
      </w:pPr>
      <w:r>
        <w:rPr>
          <w:i/>
        </w:rPr>
        <w:t>David T</w:t>
      </w:r>
      <w:r w:rsidR="00AE3600">
        <w:rPr>
          <w:i/>
        </w:rPr>
        <w:t>.</w:t>
      </w:r>
      <w:r>
        <w:rPr>
          <w:i/>
        </w:rPr>
        <w:t xml:space="preserve"> Llewellyn</w:t>
      </w:r>
    </w:p>
    <w:p w:rsidR="00947B0F" w:rsidRPr="00244B97" w:rsidRDefault="001337E9" w:rsidP="00F77102">
      <w:r>
        <w:t>Chair</w:t>
      </w:r>
      <w:r w:rsidR="000F2A76">
        <w:t>person</w:t>
      </w:r>
    </w:p>
    <w:p w:rsidR="00D76E91" w:rsidRPr="00E00BB5" w:rsidRDefault="00D76E91" w:rsidP="00E00BB5"/>
    <w:sectPr w:rsidR="00D76E91" w:rsidRPr="00E00BB5" w:rsidSect="002F6CF0">
      <w:headerReference w:type="even" r:id="rId10"/>
      <w:headerReference w:type="default" r:id="rId11"/>
      <w:footerReference w:type="even" r:id="rId12"/>
      <w:footerReference w:type="default" r:id="rId13"/>
      <w:footerReference w:type="first" r:id="rId14"/>
      <w:pgSz w:w="11900" w:h="16840"/>
      <w:pgMar w:top="2268" w:right="1418" w:bottom="1134" w:left="1701" w:header="709" w:footer="709" w:gutter="0"/>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5A82" w:rsidRDefault="003B5A82" w:rsidP="00A00E34">
      <w:r>
        <w:separator/>
      </w:r>
    </w:p>
    <w:p w:rsidR="003B5A82" w:rsidRDefault="003B5A82"/>
  </w:endnote>
  <w:endnote w:type="continuationSeparator" w:id="0">
    <w:p w:rsidR="003B5A82" w:rsidRDefault="003B5A82" w:rsidP="00A00E34">
      <w:r>
        <w:continuationSeparator/>
      </w:r>
    </w:p>
    <w:p w:rsidR="003B5A82" w:rsidRDefault="003B5A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S PGothic">
    <w:panose1 w:val="020B0600070205080204"/>
    <w:charset w:val="80"/>
    <w:family w:val="swiss"/>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Lucida Grande">
    <w:altName w:val="Times New Roman"/>
    <w:charset w:val="00"/>
    <w:family w:val="auto"/>
    <w:pitch w:val="variable"/>
    <w:sig w:usb0="E1000AEF" w:usb1="5000A1FF" w:usb2="00000000" w:usb3="00000000" w:csb0="000001BF" w:csb1="00000000"/>
  </w:font>
  <w:font w:name="Lucida Fax">
    <w:panose1 w:val="02060602050505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7E9" w:rsidRDefault="001337E9" w:rsidP="00C43FD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337E9" w:rsidRDefault="001337E9" w:rsidP="0061030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7E9" w:rsidRPr="003055C1" w:rsidRDefault="001337E9" w:rsidP="00C43FD9">
    <w:pPr>
      <w:pStyle w:val="Footer"/>
      <w:framePr w:wrap="around" w:vAnchor="text" w:hAnchor="margin" w:xAlign="right" w:y="1"/>
      <w:rPr>
        <w:rStyle w:val="PageNumber"/>
        <w:color w:val="1163A7"/>
      </w:rPr>
    </w:pPr>
    <w:r w:rsidRPr="003055C1">
      <w:rPr>
        <w:rStyle w:val="PageNumber"/>
        <w:color w:val="1163A7"/>
      </w:rPr>
      <w:fldChar w:fldCharType="begin"/>
    </w:r>
    <w:r w:rsidRPr="003055C1">
      <w:rPr>
        <w:rStyle w:val="PageNumber"/>
        <w:color w:val="1163A7"/>
      </w:rPr>
      <w:instrText xml:space="preserve">PAGE  </w:instrText>
    </w:r>
    <w:r w:rsidRPr="003055C1">
      <w:rPr>
        <w:rStyle w:val="PageNumber"/>
        <w:color w:val="1163A7"/>
      </w:rPr>
      <w:fldChar w:fldCharType="separate"/>
    </w:r>
    <w:r w:rsidR="00B2355C">
      <w:rPr>
        <w:rStyle w:val="PageNumber"/>
        <w:noProof/>
        <w:color w:val="1163A7"/>
      </w:rPr>
      <w:t>5</w:t>
    </w:r>
    <w:r w:rsidRPr="003055C1">
      <w:rPr>
        <w:rStyle w:val="PageNumber"/>
        <w:color w:val="1163A7"/>
      </w:rPr>
      <w:fldChar w:fldCharType="end"/>
    </w:r>
  </w:p>
  <w:p w:rsidR="001337E9" w:rsidRDefault="001337E9" w:rsidP="003055C1">
    <w:pPr>
      <w:pStyle w:val="Footer"/>
      <w:pBdr>
        <w:top w:val="thickThinLargeGap" w:sz="24" w:space="1" w:color="1163A7"/>
      </w:pBd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7E9" w:rsidRDefault="001337E9" w:rsidP="002F6CF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5A82" w:rsidRPr="00DB5E8F" w:rsidRDefault="003B5A82">
      <w:pPr>
        <w:rPr>
          <w:sz w:val="12"/>
          <w:szCs w:val="12"/>
        </w:rPr>
      </w:pPr>
      <w:r w:rsidRPr="00DB5E8F">
        <w:rPr>
          <w:sz w:val="12"/>
          <w:szCs w:val="12"/>
        </w:rPr>
        <w:separator/>
      </w:r>
    </w:p>
  </w:footnote>
  <w:footnote w:type="continuationSeparator" w:id="0">
    <w:p w:rsidR="003B5A82" w:rsidRDefault="003B5A82" w:rsidP="00A00E34">
      <w:r>
        <w:continuationSeparator/>
      </w:r>
    </w:p>
    <w:p w:rsidR="003B5A82" w:rsidRDefault="003B5A82"/>
  </w:footnote>
  <w:footnote w:type="continuationNotice" w:id="1">
    <w:p w:rsidR="003B5A82" w:rsidRDefault="003B5A8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7E9" w:rsidRDefault="00B2355C">
    <w:sdt>
      <w:sdtPr>
        <w:id w:val="1051503992"/>
        <w:temporary/>
        <w:showingPlcHdr/>
      </w:sdtPr>
      <w:sdtEndPr/>
      <w:sdtContent>
        <w:r w:rsidR="001337E9">
          <w:t>[Type text]</w:t>
        </w:r>
      </w:sdtContent>
    </w:sdt>
    <w:r w:rsidR="001337E9">
      <w:ptab w:relativeTo="margin" w:alignment="center" w:leader="none"/>
    </w:r>
    <w:sdt>
      <w:sdtPr>
        <w:id w:val="731575129"/>
        <w:temporary/>
        <w:showingPlcHdr/>
      </w:sdtPr>
      <w:sdtEndPr/>
      <w:sdtContent>
        <w:r w:rsidR="001337E9">
          <w:t>[Type text]</w:t>
        </w:r>
      </w:sdtContent>
    </w:sdt>
    <w:r w:rsidR="001337E9">
      <w:ptab w:relativeTo="margin" w:alignment="right" w:leader="none"/>
    </w:r>
    <w:sdt>
      <w:sdtPr>
        <w:id w:val="364179191"/>
        <w:temporary/>
        <w:showingPlcHdr/>
      </w:sdtPr>
      <w:sdtEndPr/>
      <w:sdtContent>
        <w:r w:rsidR="001337E9">
          <w:t>[Type text]</w:t>
        </w:r>
      </w:sdtContent>
    </w:sdt>
  </w:p>
  <w:p w:rsidR="001337E9" w:rsidRDefault="001337E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5C1" w:rsidRPr="003055C1" w:rsidRDefault="003055C1" w:rsidP="003055C1">
    <w:pPr>
      <w:pStyle w:val="body"/>
      <w:pBdr>
        <w:top w:val="thickThinLargeGap" w:sz="24" w:space="1" w:color="1163A7"/>
      </w:pBdr>
      <w:spacing w:before="120"/>
      <w:ind w:right="4528"/>
      <w:rPr>
        <w:rFonts w:asciiTheme="majorHAnsi" w:hAnsiTheme="majorHAnsi"/>
        <w:b/>
        <w:smallCaps/>
        <w:color w:val="1163A7"/>
        <w:spacing w:val="26"/>
        <w:sz w:val="32"/>
        <w:szCs w:val="40"/>
      </w:rPr>
    </w:pPr>
    <w:r w:rsidRPr="003055C1">
      <w:rPr>
        <w:rFonts w:asciiTheme="majorHAnsi" w:hAnsiTheme="majorHAnsi"/>
        <w:b/>
        <w:smallCaps/>
        <w:color w:val="1163A7"/>
        <w:spacing w:val="26"/>
        <w:sz w:val="32"/>
        <w:szCs w:val="40"/>
      </w:rPr>
      <w:t>Banking Stakeholder Group</w:t>
    </w:r>
  </w:p>
  <w:p w:rsidR="001337E9" w:rsidRPr="00F9452C" w:rsidRDefault="001337E9" w:rsidP="002C0DCF">
    <w:pPr>
      <w:pStyle w:val="Runningtitle"/>
    </w:pPr>
    <w:r>
      <w:rPr>
        <w:noProof/>
        <w:lang w:val="en-GB" w:eastAsia="zh-CN"/>
      </w:rPr>
      <w:drawing>
        <wp:anchor distT="0" distB="0" distL="114300" distR="114300" simplePos="0" relativeHeight="251658240" behindDoc="1" locked="0" layoutInCell="1" allowOverlap="1" wp14:anchorId="48AAD485" wp14:editId="5CA7C58F">
          <wp:simplePos x="0" y="0"/>
          <wp:positionH relativeFrom="column">
            <wp:posOffset>4350385</wp:posOffset>
          </wp:positionH>
          <wp:positionV relativeFrom="page">
            <wp:posOffset>467995</wp:posOffset>
          </wp:positionV>
          <wp:extent cx="1207770" cy="447675"/>
          <wp:effectExtent l="0" t="0" r="0" b="9525"/>
          <wp:wrapTight wrapText="bothSides">
            <wp:wrapPolygon edited="0">
              <wp:start x="0" y="0"/>
              <wp:lineTo x="0" y="21140"/>
              <wp:lineTo x="21123" y="21140"/>
              <wp:lineTo x="2112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BA-logo-full-colour.png"/>
                  <pic:cNvPicPr/>
                </pic:nvPicPr>
                <pic:blipFill>
                  <a:blip r:embed="rId1">
                    <a:extLst>
                      <a:ext uri="{28A0092B-C50C-407E-A947-70E740481C1C}">
                        <a14:useLocalDpi xmlns:a14="http://schemas.microsoft.com/office/drawing/2010/main" val="0"/>
                      </a:ext>
                    </a:extLst>
                  </a:blip>
                  <a:stretch>
                    <a:fillRect/>
                  </a:stretch>
                </pic:blipFill>
                <pic:spPr>
                  <a:xfrm>
                    <a:off x="0" y="0"/>
                    <a:ext cx="1207770" cy="447675"/>
                  </a:xfrm>
                  <a:prstGeom prst="rect">
                    <a:avLst/>
                  </a:prstGeom>
                  <a:extLst>
                    <a:ext uri="{FAA26D3D-D897-4be2-8F04-BA451C77F1D7}">
                      <ma14:placeholderFlag xmlns:w15="http://schemas.microsoft.com/office/word/2012/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B7860F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E5078C"/>
    <w:multiLevelType w:val="hybridMultilevel"/>
    <w:tmpl w:val="D53853DA"/>
    <w:lvl w:ilvl="0" w:tplc="AFE0D250">
      <w:start w:val="1"/>
      <w:numFmt w:val="bullet"/>
      <w:pStyle w:val="List"/>
      <w:lvlText w:val=""/>
      <w:lvlJc w:val="left"/>
      <w:pPr>
        <w:tabs>
          <w:tab w:val="num" w:pos="680"/>
        </w:tabs>
        <w:ind w:left="680" w:hanging="68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8313DF"/>
    <w:multiLevelType w:val="hybridMultilevel"/>
    <w:tmpl w:val="A8C659F6"/>
    <w:lvl w:ilvl="0" w:tplc="9174AD42">
      <w:start w:val="1"/>
      <w:numFmt w:val="bullet"/>
      <w:pStyle w:val="bullet1"/>
      <w:lvlText w:val=""/>
      <w:lvlJc w:val="left"/>
      <w:pPr>
        <w:tabs>
          <w:tab w:val="num" w:pos="340"/>
        </w:tabs>
        <w:ind w:left="340" w:hanging="34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FA148C"/>
    <w:multiLevelType w:val="hybridMultilevel"/>
    <w:tmpl w:val="271A5E36"/>
    <w:lvl w:ilvl="0" w:tplc="9B42E0A2">
      <w:start w:val="1"/>
      <w:numFmt w:val="bullet"/>
      <w:lvlText w:val=""/>
      <w:lvlJc w:val="left"/>
      <w:pPr>
        <w:ind w:left="4904" w:hanging="360"/>
      </w:pPr>
      <w:rPr>
        <w:rFonts w:ascii="Symbol" w:hAnsi="Symbol" w:hint="default"/>
        <w:b w:val="0"/>
        <w:i w:val="0"/>
        <w:caps w:val="0"/>
        <w:strike w:val="0"/>
        <w:dstrike w:val="0"/>
        <w:vanish w:val="0"/>
        <w:color w:val="2F5773" w:themeColor="accent1"/>
        <w:sz w:val="26"/>
        <w:vertAlign w:val="baseline"/>
        <w14:shadow w14:blurRad="0" w14:dist="0" w14:dir="0" w14:sx="0" w14:sy="0" w14:kx="0" w14:ky="0" w14:algn="none">
          <w14:srgbClr w14:val="000000"/>
        </w14:shadow>
        <w14:textOutline w14:w="0" w14:cap="rnd" w14:cmpd="sng" w14:algn="ctr">
          <w14:noFill/>
          <w14:prstDash w14:val="solid"/>
          <w14:bevel/>
        </w14:textOutline>
      </w:rPr>
    </w:lvl>
    <w:lvl w:ilvl="1" w:tplc="A6848682">
      <w:start w:val="1"/>
      <w:numFmt w:val="bullet"/>
      <w:lvlText w:val="–"/>
      <w:lvlJc w:val="left"/>
      <w:pPr>
        <w:tabs>
          <w:tab w:val="num" w:pos="8819"/>
        </w:tabs>
        <w:ind w:left="8771" w:hanging="312"/>
      </w:pPr>
      <w:rPr>
        <w:rFonts w:hint="default"/>
      </w:rPr>
    </w:lvl>
    <w:lvl w:ilvl="2" w:tplc="993055DA">
      <w:start w:val="1"/>
      <w:numFmt w:val="bullet"/>
      <w:lvlText w:val=""/>
      <w:lvlJc w:val="left"/>
      <w:pPr>
        <w:tabs>
          <w:tab w:val="num" w:pos="9539"/>
        </w:tabs>
        <w:ind w:left="9539" w:hanging="360"/>
      </w:pPr>
      <w:rPr>
        <w:rFonts w:ascii="Wingdings" w:hAnsi="Wingdings" w:hint="default"/>
      </w:rPr>
    </w:lvl>
    <w:lvl w:ilvl="3" w:tplc="22C2BE88">
      <w:start w:val="1"/>
      <w:numFmt w:val="bullet"/>
      <w:lvlText w:val=""/>
      <w:lvlJc w:val="left"/>
      <w:pPr>
        <w:tabs>
          <w:tab w:val="num" w:pos="10259"/>
        </w:tabs>
        <w:ind w:left="10259" w:hanging="360"/>
      </w:pPr>
      <w:rPr>
        <w:rFonts w:ascii="Symbol" w:hAnsi="Symbol" w:hint="default"/>
      </w:rPr>
    </w:lvl>
    <w:lvl w:ilvl="4" w:tplc="FD0073C0">
      <w:start w:val="1"/>
      <w:numFmt w:val="bullet"/>
      <w:lvlText w:val="o"/>
      <w:lvlJc w:val="left"/>
      <w:pPr>
        <w:tabs>
          <w:tab w:val="num" w:pos="10979"/>
        </w:tabs>
        <w:ind w:left="10979" w:hanging="360"/>
      </w:pPr>
      <w:rPr>
        <w:rFonts w:ascii="Courier New" w:hAnsi="Courier New" w:hint="default"/>
      </w:rPr>
    </w:lvl>
    <w:lvl w:ilvl="5" w:tplc="FBD6D0BE">
      <w:start w:val="1"/>
      <w:numFmt w:val="bullet"/>
      <w:lvlText w:val=""/>
      <w:lvlJc w:val="left"/>
      <w:pPr>
        <w:tabs>
          <w:tab w:val="num" w:pos="11699"/>
        </w:tabs>
        <w:ind w:left="11699" w:hanging="360"/>
      </w:pPr>
      <w:rPr>
        <w:rFonts w:ascii="Wingdings" w:hAnsi="Wingdings" w:hint="default"/>
      </w:rPr>
    </w:lvl>
    <w:lvl w:ilvl="6" w:tplc="C00E4D52">
      <w:start w:val="1"/>
      <w:numFmt w:val="bullet"/>
      <w:lvlText w:val=""/>
      <w:lvlJc w:val="left"/>
      <w:pPr>
        <w:tabs>
          <w:tab w:val="num" w:pos="12419"/>
        </w:tabs>
        <w:ind w:left="12419" w:hanging="360"/>
      </w:pPr>
      <w:rPr>
        <w:rFonts w:ascii="Symbol" w:hAnsi="Symbol" w:hint="default"/>
      </w:rPr>
    </w:lvl>
    <w:lvl w:ilvl="7" w:tplc="CE60E00E">
      <w:start w:val="1"/>
      <w:numFmt w:val="bullet"/>
      <w:lvlText w:val="o"/>
      <w:lvlJc w:val="left"/>
      <w:pPr>
        <w:tabs>
          <w:tab w:val="num" w:pos="13139"/>
        </w:tabs>
        <w:ind w:left="13139" w:hanging="360"/>
      </w:pPr>
      <w:rPr>
        <w:rFonts w:ascii="Courier New" w:hAnsi="Courier New" w:hint="default"/>
      </w:rPr>
    </w:lvl>
    <w:lvl w:ilvl="8" w:tplc="FA3C6548" w:tentative="1">
      <w:start w:val="1"/>
      <w:numFmt w:val="bullet"/>
      <w:lvlText w:val=""/>
      <w:lvlJc w:val="left"/>
      <w:pPr>
        <w:tabs>
          <w:tab w:val="num" w:pos="13859"/>
        </w:tabs>
        <w:ind w:left="13859" w:hanging="360"/>
      </w:pPr>
      <w:rPr>
        <w:rFonts w:ascii="Wingdings" w:hAnsi="Wingdings" w:hint="default"/>
      </w:rPr>
    </w:lvl>
  </w:abstractNum>
  <w:abstractNum w:abstractNumId="4">
    <w:nsid w:val="16AB4168"/>
    <w:multiLevelType w:val="multilevel"/>
    <w:tmpl w:val="AD9E135A"/>
    <w:lvl w:ilvl="0">
      <w:start w:val="1"/>
      <w:numFmt w:val="decimal"/>
      <w:lvlText w:val="%1."/>
      <w:lvlJc w:val="left"/>
      <w:pPr>
        <w:ind w:left="0" w:firstLine="0"/>
      </w:pPr>
      <w:rPr>
        <w:rFonts w:hint="default"/>
      </w:rPr>
    </w:lvl>
    <w:lvl w:ilvl="1">
      <w:start w:val="1"/>
      <w:numFmt w:val="none"/>
      <w:isLgl/>
      <w:lvlText w:val="1.%1"/>
      <w:lvlJc w:val="left"/>
      <w:pPr>
        <w:ind w:left="0" w:firstLine="0"/>
      </w:pPr>
      <w:rPr>
        <w:rFonts w:hint="default"/>
      </w:rPr>
    </w:lvl>
    <w:lvl w:ilvl="2">
      <w:start w:val="1"/>
      <w:numFmt w:val="decimal"/>
      <w:lvlText w:val="1.1.%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5">
    <w:nsid w:val="2340760A"/>
    <w:multiLevelType w:val="multilevel"/>
    <w:tmpl w:val="C95A32BC"/>
    <w:lvl w:ilvl="0">
      <w:start w:val="1"/>
      <w:numFmt w:val="decimal"/>
      <w:lvlText w:val="%1."/>
      <w:lvlJc w:val="left"/>
      <w:pPr>
        <w:ind w:left="0" w:firstLine="0"/>
      </w:pPr>
      <w:rPr>
        <w:rFonts w:hint="default"/>
      </w:rPr>
    </w:lvl>
    <w:lvl w:ilvl="1">
      <w:start w:val="1"/>
      <w:numFmt w:val="decimal"/>
      <w:lvlText w:val="%2.%1"/>
      <w:lvlJc w:val="left"/>
      <w:pPr>
        <w:ind w:left="0" w:firstLine="0"/>
      </w:pPr>
      <w:rPr>
        <w:rFonts w:hint="default"/>
      </w:rPr>
    </w:lvl>
    <w:lvl w:ilvl="2">
      <w:start w:val="1"/>
      <w:numFmt w:val="decimal"/>
      <w:lvlText w:val="1.%1.%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6">
    <w:nsid w:val="26D15225"/>
    <w:multiLevelType w:val="hybridMultilevel"/>
    <w:tmpl w:val="9FE83910"/>
    <w:lvl w:ilvl="0" w:tplc="04070003">
      <w:start w:val="1"/>
      <w:numFmt w:val="bullet"/>
      <w:lvlText w:val="o"/>
      <w:lvlJc w:val="left"/>
      <w:pPr>
        <w:ind w:left="1572" w:hanging="360"/>
      </w:pPr>
      <w:rPr>
        <w:rFonts w:ascii="Courier New" w:hAnsi="Courier New" w:cs="Courier New" w:hint="default"/>
      </w:rPr>
    </w:lvl>
    <w:lvl w:ilvl="1" w:tplc="04070003">
      <w:start w:val="1"/>
      <w:numFmt w:val="bullet"/>
      <w:lvlText w:val="o"/>
      <w:lvlJc w:val="left"/>
      <w:pPr>
        <w:ind w:left="2292" w:hanging="360"/>
      </w:pPr>
      <w:rPr>
        <w:rFonts w:ascii="Courier New" w:hAnsi="Courier New" w:cs="Courier New" w:hint="default"/>
      </w:rPr>
    </w:lvl>
    <w:lvl w:ilvl="2" w:tplc="04070005">
      <w:start w:val="1"/>
      <w:numFmt w:val="bullet"/>
      <w:lvlText w:val=""/>
      <w:lvlJc w:val="left"/>
      <w:pPr>
        <w:ind w:left="3012" w:hanging="360"/>
      </w:pPr>
      <w:rPr>
        <w:rFonts w:ascii="Wingdings" w:hAnsi="Wingdings" w:hint="default"/>
      </w:rPr>
    </w:lvl>
    <w:lvl w:ilvl="3" w:tplc="04070001">
      <w:start w:val="1"/>
      <w:numFmt w:val="bullet"/>
      <w:lvlText w:val=""/>
      <w:lvlJc w:val="left"/>
      <w:pPr>
        <w:ind w:left="3732" w:hanging="360"/>
      </w:pPr>
      <w:rPr>
        <w:rFonts w:ascii="Symbol" w:hAnsi="Symbol" w:hint="default"/>
      </w:rPr>
    </w:lvl>
    <w:lvl w:ilvl="4" w:tplc="04070003">
      <w:start w:val="1"/>
      <w:numFmt w:val="bullet"/>
      <w:lvlText w:val="o"/>
      <w:lvlJc w:val="left"/>
      <w:pPr>
        <w:ind w:left="4452" w:hanging="360"/>
      </w:pPr>
      <w:rPr>
        <w:rFonts w:ascii="Courier New" w:hAnsi="Courier New" w:cs="Courier New" w:hint="default"/>
      </w:rPr>
    </w:lvl>
    <w:lvl w:ilvl="5" w:tplc="04070005">
      <w:start w:val="1"/>
      <w:numFmt w:val="bullet"/>
      <w:lvlText w:val=""/>
      <w:lvlJc w:val="left"/>
      <w:pPr>
        <w:ind w:left="5172" w:hanging="360"/>
      </w:pPr>
      <w:rPr>
        <w:rFonts w:ascii="Wingdings" w:hAnsi="Wingdings" w:hint="default"/>
      </w:rPr>
    </w:lvl>
    <w:lvl w:ilvl="6" w:tplc="04070001">
      <w:start w:val="1"/>
      <w:numFmt w:val="bullet"/>
      <w:lvlText w:val=""/>
      <w:lvlJc w:val="left"/>
      <w:pPr>
        <w:ind w:left="5892" w:hanging="360"/>
      </w:pPr>
      <w:rPr>
        <w:rFonts w:ascii="Symbol" w:hAnsi="Symbol" w:hint="default"/>
      </w:rPr>
    </w:lvl>
    <w:lvl w:ilvl="7" w:tplc="04070003">
      <w:start w:val="1"/>
      <w:numFmt w:val="bullet"/>
      <w:lvlText w:val="o"/>
      <w:lvlJc w:val="left"/>
      <w:pPr>
        <w:ind w:left="6612" w:hanging="360"/>
      </w:pPr>
      <w:rPr>
        <w:rFonts w:ascii="Courier New" w:hAnsi="Courier New" w:cs="Courier New" w:hint="default"/>
      </w:rPr>
    </w:lvl>
    <w:lvl w:ilvl="8" w:tplc="04070005">
      <w:start w:val="1"/>
      <w:numFmt w:val="bullet"/>
      <w:lvlText w:val=""/>
      <w:lvlJc w:val="left"/>
      <w:pPr>
        <w:ind w:left="7332" w:hanging="360"/>
      </w:pPr>
      <w:rPr>
        <w:rFonts w:ascii="Wingdings" w:hAnsi="Wingdings" w:hint="default"/>
      </w:rPr>
    </w:lvl>
  </w:abstractNum>
  <w:abstractNum w:abstractNumId="7">
    <w:nsid w:val="2D0B464E"/>
    <w:multiLevelType w:val="multilevel"/>
    <w:tmpl w:val="D26C2EE4"/>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1.%3"/>
      <w:lvlJc w:val="left"/>
      <w:pPr>
        <w:ind w:left="720" w:hanging="432"/>
      </w:pPr>
      <w:rPr>
        <w:rFonts w:hint="default"/>
      </w:rPr>
    </w:lvl>
    <w:lvl w:ilvl="3">
      <w:start w:val="1"/>
      <w:numFmt w:val="lowerRoman"/>
      <w:pStyle w:val="Heading4"/>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pStyle w:val="Heading6"/>
      <w:lvlText w:val="%6)"/>
      <w:lvlJc w:val="left"/>
      <w:pPr>
        <w:ind w:left="1152" w:hanging="432"/>
      </w:pPr>
      <w:rPr>
        <w:rFonts w:hint="default"/>
      </w:rPr>
    </w:lvl>
    <w:lvl w:ilvl="6">
      <w:start w:val="1"/>
      <w:numFmt w:val="lowerRoman"/>
      <w:pStyle w:val="Heading7"/>
      <w:lvlText w:val="%7)"/>
      <w:lvlJc w:val="right"/>
      <w:pPr>
        <w:ind w:left="1296" w:hanging="288"/>
      </w:pPr>
      <w:rPr>
        <w:rFonts w:hint="default"/>
      </w:rPr>
    </w:lvl>
    <w:lvl w:ilvl="7">
      <w:start w:val="1"/>
      <w:numFmt w:val="lowerLetter"/>
      <w:pStyle w:val="Heading8"/>
      <w:lvlText w:val="%8."/>
      <w:lvlJc w:val="left"/>
      <w:pPr>
        <w:ind w:left="1440" w:hanging="432"/>
      </w:pPr>
      <w:rPr>
        <w:rFonts w:hint="default"/>
      </w:rPr>
    </w:lvl>
    <w:lvl w:ilvl="8">
      <w:start w:val="1"/>
      <w:numFmt w:val="lowerRoman"/>
      <w:pStyle w:val="Heading9"/>
      <w:lvlText w:val="%9."/>
      <w:lvlJc w:val="right"/>
      <w:pPr>
        <w:ind w:left="1584" w:hanging="144"/>
      </w:pPr>
      <w:rPr>
        <w:rFonts w:hint="default"/>
      </w:rPr>
    </w:lvl>
  </w:abstractNum>
  <w:abstractNum w:abstractNumId="8">
    <w:nsid w:val="32837C9B"/>
    <w:multiLevelType w:val="hybridMultilevel"/>
    <w:tmpl w:val="2E9213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348E7014"/>
    <w:multiLevelType w:val="hybridMultilevel"/>
    <w:tmpl w:val="082E4A18"/>
    <w:lvl w:ilvl="0" w:tplc="365021BA">
      <w:start w:val="1"/>
      <w:numFmt w:val="bullet"/>
      <w:lvlText w:val=""/>
      <w:lvlJc w:val="left"/>
      <w:pPr>
        <w:tabs>
          <w:tab w:val="num" w:pos="681"/>
        </w:tabs>
        <w:ind w:left="681" w:hanging="397"/>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10">
    <w:nsid w:val="3A0333F1"/>
    <w:multiLevelType w:val="hybridMultilevel"/>
    <w:tmpl w:val="8B967D4E"/>
    <w:lvl w:ilvl="0" w:tplc="963C153A">
      <w:start w:val="1"/>
      <w:numFmt w:val="lowerLetter"/>
      <w:pStyle w:val="Numberedtitlelevel4"/>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4C27D48"/>
    <w:multiLevelType w:val="hybridMultilevel"/>
    <w:tmpl w:val="B15CC8FC"/>
    <w:lvl w:ilvl="0" w:tplc="090C4D3E">
      <w:start w:val="1"/>
      <w:numFmt w:val="bullet"/>
      <w:pStyle w:val="bullet2"/>
      <w:lvlText w:val=""/>
      <w:lvlJc w:val="left"/>
      <w:pPr>
        <w:tabs>
          <w:tab w:val="num" w:pos="680"/>
        </w:tabs>
        <w:ind w:left="680" w:hanging="34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0227369"/>
    <w:multiLevelType w:val="hybridMultilevel"/>
    <w:tmpl w:val="72E417C2"/>
    <w:lvl w:ilvl="0" w:tplc="AC42E13A">
      <w:start w:val="1"/>
      <w:numFmt w:val="decimal"/>
      <w:pStyle w:val="numberedparagraph"/>
      <w:lvlText w:val="%1."/>
      <w:lvlJc w:val="left"/>
      <w:pPr>
        <w:tabs>
          <w:tab w:val="num" w:pos="284"/>
        </w:tabs>
        <w:ind w:left="284" w:hanging="2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BCD57BB"/>
    <w:multiLevelType w:val="multilevel"/>
    <w:tmpl w:val="275C7198"/>
    <w:lvl w:ilvl="0">
      <w:start w:val="1"/>
      <w:numFmt w:val="decimal"/>
      <w:pStyle w:val="Numberedtilelevel1"/>
      <w:lvlText w:val="%1."/>
      <w:lvlJc w:val="left"/>
      <w:pPr>
        <w:ind w:left="0" w:firstLine="0"/>
      </w:pPr>
      <w:rPr>
        <w:rFonts w:hint="default"/>
      </w:rPr>
    </w:lvl>
    <w:lvl w:ilvl="1">
      <w:start w:val="1"/>
      <w:numFmt w:val="decimal"/>
      <w:pStyle w:val="Numberedtitlelevel2"/>
      <w:lvlText w:val="%1.%2"/>
      <w:lvlJc w:val="left"/>
      <w:pPr>
        <w:ind w:left="0" w:firstLine="0"/>
      </w:pPr>
      <w:rPr>
        <w:rFonts w:hint="default"/>
      </w:rPr>
    </w:lvl>
    <w:lvl w:ilvl="2">
      <w:start w:val="1"/>
      <w:numFmt w:val="decimal"/>
      <w:pStyle w:val="Numberedtitlelevel3"/>
      <w:lvlText w:val="%1.%2.%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14">
    <w:nsid w:val="71064D88"/>
    <w:multiLevelType w:val="hybridMultilevel"/>
    <w:tmpl w:val="DACEA436"/>
    <w:lvl w:ilvl="0" w:tplc="3502039C">
      <w:start w:val="1"/>
      <w:numFmt w:val="bullet"/>
      <w:pStyle w:val="List1"/>
      <w:lvlText w:val=""/>
      <w:lvlJc w:val="left"/>
      <w:pPr>
        <w:ind w:left="720" w:hanging="72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7"/>
  </w:num>
  <w:num w:numId="4">
    <w:abstractNumId w:val="10"/>
  </w:num>
  <w:num w:numId="5">
    <w:abstractNumId w:val="14"/>
  </w:num>
  <w:num w:numId="6">
    <w:abstractNumId w:val="1"/>
  </w:num>
  <w:num w:numId="7">
    <w:abstractNumId w:val="13"/>
  </w:num>
  <w:num w:numId="8">
    <w:abstractNumId w:val="12"/>
  </w:num>
  <w:num w:numId="9">
    <w:abstractNumId w:val="12"/>
    <w:lvlOverride w:ilvl="0">
      <w:startOverride w:val="1"/>
    </w:lvlOverride>
  </w:num>
  <w:num w:numId="10">
    <w:abstractNumId w:val="12"/>
    <w:lvlOverride w:ilvl="0">
      <w:startOverride w:val="1"/>
    </w:lvlOverride>
  </w:num>
  <w:num w:numId="11">
    <w:abstractNumId w:val="12"/>
    <w:lvlOverride w:ilvl="0">
      <w:startOverride w:val="1"/>
    </w:lvlOverride>
  </w:num>
  <w:num w:numId="12">
    <w:abstractNumId w:val="12"/>
    <w:lvlOverride w:ilvl="0">
      <w:startOverride w:val="1"/>
    </w:lvlOverride>
  </w:num>
  <w:num w:numId="13">
    <w:abstractNumId w:val="12"/>
    <w:lvlOverride w:ilvl="0">
      <w:startOverride w:val="1"/>
    </w:lvlOverride>
  </w:num>
  <w:num w:numId="14">
    <w:abstractNumId w:val="12"/>
    <w:lvlOverride w:ilvl="0">
      <w:startOverride w:val="1"/>
    </w:lvlOverride>
  </w:num>
  <w:num w:numId="15">
    <w:abstractNumId w:val="0"/>
  </w:num>
  <w:num w:numId="16">
    <w:abstractNumId w:val="3"/>
  </w:num>
  <w:num w:numId="17">
    <w:abstractNumId w:val="5"/>
  </w:num>
  <w:num w:numId="18">
    <w:abstractNumId w:val="4"/>
  </w:num>
  <w:num w:numId="19">
    <w:abstractNumId w:val="9"/>
  </w:num>
  <w:num w:numId="20">
    <w:abstractNumId w:val="6"/>
  </w:num>
  <w:num w:numId="21">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embedSystemFonts/>
  <w:proofState w:spelling="clean" w:grammar="clean"/>
  <w:attachedTemplate r:id="rId1"/>
  <w:defaultTabStop w:val="720"/>
  <w:drawingGridHorizontalSpacing w:val="360"/>
  <w:drawingGridVerticalSpacing w:val="360"/>
  <w:displayHorizontalDrawingGridEvery w:val="0"/>
  <w:displayVerticalDrawingGridEvery w:val="0"/>
  <w:characterSpacingControl w:val="doNotCompress"/>
  <w:hdrShapeDefaults>
    <o:shapedefaults v:ext="edit" spidmax="14337"/>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79B"/>
    <w:rsid w:val="00003F50"/>
    <w:rsid w:val="00013281"/>
    <w:rsid w:val="00022D37"/>
    <w:rsid w:val="000231B7"/>
    <w:rsid w:val="00027CA0"/>
    <w:rsid w:val="00030D65"/>
    <w:rsid w:val="00037237"/>
    <w:rsid w:val="00060F40"/>
    <w:rsid w:val="0008394E"/>
    <w:rsid w:val="000843CD"/>
    <w:rsid w:val="000A1C81"/>
    <w:rsid w:val="000B1645"/>
    <w:rsid w:val="000C5A8A"/>
    <w:rsid w:val="000D1277"/>
    <w:rsid w:val="000D7A44"/>
    <w:rsid w:val="000E0C27"/>
    <w:rsid w:val="000E6D15"/>
    <w:rsid w:val="000F2A76"/>
    <w:rsid w:val="000F6495"/>
    <w:rsid w:val="000F6FD8"/>
    <w:rsid w:val="0010560D"/>
    <w:rsid w:val="0011517F"/>
    <w:rsid w:val="00121BB0"/>
    <w:rsid w:val="0013090C"/>
    <w:rsid w:val="00131C5D"/>
    <w:rsid w:val="001337E9"/>
    <w:rsid w:val="00145D24"/>
    <w:rsid w:val="00152832"/>
    <w:rsid w:val="001600FC"/>
    <w:rsid w:val="00172007"/>
    <w:rsid w:val="0017446F"/>
    <w:rsid w:val="001834D4"/>
    <w:rsid w:val="00192287"/>
    <w:rsid w:val="00197CE5"/>
    <w:rsid w:val="001A016C"/>
    <w:rsid w:val="001A2A81"/>
    <w:rsid w:val="001B2C0D"/>
    <w:rsid w:val="001B6017"/>
    <w:rsid w:val="001B7A0B"/>
    <w:rsid w:val="001B7EB3"/>
    <w:rsid w:val="001C1FD9"/>
    <w:rsid w:val="001C5BC2"/>
    <w:rsid w:val="001D0179"/>
    <w:rsid w:val="001E1188"/>
    <w:rsid w:val="001E3599"/>
    <w:rsid w:val="001F1CB9"/>
    <w:rsid w:val="001F7501"/>
    <w:rsid w:val="00205878"/>
    <w:rsid w:val="00213D7B"/>
    <w:rsid w:val="00214DEC"/>
    <w:rsid w:val="00224761"/>
    <w:rsid w:val="00224A3F"/>
    <w:rsid w:val="002306C7"/>
    <w:rsid w:val="00241BD8"/>
    <w:rsid w:val="002434B0"/>
    <w:rsid w:val="0027418E"/>
    <w:rsid w:val="00290DA3"/>
    <w:rsid w:val="002C0DCF"/>
    <w:rsid w:val="002D1867"/>
    <w:rsid w:val="002F2009"/>
    <w:rsid w:val="002F6CF0"/>
    <w:rsid w:val="00300924"/>
    <w:rsid w:val="003025A8"/>
    <w:rsid w:val="003055C1"/>
    <w:rsid w:val="003129B6"/>
    <w:rsid w:val="00314D6E"/>
    <w:rsid w:val="00320E57"/>
    <w:rsid w:val="003221EF"/>
    <w:rsid w:val="003248A2"/>
    <w:rsid w:val="0035477B"/>
    <w:rsid w:val="00372BEC"/>
    <w:rsid w:val="00392385"/>
    <w:rsid w:val="003B5A82"/>
    <w:rsid w:val="003C5E2C"/>
    <w:rsid w:val="003D7A72"/>
    <w:rsid w:val="00412567"/>
    <w:rsid w:val="00424530"/>
    <w:rsid w:val="0043577F"/>
    <w:rsid w:val="00441F85"/>
    <w:rsid w:val="0045301B"/>
    <w:rsid w:val="00455E0E"/>
    <w:rsid w:val="004719B4"/>
    <w:rsid w:val="00471CA1"/>
    <w:rsid w:val="00471CCE"/>
    <w:rsid w:val="00481AC4"/>
    <w:rsid w:val="00482FB6"/>
    <w:rsid w:val="004A5D8B"/>
    <w:rsid w:val="004B2FC0"/>
    <w:rsid w:val="004B7784"/>
    <w:rsid w:val="004C1B19"/>
    <w:rsid w:val="004C6392"/>
    <w:rsid w:val="004E405B"/>
    <w:rsid w:val="004F0AB6"/>
    <w:rsid w:val="004F63DB"/>
    <w:rsid w:val="005105EF"/>
    <w:rsid w:val="00523895"/>
    <w:rsid w:val="00531287"/>
    <w:rsid w:val="005410AB"/>
    <w:rsid w:val="00565691"/>
    <w:rsid w:val="00571BB6"/>
    <w:rsid w:val="00575BA7"/>
    <w:rsid w:val="00582AA7"/>
    <w:rsid w:val="0058477C"/>
    <w:rsid w:val="005A4259"/>
    <w:rsid w:val="005B5C09"/>
    <w:rsid w:val="005C498B"/>
    <w:rsid w:val="005D4005"/>
    <w:rsid w:val="005D40D1"/>
    <w:rsid w:val="00610305"/>
    <w:rsid w:val="00610419"/>
    <w:rsid w:val="00611DDB"/>
    <w:rsid w:val="00612C7B"/>
    <w:rsid w:val="006224C1"/>
    <w:rsid w:val="006269B7"/>
    <w:rsid w:val="00633DC7"/>
    <w:rsid w:val="00636E1D"/>
    <w:rsid w:val="00663B0A"/>
    <w:rsid w:val="006641F8"/>
    <w:rsid w:val="00670254"/>
    <w:rsid w:val="006973AC"/>
    <w:rsid w:val="006C186D"/>
    <w:rsid w:val="006F445D"/>
    <w:rsid w:val="00703E4E"/>
    <w:rsid w:val="007071C6"/>
    <w:rsid w:val="00711E1C"/>
    <w:rsid w:val="00721FBA"/>
    <w:rsid w:val="00730352"/>
    <w:rsid w:val="00742839"/>
    <w:rsid w:val="00755505"/>
    <w:rsid w:val="0076316D"/>
    <w:rsid w:val="00772993"/>
    <w:rsid w:val="0077379B"/>
    <w:rsid w:val="007815FB"/>
    <w:rsid w:val="00781D80"/>
    <w:rsid w:val="007A0054"/>
    <w:rsid w:val="007A44A6"/>
    <w:rsid w:val="007A5353"/>
    <w:rsid w:val="007B3D63"/>
    <w:rsid w:val="007C55D0"/>
    <w:rsid w:val="007D4DB1"/>
    <w:rsid w:val="00813BAC"/>
    <w:rsid w:val="00813CD4"/>
    <w:rsid w:val="00821B9D"/>
    <w:rsid w:val="0084468C"/>
    <w:rsid w:val="00847035"/>
    <w:rsid w:val="008552A0"/>
    <w:rsid w:val="00865492"/>
    <w:rsid w:val="00867CB4"/>
    <w:rsid w:val="008708AB"/>
    <w:rsid w:val="00874ED5"/>
    <w:rsid w:val="008C5B82"/>
    <w:rsid w:val="008E1F18"/>
    <w:rsid w:val="008F3908"/>
    <w:rsid w:val="009014B6"/>
    <w:rsid w:val="00912882"/>
    <w:rsid w:val="00912895"/>
    <w:rsid w:val="009210DE"/>
    <w:rsid w:val="00936E72"/>
    <w:rsid w:val="00943B87"/>
    <w:rsid w:val="00947B0F"/>
    <w:rsid w:val="00953829"/>
    <w:rsid w:val="0096160F"/>
    <w:rsid w:val="00965B80"/>
    <w:rsid w:val="009C12C9"/>
    <w:rsid w:val="009C1CE7"/>
    <w:rsid w:val="009D55F7"/>
    <w:rsid w:val="009E76BE"/>
    <w:rsid w:val="009E79BF"/>
    <w:rsid w:val="009F3FE6"/>
    <w:rsid w:val="009F53AF"/>
    <w:rsid w:val="00A00E34"/>
    <w:rsid w:val="00A10257"/>
    <w:rsid w:val="00A14332"/>
    <w:rsid w:val="00A17A79"/>
    <w:rsid w:val="00A27D88"/>
    <w:rsid w:val="00A304D0"/>
    <w:rsid w:val="00A4607D"/>
    <w:rsid w:val="00A53EC9"/>
    <w:rsid w:val="00A92440"/>
    <w:rsid w:val="00AB104D"/>
    <w:rsid w:val="00AD0C73"/>
    <w:rsid w:val="00AE1A2D"/>
    <w:rsid w:val="00AE3600"/>
    <w:rsid w:val="00AE5347"/>
    <w:rsid w:val="00AE55F6"/>
    <w:rsid w:val="00AE56DB"/>
    <w:rsid w:val="00B13C87"/>
    <w:rsid w:val="00B1710D"/>
    <w:rsid w:val="00B2355C"/>
    <w:rsid w:val="00B30DD1"/>
    <w:rsid w:val="00B32510"/>
    <w:rsid w:val="00B36D5E"/>
    <w:rsid w:val="00B41CA3"/>
    <w:rsid w:val="00B526A8"/>
    <w:rsid w:val="00B55FAB"/>
    <w:rsid w:val="00B6734E"/>
    <w:rsid w:val="00B83D9D"/>
    <w:rsid w:val="00B84529"/>
    <w:rsid w:val="00B96F7F"/>
    <w:rsid w:val="00BB2111"/>
    <w:rsid w:val="00BC7FD2"/>
    <w:rsid w:val="00BE6574"/>
    <w:rsid w:val="00C03AE7"/>
    <w:rsid w:val="00C05D9D"/>
    <w:rsid w:val="00C35592"/>
    <w:rsid w:val="00C356AF"/>
    <w:rsid w:val="00C41927"/>
    <w:rsid w:val="00C439D6"/>
    <w:rsid w:val="00C43FD9"/>
    <w:rsid w:val="00C44EB2"/>
    <w:rsid w:val="00C47E8F"/>
    <w:rsid w:val="00C5106B"/>
    <w:rsid w:val="00C60588"/>
    <w:rsid w:val="00C60915"/>
    <w:rsid w:val="00C964B8"/>
    <w:rsid w:val="00D01670"/>
    <w:rsid w:val="00D152E7"/>
    <w:rsid w:val="00D21F91"/>
    <w:rsid w:val="00D30519"/>
    <w:rsid w:val="00D44360"/>
    <w:rsid w:val="00D549B9"/>
    <w:rsid w:val="00D557EE"/>
    <w:rsid w:val="00D56058"/>
    <w:rsid w:val="00D57F4B"/>
    <w:rsid w:val="00D656AD"/>
    <w:rsid w:val="00D76E91"/>
    <w:rsid w:val="00D872D1"/>
    <w:rsid w:val="00DB4809"/>
    <w:rsid w:val="00DB5E8F"/>
    <w:rsid w:val="00DC7C3E"/>
    <w:rsid w:val="00DE30E0"/>
    <w:rsid w:val="00E00BB5"/>
    <w:rsid w:val="00E22BCE"/>
    <w:rsid w:val="00E326FF"/>
    <w:rsid w:val="00E361B0"/>
    <w:rsid w:val="00E62DB8"/>
    <w:rsid w:val="00E677EF"/>
    <w:rsid w:val="00E859DF"/>
    <w:rsid w:val="00E87041"/>
    <w:rsid w:val="00E95201"/>
    <w:rsid w:val="00EA1807"/>
    <w:rsid w:val="00EA4947"/>
    <w:rsid w:val="00EC0C41"/>
    <w:rsid w:val="00EC1594"/>
    <w:rsid w:val="00ED148E"/>
    <w:rsid w:val="00EE456B"/>
    <w:rsid w:val="00F00C37"/>
    <w:rsid w:val="00F034AC"/>
    <w:rsid w:val="00F045E9"/>
    <w:rsid w:val="00F160D2"/>
    <w:rsid w:val="00F4748D"/>
    <w:rsid w:val="00F612B3"/>
    <w:rsid w:val="00F62E26"/>
    <w:rsid w:val="00F7064A"/>
    <w:rsid w:val="00F747AD"/>
    <w:rsid w:val="00F77102"/>
    <w:rsid w:val="00F942CA"/>
    <w:rsid w:val="00F9452C"/>
    <w:rsid w:val="00FB7206"/>
    <w:rsid w:val="00FC1D72"/>
    <w:rsid w:val="00FE5577"/>
    <w:rsid w:val="00FF318F"/>
    <w:rsid w:val="00FF34CA"/>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able of figures" w:qFormat="1"/>
    <w:lsdException w:name="footnote reference" w:qFormat="1"/>
    <w:lsdException w:name="List" w:qFormat="1"/>
    <w:lsdException w:name="List Bullet" w:semiHidden="0" w:uiPriority="0" w:qFormat="1"/>
    <w:lsdException w:name="List Number" w:unhideWhenUsed="0"/>
    <w:lsdException w:name="List 4" w:unhideWhenUsed="0"/>
    <w:lsdException w:name="List 5" w:unhideWhenUsed="0"/>
    <w:lsdException w:name="Title" w:semiHidden="0" w:uiPriority="10" w:unhideWhenUsed="0" w:qFormat="1"/>
    <w:lsdException w:name="Default Paragraph Font" w:uiPriority="1"/>
    <w:lsdException w:name="Subtitle" w:semiHidden="0" w:uiPriority="11" w:unhideWhenUsed="0" w:qFormat="1"/>
    <w:lsdException w:name="Salutation" w:unhideWhenUsed="0"/>
    <w:lsdException w:name="Date" w:unhideWhenUsed="0"/>
    <w:lsdException w:name="Body Text First Indent"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379B"/>
    <w:rPr>
      <w:rFonts w:ascii="Lucida Bright" w:hAnsi="Lucida Bright"/>
      <w:sz w:val="22"/>
    </w:rPr>
  </w:style>
  <w:style w:type="paragraph" w:styleId="Heading1">
    <w:name w:val="heading 1"/>
    <w:aliases w:val="Cover title white"/>
    <w:next w:val="Normal"/>
    <w:link w:val="Heading1Char"/>
    <w:semiHidden/>
    <w:qFormat/>
    <w:rsid w:val="00B32510"/>
    <w:pPr>
      <w:keepNext/>
      <w:keepLines/>
      <w:outlineLvl w:val="0"/>
    </w:pPr>
    <w:rPr>
      <w:rFonts w:asciiTheme="majorHAnsi" w:eastAsiaTheme="majorEastAsia" w:hAnsiTheme="majorHAnsi" w:cstheme="majorBidi"/>
      <w:b/>
      <w:bCs/>
      <w:caps/>
      <w:color w:val="FFFFFF" w:themeColor="background1"/>
      <w:sz w:val="40"/>
      <w:szCs w:val="40"/>
    </w:rPr>
  </w:style>
  <w:style w:type="paragraph" w:styleId="Heading2">
    <w:name w:val="heading 2"/>
    <w:basedOn w:val="Numberedtilelevel1"/>
    <w:next w:val="Normal"/>
    <w:link w:val="Heading2Char"/>
    <w:uiPriority w:val="9"/>
    <w:semiHidden/>
    <w:qFormat/>
    <w:rsid w:val="002F2009"/>
    <w:pPr>
      <w:outlineLvl w:val="1"/>
    </w:pPr>
  </w:style>
  <w:style w:type="paragraph" w:styleId="Heading3">
    <w:name w:val="heading 3"/>
    <w:aliases w:val="Title 2"/>
    <w:basedOn w:val="Numberedtitlelevel2"/>
    <w:next w:val="Normal"/>
    <w:link w:val="Heading3Char"/>
    <w:uiPriority w:val="9"/>
    <w:semiHidden/>
    <w:rsid w:val="002F2009"/>
    <w:pPr>
      <w:outlineLvl w:val="2"/>
    </w:pPr>
  </w:style>
  <w:style w:type="paragraph" w:styleId="Heading4">
    <w:name w:val="heading 4"/>
    <w:basedOn w:val="Normal"/>
    <w:next w:val="Normal"/>
    <w:link w:val="Heading4Char"/>
    <w:uiPriority w:val="9"/>
    <w:semiHidden/>
    <w:qFormat/>
    <w:rsid w:val="001C5BC2"/>
    <w:pPr>
      <w:keepNext/>
      <w:keepLines/>
      <w:numPr>
        <w:ilvl w:val="3"/>
        <w:numId w:val="3"/>
      </w:numPr>
      <w:spacing w:before="200"/>
      <w:outlineLvl w:val="3"/>
    </w:pPr>
    <w:rPr>
      <w:rFonts w:asciiTheme="majorHAnsi" w:eastAsiaTheme="majorEastAsia" w:hAnsiTheme="majorHAnsi" w:cstheme="majorBidi"/>
      <w:b/>
      <w:bCs/>
      <w:i/>
      <w:iCs/>
      <w:color w:val="2F5773" w:themeColor="accent1"/>
    </w:rPr>
  </w:style>
  <w:style w:type="paragraph" w:styleId="Heading5">
    <w:name w:val="heading 5"/>
    <w:aliases w:val="Cover subtitle white"/>
    <w:next w:val="Normal"/>
    <w:link w:val="Heading5Char"/>
    <w:semiHidden/>
    <w:qFormat/>
    <w:rsid w:val="00B32510"/>
    <w:pPr>
      <w:keepNext/>
      <w:keepLines/>
      <w:spacing w:before="200"/>
      <w:outlineLvl w:val="4"/>
    </w:pPr>
    <w:rPr>
      <w:rFonts w:asciiTheme="majorHAnsi" w:eastAsiaTheme="majorEastAsia" w:hAnsiTheme="majorHAnsi" w:cstheme="majorBidi"/>
      <w:caps/>
      <w:color w:val="FFFFFF" w:themeColor="background1"/>
      <w:sz w:val="28"/>
      <w:szCs w:val="28"/>
    </w:rPr>
  </w:style>
  <w:style w:type="paragraph" w:styleId="Heading6">
    <w:name w:val="heading 6"/>
    <w:basedOn w:val="Normal"/>
    <w:next w:val="Normal"/>
    <w:link w:val="Heading6Char"/>
    <w:uiPriority w:val="9"/>
    <w:semiHidden/>
    <w:qFormat/>
    <w:rsid w:val="001C5BC2"/>
    <w:pPr>
      <w:keepNext/>
      <w:keepLines/>
      <w:numPr>
        <w:ilvl w:val="5"/>
        <w:numId w:val="3"/>
      </w:numPr>
      <w:spacing w:before="200"/>
      <w:outlineLvl w:val="5"/>
    </w:pPr>
    <w:rPr>
      <w:rFonts w:asciiTheme="majorHAnsi" w:eastAsiaTheme="majorEastAsia" w:hAnsiTheme="majorHAnsi" w:cstheme="majorBidi"/>
      <w:i/>
      <w:iCs/>
      <w:color w:val="172B39" w:themeColor="accent1" w:themeShade="7F"/>
    </w:rPr>
  </w:style>
  <w:style w:type="paragraph" w:styleId="Heading7">
    <w:name w:val="heading 7"/>
    <w:basedOn w:val="Normal"/>
    <w:next w:val="Normal"/>
    <w:link w:val="Heading7Char"/>
    <w:uiPriority w:val="9"/>
    <w:semiHidden/>
    <w:qFormat/>
    <w:rsid w:val="001C5BC2"/>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1C5BC2"/>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qFormat/>
    <w:rsid w:val="001C5BC2"/>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over title white Char"/>
    <w:basedOn w:val="DefaultParagraphFont"/>
    <w:link w:val="Heading1"/>
    <w:semiHidden/>
    <w:rsid w:val="00290DA3"/>
    <w:rPr>
      <w:rFonts w:asciiTheme="majorHAnsi" w:eastAsiaTheme="majorEastAsia" w:hAnsiTheme="majorHAnsi" w:cstheme="majorBidi"/>
      <w:b/>
      <w:bCs/>
      <w:caps/>
      <w:color w:val="FFFFFF" w:themeColor="background1"/>
      <w:sz w:val="40"/>
      <w:szCs w:val="40"/>
    </w:rPr>
  </w:style>
  <w:style w:type="paragraph" w:customStyle="1" w:styleId="Numberedtilelevel1">
    <w:name w:val="Numbered tile level 1"/>
    <w:basedOn w:val="Titlelevel1"/>
    <w:qFormat/>
    <w:rsid w:val="00482FB6"/>
    <w:pPr>
      <w:numPr>
        <w:numId w:val="7"/>
      </w:numPr>
    </w:pPr>
  </w:style>
  <w:style w:type="character" w:customStyle="1" w:styleId="Heading2Char">
    <w:name w:val="Heading 2 Char"/>
    <w:basedOn w:val="DefaultParagraphFont"/>
    <w:link w:val="Heading2"/>
    <w:uiPriority w:val="9"/>
    <w:semiHidden/>
    <w:rsid w:val="00582AA7"/>
    <w:rPr>
      <w:rFonts w:asciiTheme="majorHAnsi" w:eastAsiaTheme="majorEastAsia" w:hAnsiTheme="majorHAnsi" w:cstheme="majorBidi"/>
      <w:color w:val="2F5773" w:themeColor="text2"/>
      <w:spacing w:val="5"/>
      <w:kern w:val="28"/>
      <w:sz w:val="52"/>
      <w:szCs w:val="52"/>
    </w:rPr>
  </w:style>
  <w:style w:type="paragraph" w:customStyle="1" w:styleId="Numberedtitlelevel2">
    <w:name w:val="Numbered title level 2"/>
    <w:basedOn w:val="Titlelevel2"/>
    <w:next w:val="body"/>
    <w:qFormat/>
    <w:rsid w:val="00482FB6"/>
    <w:pPr>
      <w:numPr>
        <w:ilvl w:val="1"/>
        <w:numId w:val="7"/>
      </w:numPr>
    </w:pPr>
  </w:style>
  <w:style w:type="paragraph" w:customStyle="1" w:styleId="Titlelevel2">
    <w:name w:val="Title level 2"/>
    <w:qFormat/>
    <w:rsid w:val="0077379B"/>
    <w:pPr>
      <w:spacing w:before="240" w:after="240"/>
    </w:pPr>
    <w:rPr>
      <w:rFonts w:ascii="Lucida Sans" w:eastAsiaTheme="majorEastAsia" w:hAnsi="Lucida Sans" w:cstheme="majorBidi"/>
      <w:bCs/>
      <w:color w:val="2F5773" w:themeColor="text2"/>
      <w:sz w:val="32"/>
    </w:rPr>
  </w:style>
  <w:style w:type="paragraph" w:customStyle="1" w:styleId="body">
    <w:name w:val="body"/>
    <w:qFormat/>
    <w:rsid w:val="003055C1"/>
    <w:pPr>
      <w:spacing w:before="240" w:after="120" w:line="276" w:lineRule="auto"/>
    </w:pPr>
    <w:rPr>
      <w:rFonts w:ascii="Lucida Bright" w:hAnsi="Lucida Bright"/>
      <w:sz w:val="22"/>
      <w:lang w:val="en-GB"/>
    </w:rPr>
  </w:style>
  <w:style w:type="character" w:customStyle="1" w:styleId="Heading3Char">
    <w:name w:val="Heading 3 Char"/>
    <w:aliases w:val="Title 2 Char"/>
    <w:basedOn w:val="DefaultParagraphFont"/>
    <w:link w:val="Heading3"/>
    <w:uiPriority w:val="9"/>
    <w:semiHidden/>
    <w:rsid w:val="00582AA7"/>
    <w:rPr>
      <w:rFonts w:asciiTheme="majorHAnsi" w:eastAsiaTheme="majorEastAsia" w:hAnsiTheme="majorHAnsi" w:cstheme="majorBidi"/>
      <w:bCs/>
      <w:color w:val="2F5773" w:themeColor="text2"/>
      <w:sz w:val="32"/>
    </w:rPr>
  </w:style>
  <w:style w:type="character" w:customStyle="1" w:styleId="Heading4Char">
    <w:name w:val="Heading 4 Char"/>
    <w:basedOn w:val="DefaultParagraphFont"/>
    <w:link w:val="Heading4"/>
    <w:uiPriority w:val="9"/>
    <w:semiHidden/>
    <w:rsid w:val="00582AA7"/>
    <w:rPr>
      <w:rFonts w:asciiTheme="majorHAnsi" w:eastAsiaTheme="majorEastAsia" w:hAnsiTheme="majorHAnsi" w:cstheme="majorBidi"/>
      <w:b/>
      <w:bCs/>
      <w:i/>
      <w:iCs/>
      <w:color w:val="2F5773" w:themeColor="accent1"/>
      <w:sz w:val="22"/>
    </w:rPr>
  </w:style>
  <w:style w:type="character" w:customStyle="1" w:styleId="Heading5Char">
    <w:name w:val="Heading 5 Char"/>
    <w:aliases w:val="Cover subtitle white Char"/>
    <w:basedOn w:val="DefaultParagraphFont"/>
    <w:link w:val="Heading5"/>
    <w:semiHidden/>
    <w:rsid w:val="00290DA3"/>
    <w:rPr>
      <w:rFonts w:asciiTheme="majorHAnsi" w:eastAsiaTheme="majorEastAsia" w:hAnsiTheme="majorHAnsi" w:cstheme="majorBidi"/>
      <w:caps/>
      <w:color w:val="FFFFFF" w:themeColor="background1"/>
      <w:sz w:val="28"/>
      <w:szCs w:val="28"/>
    </w:rPr>
  </w:style>
  <w:style w:type="character" w:customStyle="1" w:styleId="Heading6Char">
    <w:name w:val="Heading 6 Char"/>
    <w:basedOn w:val="DefaultParagraphFont"/>
    <w:link w:val="Heading6"/>
    <w:uiPriority w:val="9"/>
    <w:semiHidden/>
    <w:rsid w:val="00582AA7"/>
    <w:rPr>
      <w:rFonts w:asciiTheme="majorHAnsi" w:eastAsiaTheme="majorEastAsia" w:hAnsiTheme="majorHAnsi" w:cstheme="majorBidi"/>
      <w:i/>
      <w:iCs/>
      <w:color w:val="172B39" w:themeColor="accent1" w:themeShade="7F"/>
      <w:sz w:val="22"/>
    </w:rPr>
  </w:style>
  <w:style w:type="character" w:customStyle="1" w:styleId="Heading7Char">
    <w:name w:val="Heading 7 Char"/>
    <w:basedOn w:val="DefaultParagraphFont"/>
    <w:link w:val="Heading7"/>
    <w:uiPriority w:val="9"/>
    <w:semiHidden/>
    <w:rsid w:val="00582AA7"/>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582AA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582AA7"/>
    <w:rPr>
      <w:rFonts w:asciiTheme="majorHAnsi" w:eastAsiaTheme="majorEastAsia" w:hAnsiTheme="majorHAnsi" w:cstheme="majorBidi"/>
      <w:i/>
      <w:iCs/>
      <w:color w:val="404040" w:themeColor="text1" w:themeTint="BF"/>
      <w:sz w:val="20"/>
      <w:szCs w:val="20"/>
    </w:rPr>
  </w:style>
  <w:style w:type="paragraph" w:styleId="BalloonText">
    <w:name w:val="Balloon Text"/>
    <w:basedOn w:val="Normal"/>
    <w:link w:val="BalloonTextChar"/>
    <w:uiPriority w:val="99"/>
    <w:semiHidden/>
    <w:rsid w:val="00372BE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82AA7"/>
    <w:rPr>
      <w:rFonts w:ascii="Lucida Grande" w:hAnsi="Lucida Grande" w:cs="Lucida Grande"/>
      <w:sz w:val="18"/>
      <w:szCs w:val="18"/>
    </w:rPr>
  </w:style>
  <w:style w:type="paragraph" w:customStyle="1" w:styleId="Tableheader">
    <w:name w:val="Table header"/>
    <w:next w:val="Tabledata"/>
    <w:qFormat/>
    <w:rsid w:val="00813BAC"/>
    <w:pPr>
      <w:spacing w:after="80"/>
    </w:pPr>
    <w:rPr>
      <w:rFonts w:ascii="Calibri" w:eastAsia="Times New Roman" w:hAnsi="Calibri" w:cs="Times New Roman"/>
      <w:b/>
      <w:color w:val="000000"/>
      <w:sz w:val="22"/>
      <w:szCs w:val="22"/>
    </w:rPr>
  </w:style>
  <w:style w:type="paragraph" w:customStyle="1" w:styleId="Tabledata">
    <w:name w:val="Table data"/>
    <w:basedOn w:val="body"/>
    <w:qFormat/>
    <w:rsid w:val="00455E0E"/>
    <w:pPr>
      <w:spacing w:before="120" w:line="240" w:lineRule="auto"/>
    </w:pPr>
    <w:rPr>
      <w:rFonts w:eastAsia="Times New Roman" w:cstheme="minorHAnsi"/>
      <w:bCs/>
      <w:color w:val="000000"/>
      <w:sz w:val="20"/>
      <w:szCs w:val="22"/>
      <w:lang w:eastAsia="en-GB"/>
    </w:rPr>
  </w:style>
  <w:style w:type="paragraph" w:customStyle="1" w:styleId="List1">
    <w:name w:val="List1"/>
    <w:autoRedefine/>
    <w:qFormat/>
    <w:rsid w:val="008F3908"/>
    <w:pPr>
      <w:numPr>
        <w:numId w:val="5"/>
      </w:numPr>
    </w:pPr>
    <w:rPr>
      <w:sz w:val="22"/>
      <w:szCs w:val="22"/>
    </w:rPr>
  </w:style>
  <w:style w:type="paragraph" w:styleId="Footer">
    <w:name w:val="footer"/>
    <w:basedOn w:val="Normal"/>
    <w:link w:val="FooterChar"/>
    <w:uiPriority w:val="99"/>
    <w:rsid w:val="00A00E34"/>
    <w:pPr>
      <w:tabs>
        <w:tab w:val="center" w:pos="4320"/>
        <w:tab w:val="right" w:pos="8640"/>
      </w:tabs>
    </w:pPr>
  </w:style>
  <w:style w:type="character" w:customStyle="1" w:styleId="FooterChar">
    <w:name w:val="Footer Char"/>
    <w:basedOn w:val="DefaultParagraphFont"/>
    <w:link w:val="Footer"/>
    <w:uiPriority w:val="99"/>
    <w:rsid w:val="00582AA7"/>
    <w:rPr>
      <w:sz w:val="22"/>
    </w:rPr>
  </w:style>
  <w:style w:type="table" w:styleId="TableGrid">
    <w:name w:val="Table Grid"/>
    <w:basedOn w:val="TableProfessional"/>
    <w:uiPriority w:val="59"/>
    <w:rsid w:val="00A14332"/>
    <w:rPr>
      <w:sz w:val="20"/>
      <w:szCs w:val="20"/>
      <w:lang w:val="en-GB" w:eastAsia="en-GB"/>
    </w:rPr>
    <w:tblPr>
      <w:tblInd w:w="0" w:type="dxa"/>
      <w:tblBorders>
        <w:bottom w:val="single" w:sz="4" w:space="0" w:color="auto"/>
        <w:insideH w:val="single" w:sz="4" w:space="0" w:color="auto"/>
      </w:tblBorders>
      <w:tblCellMar>
        <w:top w:w="0" w:type="dxa"/>
        <w:left w:w="108" w:type="dxa"/>
        <w:bottom w:w="0" w:type="dxa"/>
        <w:right w:w="108" w:type="dxa"/>
      </w:tblCellMar>
    </w:tblPr>
    <w:tcPr>
      <w:shd w:val="clear" w:color="auto" w:fill="auto"/>
      <w:vAlign w:val="center"/>
    </w:tcPr>
    <w:tblStylePr w:type="firstRow">
      <w:rPr>
        <w:rFonts w:asciiTheme="minorHAnsi" w:hAnsiTheme="minorHAnsi"/>
        <w:b w:val="0"/>
        <w:bCs/>
        <w:color w:val="auto"/>
        <w:sz w:val="22"/>
      </w:rPr>
      <w:tblPr/>
      <w:tcPr>
        <w:tcBorders>
          <w:top w:val="nil"/>
          <w:left w:val="nil"/>
          <w:bottom w:val="single" w:sz="4" w:space="0" w:color="auto"/>
          <w:right w:val="nil"/>
          <w:insideH w:val="nil"/>
          <w:insideV w:val="nil"/>
          <w:tl2br w:val="nil"/>
          <w:tr2bl w:val="nil"/>
        </w:tcBorders>
        <w:shd w:val="clear" w:color="000000" w:fill="auto"/>
      </w:tcPr>
    </w:tblStylePr>
  </w:style>
  <w:style w:type="table" w:styleId="TableProfessional">
    <w:name w:val="Table Professional"/>
    <w:basedOn w:val="TableNormal"/>
    <w:uiPriority w:val="99"/>
    <w:semiHidden/>
    <w:unhideWhenUsed/>
    <w:rsid w:val="00D56058"/>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shd w:val="solid" w:color="000000" w:fill="FFFFFF"/>
      </w:tcPr>
    </w:tblStylePr>
  </w:style>
  <w:style w:type="paragraph" w:styleId="List">
    <w:name w:val="List"/>
    <w:autoRedefine/>
    <w:uiPriority w:val="99"/>
    <w:semiHidden/>
    <w:qFormat/>
    <w:rsid w:val="007A0054"/>
    <w:pPr>
      <w:numPr>
        <w:numId w:val="6"/>
      </w:numPr>
      <w:spacing w:before="240" w:after="120"/>
      <w:contextualSpacing/>
    </w:pPr>
    <w:rPr>
      <w:sz w:val="22"/>
    </w:rPr>
  </w:style>
  <w:style w:type="paragraph" w:customStyle="1" w:styleId="Titlelevel1">
    <w:name w:val="Title level 1"/>
    <w:autoRedefine/>
    <w:qFormat/>
    <w:rsid w:val="00471CA1"/>
    <w:pPr>
      <w:pBdr>
        <w:bottom w:val="single" w:sz="8" w:space="1" w:color="2F5773" w:themeColor="text2"/>
      </w:pBdr>
      <w:spacing w:before="360" w:after="600" w:line="560" w:lineRule="exact"/>
    </w:pPr>
    <w:rPr>
      <w:rFonts w:asciiTheme="majorHAnsi" w:eastAsiaTheme="majorEastAsia" w:hAnsiTheme="majorHAnsi" w:cstheme="majorBidi"/>
      <w:color w:val="2F5773" w:themeColor="text2"/>
      <w:spacing w:val="5"/>
      <w:kern w:val="28"/>
      <w:sz w:val="52"/>
      <w:szCs w:val="52"/>
    </w:rPr>
  </w:style>
  <w:style w:type="paragraph" w:customStyle="1" w:styleId="Titlelevel3">
    <w:name w:val="Title level 3"/>
    <w:qFormat/>
    <w:rsid w:val="005D4005"/>
    <w:pPr>
      <w:spacing w:before="240" w:after="240"/>
    </w:pPr>
    <w:rPr>
      <w:b/>
      <w:color w:val="2F5773" w:themeColor="text2"/>
    </w:rPr>
  </w:style>
  <w:style w:type="paragraph" w:customStyle="1" w:styleId="Titlelevel4">
    <w:name w:val="Title level 4"/>
    <w:next w:val="body"/>
    <w:qFormat/>
    <w:rsid w:val="00AE55F6"/>
    <w:pPr>
      <w:spacing w:before="240" w:after="240"/>
    </w:pPr>
    <w:rPr>
      <w:color w:val="E98E31" w:themeColor="background2"/>
    </w:rPr>
  </w:style>
  <w:style w:type="paragraph" w:customStyle="1" w:styleId="Figuretitle">
    <w:name w:val="Figure title"/>
    <w:basedOn w:val="body"/>
    <w:next w:val="Normal"/>
    <w:autoRedefine/>
    <w:qFormat/>
    <w:rsid w:val="003221EF"/>
    <w:pPr>
      <w:keepNext/>
      <w:spacing w:before="360" w:after="360"/>
    </w:pPr>
    <w:rPr>
      <w:rFonts w:eastAsia="Times New Roman" w:cs="Times New Roman"/>
      <w:bCs/>
      <w:noProof/>
      <w:color w:val="2F5773" w:themeColor="text2"/>
      <w:szCs w:val="20"/>
      <w:lang w:eastAsia="en-GB"/>
    </w:rPr>
  </w:style>
  <w:style w:type="table" w:customStyle="1" w:styleId="EBAtable">
    <w:name w:val="EBA table"/>
    <w:basedOn w:val="TableNormal"/>
    <w:uiPriority w:val="99"/>
    <w:rsid w:val="002434B0"/>
    <w:tblPr>
      <w:tblInd w:w="0" w:type="dxa"/>
      <w:tblBorders>
        <w:bottom w:val="single" w:sz="2" w:space="0" w:color="000000" w:themeColor="text1"/>
        <w:insideH w:val="single" w:sz="2" w:space="0" w:color="000000" w:themeColor="text1"/>
      </w:tblBorders>
      <w:tblCellMar>
        <w:top w:w="0" w:type="dxa"/>
        <w:left w:w="108" w:type="dxa"/>
        <w:bottom w:w="0" w:type="dxa"/>
        <w:right w:w="108" w:type="dxa"/>
      </w:tblCellMar>
    </w:tblPr>
    <w:tcPr>
      <w:vAlign w:val="center"/>
    </w:tcPr>
    <w:tblStylePr w:type="firstRow">
      <w:pPr>
        <w:jc w:val="left"/>
      </w:pPr>
      <w:tblPr/>
      <w:trPr>
        <w:tblHeader/>
      </w:trPr>
      <w:tcPr>
        <w:tcBorders>
          <w:top w:val="nil"/>
          <w:left w:val="nil"/>
          <w:bottom w:val="single" w:sz="18" w:space="0" w:color="E98E31" w:themeColor="background2"/>
          <w:right w:val="nil"/>
          <w:insideH w:val="nil"/>
          <w:insideV w:val="nil"/>
          <w:tl2br w:val="nil"/>
          <w:tr2bl w:val="nil"/>
        </w:tcBorders>
      </w:tcPr>
    </w:tblStylePr>
    <w:tblStylePr w:type="lastRow">
      <w:tblPr/>
      <w:tcPr>
        <w:tcBorders>
          <w:top w:val="nil"/>
          <w:left w:val="nil"/>
          <w:bottom w:val="single" w:sz="4" w:space="0" w:color="E98E31" w:themeColor="background2"/>
          <w:right w:val="nil"/>
          <w:insideH w:val="nil"/>
          <w:insideV w:val="nil"/>
          <w:tl2br w:val="nil"/>
          <w:tr2bl w:val="nil"/>
        </w:tcBorders>
      </w:tcPr>
    </w:tblStylePr>
  </w:style>
  <w:style w:type="character" w:styleId="PageNumber">
    <w:name w:val="page number"/>
    <w:basedOn w:val="DefaultParagraphFont"/>
    <w:uiPriority w:val="99"/>
    <w:semiHidden/>
    <w:rsid w:val="00610305"/>
    <w:rPr>
      <w:rFonts w:asciiTheme="minorHAnsi" w:hAnsiTheme="minorHAnsi"/>
      <w:color w:val="auto"/>
      <w:sz w:val="22"/>
    </w:rPr>
  </w:style>
  <w:style w:type="paragraph" w:customStyle="1" w:styleId="Runningtitle">
    <w:name w:val="Running title"/>
    <w:qFormat/>
    <w:rsid w:val="009F53AF"/>
    <w:rPr>
      <w:caps/>
      <w:sz w:val="16"/>
      <w:szCs w:val="18"/>
    </w:rPr>
  </w:style>
  <w:style w:type="paragraph" w:styleId="FootnoteText">
    <w:name w:val="footnote text"/>
    <w:basedOn w:val="body"/>
    <w:link w:val="FootnoteTextChar"/>
    <w:autoRedefine/>
    <w:uiPriority w:val="99"/>
    <w:qFormat/>
    <w:rsid w:val="00DB5E8F"/>
    <w:pPr>
      <w:spacing w:before="80" w:after="0" w:line="200" w:lineRule="exact"/>
    </w:pPr>
    <w:rPr>
      <w:sz w:val="18"/>
      <w:szCs w:val="18"/>
    </w:rPr>
  </w:style>
  <w:style w:type="character" w:customStyle="1" w:styleId="FootnoteTextChar">
    <w:name w:val="Footnote Text Char"/>
    <w:basedOn w:val="DefaultParagraphFont"/>
    <w:link w:val="FootnoteText"/>
    <w:uiPriority w:val="99"/>
    <w:rsid w:val="00582AA7"/>
    <w:rPr>
      <w:sz w:val="18"/>
      <w:szCs w:val="18"/>
    </w:rPr>
  </w:style>
  <w:style w:type="character" w:styleId="FootnoteReference">
    <w:name w:val="footnote reference"/>
    <w:basedOn w:val="DefaultParagraphFont"/>
    <w:uiPriority w:val="99"/>
    <w:qFormat/>
    <w:rsid w:val="00B13C87"/>
    <w:rPr>
      <w:rFonts w:asciiTheme="minorHAnsi" w:hAnsiTheme="minorHAnsi"/>
      <w:sz w:val="22"/>
      <w:szCs w:val="18"/>
      <w:vertAlign w:val="superscript"/>
    </w:rPr>
  </w:style>
  <w:style w:type="paragraph" w:customStyle="1" w:styleId="bullet1">
    <w:name w:val="bullet 1"/>
    <w:basedOn w:val="body"/>
    <w:next w:val="body"/>
    <w:qFormat/>
    <w:rsid w:val="001C5BC2"/>
    <w:pPr>
      <w:numPr>
        <w:numId w:val="2"/>
      </w:numPr>
    </w:pPr>
    <w:rPr>
      <w:szCs w:val="22"/>
    </w:rPr>
  </w:style>
  <w:style w:type="paragraph" w:styleId="TOC1">
    <w:name w:val="toc 1"/>
    <w:autoRedefine/>
    <w:uiPriority w:val="39"/>
    <w:qFormat/>
    <w:rsid w:val="00C47E8F"/>
    <w:pPr>
      <w:tabs>
        <w:tab w:val="left" w:pos="312"/>
        <w:tab w:val="left" w:pos="421"/>
        <w:tab w:val="right" w:pos="8771"/>
      </w:tabs>
      <w:spacing w:before="120" w:after="120"/>
      <w:outlineLvl w:val="0"/>
    </w:pPr>
    <w:rPr>
      <w:b/>
      <w:bCs/>
      <w:noProof/>
      <w:color w:val="2F5773" w:themeColor="text2"/>
      <w:sz w:val="22"/>
      <w:szCs w:val="22"/>
    </w:rPr>
  </w:style>
  <w:style w:type="paragraph" w:styleId="TOC2">
    <w:name w:val="toc 2"/>
    <w:next w:val="Normal"/>
    <w:autoRedefine/>
    <w:uiPriority w:val="39"/>
    <w:qFormat/>
    <w:rsid w:val="00C41927"/>
    <w:pPr>
      <w:tabs>
        <w:tab w:val="left" w:pos="529"/>
        <w:tab w:val="right" w:pos="8771"/>
      </w:tabs>
      <w:spacing w:before="80" w:after="80"/>
    </w:pPr>
    <w:rPr>
      <w:noProof/>
      <w:sz w:val="22"/>
      <w:szCs w:val="22"/>
    </w:rPr>
  </w:style>
  <w:style w:type="paragraph" w:styleId="TOC3">
    <w:name w:val="toc 3"/>
    <w:basedOn w:val="Normal"/>
    <w:next w:val="Normal"/>
    <w:autoRedefine/>
    <w:uiPriority w:val="39"/>
    <w:qFormat/>
    <w:rsid w:val="00663B0A"/>
    <w:pPr>
      <w:tabs>
        <w:tab w:val="right" w:pos="8771"/>
      </w:tabs>
      <w:ind w:left="567"/>
    </w:pPr>
    <w:rPr>
      <w:szCs w:val="22"/>
    </w:rPr>
  </w:style>
  <w:style w:type="paragraph" w:styleId="TOC4">
    <w:name w:val="toc 4"/>
    <w:basedOn w:val="Normal"/>
    <w:next w:val="Normal"/>
    <w:autoRedefine/>
    <w:uiPriority w:val="39"/>
    <w:rsid w:val="00EE456B"/>
    <w:pPr>
      <w:tabs>
        <w:tab w:val="right" w:pos="8771"/>
      </w:tabs>
      <w:ind w:left="1134"/>
    </w:pPr>
    <w:rPr>
      <w:szCs w:val="22"/>
    </w:rPr>
  </w:style>
  <w:style w:type="paragraph" w:customStyle="1" w:styleId="bullet2">
    <w:name w:val="bullet 2"/>
    <w:basedOn w:val="body"/>
    <w:qFormat/>
    <w:rsid w:val="001C5BC2"/>
    <w:pPr>
      <w:numPr>
        <w:numId w:val="1"/>
      </w:numPr>
    </w:pPr>
    <w:rPr>
      <w:szCs w:val="22"/>
    </w:rPr>
  </w:style>
  <w:style w:type="paragraph" w:customStyle="1" w:styleId="Numberedtitlelevel3">
    <w:name w:val="Numbered title level 3"/>
    <w:basedOn w:val="Titlelevel3"/>
    <w:next w:val="body"/>
    <w:qFormat/>
    <w:rsid w:val="008F3908"/>
    <w:pPr>
      <w:numPr>
        <w:ilvl w:val="2"/>
        <w:numId w:val="7"/>
      </w:numPr>
    </w:pPr>
  </w:style>
  <w:style w:type="table" w:styleId="LightShading">
    <w:name w:val="Light Shading"/>
    <w:basedOn w:val="TableNormal"/>
    <w:uiPriority w:val="60"/>
    <w:rsid w:val="00F942CA"/>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45301B"/>
    <w:rPr>
      <w:color w:val="234156" w:themeColor="accent1" w:themeShade="BF"/>
    </w:rPr>
    <w:tblPr>
      <w:tblStyleRowBandSize w:val="1"/>
      <w:tblStyleColBandSize w:val="1"/>
      <w:tblInd w:w="0" w:type="dxa"/>
      <w:tblBorders>
        <w:top w:val="single" w:sz="8" w:space="0" w:color="2F5773" w:themeColor="accent1"/>
        <w:bottom w:val="single" w:sz="8" w:space="0" w:color="2F5773"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2F5773" w:themeColor="accent1"/>
          <w:left w:val="nil"/>
          <w:bottom w:val="single" w:sz="8" w:space="0" w:color="2F5773" w:themeColor="accent1"/>
          <w:right w:val="nil"/>
          <w:insideH w:val="nil"/>
          <w:insideV w:val="nil"/>
        </w:tcBorders>
      </w:tcPr>
    </w:tblStylePr>
    <w:tblStylePr w:type="lastRow">
      <w:pPr>
        <w:spacing w:before="0" w:after="0" w:line="240" w:lineRule="auto"/>
      </w:pPr>
      <w:rPr>
        <w:b/>
        <w:bCs/>
      </w:rPr>
      <w:tblPr/>
      <w:tcPr>
        <w:tcBorders>
          <w:top w:val="single" w:sz="8" w:space="0" w:color="2F5773" w:themeColor="accent1"/>
          <w:left w:val="nil"/>
          <w:bottom w:val="single" w:sz="8" w:space="0" w:color="2F5773"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D7E6" w:themeFill="accent1" w:themeFillTint="3F"/>
      </w:tcPr>
    </w:tblStylePr>
    <w:tblStylePr w:type="band1Horz">
      <w:tblPr/>
      <w:tcPr>
        <w:tcBorders>
          <w:left w:val="nil"/>
          <w:right w:val="nil"/>
          <w:insideH w:val="nil"/>
          <w:insideV w:val="nil"/>
        </w:tcBorders>
        <w:shd w:val="clear" w:color="auto" w:fill="C1D7E6" w:themeFill="accent1" w:themeFillTint="3F"/>
      </w:tcPr>
    </w:tblStylePr>
  </w:style>
  <w:style w:type="paragraph" w:customStyle="1" w:styleId="Contenttitle">
    <w:name w:val="Content title"/>
    <w:basedOn w:val="Titlelevel1"/>
    <w:qFormat/>
    <w:rsid w:val="00172007"/>
  </w:style>
  <w:style w:type="paragraph" w:customStyle="1" w:styleId="Numberedtitlelevel4">
    <w:name w:val="Numbered title level 4"/>
    <w:basedOn w:val="Titlelevel4"/>
    <w:qFormat/>
    <w:rsid w:val="005D4005"/>
    <w:pPr>
      <w:numPr>
        <w:numId w:val="4"/>
      </w:numPr>
    </w:pPr>
  </w:style>
  <w:style w:type="paragraph" w:styleId="Header">
    <w:name w:val="header"/>
    <w:basedOn w:val="Normal"/>
    <w:link w:val="HeaderChar"/>
    <w:uiPriority w:val="99"/>
    <w:semiHidden/>
    <w:rsid w:val="00A92440"/>
    <w:pPr>
      <w:tabs>
        <w:tab w:val="center" w:pos="4320"/>
        <w:tab w:val="right" w:pos="8640"/>
      </w:tabs>
    </w:pPr>
  </w:style>
  <w:style w:type="character" w:customStyle="1" w:styleId="HeaderChar">
    <w:name w:val="Header Char"/>
    <w:basedOn w:val="DefaultParagraphFont"/>
    <w:link w:val="Header"/>
    <w:uiPriority w:val="99"/>
    <w:semiHidden/>
    <w:rsid w:val="00582AA7"/>
    <w:rPr>
      <w:sz w:val="22"/>
    </w:rPr>
  </w:style>
  <w:style w:type="paragraph" w:styleId="Title">
    <w:name w:val="Title"/>
    <w:basedOn w:val="Normal"/>
    <w:next w:val="Normal"/>
    <w:link w:val="TitleChar"/>
    <w:qFormat/>
    <w:rsid w:val="0077379B"/>
    <w:pPr>
      <w:pBdr>
        <w:bottom w:val="single" w:sz="8" w:space="4" w:color="2F5773" w:themeColor="accent1"/>
      </w:pBdr>
      <w:spacing w:after="300"/>
      <w:contextualSpacing/>
    </w:pPr>
    <w:rPr>
      <w:rFonts w:ascii="Lucida Fax" w:eastAsiaTheme="majorEastAsia" w:hAnsi="Lucida Fax" w:cstheme="majorBidi"/>
      <w:color w:val="2F5773" w:themeColor="text2"/>
      <w:spacing w:val="5"/>
      <w:kern w:val="28"/>
      <w:sz w:val="52"/>
      <w:szCs w:val="52"/>
    </w:rPr>
  </w:style>
  <w:style w:type="character" w:customStyle="1" w:styleId="TitleChar">
    <w:name w:val="Title Char"/>
    <w:basedOn w:val="DefaultParagraphFont"/>
    <w:link w:val="Title"/>
    <w:rsid w:val="0077379B"/>
    <w:rPr>
      <w:rFonts w:ascii="Lucida Fax" w:eastAsiaTheme="majorEastAsia" w:hAnsi="Lucida Fax" w:cstheme="majorBidi"/>
      <w:color w:val="2F5773" w:themeColor="text2"/>
      <w:spacing w:val="5"/>
      <w:kern w:val="28"/>
      <w:sz w:val="52"/>
      <w:szCs w:val="52"/>
    </w:rPr>
  </w:style>
  <w:style w:type="paragraph" w:styleId="TableofFigures">
    <w:name w:val="table of figures"/>
    <w:basedOn w:val="Normal"/>
    <w:next w:val="Normal"/>
    <w:autoRedefine/>
    <w:uiPriority w:val="99"/>
    <w:qFormat/>
    <w:rsid w:val="00172007"/>
    <w:pPr>
      <w:spacing w:before="160"/>
    </w:pPr>
  </w:style>
  <w:style w:type="paragraph" w:styleId="Subtitle">
    <w:name w:val="Subtitle"/>
    <w:next w:val="Normal"/>
    <w:link w:val="SubtitleChar"/>
    <w:autoRedefine/>
    <w:uiPriority w:val="11"/>
    <w:qFormat/>
    <w:rsid w:val="00C60588"/>
    <w:pPr>
      <w:numPr>
        <w:ilvl w:val="1"/>
      </w:numPr>
      <w:tabs>
        <w:tab w:val="left" w:pos="1701"/>
      </w:tabs>
      <w:spacing w:before="120" w:after="120"/>
      <w:jc w:val="center"/>
    </w:pPr>
    <w:rPr>
      <w:rFonts w:ascii="Lucida Bright" w:eastAsiaTheme="majorEastAsia" w:hAnsi="Lucida Bright" w:cstheme="majorBidi"/>
      <w:caps/>
      <w:color w:val="2F5773" w:themeColor="text2"/>
      <w:sz w:val="26"/>
      <w:szCs w:val="26"/>
      <w:lang w:val="en-GB"/>
    </w:rPr>
  </w:style>
  <w:style w:type="character" w:customStyle="1" w:styleId="SubtitleChar">
    <w:name w:val="Subtitle Char"/>
    <w:basedOn w:val="DefaultParagraphFont"/>
    <w:link w:val="Subtitle"/>
    <w:uiPriority w:val="11"/>
    <w:rsid w:val="00C60588"/>
    <w:rPr>
      <w:rFonts w:ascii="Lucida Bright" w:eastAsiaTheme="majorEastAsia" w:hAnsi="Lucida Bright" w:cstheme="majorBidi"/>
      <w:caps/>
      <w:color w:val="2F5773" w:themeColor="text2"/>
      <w:sz w:val="26"/>
      <w:szCs w:val="26"/>
      <w:lang w:val="en-GB"/>
    </w:rPr>
  </w:style>
  <w:style w:type="character" w:styleId="BookTitle">
    <w:name w:val="Book Title"/>
    <w:basedOn w:val="DefaultParagraphFont"/>
    <w:uiPriority w:val="33"/>
    <w:semiHidden/>
    <w:qFormat/>
    <w:rsid w:val="000D7A44"/>
    <w:rPr>
      <w:b/>
      <w:bCs/>
      <w:smallCaps/>
      <w:spacing w:val="5"/>
    </w:rPr>
  </w:style>
  <w:style w:type="character" w:customStyle="1" w:styleId="Highlighttext">
    <w:name w:val="Highlight text"/>
    <w:basedOn w:val="DefaultParagraphFont"/>
    <w:uiPriority w:val="1"/>
    <w:semiHidden/>
    <w:qFormat/>
    <w:rsid w:val="00AE55F6"/>
    <w:rPr>
      <w:rFonts w:asciiTheme="minorHAnsi" w:hAnsiTheme="minorHAnsi"/>
      <w:b/>
      <w:bCs/>
      <w:caps w:val="0"/>
      <w:smallCaps w:val="0"/>
      <w:color w:val="E98E31" w:themeColor="background2"/>
      <w:sz w:val="22"/>
      <w:szCs w:val="22"/>
    </w:rPr>
  </w:style>
  <w:style w:type="paragraph" w:customStyle="1" w:styleId="abbreviation">
    <w:name w:val="abbreviation"/>
    <w:basedOn w:val="Tableheader"/>
    <w:qFormat/>
    <w:rsid w:val="00455E0E"/>
    <w:rPr>
      <w:bCs/>
      <w:lang w:val="en-GB" w:eastAsia="en-GB"/>
    </w:rPr>
  </w:style>
  <w:style w:type="paragraph" w:styleId="ListBullet">
    <w:name w:val="List Bullet"/>
    <w:basedOn w:val="Normal"/>
    <w:semiHidden/>
    <w:qFormat/>
    <w:rsid w:val="00A304D0"/>
    <w:pPr>
      <w:numPr>
        <w:numId w:val="15"/>
      </w:numPr>
      <w:contextualSpacing/>
    </w:pPr>
  </w:style>
  <w:style w:type="character" w:styleId="Hyperlink">
    <w:name w:val="Hyperlink"/>
    <w:basedOn w:val="DefaultParagraphFont"/>
    <w:uiPriority w:val="99"/>
    <w:rsid w:val="00392385"/>
    <w:rPr>
      <w:color w:val="2F5773" w:themeColor="hyperlink"/>
      <w:u w:val="single"/>
    </w:rPr>
  </w:style>
  <w:style w:type="paragraph" w:customStyle="1" w:styleId="numberedparagraph">
    <w:name w:val="numbered paragraph"/>
    <w:basedOn w:val="body"/>
    <w:qFormat/>
    <w:rsid w:val="00E22BCE"/>
    <w:pPr>
      <w:numPr>
        <w:numId w:val="8"/>
      </w:numPr>
    </w:pPr>
  </w:style>
  <w:style w:type="paragraph" w:styleId="TOC5">
    <w:name w:val="toc 5"/>
    <w:basedOn w:val="Normal"/>
    <w:next w:val="Normal"/>
    <w:autoRedefine/>
    <w:uiPriority w:val="39"/>
    <w:semiHidden/>
    <w:rsid w:val="00B526A8"/>
    <w:pPr>
      <w:ind w:left="880"/>
    </w:pPr>
  </w:style>
  <w:style w:type="paragraph" w:styleId="TOC6">
    <w:name w:val="toc 6"/>
    <w:basedOn w:val="Normal"/>
    <w:next w:val="Normal"/>
    <w:autoRedefine/>
    <w:uiPriority w:val="39"/>
    <w:semiHidden/>
    <w:rsid w:val="00B526A8"/>
    <w:pPr>
      <w:ind w:left="1100"/>
    </w:pPr>
  </w:style>
  <w:style w:type="paragraph" w:styleId="TOC7">
    <w:name w:val="toc 7"/>
    <w:basedOn w:val="Normal"/>
    <w:next w:val="Normal"/>
    <w:autoRedefine/>
    <w:uiPriority w:val="39"/>
    <w:semiHidden/>
    <w:rsid w:val="00B526A8"/>
    <w:pPr>
      <w:ind w:left="1320"/>
    </w:pPr>
  </w:style>
  <w:style w:type="paragraph" w:styleId="TOC8">
    <w:name w:val="toc 8"/>
    <w:basedOn w:val="Normal"/>
    <w:next w:val="Normal"/>
    <w:autoRedefine/>
    <w:uiPriority w:val="39"/>
    <w:semiHidden/>
    <w:rsid w:val="00B526A8"/>
    <w:pPr>
      <w:ind w:left="1540"/>
    </w:pPr>
  </w:style>
  <w:style w:type="paragraph" w:styleId="TOC9">
    <w:name w:val="toc 9"/>
    <w:basedOn w:val="Normal"/>
    <w:next w:val="Normal"/>
    <w:autoRedefine/>
    <w:uiPriority w:val="39"/>
    <w:semiHidden/>
    <w:rsid w:val="00B526A8"/>
    <w:pPr>
      <w:ind w:left="1760"/>
    </w:pPr>
  </w:style>
  <w:style w:type="paragraph" w:customStyle="1" w:styleId="Numberedparagraphcolour">
    <w:name w:val="Numbered paragraph colour"/>
    <w:basedOn w:val="numberedparagraph"/>
    <w:qFormat/>
    <w:rsid w:val="00F77102"/>
    <w:rPr>
      <w:color w:val="2F5773" w:themeColor="text2"/>
    </w:rPr>
  </w:style>
  <w:style w:type="paragraph" w:styleId="ListParagraph">
    <w:name w:val="List Paragraph"/>
    <w:basedOn w:val="Normal"/>
    <w:uiPriority w:val="34"/>
    <w:qFormat/>
    <w:rsid w:val="00C5106B"/>
    <w:pPr>
      <w:spacing w:after="200" w:line="276" w:lineRule="auto"/>
      <w:ind w:left="720"/>
      <w:contextualSpacing/>
    </w:pPr>
    <w:rPr>
      <w:rFonts w:asciiTheme="minorHAnsi" w:eastAsiaTheme="minorHAnsi" w:hAnsiTheme="minorHAnsi"/>
      <w:szCs w:val="22"/>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able of figures" w:qFormat="1"/>
    <w:lsdException w:name="footnote reference" w:qFormat="1"/>
    <w:lsdException w:name="List" w:qFormat="1"/>
    <w:lsdException w:name="List Bullet" w:semiHidden="0" w:uiPriority="0" w:qFormat="1"/>
    <w:lsdException w:name="List Number" w:unhideWhenUsed="0"/>
    <w:lsdException w:name="List 4" w:unhideWhenUsed="0"/>
    <w:lsdException w:name="List 5" w:unhideWhenUsed="0"/>
    <w:lsdException w:name="Title" w:semiHidden="0" w:uiPriority="10" w:unhideWhenUsed="0" w:qFormat="1"/>
    <w:lsdException w:name="Default Paragraph Font" w:uiPriority="1"/>
    <w:lsdException w:name="Subtitle" w:semiHidden="0" w:uiPriority="11" w:unhideWhenUsed="0" w:qFormat="1"/>
    <w:lsdException w:name="Salutation" w:unhideWhenUsed="0"/>
    <w:lsdException w:name="Date" w:unhideWhenUsed="0"/>
    <w:lsdException w:name="Body Text First Indent"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379B"/>
    <w:rPr>
      <w:rFonts w:ascii="Lucida Bright" w:hAnsi="Lucida Bright"/>
      <w:sz w:val="22"/>
    </w:rPr>
  </w:style>
  <w:style w:type="paragraph" w:styleId="Heading1">
    <w:name w:val="heading 1"/>
    <w:aliases w:val="Cover title white"/>
    <w:next w:val="Normal"/>
    <w:link w:val="Heading1Char"/>
    <w:semiHidden/>
    <w:qFormat/>
    <w:rsid w:val="00B32510"/>
    <w:pPr>
      <w:keepNext/>
      <w:keepLines/>
      <w:outlineLvl w:val="0"/>
    </w:pPr>
    <w:rPr>
      <w:rFonts w:asciiTheme="majorHAnsi" w:eastAsiaTheme="majorEastAsia" w:hAnsiTheme="majorHAnsi" w:cstheme="majorBidi"/>
      <w:b/>
      <w:bCs/>
      <w:caps/>
      <w:color w:val="FFFFFF" w:themeColor="background1"/>
      <w:sz w:val="40"/>
      <w:szCs w:val="40"/>
    </w:rPr>
  </w:style>
  <w:style w:type="paragraph" w:styleId="Heading2">
    <w:name w:val="heading 2"/>
    <w:basedOn w:val="Numberedtilelevel1"/>
    <w:next w:val="Normal"/>
    <w:link w:val="Heading2Char"/>
    <w:uiPriority w:val="9"/>
    <w:semiHidden/>
    <w:qFormat/>
    <w:rsid w:val="002F2009"/>
    <w:pPr>
      <w:outlineLvl w:val="1"/>
    </w:pPr>
  </w:style>
  <w:style w:type="paragraph" w:styleId="Heading3">
    <w:name w:val="heading 3"/>
    <w:aliases w:val="Title 2"/>
    <w:basedOn w:val="Numberedtitlelevel2"/>
    <w:next w:val="Normal"/>
    <w:link w:val="Heading3Char"/>
    <w:uiPriority w:val="9"/>
    <w:semiHidden/>
    <w:rsid w:val="002F2009"/>
    <w:pPr>
      <w:outlineLvl w:val="2"/>
    </w:pPr>
  </w:style>
  <w:style w:type="paragraph" w:styleId="Heading4">
    <w:name w:val="heading 4"/>
    <w:basedOn w:val="Normal"/>
    <w:next w:val="Normal"/>
    <w:link w:val="Heading4Char"/>
    <w:uiPriority w:val="9"/>
    <w:semiHidden/>
    <w:qFormat/>
    <w:rsid w:val="001C5BC2"/>
    <w:pPr>
      <w:keepNext/>
      <w:keepLines/>
      <w:numPr>
        <w:ilvl w:val="3"/>
        <w:numId w:val="3"/>
      </w:numPr>
      <w:spacing w:before="200"/>
      <w:outlineLvl w:val="3"/>
    </w:pPr>
    <w:rPr>
      <w:rFonts w:asciiTheme="majorHAnsi" w:eastAsiaTheme="majorEastAsia" w:hAnsiTheme="majorHAnsi" w:cstheme="majorBidi"/>
      <w:b/>
      <w:bCs/>
      <w:i/>
      <w:iCs/>
      <w:color w:val="2F5773" w:themeColor="accent1"/>
    </w:rPr>
  </w:style>
  <w:style w:type="paragraph" w:styleId="Heading5">
    <w:name w:val="heading 5"/>
    <w:aliases w:val="Cover subtitle white"/>
    <w:next w:val="Normal"/>
    <w:link w:val="Heading5Char"/>
    <w:semiHidden/>
    <w:qFormat/>
    <w:rsid w:val="00B32510"/>
    <w:pPr>
      <w:keepNext/>
      <w:keepLines/>
      <w:spacing w:before="200"/>
      <w:outlineLvl w:val="4"/>
    </w:pPr>
    <w:rPr>
      <w:rFonts w:asciiTheme="majorHAnsi" w:eastAsiaTheme="majorEastAsia" w:hAnsiTheme="majorHAnsi" w:cstheme="majorBidi"/>
      <w:caps/>
      <w:color w:val="FFFFFF" w:themeColor="background1"/>
      <w:sz w:val="28"/>
      <w:szCs w:val="28"/>
    </w:rPr>
  </w:style>
  <w:style w:type="paragraph" w:styleId="Heading6">
    <w:name w:val="heading 6"/>
    <w:basedOn w:val="Normal"/>
    <w:next w:val="Normal"/>
    <w:link w:val="Heading6Char"/>
    <w:uiPriority w:val="9"/>
    <w:semiHidden/>
    <w:qFormat/>
    <w:rsid w:val="001C5BC2"/>
    <w:pPr>
      <w:keepNext/>
      <w:keepLines/>
      <w:numPr>
        <w:ilvl w:val="5"/>
        <w:numId w:val="3"/>
      </w:numPr>
      <w:spacing w:before="200"/>
      <w:outlineLvl w:val="5"/>
    </w:pPr>
    <w:rPr>
      <w:rFonts w:asciiTheme="majorHAnsi" w:eastAsiaTheme="majorEastAsia" w:hAnsiTheme="majorHAnsi" w:cstheme="majorBidi"/>
      <w:i/>
      <w:iCs/>
      <w:color w:val="172B39" w:themeColor="accent1" w:themeShade="7F"/>
    </w:rPr>
  </w:style>
  <w:style w:type="paragraph" w:styleId="Heading7">
    <w:name w:val="heading 7"/>
    <w:basedOn w:val="Normal"/>
    <w:next w:val="Normal"/>
    <w:link w:val="Heading7Char"/>
    <w:uiPriority w:val="9"/>
    <w:semiHidden/>
    <w:qFormat/>
    <w:rsid w:val="001C5BC2"/>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1C5BC2"/>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qFormat/>
    <w:rsid w:val="001C5BC2"/>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over title white Char"/>
    <w:basedOn w:val="DefaultParagraphFont"/>
    <w:link w:val="Heading1"/>
    <w:semiHidden/>
    <w:rsid w:val="00290DA3"/>
    <w:rPr>
      <w:rFonts w:asciiTheme="majorHAnsi" w:eastAsiaTheme="majorEastAsia" w:hAnsiTheme="majorHAnsi" w:cstheme="majorBidi"/>
      <w:b/>
      <w:bCs/>
      <w:caps/>
      <w:color w:val="FFFFFF" w:themeColor="background1"/>
      <w:sz w:val="40"/>
      <w:szCs w:val="40"/>
    </w:rPr>
  </w:style>
  <w:style w:type="paragraph" w:customStyle="1" w:styleId="Numberedtilelevel1">
    <w:name w:val="Numbered tile level 1"/>
    <w:basedOn w:val="Titlelevel1"/>
    <w:qFormat/>
    <w:rsid w:val="00482FB6"/>
    <w:pPr>
      <w:numPr>
        <w:numId w:val="7"/>
      </w:numPr>
    </w:pPr>
  </w:style>
  <w:style w:type="character" w:customStyle="1" w:styleId="Heading2Char">
    <w:name w:val="Heading 2 Char"/>
    <w:basedOn w:val="DefaultParagraphFont"/>
    <w:link w:val="Heading2"/>
    <w:uiPriority w:val="9"/>
    <w:semiHidden/>
    <w:rsid w:val="00582AA7"/>
    <w:rPr>
      <w:rFonts w:asciiTheme="majorHAnsi" w:eastAsiaTheme="majorEastAsia" w:hAnsiTheme="majorHAnsi" w:cstheme="majorBidi"/>
      <w:color w:val="2F5773" w:themeColor="text2"/>
      <w:spacing w:val="5"/>
      <w:kern w:val="28"/>
      <w:sz w:val="52"/>
      <w:szCs w:val="52"/>
    </w:rPr>
  </w:style>
  <w:style w:type="paragraph" w:customStyle="1" w:styleId="Numberedtitlelevel2">
    <w:name w:val="Numbered title level 2"/>
    <w:basedOn w:val="Titlelevel2"/>
    <w:next w:val="body"/>
    <w:qFormat/>
    <w:rsid w:val="00482FB6"/>
    <w:pPr>
      <w:numPr>
        <w:ilvl w:val="1"/>
        <w:numId w:val="7"/>
      </w:numPr>
    </w:pPr>
  </w:style>
  <w:style w:type="paragraph" w:customStyle="1" w:styleId="Titlelevel2">
    <w:name w:val="Title level 2"/>
    <w:qFormat/>
    <w:rsid w:val="0077379B"/>
    <w:pPr>
      <w:spacing w:before="240" w:after="240"/>
    </w:pPr>
    <w:rPr>
      <w:rFonts w:ascii="Lucida Sans" w:eastAsiaTheme="majorEastAsia" w:hAnsi="Lucida Sans" w:cstheme="majorBidi"/>
      <w:bCs/>
      <w:color w:val="2F5773" w:themeColor="text2"/>
      <w:sz w:val="32"/>
    </w:rPr>
  </w:style>
  <w:style w:type="paragraph" w:customStyle="1" w:styleId="body">
    <w:name w:val="body"/>
    <w:qFormat/>
    <w:rsid w:val="003055C1"/>
    <w:pPr>
      <w:spacing w:before="240" w:after="120" w:line="276" w:lineRule="auto"/>
    </w:pPr>
    <w:rPr>
      <w:rFonts w:ascii="Lucida Bright" w:hAnsi="Lucida Bright"/>
      <w:sz w:val="22"/>
      <w:lang w:val="en-GB"/>
    </w:rPr>
  </w:style>
  <w:style w:type="character" w:customStyle="1" w:styleId="Heading3Char">
    <w:name w:val="Heading 3 Char"/>
    <w:aliases w:val="Title 2 Char"/>
    <w:basedOn w:val="DefaultParagraphFont"/>
    <w:link w:val="Heading3"/>
    <w:uiPriority w:val="9"/>
    <w:semiHidden/>
    <w:rsid w:val="00582AA7"/>
    <w:rPr>
      <w:rFonts w:asciiTheme="majorHAnsi" w:eastAsiaTheme="majorEastAsia" w:hAnsiTheme="majorHAnsi" w:cstheme="majorBidi"/>
      <w:bCs/>
      <w:color w:val="2F5773" w:themeColor="text2"/>
      <w:sz w:val="32"/>
    </w:rPr>
  </w:style>
  <w:style w:type="character" w:customStyle="1" w:styleId="Heading4Char">
    <w:name w:val="Heading 4 Char"/>
    <w:basedOn w:val="DefaultParagraphFont"/>
    <w:link w:val="Heading4"/>
    <w:uiPriority w:val="9"/>
    <w:semiHidden/>
    <w:rsid w:val="00582AA7"/>
    <w:rPr>
      <w:rFonts w:asciiTheme="majorHAnsi" w:eastAsiaTheme="majorEastAsia" w:hAnsiTheme="majorHAnsi" w:cstheme="majorBidi"/>
      <w:b/>
      <w:bCs/>
      <w:i/>
      <w:iCs/>
      <w:color w:val="2F5773" w:themeColor="accent1"/>
      <w:sz w:val="22"/>
    </w:rPr>
  </w:style>
  <w:style w:type="character" w:customStyle="1" w:styleId="Heading5Char">
    <w:name w:val="Heading 5 Char"/>
    <w:aliases w:val="Cover subtitle white Char"/>
    <w:basedOn w:val="DefaultParagraphFont"/>
    <w:link w:val="Heading5"/>
    <w:semiHidden/>
    <w:rsid w:val="00290DA3"/>
    <w:rPr>
      <w:rFonts w:asciiTheme="majorHAnsi" w:eastAsiaTheme="majorEastAsia" w:hAnsiTheme="majorHAnsi" w:cstheme="majorBidi"/>
      <w:caps/>
      <w:color w:val="FFFFFF" w:themeColor="background1"/>
      <w:sz w:val="28"/>
      <w:szCs w:val="28"/>
    </w:rPr>
  </w:style>
  <w:style w:type="character" w:customStyle="1" w:styleId="Heading6Char">
    <w:name w:val="Heading 6 Char"/>
    <w:basedOn w:val="DefaultParagraphFont"/>
    <w:link w:val="Heading6"/>
    <w:uiPriority w:val="9"/>
    <w:semiHidden/>
    <w:rsid w:val="00582AA7"/>
    <w:rPr>
      <w:rFonts w:asciiTheme="majorHAnsi" w:eastAsiaTheme="majorEastAsia" w:hAnsiTheme="majorHAnsi" w:cstheme="majorBidi"/>
      <w:i/>
      <w:iCs/>
      <w:color w:val="172B39" w:themeColor="accent1" w:themeShade="7F"/>
      <w:sz w:val="22"/>
    </w:rPr>
  </w:style>
  <w:style w:type="character" w:customStyle="1" w:styleId="Heading7Char">
    <w:name w:val="Heading 7 Char"/>
    <w:basedOn w:val="DefaultParagraphFont"/>
    <w:link w:val="Heading7"/>
    <w:uiPriority w:val="9"/>
    <w:semiHidden/>
    <w:rsid w:val="00582AA7"/>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582AA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582AA7"/>
    <w:rPr>
      <w:rFonts w:asciiTheme="majorHAnsi" w:eastAsiaTheme="majorEastAsia" w:hAnsiTheme="majorHAnsi" w:cstheme="majorBidi"/>
      <w:i/>
      <w:iCs/>
      <w:color w:val="404040" w:themeColor="text1" w:themeTint="BF"/>
      <w:sz w:val="20"/>
      <w:szCs w:val="20"/>
    </w:rPr>
  </w:style>
  <w:style w:type="paragraph" w:styleId="BalloonText">
    <w:name w:val="Balloon Text"/>
    <w:basedOn w:val="Normal"/>
    <w:link w:val="BalloonTextChar"/>
    <w:uiPriority w:val="99"/>
    <w:semiHidden/>
    <w:rsid w:val="00372BE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82AA7"/>
    <w:rPr>
      <w:rFonts w:ascii="Lucida Grande" w:hAnsi="Lucida Grande" w:cs="Lucida Grande"/>
      <w:sz w:val="18"/>
      <w:szCs w:val="18"/>
    </w:rPr>
  </w:style>
  <w:style w:type="paragraph" w:customStyle="1" w:styleId="Tableheader">
    <w:name w:val="Table header"/>
    <w:next w:val="Tabledata"/>
    <w:qFormat/>
    <w:rsid w:val="00813BAC"/>
    <w:pPr>
      <w:spacing w:after="80"/>
    </w:pPr>
    <w:rPr>
      <w:rFonts w:ascii="Calibri" w:eastAsia="Times New Roman" w:hAnsi="Calibri" w:cs="Times New Roman"/>
      <w:b/>
      <w:color w:val="000000"/>
      <w:sz w:val="22"/>
      <w:szCs w:val="22"/>
    </w:rPr>
  </w:style>
  <w:style w:type="paragraph" w:customStyle="1" w:styleId="Tabledata">
    <w:name w:val="Table data"/>
    <w:basedOn w:val="body"/>
    <w:qFormat/>
    <w:rsid w:val="00455E0E"/>
    <w:pPr>
      <w:spacing w:before="120" w:line="240" w:lineRule="auto"/>
    </w:pPr>
    <w:rPr>
      <w:rFonts w:eastAsia="Times New Roman" w:cstheme="minorHAnsi"/>
      <w:bCs/>
      <w:color w:val="000000"/>
      <w:sz w:val="20"/>
      <w:szCs w:val="22"/>
      <w:lang w:eastAsia="en-GB"/>
    </w:rPr>
  </w:style>
  <w:style w:type="paragraph" w:customStyle="1" w:styleId="List1">
    <w:name w:val="List1"/>
    <w:autoRedefine/>
    <w:qFormat/>
    <w:rsid w:val="008F3908"/>
    <w:pPr>
      <w:numPr>
        <w:numId w:val="5"/>
      </w:numPr>
    </w:pPr>
    <w:rPr>
      <w:sz w:val="22"/>
      <w:szCs w:val="22"/>
    </w:rPr>
  </w:style>
  <w:style w:type="paragraph" w:styleId="Footer">
    <w:name w:val="footer"/>
    <w:basedOn w:val="Normal"/>
    <w:link w:val="FooterChar"/>
    <w:uiPriority w:val="99"/>
    <w:rsid w:val="00A00E34"/>
    <w:pPr>
      <w:tabs>
        <w:tab w:val="center" w:pos="4320"/>
        <w:tab w:val="right" w:pos="8640"/>
      </w:tabs>
    </w:pPr>
  </w:style>
  <w:style w:type="character" w:customStyle="1" w:styleId="FooterChar">
    <w:name w:val="Footer Char"/>
    <w:basedOn w:val="DefaultParagraphFont"/>
    <w:link w:val="Footer"/>
    <w:uiPriority w:val="99"/>
    <w:rsid w:val="00582AA7"/>
    <w:rPr>
      <w:sz w:val="22"/>
    </w:rPr>
  </w:style>
  <w:style w:type="table" w:styleId="TableGrid">
    <w:name w:val="Table Grid"/>
    <w:basedOn w:val="TableProfessional"/>
    <w:uiPriority w:val="59"/>
    <w:rsid w:val="00A14332"/>
    <w:rPr>
      <w:sz w:val="20"/>
      <w:szCs w:val="20"/>
      <w:lang w:val="en-GB" w:eastAsia="en-GB"/>
    </w:rPr>
    <w:tblPr>
      <w:tblInd w:w="0" w:type="dxa"/>
      <w:tblBorders>
        <w:bottom w:val="single" w:sz="4" w:space="0" w:color="auto"/>
        <w:insideH w:val="single" w:sz="4" w:space="0" w:color="auto"/>
      </w:tblBorders>
      <w:tblCellMar>
        <w:top w:w="0" w:type="dxa"/>
        <w:left w:w="108" w:type="dxa"/>
        <w:bottom w:w="0" w:type="dxa"/>
        <w:right w:w="108" w:type="dxa"/>
      </w:tblCellMar>
    </w:tblPr>
    <w:tcPr>
      <w:shd w:val="clear" w:color="auto" w:fill="auto"/>
      <w:vAlign w:val="center"/>
    </w:tcPr>
    <w:tblStylePr w:type="firstRow">
      <w:rPr>
        <w:rFonts w:asciiTheme="minorHAnsi" w:hAnsiTheme="minorHAnsi"/>
        <w:b w:val="0"/>
        <w:bCs/>
        <w:color w:val="auto"/>
        <w:sz w:val="22"/>
      </w:rPr>
      <w:tblPr/>
      <w:tcPr>
        <w:tcBorders>
          <w:top w:val="nil"/>
          <w:left w:val="nil"/>
          <w:bottom w:val="single" w:sz="4" w:space="0" w:color="auto"/>
          <w:right w:val="nil"/>
          <w:insideH w:val="nil"/>
          <w:insideV w:val="nil"/>
          <w:tl2br w:val="nil"/>
          <w:tr2bl w:val="nil"/>
        </w:tcBorders>
        <w:shd w:val="clear" w:color="000000" w:fill="auto"/>
      </w:tcPr>
    </w:tblStylePr>
  </w:style>
  <w:style w:type="table" w:styleId="TableProfessional">
    <w:name w:val="Table Professional"/>
    <w:basedOn w:val="TableNormal"/>
    <w:uiPriority w:val="99"/>
    <w:semiHidden/>
    <w:unhideWhenUsed/>
    <w:rsid w:val="00D56058"/>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shd w:val="solid" w:color="000000" w:fill="FFFFFF"/>
      </w:tcPr>
    </w:tblStylePr>
  </w:style>
  <w:style w:type="paragraph" w:styleId="List">
    <w:name w:val="List"/>
    <w:autoRedefine/>
    <w:uiPriority w:val="99"/>
    <w:semiHidden/>
    <w:qFormat/>
    <w:rsid w:val="007A0054"/>
    <w:pPr>
      <w:numPr>
        <w:numId w:val="6"/>
      </w:numPr>
      <w:spacing w:before="240" w:after="120"/>
      <w:contextualSpacing/>
    </w:pPr>
    <w:rPr>
      <w:sz w:val="22"/>
    </w:rPr>
  </w:style>
  <w:style w:type="paragraph" w:customStyle="1" w:styleId="Titlelevel1">
    <w:name w:val="Title level 1"/>
    <w:autoRedefine/>
    <w:qFormat/>
    <w:rsid w:val="00471CA1"/>
    <w:pPr>
      <w:pBdr>
        <w:bottom w:val="single" w:sz="8" w:space="1" w:color="2F5773" w:themeColor="text2"/>
      </w:pBdr>
      <w:spacing w:before="360" w:after="600" w:line="560" w:lineRule="exact"/>
    </w:pPr>
    <w:rPr>
      <w:rFonts w:asciiTheme="majorHAnsi" w:eastAsiaTheme="majorEastAsia" w:hAnsiTheme="majorHAnsi" w:cstheme="majorBidi"/>
      <w:color w:val="2F5773" w:themeColor="text2"/>
      <w:spacing w:val="5"/>
      <w:kern w:val="28"/>
      <w:sz w:val="52"/>
      <w:szCs w:val="52"/>
    </w:rPr>
  </w:style>
  <w:style w:type="paragraph" w:customStyle="1" w:styleId="Titlelevel3">
    <w:name w:val="Title level 3"/>
    <w:qFormat/>
    <w:rsid w:val="005D4005"/>
    <w:pPr>
      <w:spacing w:before="240" w:after="240"/>
    </w:pPr>
    <w:rPr>
      <w:b/>
      <w:color w:val="2F5773" w:themeColor="text2"/>
    </w:rPr>
  </w:style>
  <w:style w:type="paragraph" w:customStyle="1" w:styleId="Titlelevel4">
    <w:name w:val="Title level 4"/>
    <w:next w:val="body"/>
    <w:qFormat/>
    <w:rsid w:val="00AE55F6"/>
    <w:pPr>
      <w:spacing w:before="240" w:after="240"/>
    </w:pPr>
    <w:rPr>
      <w:color w:val="E98E31" w:themeColor="background2"/>
    </w:rPr>
  </w:style>
  <w:style w:type="paragraph" w:customStyle="1" w:styleId="Figuretitle">
    <w:name w:val="Figure title"/>
    <w:basedOn w:val="body"/>
    <w:next w:val="Normal"/>
    <w:autoRedefine/>
    <w:qFormat/>
    <w:rsid w:val="003221EF"/>
    <w:pPr>
      <w:keepNext/>
      <w:spacing w:before="360" w:after="360"/>
    </w:pPr>
    <w:rPr>
      <w:rFonts w:eastAsia="Times New Roman" w:cs="Times New Roman"/>
      <w:bCs/>
      <w:noProof/>
      <w:color w:val="2F5773" w:themeColor="text2"/>
      <w:szCs w:val="20"/>
      <w:lang w:eastAsia="en-GB"/>
    </w:rPr>
  </w:style>
  <w:style w:type="table" w:customStyle="1" w:styleId="EBAtable">
    <w:name w:val="EBA table"/>
    <w:basedOn w:val="TableNormal"/>
    <w:uiPriority w:val="99"/>
    <w:rsid w:val="002434B0"/>
    <w:tblPr>
      <w:tblInd w:w="0" w:type="dxa"/>
      <w:tblBorders>
        <w:bottom w:val="single" w:sz="2" w:space="0" w:color="000000" w:themeColor="text1"/>
        <w:insideH w:val="single" w:sz="2" w:space="0" w:color="000000" w:themeColor="text1"/>
      </w:tblBorders>
      <w:tblCellMar>
        <w:top w:w="0" w:type="dxa"/>
        <w:left w:w="108" w:type="dxa"/>
        <w:bottom w:w="0" w:type="dxa"/>
        <w:right w:w="108" w:type="dxa"/>
      </w:tblCellMar>
    </w:tblPr>
    <w:tcPr>
      <w:vAlign w:val="center"/>
    </w:tcPr>
    <w:tblStylePr w:type="firstRow">
      <w:pPr>
        <w:jc w:val="left"/>
      </w:pPr>
      <w:tblPr/>
      <w:trPr>
        <w:tblHeader/>
      </w:trPr>
      <w:tcPr>
        <w:tcBorders>
          <w:top w:val="nil"/>
          <w:left w:val="nil"/>
          <w:bottom w:val="single" w:sz="18" w:space="0" w:color="E98E31" w:themeColor="background2"/>
          <w:right w:val="nil"/>
          <w:insideH w:val="nil"/>
          <w:insideV w:val="nil"/>
          <w:tl2br w:val="nil"/>
          <w:tr2bl w:val="nil"/>
        </w:tcBorders>
      </w:tcPr>
    </w:tblStylePr>
    <w:tblStylePr w:type="lastRow">
      <w:tblPr/>
      <w:tcPr>
        <w:tcBorders>
          <w:top w:val="nil"/>
          <w:left w:val="nil"/>
          <w:bottom w:val="single" w:sz="4" w:space="0" w:color="E98E31" w:themeColor="background2"/>
          <w:right w:val="nil"/>
          <w:insideH w:val="nil"/>
          <w:insideV w:val="nil"/>
          <w:tl2br w:val="nil"/>
          <w:tr2bl w:val="nil"/>
        </w:tcBorders>
      </w:tcPr>
    </w:tblStylePr>
  </w:style>
  <w:style w:type="character" w:styleId="PageNumber">
    <w:name w:val="page number"/>
    <w:basedOn w:val="DefaultParagraphFont"/>
    <w:uiPriority w:val="99"/>
    <w:semiHidden/>
    <w:rsid w:val="00610305"/>
    <w:rPr>
      <w:rFonts w:asciiTheme="minorHAnsi" w:hAnsiTheme="minorHAnsi"/>
      <w:color w:val="auto"/>
      <w:sz w:val="22"/>
    </w:rPr>
  </w:style>
  <w:style w:type="paragraph" w:customStyle="1" w:styleId="Runningtitle">
    <w:name w:val="Running title"/>
    <w:qFormat/>
    <w:rsid w:val="009F53AF"/>
    <w:rPr>
      <w:caps/>
      <w:sz w:val="16"/>
      <w:szCs w:val="18"/>
    </w:rPr>
  </w:style>
  <w:style w:type="paragraph" w:styleId="FootnoteText">
    <w:name w:val="footnote text"/>
    <w:basedOn w:val="body"/>
    <w:link w:val="FootnoteTextChar"/>
    <w:autoRedefine/>
    <w:uiPriority w:val="99"/>
    <w:qFormat/>
    <w:rsid w:val="00DB5E8F"/>
    <w:pPr>
      <w:spacing w:before="80" w:after="0" w:line="200" w:lineRule="exact"/>
    </w:pPr>
    <w:rPr>
      <w:sz w:val="18"/>
      <w:szCs w:val="18"/>
    </w:rPr>
  </w:style>
  <w:style w:type="character" w:customStyle="1" w:styleId="FootnoteTextChar">
    <w:name w:val="Footnote Text Char"/>
    <w:basedOn w:val="DefaultParagraphFont"/>
    <w:link w:val="FootnoteText"/>
    <w:uiPriority w:val="99"/>
    <w:rsid w:val="00582AA7"/>
    <w:rPr>
      <w:sz w:val="18"/>
      <w:szCs w:val="18"/>
    </w:rPr>
  </w:style>
  <w:style w:type="character" w:styleId="FootnoteReference">
    <w:name w:val="footnote reference"/>
    <w:basedOn w:val="DefaultParagraphFont"/>
    <w:uiPriority w:val="99"/>
    <w:qFormat/>
    <w:rsid w:val="00B13C87"/>
    <w:rPr>
      <w:rFonts w:asciiTheme="minorHAnsi" w:hAnsiTheme="minorHAnsi"/>
      <w:sz w:val="22"/>
      <w:szCs w:val="18"/>
      <w:vertAlign w:val="superscript"/>
    </w:rPr>
  </w:style>
  <w:style w:type="paragraph" w:customStyle="1" w:styleId="bullet1">
    <w:name w:val="bullet 1"/>
    <w:basedOn w:val="body"/>
    <w:next w:val="body"/>
    <w:qFormat/>
    <w:rsid w:val="001C5BC2"/>
    <w:pPr>
      <w:numPr>
        <w:numId w:val="2"/>
      </w:numPr>
    </w:pPr>
    <w:rPr>
      <w:szCs w:val="22"/>
    </w:rPr>
  </w:style>
  <w:style w:type="paragraph" w:styleId="TOC1">
    <w:name w:val="toc 1"/>
    <w:autoRedefine/>
    <w:uiPriority w:val="39"/>
    <w:qFormat/>
    <w:rsid w:val="00C47E8F"/>
    <w:pPr>
      <w:tabs>
        <w:tab w:val="left" w:pos="312"/>
        <w:tab w:val="left" w:pos="421"/>
        <w:tab w:val="right" w:pos="8771"/>
      </w:tabs>
      <w:spacing w:before="120" w:after="120"/>
      <w:outlineLvl w:val="0"/>
    </w:pPr>
    <w:rPr>
      <w:b/>
      <w:bCs/>
      <w:noProof/>
      <w:color w:val="2F5773" w:themeColor="text2"/>
      <w:sz w:val="22"/>
      <w:szCs w:val="22"/>
    </w:rPr>
  </w:style>
  <w:style w:type="paragraph" w:styleId="TOC2">
    <w:name w:val="toc 2"/>
    <w:next w:val="Normal"/>
    <w:autoRedefine/>
    <w:uiPriority w:val="39"/>
    <w:qFormat/>
    <w:rsid w:val="00C41927"/>
    <w:pPr>
      <w:tabs>
        <w:tab w:val="left" w:pos="529"/>
        <w:tab w:val="right" w:pos="8771"/>
      </w:tabs>
      <w:spacing w:before="80" w:after="80"/>
    </w:pPr>
    <w:rPr>
      <w:noProof/>
      <w:sz w:val="22"/>
      <w:szCs w:val="22"/>
    </w:rPr>
  </w:style>
  <w:style w:type="paragraph" w:styleId="TOC3">
    <w:name w:val="toc 3"/>
    <w:basedOn w:val="Normal"/>
    <w:next w:val="Normal"/>
    <w:autoRedefine/>
    <w:uiPriority w:val="39"/>
    <w:qFormat/>
    <w:rsid w:val="00663B0A"/>
    <w:pPr>
      <w:tabs>
        <w:tab w:val="right" w:pos="8771"/>
      </w:tabs>
      <w:ind w:left="567"/>
    </w:pPr>
    <w:rPr>
      <w:szCs w:val="22"/>
    </w:rPr>
  </w:style>
  <w:style w:type="paragraph" w:styleId="TOC4">
    <w:name w:val="toc 4"/>
    <w:basedOn w:val="Normal"/>
    <w:next w:val="Normal"/>
    <w:autoRedefine/>
    <w:uiPriority w:val="39"/>
    <w:rsid w:val="00EE456B"/>
    <w:pPr>
      <w:tabs>
        <w:tab w:val="right" w:pos="8771"/>
      </w:tabs>
      <w:ind w:left="1134"/>
    </w:pPr>
    <w:rPr>
      <w:szCs w:val="22"/>
    </w:rPr>
  </w:style>
  <w:style w:type="paragraph" w:customStyle="1" w:styleId="bullet2">
    <w:name w:val="bullet 2"/>
    <w:basedOn w:val="body"/>
    <w:qFormat/>
    <w:rsid w:val="001C5BC2"/>
    <w:pPr>
      <w:numPr>
        <w:numId w:val="1"/>
      </w:numPr>
    </w:pPr>
    <w:rPr>
      <w:szCs w:val="22"/>
    </w:rPr>
  </w:style>
  <w:style w:type="paragraph" w:customStyle="1" w:styleId="Numberedtitlelevel3">
    <w:name w:val="Numbered title level 3"/>
    <w:basedOn w:val="Titlelevel3"/>
    <w:next w:val="body"/>
    <w:qFormat/>
    <w:rsid w:val="008F3908"/>
    <w:pPr>
      <w:numPr>
        <w:ilvl w:val="2"/>
        <w:numId w:val="7"/>
      </w:numPr>
    </w:pPr>
  </w:style>
  <w:style w:type="table" w:styleId="LightShading">
    <w:name w:val="Light Shading"/>
    <w:basedOn w:val="TableNormal"/>
    <w:uiPriority w:val="60"/>
    <w:rsid w:val="00F942CA"/>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45301B"/>
    <w:rPr>
      <w:color w:val="234156" w:themeColor="accent1" w:themeShade="BF"/>
    </w:rPr>
    <w:tblPr>
      <w:tblStyleRowBandSize w:val="1"/>
      <w:tblStyleColBandSize w:val="1"/>
      <w:tblInd w:w="0" w:type="dxa"/>
      <w:tblBorders>
        <w:top w:val="single" w:sz="8" w:space="0" w:color="2F5773" w:themeColor="accent1"/>
        <w:bottom w:val="single" w:sz="8" w:space="0" w:color="2F5773"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2F5773" w:themeColor="accent1"/>
          <w:left w:val="nil"/>
          <w:bottom w:val="single" w:sz="8" w:space="0" w:color="2F5773" w:themeColor="accent1"/>
          <w:right w:val="nil"/>
          <w:insideH w:val="nil"/>
          <w:insideV w:val="nil"/>
        </w:tcBorders>
      </w:tcPr>
    </w:tblStylePr>
    <w:tblStylePr w:type="lastRow">
      <w:pPr>
        <w:spacing w:before="0" w:after="0" w:line="240" w:lineRule="auto"/>
      </w:pPr>
      <w:rPr>
        <w:b/>
        <w:bCs/>
      </w:rPr>
      <w:tblPr/>
      <w:tcPr>
        <w:tcBorders>
          <w:top w:val="single" w:sz="8" w:space="0" w:color="2F5773" w:themeColor="accent1"/>
          <w:left w:val="nil"/>
          <w:bottom w:val="single" w:sz="8" w:space="0" w:color="2F5773"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D7E6" w:themeFill="accent1" w:themeFillTint="3F"/>
      </w:tcPr>
    </w:tblStylePr>
    <w:tblStylePr w:type="band1Horz">
      <w:tblPr/>
      <w:tcPr>
        <w:tcBorders>
          <w:left w:val="nil"/>
          <w:right w:val="nil"/>
          <w:insideH w:val="nil"/>
          <w:insideV w:val="nil"/>
        </w:tcBorders>
        <w:shd w:val="clear" w:color="auto" w:fill="C1D7E6" w:themeFill="accent1" w:themeFillTint="3F"/>
      </w:tcPr>
    </w:tblStylePr>
  </w:style>
  <w:style w:type="paragraph" w:customStyle="1" w:styleId="Contenttitle">
    <w:name w:val="Content title"/>
    <w:basedOn w:val="Titlelevel1"/>
    <w:qFormat/>
    <w:rsid w:val="00172007"/>
  </w:style>
  <w:style w:type="paragraph" w:customStyle="1" w:styleId="Numberedtitlelevel4">
    <w:name w:val="Numbered title level 4"/>
    <w:basedOn w:val="Titlelevel4"/>
    <w:qFormat/>
    <w:rsid w:val="005D4005"/>
    <w:pPr>
      <w:numPr>
        <w:numId w:val="4"/>
      </w:numPr>
    </w:pPr>
  </w:style>
  <w:style w:type="paragraph" w:styleId="Header">
    <w:name w:val="header"/>
    <w:basedOn w:val="Normal"/>
    <w:link w:val="HeaderChar"/>
    <w:uiPriority w:val="99"/>
    <w:semiHidden/>
    <w:rsid w:val="00A92440"/>
    <w:pPr>
      <w:tabs>
        <w:tab w:val="center" w:pos="4320"/>
        <w:tab w:val="right" w:pos="8640"/>
      </w:tabs>
    </w:pPr>
  </w:style>
  <w:style w:type="character" w:customStyle="1" w:styleId="HeaderChar">
    <w:name w:val="Header Char"/>
    <w:basedOn w:val="DefaultParagraphFont"/>
    <w:link w:val="Header"/>
    <w:uiPriority w:val="99"/>
    <w:semiHidden/>
    <w:rsid w:val="00582AA7"/>
    <w:rPr>
      <w:sz w:val="22"/>
    </w:rPr>
  </w:style>
  <w:style w:type="paragraph" w:styleId="Title">
    <w:name w:val="Title"/>
    <w:basedOn w:val="Normal"/>
    <w:next w:val="Normal"/>
    <w:link w:val="TitleChar"/>
    <w:qFormat/>
    <w:rsid w:val="0077379B"/>
    <w:pPr>
      <w:pBdr>
        <w:bottom w:val="single" w:sz="8" w:space="4" w:color="2F5773" w:themeColor="accent1"/>
      </w:pBdr>
      <w:spacing w:after="300"/>
      <w:contextualSpacing/>
    </w:pPr>
    <w:rPr>
      <w:rFonts w:ascii="Lucida Fax" w:eastAsiaTheme="majorEastAsia" w:hAnsi="Lucida Fax" w:cstheme="majorBidi"/>
      <w:color w:val="2F5773" w:themeColor="text2"/>
      <w:spacing w:val="5"/>
      <w:kern w:val="28"/>
      <w:sz w:val="52"/>
      <w:szCs w:val="52"/>
    </w:rPr>
  </w:style>
  <w:style w:type="character" w:customStyle="1" w:styleId="TitleChar">
    <w:name w:val="Title Char"/>
    <w:basedOn w:val="DefaultParagraphFont"/>
    <w:link w:val="Title"/>
    <w:rsid w:val="0077379B"/>
    <w:rPr>
      <w:rFonts w:ascii="Lucida Fax" w:eastAsiaTheme="majorEastAsia" w:hAnsi="Lucida Fax" w:cstheme="majorBidi"/>
      <w:color w:val="2F5773" w:themeColor="text2"/>
      <w:spacing w:val="5"/>
      <w:kern w:val="28"/>
      <w:sz w:val="52"/>
      <w:szCs w:val="52"/>
    </w:rPr>
  </w:style>
  <w:style w:type="paragraph" w:styleId="TableofFigures">
    <w:name w:val="table of figures"/>
    <w:basedOn w:val="Normal"/>
    <w:next w:val="Normal"/>
    <w:autoRedefine/>
    <w:uiPriority w:val="99"/>
    <w:qFormat/>
    <w:rsid w:val="00172007"/>
    <w:pPr>
      <w:spacing w:before="160"/>
    </w:pPr>
  </w:style>
  <w:style w:type="paragraph" w:styleId="Subtitle">
    <w:name w:val="Subtitle"/>
    <w:next w:val="Normal"/>
    <w:link w:val="SubtitleChar"/>
    <w:autoRedefine/>
    <w:uiPriority w:val="11"/>
    <w:qFormat/>
    <w:rsid w:val="00C60588"/>
    <w:pPr>
      <w:numPr>
        <w:ilvl w:val="1"/>
      </w:numPr>
      <w:tabs>
        <w:tab w:val="left" w:pos="1701"/>
      </w:tabs>
      <w:spacing w:before="120" w:after="120"/>
      <w:jc w:val="center"/>
    </w:pPr>
    <w:rPr>
      <w:rFonts w:ascii="Lucida Bright" w:eastAsiaTheme="majorEastAsia" w:hAnsi="Lucida Bright" w:cstheme="majorBidi"/>
      <w:caps/>
      <w:color w:val="2F5773" w:themeColor="text2"/>
      <w:sz w:val="26"/>
      <w:szCs w:val="26"/>
      <w:lang w:val="en-GB"/>
    </w:rPr>
  </w:style>
  <w:style w:type="character" w:customStyle="1" w:styleId="SubtitleChar">
    <w:name w:val="Subtitle Char"/>
    <w:basedOn w:val="DefaultParagraphFont"/>
    <w:link w:val="Subtitle"/>
    <w:uiPriority w:val="11"/>
    <w:rsid w:val="00C60588"/>
    <w:rPr>
      <w:rFonts w:ascii="Lucida Bright" w:eastAsiaTheme="majorEastAsia" w:hAnsi="Lucida Bright" w:cstheme="majorBidi"/>
      <w:caps/>
      <w:color w:val="2F5773" w:themeColor="text2"/>
      <w:sz w:val="26"/>
      <w:szCs w:val="26"/>
      <w:lang w:val="en-GB"/>
    </w:rPr>
  </w:style>
  <w:style w:type="character" w:styleId="BookTitle">
    <w:name w:val="Book Title"/>
    <w:basedOn w:val="DefaultParagraphFont"/>
    <w:uiPriority w:val="33"/>
    <w:semiHidden/>
    <w:qFormat/>
    <w:rsid w:val="000D7A44"/>
    <w:rPr>
      <w:b/>
      <w:bCs/>
      <w:smallCaps/>
      <w:spacing w:val="5"/>
    </w:rPr>
  </w:style>
  <w:style w:type="character" w:customStyle="1" w:styleId="Highlighttext">
    <w:name w:val="Highlight text"/>
    <w:basedOn w:val="DefaultParagraphFont"/>
    <w:uiPriority w:val="1"/>
    <w:semiHidden/>
    <w:qFormat/>
    <w:rsid w:val="00AE55F6"/>
    <w:rPr>
      <w:rFonts w:asciiTheme="minorHAnsi" w:hAnsiTheme="minorHAnsi"/>
      <w:b/>
      <w:bCs/>
      <w:caps w:val="0"/>
      <w:smallCaps w:val="0"/>
      <w:color w:val="E98E31" w:themeColor="background2"/>
      <w:sz w:val="22"/>
      <w:szCs w:val="22"/>
    </w:rPr>
  </w:style>
  <w:style w:type="paragraph" w:customStyle="1" w:styleId="abbreviation">
    <w:name w:val="abbreviation"/>
    <w:basedOn w:val="Tableheader"/>
    <w:qFormat/>
    <w:rsid w:val="00455E0E"/>
    <w:rPr>
      <w:bCs/>
      <w:lang w:val="en-GB" w:eastAsia="en-GB"/>
    </w:rPr>
  </w:style>
  <w:style w:type="paragraph" w:styleId="ListBullet">
    <w:name w:val="List Bullet"/>
    <w:basedOn w:val="Normal"/>
    <w:semiHidden/>
    <w:qFormat/>
    <w:rsid w:val="00A304D0"/>
    <w:pPr>
      <w:numPr>
        <w:numId w:val="15"/>
      </w:numPr>
      <w:contextualSpacing/>
    </w:pPr>
  </w:style>
  <w:style w:type="character" w:styleId="Hyperlink">
    <w:name w:val="Hyperlink"/>
    <w:basedOn w:val="DefaultParagraphFont"/>
    <w:uiPriority w:val="99"/>
    <w:rsid w:val="00392385"/>
    <w:rPr>
      <w:color w:val="2F5773" w:themeColor="hyperlink"/>
      <w:u w:val="single"/>
    </w:rPr>
  </w:style>
  <w:style w:type="paragraph" w:customStyle="1" w:styleId="numberedparagraph">
    <w:name w:val="numbered paragraph"/>
    <w:basedOn w:val="body"/>
    <w:qFormat/>
    <w:rsid w:val="00E22BCE"/>
    <w:pPr>
      <w:numPr>
        <w:numId w:val="8"/>
      </w:numPr>
    </w:pPr>
  </w:style>
  <w:style w:type="paragraph" w:styleId="TOC5">
    <w:name w:val="toc 5"/>
    <w:basedOn w:val="Normal"/>
    <w:next w:val="Normal"/>
    <w:autoRedefine/>
    <w:uiPriority w:val="39"/>
    <w:semiHidden/>
    <w:rsid w:val="00B526A8"/>
    <w:pPr>
      <w:ind w:left="880"/>
    </w:pPr>
  </w:style>
  <w:style w:type="paragraph" w:styleId="TOC6">
    <w:name w:val="toc 6"/>
    <w:basedOn w:val="Normal"/>
    <w:next w:val="Normal"/>
    <w:autoRedefine/>
    <w:uiPriority w:val="39"/>
    <w:semiHidden/>
    <w:rsid w:val="00B526A8"/>
    <w:pPr>
      <w:ind w:left="1100"/>
    </w:pPr>
  </w:style>
  <w:style w:type="paragraph" w:styleId="TOC7">
    <w:name w:val="toc 7"/>
    <w:basedOn w:val="Normal"/>
    <w:next w:val="Normal"/>
    <w:autoRedefine/>
    <w:uiPriority w:val="39"/>
    <w:semiHidden/>
    <w:rsid w:val="00B526A8"/>
    <w:pPr>
      <w:ind w:left="1320"/>
    </w:pPr>
  </w:style>
  <w:style w:type="paragraph" w:styleId="TOC8">
    <w:name w:val="toc 8"/>
    <w:basedOn w:val="Normal"/>
    <w:next w:val="Normal"/>
    <w:autoRedefine/>
    <w:uiPriority w:val="39"/>
    <w:semiHidden/>
    <w:rsid w:val="00B526A8"/>
    <w:pPr>
      <w:ind w:left="1540"/>
    </w:pPr>
  </w:style>
  <w:style w:type="paragraph" w:styleId="TOC9">
    <w:name w:val="toc 9"/>
    <w:basedOn w:val="Normal"/>
    <w:next w:val="Normal"/>
    <w:autoRedefine/>
    <w:uiPriority w:val="39"/>
    <w:semiHidden/>
    <w:rsid w:val="00B526A8"/>
    <w:pPr>
      <w:ind w:left="1760"/>
    </w:pPr>
  </w:style>
  <w:style w:type="paragraph" w:customStyle="1" w:styleId="Numberedparagraphcolour">
    <w:name w:val="Numbered paragraph colour"/>
    <w:basedOn w:val="numberedparagraph"/>
    <w:qFormat/>
    <w:rsid w:val="00F77102"/>
    <w:rPr>
      <w:color w:val="2F5773" w:themeColor="text2"/>
    </w:rPr>
  </w:style>
  <w:style w:type="paragraph" w:styleId="ListParagraph">
    <w:name w:val="List Paragraph"/>
    <w:basedOn w:val="Normal"/>
    <w:uiPriority w:val="34"/>
    <w:qFormat/>
    <w:rsid w:val="00C5106B"/>
    <w:pPr>
      <w:spacing w:after="200" w:line="276" w:lineRule="auto"/>
      <w:ind w:left="720"/>
      <w:contextualSpacing/>
    </w:pPr>
    <w:rPr>
      <w:rFonts w:asciiTheme="minorHAnsi" w:eastAsiaTheme="minorHAnsi" w:hAnsiTheme="minorHAnsi"/>
      <w:szCs w:val="22"/>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40356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rea\AppData\Local\Temp\EBA%20BSG%20report%20template%20-%20201X-XX-XX%20BSG%20Opinion%20on%20EBA%20CP%20201X%20XX%20(2).dotx" TargetMode="External"/></Relationships>
</file>

<file path=word/theme/theme1.xml><?xml version="1.0" encoding="utf-8"?>
<a:theme xmlns:a="http://schemas.openxmlformats.org/drawingml/2006/main" name="EBA template">
  <a:themeElements>
    <a:clrScheme name="EBA theme 2">
      <a:dk1>
        <a:srgbClr val="000000"/>
      </a:dk1>
      <a:lt1>
        <a:sysClr val="window" lastClr="FFFFFF"/>
      </a:lt1>
      <a:dk2>
        <a:srgbClr val="2F5773"/>
      </a:dk2>
      <a:lt2>
        <a:srgbClr val="E98E31"/>
      </a:lt2>
      <a:accent1>
        <a:srgbClr val="2F5773"/>
      </a:accent1>
      <a:accent2>
        <a:srgbClr val="EA933B"/>
      </a:accent2>
      <a:accent3>
        <a:srgbClr val="D44D2A"/>
      </a:accent3>
      <a:accent4>
        <a:srgbClr val="49AB74"/>
      </a:accent4>
      <a:accent5>
        <a:srgbClr val="52666E"/>
      </a:accent5>
      <a:accent6>
        <a:srgbClr val="163A5A"/>
      </a:accent6>
      <a:hlink>
        <a:srgbClr val="2F5773"/>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8868F7-9E02-4DA1-9DD9-5A1A8178A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EBA BSG report template - 201X-XX-XX BSG Opinion on EBA CP 201X XX (2).dotx</Template>
  <TotalTime>29</TotalTime>
  <Pages>5</Pages>
  <Words>1459</Words>
  <Characters>8317</Characters>
  <Application>Microsoft Office Word</Application>
  <DocSecurity>0</DocSecurity>
  <Lines>69</Lines>
  <Paragraphs>19</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OP</Company>
  <LinksUpToDate>false</LinksUpToDate>
  <CharactersWithSpaces>9757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dc:creator>
  <cp:lastModifiedBy>Staff/Research Student</cp:lastModifiedBy>
  <cp:revision>6</cp:revision>
  <cp:lastPrinted>2014-06-04T07:17:00Z</cp:lastPrinted>
  <dcterms:created xsi:type="dcterms:W3CDTF">2014-10-16T10:01:00Z</dcterms:created>
  <dcterms:modified xsi:type="dcterms:W3CDTF">2014-10-16T10:44:00Z</dcterms:modified>
</cp:coreProperties>
</file>