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F2" w:rsidRDefault="00DF1A97" w:rsidP="00A0192B">
      <w:pPr>
        <w:pStyle w:val="Adressfeld"/>
        <w:framePr w:wrap="around"/>
      </w:pPr>
      <w:bookmarkStart w:id="0" w:name="_GoBack"/>
      <w:bookmarkEnd w:id="0"/>
      <w:r>
        <w:t>European Banking Authority</w:t>
      </w:r>
    </w:p>
    <w:p w:rsidR="005F082C" w:rsidRDefault="005F082C" w:rsidP="00A0192B">
      <w:pPr>
        <w:pStyle w:val="Adressfeld"/>
        <w:framePr w:wrap="around"/>
      </w:pPr>
    </w:p>
    <w:p w:rsidR="005F082C" w:rsidRDefault="005F082C" w:rsidP="00A0192B">
      <w:pPr>
        <w:pStyle w:val="Adressfeld"/>
        <w:framePr w:wrap="around"/>
      </w:pPr>
      <w:r>
        <w:t>Via Consultation Page</w:t>
      </w:r>
    </w:p>
    <w:p w:rsidR="00C85196" w:rsidRPr="00C85196" w:rsidRDefault="00852035" w:rsidP="00C03FED">
      <w:pPr>
        <w:pStyle w:val="MarginalDokumentInfoDK"/>
        <w:framePr w:wrap="around"/>
        <w:rPr>
          <w:sz w:val="18"/>
          <w:szCs w:val="18"/>
        </w:rPr>
      </w:pPr>
      <w:bookmarkStart w:id="1" w:name="Anlage"/>
      <w:bookmarkEnd w:id="1"/>
      <w:r>
        <w:rPr>
          <w:sz w:val="18"/>
        </w:rPr>
        <w:t>12</w:t>
      </w:r>
      <w:r w:rsidR="00C85196">
        <w:rPr>
          <w:sz w:val="18"/>
        </w:rPr>
        <w:t xml:space="preserve"> </w:t>
      </w:r>
      <w:r>
        <w:rPr>
          <w:sz w:val="18"/>
        </w:rPr>
        <w:t>September</w:t>
      </w:r>
      <w:r w:rsidR="00C85196">
        <w:rPr>
          <w:sz w:val="18"/>
        </w:rPr>
        <w:t xml:space="preserve"> 2014</w:t>
      </w:r>
    </w:p>
    <w:p w:rsidR="00C85196" w:rsidRDefault="00C85196" w:rsidP="00C03FED">
      <w:pPr>
        <w:pStyle w:val="MarginalDokumentInfoDK"/>
        <w:framePr w:wrap="around"/>
        <w:rPr>
          <w:u w:val="single"/>
        </w:rPr>
      </w:pPr>
    </w:p>
    <w:p w:rsidR="00C85196" w:rsidRDefault="00C85196" w:rsidP="00C03FED">
      <w:pPr>
        <w:pStyle w:val="MarginalDokumentInfoDK"/>
        <w:framePr w:wrap="around"/>
        <w:rPr>
          <w:u w:val="single"/>
        </w:rPr>
      </w:pPr>
    </w:p>
    <w:p w:rsidR="009C52DB" w:rsidRPr="00B461CD" w:rsidRDefault="00B461CD" w:rsidP="00C03FED">
      <w:pPr>
        <w:pStyle w:val="MarginalDokumentInfoDK"/>
        <w:framePr w:wrap="around"/>
        <w:rPr>
          <w:u w:val="single"/>
        </w:rPr>
      </w:pPr>
      <w:r>
        <w:rPr>
          <w:u w:val="single"/>
        </w:rPr>
        <w:t>Appendices</w:t>
      </w:r>
      <w:r>
        <w:rPr>
          <w:color w:val="auto"/>
        </w:rPr>
        <w:t xml:space="preserve"> </w:t>
      </w:r>
      <w:r w:rsidR="00927F6E" w:rsidRPr="000434E7">
        <w:rPr>
          <w:color w:val="auto"/>
        </w:rPr>
        <w:fldChar w:fldCharType="begin"/>
      </w:r>
      <w:r>
        <w:rPr>
          <w:color w:val="auto"/>
        </w:rPr>
        <w:instrText>Macrobutton NoMacro [Number]</w:instrText>
      </w:r>
      <w:r w:rsidR="00927F6E" w:rsidRPr="000434E7">
        <w:rPr>
          <w:color w:val="auto"/>
        </w:rPr>
        <w:fldChar w:fldCharType="end"/>
      </w:r>
    </w:p>
    <w:p w:rsidR="004B68D4" w:rsidRPr="00B37DA4" w:rsidRDefault="004B68D4" w:rsidP="00C03FED">
      <w:pPr>
        <w:pStyle w:val="MarginalDokumentInfoDK"/>
        <w:framePr w:wrap="around"/>
      </w:pPr>
    </w:p>
    <w:p w:rsidR="00081FF2" w:rsidRDefault="00081FF2" w:rsidP="00170117">
      <w:pPr>
        <w:pStyle w:val="02Textschwarz10ptZAB14PTFlietextundAuszeichnungen"/>
        <w:ind w:right="-41"/>
        <w:rPr>
          <w:sz w:val="18"/>
          <w:szCs w:val="18"/>
        </w:rPr>
        <w:sectPr w:rsidR="00081FF2" w:rsidSect="00A82498">
          <w:headerReference w:type="even" r:id="rId8"/>
          <w:headerReference w:type="default" r:id="rId9"/>
          <w:footerReference w:type="even" r:id="rId10"/>
          <w:footerReference w:type="default" r:id="rId11"/>
          <w:headerReference w:type="first" r:id="rId12"/>
          <w:footerReference w:type="first" r:id="rId13"/>
          <w:type w:val="continuous"/>
          <w:pgSz w:w="11906" w:h="16838"/>
          <w:pgMar w:top="5930" w:right="510" w:bottom="567" w:left="1134" w:header="567" w:footer="568" w:gutter="0"/>
          <w:cols w:space="708"/>
          <w:titlePg/>
          <w:docGrid w:linePitch="360"/>
        </w:sectPr>
      </w:pPr>
    </w:p>
    <w:p w:rsidR="00224775" w:rsidRPr="007861A5" w:rsidRDefault="00B461CD" w:rsidP="007671C4">
      <w:pPr>
        <w:framePr w:w="3328" w:h="2733" w:hRule="exact" w:hSpace="181" w:wrap="around" w:vAnchor="page" w:hAnchor="page" w:x="8245" w:y="2723" w:anchorLock="1"/>
        <w:shd w:val="solid" w:color="FFFFFF" w:fill="FFFFFF"/>
        <w:tabs>
          <w:tab w:val="left" w:pos="720"/>
        </w:tabs>
        <w:ind w:right="-41"/>
        <w:rPr>
          <w:color w:val="3E5A6B"/>
          <w:sz w:val="14"/>
          <w:szCs w:val="14"/>
        </w:rPr>
      </w:pPr>
      <w:bookmarkStart w:id="2" w:name="Bearbeitername"/>
      <w:bookmarkStart w:id="3" w:name="BearbeiterFunktion"/>
      <w:bookmarkEnd w:id="2"/>
      <w:bookmarkEnd w:id="3"/>
      <w:r>
        <w:rPr>
          <w:color w:val="3E5A6B"/>
          <w:sz w:val="14"/>
        </w:rPr>
        <w:t xml:space="preserve">Contact: </w:t>
      </w:r>
      <w:r>
        <w:tab/>
      </w:r>
      <w:r>
        <w:rPr>
          <w:color w:val="3E5A6B"/>
          <w:sz w:val="14"/>
        </w:rPr>
        <w:t xml:space="preserve">Thorsten Reinicke </w:t>
      </w:r>
    </w:p>
    <w:p w:rsidR="00066654" w:rsidRDefault="00066654" w:rsidP="007671C4">
      <w:pPr>
        <w:framePr w:w="3328" w:h="2733" w:hRule="exact" w:hSpace="181" w:wrap="around" w:vAnchor="page" w:hAnchor="page" w:x="8245" w:y="2723" w:anchorLock="1"/>
        <w:shd w:val="solid" w:color="FFFFFF" w:fill="FFFFFF"/>
        <w:tabs>
          <w:tab w:val="left" w:pos="720"/>
        </w:tabs>
        <w:ind w:right="-41"/>
        <w:rPr>
          <w:color w:val="3E5A6B"/>
          <w:sz w:val="14"/>
          <w:szCs w:val="14"/>
        </w:rPr>
      </w:pPr>
      <w:r>
        <w:rPr>
          <w:color w:val="3E5A6B"/>
          <w:sz w:val="14"/>
        </w:rPr>
        <w:t>Telephone:</w:t>
      </w:r>
      <w:r>
        <w:tab/>
      </w:r>
      <w:r>
        <w:rPr>
          <w:color w:val="3E5A6B"/>
          <w:sz w:val="14"/>
        </w:rPr>
        <w:t>+49 30 2021-</w:t>
      </w:r>
      <w:bookmarkStart w:id="4" w:name="BearbeiterTelefon"/>
      <w:bookmarkEnd w:id="4"/>
      <w:r>
        <w:rPr>
          <w:color w:val="3E5A6B"/>
          <w:sz w:val="14"/>
        </w:rPr>
        <w:t xml:space="preserve"> 2317</w:t>
      </w:r>
    </w:p>
    <w:p w:rsidR="00861393" w:rsidRPr="007861A5" w:rsidRDefault="00861393" w:rsidP="007671C4">
      <w:pPr>
        <w:framePr w:w="3328" w:h="2733" w:hRule="exact" w:hSpace="181" w:wrap="around" w:vAnchor="page" w:hAnchor="page" w:x="8245" w:y="2723" w:anchorLock="1"/>
        <w:shd w:val="solid" w:color="FFFFFF" w:fill="FFFFFF"/>
        <w:tabs>
          <w:tab w:val="left" w:pos="720"/>
        </w:tabs>
        <w:ind w:right="-41"/>
        <w:rPr>
          <w:color w:val="3E5A6B"/>
          <w:sz w:val="14"/>
          <w:szCs w:val="14"/>
        </w:rPr>
      </w:pPr>
      <w:r>
        <w:rPr>
          <w:color w:val="3E5A6B"/>
          <w:sz w:val="14"/>
        </w:rPr>
        <w:t>Fax:</w:t>
      </w:r>
      <w:r>
        <w:tab/>
      </w:r>
      <w:r w:rsidR="00C029FA">
        <w:tab/>
      </w:r>
      <w:r>
        <w:rPr>
          <w:color w:val="3E5A6B"/>
          <w:sz w:val="14"/>
        </w:rPr>
        <w:t>+49 30 2021-</w:t>
      </w:r>
      <w:bookmarkStart w:id="5" w:name="BearbeiterFax"/>
      <w:bookmarkEnd w:id="5"/>
      <w:r>
        <w:rPr>
          <w:color w:val="3E5A6B"/>
          <w:sz w:val="14"/>
        </w:rPr>
        <w:t xml:space="preserve"> 192300</w:t>
      </w:r>
    </w:p>
    <w:p w:rsidR="00066654" w:rsidRPr="00D420D7" w:rsidRDefault="00066654" w:rsidP="007671C4">
      <w:pPr>
        <w:framePr w:w="3328" w:h="2733" w:hRule="exact" w:hSpace="181" w:wrap="around" w:vAnchor="page" w:hAnchor="page" w:x="8245" w:y="2723" w:anchorLock="1"/>
        <w:shd w:val="solid" w:color="FFFFFF" w:fill="FFFFFF"/>
        <w:tabs>
          <w:tab w:val="left" w:pos="720"/>
        </w:tabs>
        <w:ind w:right="-41"/>
        <w:rPr>
          <w:color w:val="3E5A6B"/>
          <w:sz w:val="14"/>
          <w:szCs w:val="14"/>
          <w:lang w:val="de-DE"/>
        </w:rPr>
      </w:pPr>
      <w:r w:rsidRPr="00D420D7">
        <w:rPr>
          <w:color w:val="3E5A6B"/>
          <w:sz w:val="14"/>
          <w:lang w:val="de-DE"/>
        </w:rPr>
        <w:t>E-Mail:</w:t>
      </w:r>
      <w:r w:rsidRPr="00D420D7">
        <w:rPr>
          <w:lang w:val="de-DE"/>
        </w:rPr>
        <w:tab/>
      </w:r>
      <w:bookmarkStart w:id="6" w:name="BearbeiterEmail"/>
      <w:bookmarkEnd w:id="6"/>
      <w:r w:rsidR="00C029FA" w:rsidRPr="00D420D7">
        <w:rPr>
          <w:lang w:val="de-DE"/>
        </w:rPr>
        <w:tab/>
      </w:r>
      <w:r w:rsidRPr="00D420D7">
        <w:rPr>
          <w:color w:val="3E5A6B"/>
          <w:sz w:val="14"/>
          <w:lang w:val="de-DE"/>
        </w:rPr>
        <w:t xml:space="preserve"> t.reinicke@bvr.de</w:t>
      </w:r>
    </w:p>
    <w:p w:rsidR="00981D53" w:rsidRDefault="00324B88" w:rsidP="007671C4">
      <w:pPr>
        <w:framePr w:w="3328" w:h="2733" w:hRule="exact" w:hSpace="181" w:wrap="around" w:vAnchor="page" w:hAnchor="page" w:x="8245" w:y="2723" w:anchorLock="1"/>
        <w:shd w:val="solid" w:color="FFFFFF" w:fill="FFFFFF"/>
        <w:ind w:right="-41"/>
        <w:rPr>
          <w:color w:val="3E5A6B"/>
          <w:sz w:val="14"/>
          <w:szCs w:val="14"/>
        </w:rPr>
      </w:pPr>
      <w:r>
        <w:rPr>
          <w:color w:val="3E5A6B"/>
          <w:sz w:val="14"/>
        </w:rPr>
        <w:t>Our ref.:</w:t>
      </w:r>
    </w:p>
    <w:p w:rsidR="00324B88" w:rsidRDefault="00324B88" w:rsidP="007671C4">
      <w:pPr>
        <w:framePr w:w="3328" w:h="2733" w:hRule="exact" w:hSpace="181" w:wrap="around" w:vAnchor="page" w:hAnchor="page" w:x="8245" w:y="2723" w:anchorLock="1"/>
        <w:shd w:val="solid" w:color="FFFFFF" w:fill="FFFFFF"/>
        <w:ind w:right="-41"/>
        <w:rPr>
          <w:color w:val="3E5A6B"/>
          <w:sz w:val="14"/>
          <w:szCs w:val="14"/>
        </w:rPr>
      </w:pPr>
    </w:p>
    <w:p w:rsidR="00B461CD" w:rsidRDefault="00B461CD" w:rsidP="007671C4">
      <w:pPr>
        <w:framePr w:w="3328" w:h="2733" w:hRule="exact" w:hSpace="181" w:wrap="around" w:vAnchor="page" w:hAnchor="page" w:x="8245" w:y="2723" w:anchorLock="1"/>
        <w:shd w:val="solid" w:color="FFFFFF" w:fill="FFFFFF"/>
        <w:ind w:right="-41"/>
        <w:rPr>
          <w:color w:val="3E5A6B"/>
          <w:sz w:val="14"/>
          <w:szCs w:val="14"/>
        </w:rPr>
      </w:pPr>
      <w:r>
        <w:rPr>
          <w:color w:val="3E5A6B"/>
          <w:sz w:val="14"/>
        </w:rPr>
        <w:t>DK reference:</w:t>
      </w:r>
      <w:r>
        <w:tab/>
      </w:r>
      <w:r>
        <w:rPr>
          <w:color w:val="3E5A6B"/>
          <w:sz w:val="14"/>
        </w:rPr>
        <w:t>…</w:t>
      </w:r>
    </w:p>
    <w:p w:rsidR="0031758A" w:rsidRPr="00C85196" w:rsidRDefault="00743EF3" w:rsidP="007671C4">
      <w:pPr>
        <w:framePr w:w="3328" w:h="2733" w:hRule="exact" w:hSpace="181" w:wrap="around" w:vAnchor="page" w:hAnchor="page" w:x="8245" w:y="2723" w:anchorLock="1"/>
        <w:shd w:val="solid" w:color="FFFFFF" w:fill="FFFFFF"/>
        <w:tabs>
          <w:tab w:val="left" w:pos="720"/>
        </w:tabs>
        <w:ind w:right="-41"/>
        <w:rPr>
          <w:color w:val="3E5A6B"/>
          <w:sz w:val="14"/>
          <w:szCs w:val="14"/>
        </w:rPr>
      </w:pPr>
      <w:bookmarkStart w:id="7" w:name="AktenzeichenDK"/>
      <w:bookmarkStart w:id="8" w:name="AktenzeichenBdB"/>
      <w:bookmarkEnd w:id="7"/>
      <w:bookmarkEnd w:id="8"/>
      <w:r>
        <w:rPr>
          <w:color w:val="3E5A6B"/>
          <w:sz w:val="14"/>
        </w:rPr>
        <w:t>BVR reference:</w:t>
      </w:r>
      <w:r>
        <w:tab/>
      </w:r>
      <w:r>
        <w:rPr>
          <w:color w:val="3E5A6B"/>
          <w:sz w:val="14"/>
        </w:rPr>
        <w:t xml:space="preserve">… </w:t>
      </w:r>
      <w:bookmarkStart w:id="9" w:name="Diktatzeichen"/>
      <w:bookmarkEnd w:id="9"/>
      <w:r>
        <w:rPr>
          <w:color w:val="3E5A6B"/>
          <w:sz w:val="14"/>
        </w:rPr>
        <w:t xml:space="preserve"> </w:t>
      </w:r>
    </w:p>
    <w:p w:rsidR="00C85196" w:rsidRPr="003A153C" w:rsidRDefault="00C85196" w:rsidP="00C85196">
      <w:pPr>
        <w:pStyle w:val="Default"/>
        <w:ind w:right="2011"/>
      </w:pPr>
      <w:bookmarkStart w:id="10" w:name="Betreff2"/>
      <w:bookmarkEnd w:id="10"/>
      <w:r>
        <w:rPr>
          <w:rFonts w:ascii="Univers" w:hAnsi="Univers"/>
          <w:b/>
        </w:rPr>
        <w:lastRenderedPageBreak/>
        <w:t xml:space="preserve">Comment from the German </w:t>
      </w:r>
      <w:r w:rsidR="00852035">
        <w:rPr>
          <w:rFonts w:ascii="Univers" w:hAnsi="Univers"/>
          <w:b/>
        </w:rPr>
        <w:t>B</w:t>
      </w:r>
      <w:r>
        <w:rPr>
          <w:rFonts w:ascii="Univers" w:hAnsi="Univers"/>
          <w:b/>
        </w:rPr>
        <w:t xml:space="preserve">anking </w:t>
      </w:r>
      <w:r w:rsidR="00852035">
        <w:rPr>
          <w:rFonts w:ascii="Univers" w:hAnsi="Univers"/>
          <w:b/>
        </w:rPr>
        <w:t xml:space="preserve">Industry Committee </w:t>
      </w:r>
      <w:r>
        <w:rPr>
          <w:rFonts w:ascii="Univers" w:hAnsi="Univers"/>
          <w:b/>
        </w:rPr>
        <w:t>on the Consultation Paper concerning the draft guidelines on materiality, proprietary and confidentiality and on disclosure frequency under Articles 432(1), 432(2) and 433 of Regulation (EU) 575/2013.</w:t>
      </w:r>
    </w:p>
    <w:p w:rsidR="000C4CB9" w:rsidRDefault="00C85196" w:rsidP="00CE6EDF">
      <w:pPr>
        <w:pStyle w:val="Betreff"/>
      </w:pPr>
      <w:r>
        <w:tab/>
      </w:r>
      <w:r>
        <w:tab/>
      </w:r>
      <w:r>
        <w:tab/>
      </w:r>
      <w:r>
        <w:tab/>
      </w:r>
      <w:r>
        <w:tab/>
      </w:r>
      <w:r>
        <w:tab/>
      </w:r>
      <w:r>
        <w:tab/>
      </w:r>
      <w:r>
        <w:tab/>
      </w:r>
      <w:r>
        <w:tab/>
      </w:r>
    </w:p>
    <w:p w:rsidR="00C85196" w:rsidRPr="00C85196" w:rsidRDefault="00C85196" w:rsidP="00CE6EDF">
      <w:pPr>
        <w:pStyle w:val="Betreff"/>
      </w:pPr>
    </w:p>
    <w:p w:rsidR="000B5287" w:rsidRPr="00C85196" w:rsidRDefault="000B5287" w:rsidP="00CE6EDF">
      <w:pPr>
        <w:pStyle w:val="Betreff"/>
      </w:pPr>
    </w:p>
    <w:p w:rsidR="000C4CB9" w:rsidRPr="00C85196" w:rsidRDefault="000C4CB9" w:rsidP="003A0D7B"/>
    <w:p w:rsidR="00C85196" w:rsidRPr="00C85196" w:rsidRDefault="00C85196" w:rsidP="00C85196">
      <w:pPr>
        <w:jc w:val="both"/>
        <w:rPr>
          <w:szCs w:val="18"/>
        </w:rPr>
      </w:pPr>
      <w:r>
        <w:t>Dear Sir/Madam,</w:t>
      </w:r>
    </w:p>
    <w:p w:rsidR="00C85196" w:rsidRPr="00C85196" w:rsidRDefault="00C85196" w:rsidP="00C85196">
      <w:pPr>
        <w:jc w:val="both"/>
        <w:rPr>
          <w:szCs w:val="18"/>
        </w:rPr>
      </w:pPr>
    </w:p>
    <w:p w:rsidR="00C85196" w:rsidRPr="00C85196" w:rsidRDefault="00C85196" w:rsidP="00C85196">
      <w:pPr>
        <w:jc w:val="both"/>
        <w:rPr>
          <w:szCs w:val="18"/>
        </w:rPr>
      </w:pPr>
      <w:r>
        <w:t>First of all, we would like to express our thanks for giving us the opportunity to comment on the Consultation Paper ind</w:t>
      </w:r>
      <w:r>
        <w:t>i</w:t>
      </w:r>
      <w:r>
        <w:t>cated above. We welcome this opportunity and would like to make the following statements on the paper:</w:t>
      </w:r>
    </w:p>
    <w:p w:rsidR="00C85196" w:rsidRPr="00C85196" w:rsidRDefault="00C85196" w:rsidP="00C85196">
      <w:pPr>
        <w:jc w:val="both"/>
        <w:rPr>
          <w:szCs w:val="18"/>
        </w:rPr>
      </w:pPr>
    </w:p>
    <w:p w:rsidR="00C85196" w:rsidRPr="00C85196" w:rsidRDefault="00C85196" w:rsidP="00C85196">
      <w:pPr>
        <w:jc w:val="both"/>
        <w:rPr>
          <w:b/>
          <w:szCs w:val="18"/>
        </w:rPr>
      </w:pPr>
      <w:r>
        <w:rPr>
          <w:b/>
        </w:rPr>
        <w:t>General Statements</w:t>
      </w:r>
    </w:p>
    <w:p w:rsidR="00C85196" w:rsidRDefault="00C85196" w:rsidP="00C85196">
      <w:pPr>
        <w:ind w:right="1444"/>
        <w:jc w:val="both"/>
        <w:rPr>
          <w:szCs w:val="18"/>
        </w:rPr>
      </w:pPr>
      <w:r>
        <w:t>The Basel Committee for Banking Supervision currently unde</w:t>
      </w:r>
      <w:r>
        <w:t>r</w:t>
      </w:r>
      <w:r>
        <w:t>takes a tho</w:t>
      </w:r>
      <w:r>
        <w:t>r</w:t>
      </w:r>
      <w:r>
        <w:t>ough review of disclosure requirements. We have no intention to anticipate the outcomes of the ongoing consu</w:t>
      </w:r>
      <w:r>
        <w:t>l</w:t>
      </w:r>
      <w:r>
        <w:t>tations, but we would like to suggest that the European Ban</w:t>
      </w:r>
      <w:r>
        <w:t>k</w:t>
      </w:r>
      <w:r>
        <w:t>ing Authority (EBA) should always take developments taking place on an intern</w:t>
      </w:r>
      <w:r>
        <w:t>a</w:t>
      </w:r>
      <w:r>
        <w:t>tional level into account, in order to avoid unnecessary duplication of efforts for institutions implemen</w:t>
      </w:r>
      <w:r>
        <w:t>t</w:t>
      </w:r>
      <w:r>
        <w:t>ing revised regulations.</w:t>
      </w:r>
    </w:p>
    <w:p w:rsidR="00C85196" w:rsidRPr="00C85196" w:rsidRDefault="00C85196" w:rsidP="00C85196">
      <w:pPr>
        <w:ind w:right="1444"/>
        <w:jc w:val="both"/>
        <w:rPr>
          <w:szCs w:val="18"/>
        </w:rPr>
      </w:pPr>
    </w:p>
    <w:p w:rsidR="00C85196" w:rsidRPr="00C85196" w:rsidRDefault="00C85196" w:rsidP="00EB48B4">
      <w:pPr>
        <w:ind w:right="168"/>
        <w:jc w:val="both"/>
        <w:rPr>
          <w:szCs w:val="18"/>
        </w:rPr>
      </w:pPr>
      <w:r>
        <w:t>We welcome more practical concepts regarding materiality, confidentiality and proprietary, and agree with the necessity to employ different assessment criteria for accounting and prudential purposes. Both accounting and prudential regul</w:t>
      </w:r>
      <w:r>
        <w:t>a</w:t>
      </w:r>
      <w:r>
        <w:t>tions are expected to deliver information relevant for the dec</w:t>
      </w:r>
      <w:r>
        <w:t>i</w:t>
      </w:r>
      <w:r>
        <w:t>sion-making process. EBA explains this in its guideline; ho</w:t>
      </w:r>
      <w:r>
        <w:t>w</w:t>
      </w:r>
      <w:r>
        <w:t>ever, considering the wealth of information to be disclosed, one aspect that is missing is any indication as to how EBA will ensure that the concepts laid out in the accounting and prudential regul</w:t>
      </w:r>
      <w:r>
        <w:t>a</w:t>
      </w:r>
      <w:r>
        <w:t>tions will not deviate going forward. In order to avoid such a scenario, we kindly ask EBA to take this concern into consideration for the remaining draft process of the concept, and would like to remind EBA of the background of the different supervisory bodies i</w:t>
      </w:r>
      <w:r>
        <w:t>n</w:t>
      </w:r>
      <w:r>
        <w:t>volved (ESMA and NCAs).</w:t>
      </w:r>
    </w:p>
    <w:p w:rsidR="00C85196" w:rsidRPr="00C85196" w:rsidRDefault="00C85196" w:rsidP="00C85196">
      <w:pPr>
        <w:jc w:val="both"/>
        <w:rPr>
          <w:szCs w:val="18"/>
        </w:rPr>
      </w:pPr>
    </w:p>
    <w:p w:rsidR="00C85196" w:rsidRPr="00C85196" w:rsidRDefault="00C85196" w:rsidP="00C85196">
      <w:pPr>
        <w:jc w:val="both"/>
        <w:rPr>
          <w:szCs w:val="18"/>
        </w:rPr>
      </w:pPr>
    </w:p>
    <w:p w:rsidR="00C85196" w:rsidRPr="00C85196" w:rsidRDefault="00C85196" w:rsidP="00C85196">
      <w:pPr>
        <w:jc w:val="both"/>
        <w:rPr>
          <w:b/>
          <w:szCs w:val="18"/>
        </w:rPr>
      </w:pPr>
      <w:r>
        <w:rPr>
          <w:b/>
        </w:rPr>
        <w:t>Special Statements</w:t>
      </w:r>
    </w:p>
    <w:p w:rsidR="00C85196" w:rsidRPr="00C85196" w:rsidRDefault="00C85196" w:rsidP="00C85196">
      <w:pPr>
        <w:jc w:val="both"/>
        <w:rPr>
          <w:szCs w:val="18"/>
        </w:rPr>
      </w:pPr>
      <w:r>
        <w:rPr>
          <w:highlight w:val="lightGray"/>
        </w:rPr>
        <w:lastRenderedPageBreak/>
        <w:t>Q1) Do you agree that the use of disclosure waivers and the assessment of the need for more frequent disclosures should be framed – for the purposes of Article 431 CRR – within a dedicated process? If not, please state why.</w:t>
      </w:r>
    </w:p>
    <w:p w:rsidR="00C85196" w:rsidRPr="00C85196" w:rsidRDefault="00C85196" w:rsidP="00C85196">
      <w:pPr>
        <w:jc w:val="both"/>
        <w:rPr>
          <w:szCs w:val="18"/>
        </w:rPr>
      </w:pPr>
    </w:p>
    <w:p w:rsidR="00C85196" w:rsidRPr="00C85196" w:rsidRDefault="00C85196" w:rsidP="00C85196">
      <w:pPr>
        <w:jc w:val="both"/>
        <w:rPr>
          <w:szCs w:val="18"/>
        </w:rPr>
      </w:pPr>
      <w:r>
        <w:t>In general, we believe that qualitative requirements are appropriate, taking into consideration the level playing field in the EU. However, from our point of view, the principle of proportionality should be emph</w:t>
      </w:r>
      <w:r>
        <w:t>a</w:t>
      </w:r>
      <w:r>
        <w:t>sised more strongly. Hence, we believe that the proposed formal requirements for institutions not using disclosure waivers or not subject to more frequent disclosures are clearly too strict. Procedural and do</w:t>
      </w:r>
      <w:r>
        <w:t>c</w:t>
      </w:r>
      <w:r>
        <w:t>umentation requirements (according to sections 8 to 10 of the Consultation Paper) should be kept on a low level for small and medium-sized institutions with less complex business activities, where (i) annual disclosure of the information required by the CRR is sufficient in order to convey their risk profile compr</w:t>
      </w:r>
      <w:r>
        <w:t>e</w:t>
      </w:r>
      <w:r>
        <w:t>hensively to market participants and (ii) that do not use (or hardly ever use) disclosure waivers.</w:t>
      </w:r>
    </w:p>
    <w:p w:rsidR="00C85196" w:rsidRPr="00C85196" w:rsidRDefault="00C85196" w:rsidP="00C85196">
      <w:pPr>
        <w:jc w:val="both"/>
        <w:rPr>
          <w:szCs w:val="18"/>
        </w:rPr>
      </w:pPr>
    </w:p>
    <w:p w:rsidR="00C85196" w:rsidRPr="00C85196" w:rsidRDefault="00C85196" w:rsidP="00C85196">
      <w:pPr>
        <w:jc w:val="both"/>
        <w:rPr>
          <w:szCs w:val="18"/>
        </w:rPr>
      </w:pPr>
      <w:r>
        <w:rPr>
          <w:highlight w:val="lightGray"/>
        </w:rPr>
        <w:t>Q2) Do you agree with the features of this process? If not, which one(s) would you exclude/include?</w:t>
      </w:r>
    </w:p>
    <w:p w:rsidR="00C85196" w:rsidRPr="00C85196" w:rsidRDefault="00C85196" w:rsidP="00C85196">
      <w:pPr>
        <w:jc w:val="both"/>
        <w:rPr>
          <w:szCs w:val="18"/>
        </w:rPr>
      </w:pPr>
    </w:p>
    <w:p w:rsidR="00C85196" w:rsidRPr="00C85196" w:rsidRDefault="00C85196" w:rsidP="00C85196">
      <w:pPr>
        <w:jc w:val="both"/>
        <w:rPr>
          <w:szCs w:val="18"/>
        </w:rPr>
      </w:pPr>
      <w:r>
        <w:t>Fortunately, the definitions used in the guidelines are generally worded in largely abstract terms, which allows institutions to make use of the discretion provided for in the CRR. However, the process and do</w:t>
      </w:r>
      <w:r>
        <w:t>c</w:t>
      </w:r>
      <w:r>
        <w:t>umentation requirements, particularly with regard to the use of disclosure waivers for materiality, conf</w:t>
      </w:r>
      <w:r>
        <w:t>i</w:t>
      </w:r>
      <w:r>
        <w:t>dentiality or proprietary reasons, are very comprehensive:</w:t>
      </w:r>
    </w:p>
    <w:p w:rsidR="00852035" w:rsidRDefault="00852035" w:rsidP="00C85196">
      <w:pPr>
        <w:jc w:val="both"/>
        <w:rPr>
          <w:b/>
        </w:rPr>
      </w:pPr>
    </w:p>
    <w:p w:rsidR="00C85196" w:rsidRPr="00C85196" w:rsidRDefault="00C85196" w:rsidP="00C85196">
      <w:pPr>
        <w:jc w:val="both"/>
        <w:rPr>
          <w:b/>
          <w:szCs w:val="18"/>
        </w:rPr>
      </w:pPr>
      <w:r>
        <w:rPr>
          <w:b/>
        </w:rPr>
        <w:t>Section 8</w:t>
      </w:r>
    </w:p>
    <w:p w:rsidR="00852035" w:rsidRDefault="00852035" w:rsidP="00C85196">
      <w:pPr>
        <w:jc w:val="both"/>
      </w:pPr>
    </w:p>
    <w:p w:rsidR="00C85196" w:rsidRPr="00C85196" w:rsidRDefault="00C85196" w:rsidP="00C85196">
      <w:pPr>
        <w:jc w:val="both"/>
        <w:rPr>
          <w:szCs w:val="18"/>
        </w:rPr>
      </w:pPr>
      <w:r>
        <w:t xml:space="preserve">From the perspective of the banking sector, waiver and frequency policies are too comprehensive and provide for far too many details. For instance, section 8d of the Consultation Paper requires a full list of all qualitative and quantitative information items to be disclosed, as well as updates at least annually. The advantage of simply reflecting legal requirements is not clear to us in this context. </w:t>
      </w:r>
    </w:p>
    <w:p w:rsidR="00C85196" w:rsidRPr="00C85196" w:rsidRDefault="00C85196" w:rsidP="00C85196">
      <w:pPr>
        <w:jc w:val="both"/>
        <w:rPr>
          <w:szCs w:val="18"/>
        </w:rPr>
      </w:pPr>
    </w:p>
    <w:p w:rsidR="00C85196" w:rsidRPr="00C85196" w:rsidRDefault="00C85196" w:rsidP="00C85196">
      <w:pPr>
        <w:jc w:val="both"/>
        <w:rPr>
          <w:szCs w:val="18"/>
        </w:rPr>
      </w:pPr>
      <w:r>
        <w:t>According to section 8g, the management body shall be informed regularly regarding implementation of the policies. We believe that an event-driven reporting would be appropriate, if necessary at all. From our perspective, it would be sufficient to inform the management body about any unchanged policies when it approves the publication of the disclosure report. Only if the policies are subject to significant changes would the informing and approval of the management body be required.</w:t>
      </w:r>
    </w:p>
    <w:p w:rsidR="00C85196" w:rsidRPr="00C85196" w:rsidRDefault="00C85196" w:rsidP="00C85196">
      <w:pPr>
        <w:jc w:val="both"/>
        <w:rPr>
          <w:szCs w:val="18"/>
        </w:rPr>
      </w:pPr>
    </w:p>
    <w:p w:rsidR="00C85196" w:rsidRPr="00C85196" w:rsidRDefault="00C85196" w:rsidP="00C85196">
      <w:pPr>
        <w:jc w:val="both"/>
        <w:rPr>
          <w:szCs w:val="18"/>
        </w:rPr>
      </w:pPr>
      <w:r>
        <w:t>Requirements according to section 8h are redundant and should be deleted, since it is unnecessary to establish in a policy any review on a regular basis by internal audit or other comparable control units. In fact, internal audit should only carry out reviews of entire subject areas (such as disclosure). Reviews should always be carried out by internal audit, depending on its own risk analysis. In addition, we assume that the subject area of disclosure, including related processes and documents, has always been part of internal audit reviews.</w:t>
      </w:r>
    </w:p>
    <w:p w:rsidR="00C85196" w:rsidRPr="00C85196" w:rsidRDefault="00C85196" w:rsidP="00C85196">
      <w:pPr>
        <w:jc w:val="both"/>
        <w:rPr>
          <w:szCs w:val="18"/>
        </w:rPr>
      </w:pPr>
    </w:p>
    <w:p w:rsidR="00C85196" w:rsidRPr="00C85196" w:rsidRDefault="00C85196" w:rsidP="00C85196">
      <w:pPr>
        <w:jc w:val="both"/>
        <w:rPr>
          <w:szCs w:val="18"/>
        </w:rPr>
      </w:pPr>
      <w:r>
        <w:t xml:space="preserve">Besides, the fulfilment of disclosure requirements is reviewed by external auditors on a regular basis (usually once a year). This includes, </w:t>
      </w:r>
      <w:r>
        <w:rPr>
          <w:i/>
        </w:rPr>
        <w:t>inter alia</w:t>
      </w:r>
      <w:r>
        <w:t>, an assessment of the disclosure procedures and processes in place. In this way, waiver and frequency policies are covered as well.</w:t>
      </w:r>
    </w:p>
    <w:p w:rsidR="00C85196" w:rsidRPr="00C85196" w:rsidRDefault="00C85196" w:rsidP="00C85196">
      <w:pPr>
        <w:jc w:val="both"/>
        <w:rPr>
          <w:szCs w:val="18"/>
        </w:rPr>
      </w:pPr>
    </w:p>
    <w:p w:rsidR="00C85196" w:rsidRPr="00C85196" w:rsidRDefault="00C85196" w:rsidP="00C85196">
      <w:pPr>
        <w:jc w:val="both"/>
        <w:rPr>
          <w:b/>
          <w:szCs w:val="18"/>
        </w:rPr>
      </w:pPr>
      <w:r>
        <w:rPr>
          <w:b/>
        </w:rPr>
        <w:t>Section 10</w:t>
      </w:r>
    </w:p>
    <w:p w:rsidR="00C85196" w:rsidRPr="00C85196" w:rsidRDefault="00C85196" w:rsidP="00C85196">
      <w:pPr>
        <w:jc w:val="both"/>
        <w:rPr>
          <w:szCs w:val="18"/>
        </w:rPr>
      </w:pPr>
    </w:p>
    <w:p w:rsidR="00C85196" w:rsidRPr="00C85196" w:rsidRDefault="00C85196" w:rsidP="00C85196">
      <w:pPr>
        <w:jc w:val="both"/>
        <w:rPr>
          <w:szCs w:val="18"/>
        </w:rPr>
      </w:pPr>
      <w:r>
        <w:lastRenderedPageBreak/>
        <w:t>Reference to Article 434 is not conceivable in this context. This Article only clarifies the means of discl</w:t>
      </w:r>
      <w:r>
        <w:t>o</w:t>
      </w:r>
      <w:r>
        <w:t>sures, but does not contain any explicit disclosure requirement. We kindly ask for amendment, of clarif</w:t>
      </w:r>
      <w:r>
        <w:t>i</w:t>
      </w:r>
      <w:r>
        <w:t>cation of this reference.</w:t>
      </w:r>
    </w:p>
    <w:p w:rsidR="00C85196" w:rsidRPr="00C85196" w:rsidRDefault="00C85196" w:rsidP="00C85196">
      <w:pPr>
        <w:jc w:val="both"/>
        <w:rPr>
          <w:szCs w:val="18"/>
        </w:rPr>
      </w:pPr>
    </w:p>
    <w:p w:rsidR="00C85196" w:rsidRPr="00C85196" w:rsidRDefault="00C85196" w:rsidP="00C85196">
      <w:pPr>
        <w:jc w:val="both"/>
        <w:rPr>
          <w:szCs w:val="18"/>
        </w:rPr>
      </w:pPr>
    </w:p>
    <w:p w:rsidR="00C85196" w:rsidRPr="00C85196" w:rsidRDefault="00C85196" w:rsidP="00C85196">
      <w:pPr>
        <w:jc w:val="both"/>
        <w:rPr>
          <w:szCs w:val="18"/>
        </w:rPr>
      </w:pPr>
      <w:r>
        <w:rPr>
          <w:highlight w:val="lightGray"/>
        </w:rPr>
        <w:t>Q6) Do you agree with the indicators in paragraphs</w:t>
      </w:r>
      <w:r w:rsidR="00852035">
        <w:rPr>
          <w:highlight w:val="lightGray"/>
        </w:rPr>
        <w:t xml:space="preserve"> </w:t>
      </w:r>
      <w:r>
        <w:rPr>
          <w:highlight w:val="lightGray"/>
        </w:rPr>
        <w:t>18 that should lead institutions to assess their need to disclose information more frequently? If not, which alternative indicators would you suggest?</w:t>
      </w:r>
    </w:p>
    <w:p w:rsidR="00C85196" w:rsidRPr="00C85196" w:rsidRDefault="00C85196" w:rsidP="00C85196">
      <w:pPr>
        <w:jc w:val="both"/>
        <w:rPr>
          <w:szCs w:val="18"/>
        </w:rPr>
      </w:pPr>
    </w:p>
    <w:p w:rsidR="00C85196" w:rsidRPr="00C85196" w:rsidRDefault="00C85196" w:rsidP="00C85196">
      <w:pPr>
        <w:jc w:val="both"/>
        <w:rPr>
          <w:szCs w:val="18"/>
        </w:rPr>
      </w:pPr>
      <w:r>
        <w:t>The explanations on disclosure frequency, especially the indicators included in the paper, could de facto lead to a higher compulsory disclosure frequency. The explanations are formulated openly and only r</w:t>
      </w:r>
      <w:r>
        <w:t>e</w:t>
      </w:r>
      <w:r>
        <w:t xml:space="preserve">quire an assessment regarding a more frequent disclosure if one of the indicators are met, but in fact a higher disclosure frequency will be expected from institutions fulfilling one of the indicators. </w:t>
      </w:r>
    </w:p>
    <w:p w:rsidR="00C85196" w:rsidRPr="00C85196" w:rsidRDefault="00C85196" w:rsidP="00C85196">
      <w:pPr>
        <w:jc w:val="both"/>
        <w:rPr>
          <w:szCs w:val="18"/>
        </w:rPr>
      </w:pPr>
    </w:p>
    <w:p w:rsidR="00C85196" w:rsidRPr="00C85196" w:rsidRDefault="00C85196" w:rsidP="00C85196">
      <w:pPr>
        <w:jc w:val="both"/>
        <w:rPr>
          <w:szCs w:val="18"/>
        </w:rPr>
      </w:pPr>
      <w:r>
        <w:t>According to Article 433 of the CRR, annual disclosures shall be published in conjunction with the date of publication of the financial statements. This brings us to the assumption that the disclosure of information required in section 23 is not supposed to be published simultaneously with (interim) reports. In many cases, such information can only be generated after publication of the relevant financial data (for exa</w:t>
      </w:r>
      <w:r>
        <w:t>m</w:t>
      </w:r>
      <w:r>
        <w:t>ple, in the case of reconciliation accounts). Would you please clarify whether the date of disclosure may deviate from the respective financial reporting date. We consider a lead time of four weeks from the r</w:t>
      </w:r>
      <w:r>
        <w:t>e</w:t>
      </w:r>
      <w:r>
        <w:t>porting date as appropriate.</w:t>
      </w:r>
    </w:p>
    <w:p w:rsidR="00C85196" w:rsidRPr="00C85196" w:rsidRDefault="00C85196" w:rsidP="00C85196">
      <w:pPr>
        <w:jc w:val="both"/>
        <w:rPr>
          <w:szCs w:val="18"/>
        </w:rPr>
      </w:pPr>
    </w:p>
    <w:p w:rsidR="00C85196" w:rsidRPr="00C85196" w:rsidRDefault="00C85196" w:rsidP="00C85196">
      <w:pPr>
        <w:jc w:val="both"/>
        <w:rPr>
          <w:szCs w:val="18"/>
        </w:rPr>
      </w:pPr>
      <w:r>
        <w:t>Moreover, we believe that the quantitative criteria stated in section 18 of the Consultation Paper (instit</w:t>
      </w:r>
      <w:r>
        <w:t>u</w:t>
      </w:r>
      <w:r>
        <w:t>tions have to assess their need to publish information more frequently than annually, provided that at least one of the indicators applies to them) are inconsistent. In particular, throughout Europe it will not be possible to equally implement all quantitative criteria relating to the financial statements. For instance, section 18b claims that if an institution’s consolidated total assets are in excess of EUR 30 billion, the entity has to assess the need to publish information more frequently than annually. Section 18c also r</w:t>
      </w:r>
      <w:r>
        <w:t>e</w:t>
      </w:r>
      <w:r>
        <w:t>fers to a total assets threshold: publication within the financial year has to be assessed if the institution’s four-year average of total assets is in excess of 20% of the four-year average of its home Member State’s GDP. Besides the fact that taking total assets into consideration twice as a threshold basis does not a</w:t>
      </w:r>
      <w:r>
        <w:t>p</w:t>
      </w:r>
      <w:r>
        <w:t>pear to to be reasonable, we believe the use of total capital as an additional criteria in the context of di</w:t>
      </w:r>
      <w:r>
        <w:t>s</w:t>
      </w:r>
      <w:r>
        <w:t xml:space="preserve">closure would be appropriate. However, total capital is not mentioned in section 18 at all. Against this background, we propose including a minimum regulatory capital threshold of EUR 10 billion as a criterion pursuant to section 18b. </w:t>
      </w:r>
    </w:p>
    <w:p w:rsidR="00C85196" w:rsidRPr="00C85196" w:rsidRDefault="00C85196" w:rsidP="00C85196">
      <w:pPr>
        <w:jc w:val="both"/>
        <w:rPr>
          <w:szCs w:val="18"/>
        </w:rPr>
      </w:pPr>
    </w:p>
    <w:p w:rsidR="00C85196" w:rsidRPr="00C85196" w:rsidRDefault="00C85196" w:rsidP="00C85196">
      <w:pPr>
        <w:jc w:val="both"/>
        <w:rPr>
          <w:szCs w:val="18"/>
        </w:rPr>
      </w:pPr>
      <w:r>
        <w:t>What seems to be problematic to us is the fact that EBA provides advice on the disclosure frequency, emphasising at the same time that the frequencies provided should be considered minimum requir</w:t>
      </w:r>
      <w:r>
        <w:t>e</w:t>
      </w:r>
      <w:r>
        <w:t>ments. This might give rise to even stricter regulation, for instance on the part of NCAs – from our pe</w:t>
      </w:r>
      <w:r>
        <w:t>r</w:t>
      </w:r>
      <w:r>
        <w:t>spective, this would be a contradiction to the target of a common implementation of disclosure regul</w:t>
      </w:r>
      <w:r>
        <w:t>a</w:t>
      </w:r>
      <w:r>
        <w:t>tions across Europe.</w:t>
      </w:r>
    </w:p>
    <w:p w:rsidR="00C85196" w:rsidRPr="00C85196" w:rsidRDefault="00C85196" w:rsidP="00C85196">
      <w:pPr>
        <w:jc w:val="both"/>
        <w:rPr>
          <w:szCs w:val="18"/>
        </w:rPr>
      </w:pPr>
    </w:p>
    <w:p w:rsidR="00C85196" w:rsidRPr="00C85196" w:rsidRDefault="00C85196" w:rsidP="00C85196">
      <w:pPr>
        <w:jc w:val="both"/>
        <w:rPr>
          <w:szCs w:val="18"/>
        </w:rPr>
      </w:pPr>
      <w:r>
        <w:rPr>
          <w:highlight w:val="lightGray"/>
        </w:rPr>
        <w:t>Q8) Do you agree that information listed in paragraph 19 should be provided in case disclosures are omi</w:t>
      </w:r>
      <w:r>
        <w:rPr>
          <w:highlight w:val="lightGray"/>
        </w:rPr>
        <w:t>t</w:t>
      </w:r>
      <w:r>
        <w:rPr>
          <w:highlight w:val="lightGray"/>
        </w:rPr>
        <w:t>ted due to immateriality reasons? If not, why? Do you agree that the provision of this information allows for an optimal degree of transparency regarding the use of the materiality waiver? If not, what additional information should be provided?</w:t>
      </w:r>
    </w:p>
    <w:p w:rsidR="00C85196" w:rsidRPr="00C85196" w:rsidRDefault="00C85196" w:rsidP="00C85196">
      <w:pPr>
        <w:jc w:val="both"/>
        <w:rPr>
          <w:szCs w:val="18"/>
        </w:rPr>
      </w:pPr>
    </w:p>
    <w:p w:rsidR="00C85196" w:rsidRPr="00C85196" w:rsidRDefault="00C85196" w:rsidP="00C85196">
      <w:pPr>
        <w:jc w:val="both"/>
        <w:rPr>
          <w:szCs w:val="18"/>
        </w:rPr>
      </w:pPr>
      <w:r>
        <w:lastRenderedPageBreak/>
        <w:t>The requirements in section 19c of the draft EBA Guidelines go far beyond the specifications provided in the CRR, we believe. Art. 432 (3) of the CRR provides that the institution concerned shall state the reason for non-disclosure, and publish more general information only for items of information classified as pr</w:t>
      </w:r>
      <w:r>
        <w:t>o</w:t>
      </w:r>
      <w:r>
        <w:t>prietary or confidential. For items of information not disclosed due to non-materiality, CRR does not pr</w:t>
      </w:r>
      <w:r>
        <w:t>o</w:t>
      </w:r>
      <w:r>
        <w:t>vide that the reason for non-disclosure or more general information shall be stated. Hence, the provision of section 19c of the EBA Guideline, according to which more general or aggregate information, (including – if relevant – quantitative information on the non-disclosed separate items of information) shall be di</w:t>
      </w:r>
      <w:r>
        <w:t>s</w:t>
      </w:r>
      <w:r>
        <w:t>closed, is not in line with the CRR. We kindly ask to delete this provision from the document.</w:t>
      </w:r>
    </w:p>
    <w:p w:rsidR="00C85196" w:rsidRPr="00C85196" w:rsidRDefault="00C85196" w:rsidP="00C85196">
      <w:pPr>
        <w:jc w:val="both"/>
        <w:rPr>
          <w:szCs w:val="18"/>
        </w:rPr>
      </w:pPr>
    </w:p>
    <w:p w:rsidR="00C85196" w:rsidRPr="00C85196" w:rsidRDefault="00C85196" w:rsidP="00C85196">
      <w:pPr>
        <w:jc w:val="both"/>
        <w:rPr>
          <w:szCs w:val="18"/>
        </w:rPr>
      </w:pPr>
    </w:p>
    <w:p w:rsidR="00C85196" w:rsidRPr="00C85196" w:rsidRDefault="00C85196" w:rsidP="00C85196">
      <w:pPr>
        <w:jc w:val="both"/>
        <w:rPr>
          <w:szCs w:val="18"/>
        </w:rPr>
      </w:pPr>
      <w:r>
        <w:rPr>
          <w:highlight w:val="lightGray"/>
        </w:rPr>
        <w:t>Q12: Do you agree with the proposed implementation date? If not, which alternative date would you su</w:t>
      </w:r>
      <w:r>
        <w:rPr>
          <w:highlight w:val="lightGray"/>
        </w:rPr>
        <w:t>g</w:t>
      </w:r>
      <w:r>
        <w:rPr>
          <w:highlight w:val="lightGray"/>
        </w:rPr>
        <w:t>gest?</w:t>
      </w:r>
      <w:r>
        <w:t xml:space="preserve"> </w:t>
      </w:r>
    </w:p>
    <w:p w:rsidR="00C85196" w:rsidRPr="00C85196" w:rsidRDefault="00C85196" w:rsidP="00C85196">
      <w:pPr>
        <w:jc w:val="both"/>
        <w:rPr>
          <w:szCs w:val="18"/>
        </w:rPr>
      </w:pPr>
    </w:p>
    <w:p w:rsidR="00C85196" w:rsidRPr="00C85196" w:rsidRDefault="00C85196" w:rsidP="00C85196">
      <w:pPr>
        <w:jc w:val="both"/>
        <w:rPr>
          <w:szCs w:val="18"/>
        </w:rPr>
      </w:pPr>
      <w:r>
        <w:t>The proposed first-time application date of 1 January 2015 is too early. Even if the consultation process might be accomplished by the proposed date, the new regulations need to be taken over by the NCAs, which will require an appropriate time frame. In addition, the institutions should also be granted an ad</w:t>
      </w:r>
      <w:r>
        <w:t>e</w:t>
      </w:r>
      <w:r>
        <w:t>quate timeframe for preparation, in particular for the implementation of the new disclosure requirements. Against the background of the comprehensive implications resulting from the BCBS's review of the discl</w:t>
      </w:r>
      <w:r>
        <w:t>o</w:t>
      </w:r>
      <w:r>
        <w:t>sure requirements, we believe that a harmonisation of such requirements is necessary. Hence, we re</w:t>
      </w:r>
      <w:r>
        <w:t>c</w:t>
      </w:r>
      <w:r>
        <w:t>ommend postponing the implementation date to 1 April 2016.</w:t>
      </w:r>
    </w:p>
    <w:p w:rsidR="00C85196" w:rsidRPr="00C85196" w:rsidRDefault="00C85196" w:rsidP="00C85196">
      <w:pPr>
        <w:pStyle w:val="Flietext"/>
        <w:jc w:val="both"/>
        <w:rPr>
          <w:szCs w:val="18"/>
        </w:rPr>
      </w:pPr>
    </w:p>
    <w:p w:rsidR="00081FF2" w:rsidRPr="00C85196" w:rsidRDefault="00081FF2" w:rsidP="00C85196">
      <w:pPr>
        <w:jc w:val="both"/>
        <w:rPr>
          <w:szCs w:val="18"/>
        </w:rPr>
      </w:pPr>
    </w:p>
    <w:p w:rsidR="00852035" w:rsidRDefault="00852035" w:rsidP="00852035">
      <w:r>
        <w:t>Yours sincerely,</w:t>
      </w:r>
    </w:p>
    <w:p w:rsidR="00852035" w:rsidRDefault="00852035" w:rsidP="00852035">
      <w:r>
        <w:t>on behalf of the German Banking Industry Committee</w:t>
      </w:r>
    </w:p>
    <w:p w:rsidR="001B4798" w:rsidRPr="00D420D7" w:rsidRDefault="00852035" w:rsidP="00852035">
      <w:pPr>
        <w:rPr>
          <w:szCs w:val="18"/>
          <w:lang w:val="en-US"/>
        </w:rPr>
      </w:pPr>
      <w:r>
        <w:t>National Association of German Cooperative Banks</w:t>
      </w:r>
    </w:p>
    <w:p w:rsidR="00325F52" w:rsidRPr="00D420D7" w:rsidRDefault="006A692B" w:rsidP="00CF3D46">
      <w:pPr>
        <w:rPr>
          <w:szCs w:val="18"/>
          <w:lang w:val="en-US"/>
        </w:rPr>
      </w:pPr>
      <w:r w:rsidRPr="00D420D7">
        <w:rPr>
          <w:lang w:val="en-US"/>
        </w:rPr>
        <w:t xml:space="preserve"> </w:t>
      </w:r>
    </w:p>
    <w:p w:rsidR="00861393" w:rsidRPr="00D420D7" w:rsidRDefault="00D420D7" w:rsidP="003A0D7B">
      <w:pPr>
        <w:rPr>
          <w:szCs w:val="18"/>
          <w:lang w:val="en-US"/>
        </w:rPr>
      </w:pPr>
      <w:r>
        <w:rPr>
          <w:noProof/>
          <w:sz w:val="22"/>
          <w:lang w:val="de-DE" w:eastAsia="de-DE" w:bidi="ar-SA"/>
        </w:rPr>
        <w:drawing>
          <wp:anchor distT="0" distB="0" distL="114300" distR="114300" simplePos="0" relativeHeight="251666432" behindDoc="0" locked="0" layoutInCell="1" allowOverlap="1" wp14:anchorId="252D82AB" wp14:editId="5DFAA593">
            <wp:simplePos x="0" y="0"/>
            <wp:positionH relativeFrom="margin">
              <wp:posOffset>-127347</wp:posOffset>
            </wp:positionH>
            <wp:positionV relativeFrom="margin">
              <wp:posOffset>5890952</wp:posOffset>
            </wp:positionV>
            <wp:extent cx="1995170" cy="650875"/>
            <wp:effectExtent l="0" t="0" r="5080" b="0"/>
            <wp:wrapSquare wrapText="bothSides"/>
            <wp:docPr id="4" name="Grafik 4" descr="VS-Hof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S-Hofman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5170" cy="650875"/>
                    </a:xfrm>
                    <a:prstGeom prst="rect">
                      <a:avLst/>
                    </a:prstGeom>
                    <a:noFill/>
                    <a:ln>
                      <a:noFill/>
                    </a:ln>
                  </pic:spPr>
                </pic:pic>
              </a:graphicData>
            </a:graphic>
          </wp:anchor>
        </w:drawing>
      </w:r>
    </w:p>
    <w:p w:rsidR="000B5287" w:rsidRDefault="000B5287" w:rsidP="0005469F">
      <w:pPr>
        <w:tabs>
          <w:tab w:val="left" w:pos="517"/>
        </w:tabs>
        <w:rPr>
          <w:szCs w:val="18"/>
          <w:lang w:val="en-US"/>
        </w:rPr>
      </w:pPr>
    </w:p>
    <w:p w:rsidR="00D420D7" w:rsidRDefault="00D420D7" w:rsidP="0005469F">
      <w:pPr>
        <w:tabs>
          <w:tab w:val="left" w:pos="517"/>
        </w:tabs>
        <w:rPr>
          <w:szCs w:val="18"/>
          <w:lang w:val="en-US"/>
        </w:rPr>
      </w:pPr>
      <w:r>
        <w:rPr>
          <w:noProof/>
          <w:sz w:val="22"/>
          <w:lang w:val="de-DE" w:eastAsia="de-DE" w:bidi="ar-SA"/>
        </w:rPr>
        <w:drawing>
          <wp:anchor distT="0" distB="0" distL="114300" distR="114300" simplePos="0" relativeHeight="251679744" behindDoc="0" locked="0" layoutInCell="1" allowOverlap="1" wp14:anchorId="666B2519" wp14:editId="377B1516">
            <wp:simplePos x="0" y="0"/>
            <wp:positionH relativeFrom="margin">
              <wp:posOffset>2087880</wp:posOffset>
            </wp:positionH>
            <wp:positionV relativeFrom="margin">
              <wp:posOffset>6057207</wp:posOffset>
            </wp:positionV>
            <wp:extent cx="1800860" cy="554355"/>
            <wp:effectExtent l="0" t="0" r="8890" b="0"/>
            <wp:wrapSquare wrapText="bothSides"/>
            <wp:docPr id="5" name="Grafik 5" descr="Reinick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inicke.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860" cy="554355"/>
                    </a:xfrm>
                    <a:prstGeom prst="rect">
                      <a:avLst/>
                    </a:prstGeom>
                    <a:noFill/>
                    <a:ln>
                      <a:noFill/>
                    </a:ln>
                  </pic:spPr>
                </pic:pic>
              </a:graphicData>
            </a:graphic>
          </wp:anchor>
        </w:drawing>
      </w:r>
    </w:p>
    <w:p w:rsidR="00D420D7" w:rsidRDefault="00D420D7" w:rsidP="0005469F">
      <w:pPr>
        <w:tabs>
          <w:tab w:val="left" w:pos="517"/>
        </w:tabs>
        <w:rPr>
          <w:szCs w:val="18"/>
          <w:lang w:val="en-US"/>
        </w:rPr>
      </w:pPr>
    </w:p>
    <w:p w:rsidR="00D420D7" w:rsidRPr="00D420D7" w:rsidRDefault="00D420D7" w:rsidP="0005469F">
      <w:pPr>
        <w:tabs>
          <w:tab w:val="left" w:pos="517"/>
        </w:tabs>
        <w:rPr>
          <w:szCs w:val="18"/>
          <w:lang w:val="en-US"/>
        </w:rPr>
      </w:pPr>
      <w:r>
        <w:rPr>
          <w:szCs w:val="18"/>
          <w:lang w:val="en-US"/>
        </w:rPr>
        <w:t xml:space="preserve">      </w:t>
      </w:r>
    </w:p>
    <w:p w:rsidR="00743EF3" w:rsidRPr="00D420D7" w:rsidRDefault="00743EF3" w:rsidP="003A0D7B">
      <w:pPr>
        <w:rPr>
          <w:szCs w:val="18"/>
          <w:lang w:val="en-US"/>
        </w:rPr>
      </w:pPr>
    </w:p>
    <w:p w:rsidR="0005469F" w:rsidRPr="00C85196" w:rsidRDefault="00D420D7" w:rsidP="003A0D7B">
      <w:pPr>
        <w:rPr>
          <w:szCs w:val="18"/>
        </w:rPr>
      </w:pPr>
      <w:r>
        <w:t xml:space="preserve">Gerhard Hofmann </w:t>
      </w:r>
      <w:r w:rsidR="000B5287">
        <w:tab/>
      </w:r>
      <w:r w:rsidR="000B5287">
        <w:tab/>
      </w:r>
      <w:r w:rsidR="000B5287">
        <w:tab/>
      </w:r>
      <w:r>
        <w:rPr>
          <w:bCs/>
          <w:szCs w:val="18"/>
        </w:rPr>
        <w:t xml:space="preserve">Thorsten Reinicke </w:t>
      </w:r>
    </w:p>
    <w:p w:rsidR="0005469F" w:rsidRPr="00C85196" w:rsidRDefault="0005469F" w:rsidP="0005469F">
      <w:pPr>
        <w:rPr>
          <w:szCs w:val="18"/>
        </w:rPr>
      </w:pPr>
    </w:p>
    <w:p w:rsidR="00743EF3" w:rsidRPr="00C85196" w:rsidRDefault="00743EF3" w:rsidP="0005469F">
      <w:pPr>
        <w:rPr>
          <w:szCs w:val="18"/>
        </w:rPr>
      </w:pPr>
    </w:p>
    <w:sectPr w:rsidR="00743EF3" w:rsidRPr="00C85196" w:rsidSect="00A82498">
      <w:type w:val="continuous"/>
      <w:pgSz w:w="11906" w:h="16838" w:code="9"/>
      <w:pgMar w:top="2829" w:right="1106" w:bottom="719" w:left="1134" w:header="567" w:footer="5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53" w:rsidRDefault="007B0153">
      <w:r>
        <w:separator/>
      </w:r>
    </w:p>
  </w:endnote>
  <w:endnote w:type="continuationSeparator" w:id="0">
    <w:p w:rsidR="007B0153" w:rsidRDefault="007B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96" w:rsidRDefault="00C851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96" w:rsidRDefault="00C8519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D0" w:rsidRDefault="00503FD0" w:rsidP="000B5287">
    <w:pPr>
      <w:pStyle w:val="Federfhrer"/>
      <w:framePr w:w="3326" w:h="2466" w:hRule="exact" w:hSpace="181" w:wrap="around" w:vAnchor="page" w:hAnchor="page" w:x="8245" w:y="13513" w:anchorLock="1"/>
      <w:shd w:val="solid" w:color="FFFFFF" w:fill="FFFFFF"/>
      <w:spacing w:line="240" w:lineRule="auto"/>
    </w:pPr>
  </w:p>
  <w:p w:rsidR="00503FD0" w:rsidRDefault="00503FD0" w:rsidP="000B5287">
    <w:pPr>
      <w:pStyle w:val="Federfhrer"/>
      <w:framePr w:w="3326" w:h="2466" w:hRule="exact" w:hSpace="181" w:wrap="around" w:vAnchor="page" w:hAnchor="page" w:x="8245" w:y="13513" w:anchorLock="1"/>
      <w:shd w:val="solid" w:color="FFFFFF" w:fill="FFFFFF"/>
      <w:spacing w:line="240" w:lineRule="auto"/>
    </w:pPr>
  </w:p>
  <w:p w:rsidR="00503FD0" w:rsidRDefault="00503FD0" w:rsidP="000B5287">
    <w:pPr>
      <w:pStyle w:val="Federfhrer"/>
      <w:framePr w:w="3326" w:h="2466" w:hRule="exact" w:hSpace="181" w:wrap="around" w:vAnchor="page" w:hAnchor="page" w:x="8245" w:y="13513" w:anchorLock="1"/>
      <w:shd w:val="solid" w:color="FFFFFF" w:fill="FFFFFF"/>
    </w:pPr>
  </w:p>
  <w:p w:rsidR="00503FD0" w:rsidRDefault="00503FD0" w:rsidP="000B5287">
    <w:pPr>
      <w:pStyle w:val="Federfhrer"/>
      <w:framePr w:w="3326" w:h="2466" w:hRule="exact" w:hSpace="181" w:wrap="around" w:vAnchor="page" w:hAnchor="page" w:x="8245" w:y="13513" w:anchorLock="1"/>
      <w:shd w:val="solid" w:color="FFFFFF" w:fill="FFFFFF"/>
    </w:pPr>
  </w:p>
  <w:p w:rsidR="00503FD0" w:rsidRPr="00D420D7" w:rsidRDefault="00503FD0" w:rsidP="000B5287">
    <w:pPr>
      <w:pStyle w:val="Federfhrer"/>
      <w:framePr w:w="3326" w:h="2466" w:hRule="exact" w:hSpace="181" w:wrap="around" w:vAnchor="page" w:hAnchor="page" w:x="8245" w:y="13513" w:anchorLock="1"/>
      <w:shd w:val="solid" w:color="FFFFFF" w:fill="FFFFFF"/>
      <w:rPr>
        <w:lang w:val="de-DE"/>
      </w:rPr>
    </w:pPr>
    <w:r w:rsidRPr="00D420D7">
      <w:rPr>
        <w:lang w:val="de-DE"/>
      </w:rPr>
      <w:t xml:space="preserve">Led </w:t>
    </w:r>
    <w:proofErr w:type="spellStart"/>
    <w:r w:rsidRPr="00D420D7">
      <w:rPr>
        <w:lang w:val="de-DE"/>
      </w:rPr>
      <w:t>by</w:t>
    </w:r>
    <w:proofErr w:type="spellEnd"/>
    <w:r w:rsidRPr="00D420D7">
      <w:rPr>
        <w:lang w:val="de-DE"/>
      </w:rPr>
      <w:t>:</w:t>
    </w:r>
  </w:p>
  <w:p w:rsidR="00B56AE7" w:rsidRPr="00D420D7" w:rsidRDefault="00B56AE7" w:rsidP="000B5287">
    <w:pPr>
      <w:pStyle w:val="Federfhrer"/>
      <w:framePr w:w="3326" w:h="2466" w:hRule="exact" w:hSpace="181" w:wrap="around" w:vAnchor="page" w:hAnchor="page" w:x="8245" w:y="13513" w:anchorLock="1"/>
      <w:shd w:val="solid" w:color="FFFFFF" w:fill="FFFFFF"/>
      <w:rPr>
        <w:lang w:val="de-DE"/>
      </w:rPr>
    </w:pPr>
    <w:r w:rsidRPr="00D420D7">
      <w:rPr>
        <w:lang w:val="de-DE"/>
      </w:rPr>
      <w:t xml:space="preserve">Bundesverband der Deutschen </w:t>
    </w:r>
  </w:p>
  <w:p w:rsidR="00503FD0" w:rsidRPr="00D420D7" w:rsidRDefault="00B56AE7" w:rsidP="000B5287">
    <w:pPr>
      <w:pStyle w:val="Federfhrer"/>
      <w:framePr w:w="3326" w:h="2466" w:hRule="exact" w:hSpace="181" w:wrap="around" w:vAnchor="page" w:hAnchor="page" w:x="8245" w:y="13513" w:anchorLock="1"/>
      <w:shd w:val="solid" w:color="FFFFFF" w:fill="FFFFFF"/>
      <w:rPr>
        <w:lang w:val="de-DE"/>
      </w:rPr>
    </w:pPr>
    <w:r w:rsidRPr="00D420D7">
      <w:rPr>
        <w:lang w:val="de-DE"/>
      </w:rPr>
      <w:t>Volksbanken und Raiffeisenbanken e.V.</w:t>
    </w:r>
  </w:p>
  <w:p w:rsidR="00503FD0" w:rsidRPr="00D420D7" w:rsidRDefault="00B56AE7" w:rsidP="000B5287">
    <w:pPr>
      <w:pStyle w:val="Federfhrer"/>
      <w:framePr w:w="3326" w:h="2466" w:hRule="exact" w:hSpace="181" w:wrap="around" w:vAnchor="page" w:hAnchor="page" w:x="8245" w:y="13513" w:anchorLock="1"/>
      <w:shd w:val="solid" w:color="FFFFFF" w:fill="FFFFFF"/>
      <w:rPr>
        <w:lang w:val="de-DE"/>
      </w:rPr>
    </w:pPr>
    <w:r w:rsidRPr="00D420D7">
      <w:rPr>
        <w:lang w:val="de-DE"/>
      </w:rPr>
      <w:t>Schellingstraße 4 | 10785 Berlin</w:t>
    </w:r>
  </w:p>
  <w:p w:rsidR="00503FD0" w:rsidRPr="00D420D7" w:rsidRDefault="00B56AE7" w:rsidP="000B5287">
    <w:pPr>
      <w:pStyle w:val="Federfhrer"/>
      <w:framePr w:w="3326" w:h="2466" w:hRule="exact" w:hSpace="181" w:wrap="around" w:vAnchor="page" w:hAnchor="page" w:x="8245" w:y="13513" w:anchorLock="1"/>
      <w:shd w:val="solid" w:color="FFFFFF" w:fill="FFFFFF"/>
      <w:rPr>
        <w:lang w:val="de-DE"/>
      </w:rPr>
    </w:pPr>
    <w:proofErr w:type="spellStart"/>
    <w:r w:rsidRPr="00D420D7">
      <w:rPr>
        <w:lang w:val="de-DE"/>
      </w:rPr>
      <w:t>Telephone</w:t>
    </w:r>
    <w:proofErr w:type="spellEnd"/>
    <w:r w:rsidRPr="00D420D7">
      <w:rPr>
        <w:lang w:val="de-DE"/>
      </w:rPr>
      <w:t>: +49 30 2021-0</w:t>
    </w:r>
  </w:p>
  <w:p w:rsidR="00503FD0" w:rsidRPr="00D420D7" w:rsidRDefault="00743EF3" w:rsidP="000B5287">
    <w:pPr>
      <w:pStyle w:val="Federfhrer"/>
      <w:framePr w:w="3326" w:h="2466" w:hRule="exact" w:hSpace="181" w:wrap="around" w:vAnchor="page" w:hAnchor="page" w:x="8245" w:y="13513" w:anchorLock="1"/>
      <w:shd w:val="solid" w:color="FFFFFF" w:fill="FFFFFF"/>
      <w:rPr>
        <w:lang w:val="de-DE"/>
      </w:rPr>
    </w:pPr>
    <w:r w:rsidRPr="00D420D7">
      <w:rPr>
        <w:lang w:val="de-DE"/>
      </w:rPr>
      <w:t>Fax: +49 30 2021-1900</w:t>
    </w:r>
  </w:p>
  <w:p w:rsidR="00503FD0" w:rsidRPr="00D420D7" w:rsidRDefault="00503FD0" w:rsidP="000B5287">
    <w:pPr>
      <w:pStyle w:val="Federfhrer"/>
      <w:framePr w:w="3326" w:h="2466" w:hRule="exact" w:hSpace="181" w:wrap="around" w:vAnchor="page" w:hAnchor="page" w:x="8245" w:y="13513" w:anchorLock="1"/>
      <w:shd w:val="solid" w:color="FFFFFF" w:fill="FFFFFF"/>
      <w:rPr>
        <w:lang w:val="de-DE"/>
      </w:rPr>
    </w:pPr>
    <w:r w:rsidRPr="00D420D7">
      <w:rPr>
        <w:lang w:val="de-DE"/>
      </w:rPr>
      <w:t>www.die-deutsche-kreditwirtschaft.de</w:t>
    </w:r>
  </w:p>
  <w:p w:rsidR="00503FD0" w:rsidRPr="00D420D7" w:rsidRDefault="00503FD0">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53" w:rsidRDefault="007B0153">
      <w:r>
        <w:separator/>
      </w:r>
    </w:p>
  </w:footnote>
  <w:footnote w:type="continuationSeparator" w:id="0">
    <w:p w:rsidR="007B0153" w:rsidRDefault="007B0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96" w:rsidRDefault="00C851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D0" w:rsidRPr="007861A5" w:rsidRDefault="00C85196" w:rsidP="007861A5">
    <w:pPr>
      <w:framePr w:w="1157" w:h="170" w:hRule="exact" w:hSpace="181" w:wrap="around" w:vAnchor="page" w:hAnchor="page" w:x="1135" w:y="1498" w:anchorLock="1"/>
      <w:shd w:val="solid" w:color="FFFFFF" w:fill="FFFFFF"/>
      <w:spacing w:line="240" w:lineRule="auto"/>
      <w:rPr>
        <w:color w:val="3E5A6B"/>
        <w:sz w:val="14"/>
        <w:szCs w:val="14"/>
      </w:rPr>
    </w:pPr>
    <w:r>
      <w:rPr>
        <w:color w:val="3E5A6B"/>
        <w:sz w:val="14"/>
      </w:rPr>
      <w:t xml:space="preserve">Page </w:t>
    </w:r>
    <w:r w:rsidR="00927F6E" w:rsidRPr="007861A5">
      <w:rPr>
        <w:rStyle w:val="Seitenzahl"/>
        <w:color w:val="3E5A6B"/>
        <w:sz w:val="14"/>
        <w:szCs w:val="14"/>
      </w:rPr>
      <w:fldChar w:fldCharType="begin"/>
    </w:r>
    <w:r w:rsidR="00503FD0" w:rsidRPr="007861A5">
      <w:rPr>
        <w:rStyle w:val="Seitenzahl"/>
        <w:color w:val="3E5A6B"/>
        <w:sz w:val="14"/>
        <w:szCs w:val="14"/>
      </w:rPr>
      <w:instrText xml:space="preserve"> PAGE </w:instrText>
    </w:r>
    <w:r w:rsidR="00927F6E" w:rsidRPr="007861A5">
      <w:rPr>
        <w:rStyle w:val="Seitenzahl"/>
        <w:color w:val="3E5A6B"/>
        <w:sz w:val="14"/>
        <w:szCs w:val="14"/>
      </w:rPr>
      <w:fldChar w:fldCharType="separate"/>
    </w:r>
    <w:r w:rsidR="00720082">
      <w:rPr>
        <w:rStyle w:val="Seitenzahl"/>
        <w:noProof/>
        <w:color w:val="3E5A6B"/>
        <w:sz w:val="14"/>
        <w:szCs w:val="14"/>
      </w:rPr>
      <w:t>4</w:t>
    </w:r>
    <w:r w:rsidR="00927F6E" w:rsidRPr="007861A5">
      <w:rPr>
        <w:rStyle w:val="Seitenzahl"/>
        <w:color w:val="3E5A6B"/>
        <w:sz w:val="14"/>
        <w:szCs w:val="14"/>
      </w:rPr>
      <w:fldChar w:fldCharType="end"/>
    </w:r>
    <w:r>
      <w:rPr>
        <w:rStyle w:val="Seitenzahl"/>
        <w:color w:val="3E5A6B"/>
        <w:sz w:val="14"/>
      </w:rPr>
      <w:t xml:space="preserve"> of </w:t>
    </w:r>
    <w:r w:rsidR="00927F6E" w:rsidRPr="007861A5">
      <w:rPr>
        <w:rStyle w:val="Seitenzahl"/>
        <w:color w:val="3E5A6B"/>
        <w:sz w:val="14"/>
        <w:szCs w:val="14"/>
      </w:rPr>
      <w:fldChar w:fldCharType="begin"/>
    </w:r>
    <w:r w:rsidR="00503FD0" w:rsidRPr="007861A5">
      <w:rPr>
        <w:rStyle w:val="Seitenzahl"/>
        <w:color w:val="3E5A6B"/>
        <w:sz w:val="14"/>
        <w:szCs w:val="14"/>
      </w:rPr>
      <w:instrText xml:space="preserve"> NUMPAGES </w:instrText>
    </w:r>
    <w:r w:rsidR="00927F6E" w:rsidRPr="007861A5">
      <w:rPr>
        <w:rStyle w:val="Seitenzahl"/>
        <w:color w:val="3E5A6B"/>
        <w:sz w:val="14"/>
        <w:szCs w:val="14"/>
      </w:rPr>
      <w:fldChar w:fldCharType="separate"/>
    </w:r>
    <w:r w:rsidR="00720082">
      <w:rPr>
        <w:rStyle w:val="Seitenzahl"/>
        <w:noProof/>
        <w:color w:val="3E5A6B"/>
        <w:sz w:val="14"/>
        <w:szCs w:val="14"/>
      </w:rPr>
      <w:t>4</w:t>
    </w:r>
    <w:r w:rsidR="00927F6E" w:rsidRPr="007861A5">
      <w:rPr>
        <w:rStyle w:val="Seitenzahl"/>
        <w:color w:val="3E5A6B"/>
        <w:sz w:val="14"/>
        <w:szCs w:val="14"/>
      </w:rPr>
      <w:fldChar w:fldCharType="end"/>
    </w:r>
  </w:p>
  <w:p w:rsidR="00503FD0" w:rsidRPr="007861A5" w:rsidRDefault="00503FD0" w:rsidP="007861A5">
    <w:pPr>
      <w:pStyle w:val="Kopfzeile"/>
      <w:spacing w:line="240" w:lineRule="auto"/>
      <w:rPr>
        <w:color w:val="3E5A6B"/>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F3" w:rsidRPr="00D420D7" w:rsidRDefault="00C85196" w:rsidP="00B5350B">
    <w:pPr>
      <w:pStyle w:val="Absenderzeile"/>
      <w:framePr w:h="537" w:hRule="exact" w:wrap="around" w:y="2331"/>
      <w:rPr>
        <w:lang w:val="de-DE"/>
      </w:rPr>
    </w:pPr>
    <w:r w:rsidRPr="00D420D7">
      <w:rPr>
        <w:lang w:val="de-DE"/>
      </w:rPr>
      <w:t xml:space="preserve">Bundesverband der Deutschen Volksbanken und Raiffeisenbanken e. V. | </w:t>
    </w:r>
  </w:p>
  <w:p w:rsidR="00503FD0" w:rsidRPr="00884D52" w:rsidRDefault="00B56AE7" w:rsidP="00B5350B">
    <w:pPr>
      <w:pStyle w:val="Absenderzeile"/>
      <w:framePr w:h="537" w:hRule="exact" w:wrap="around" w:y="2331"/>
    </w:pPr>
    <w:r>
      <w:t>Schellingstraße 4 | 10785 Berlin</w:t>
    </w:r>
  </w:p>
  <w:p w:rsidR="00503FD0" w:rsidRDefault="00852035">
    <w:pPr>
      <w:pStyle w:val="Kopfzeile"/>
    </w:pPr>
    <w:r>
      <w:rPr>
        <w:noProof/>
        <w:lang w:val="de-DE" w:eastAsia="de-DE" w:bidi="ar-SA"/>
      </w:rPr>
      <mc:AlternateContent>
        <mc:Choice Requires="wpc">
          <w:drawing>
            <wp:anchor distT="0" distB="0" distL="114300" distR="114300" simplePos="0" relativeHeight="251655680" behindDoc="0" locked="0" layoutInCell="1" allowOverlap="0">
              <wp:simplePos x="0" y="0"/>
              <wp:positionH relativeFrom="page">
                <wp:posOffset>4457700</wp:posOffset>
              </wp:positionH>
              <wp:positionV relativeFrom="page">
                <wp:posOffset>1393825</wp:posOffset>
              </wp:positionV>
              <wp:extent cx="1979930" cy="8639810"/>
              <wp:effectExtent l="0" t="0" r="0" b="0"/>
              <wp:wrapSquare wrapText="bothSides"/>
              <wp:docPr id="2" name="Zeichenbereich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6D795E4D" id="Zeichenbereich 10" o:spid="_x0000_s1026" editas="canvas" style="position:absolute;margin-left:351pt;margin-top:109.75pt;width:155.9pt;height:680.3pt;z-index:251655680;mso-position-horizontal-relative:page;mso-position-vertical-relative:page" coordsize="19799,8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Pu+XPkAAAADQEAAA8AAABkcnMv&#10;ZG93bnJldi54bWxMj01LxDAQhu+C/yGM4EXcJF27261NFxEEETy4q7DHtBmbaj5Kk+7Wf2/2pLcZ&#10;5uWd56m2szXkiGPovRPAFwwIutar3nUC3vdPtwWQEKVT0niHAn4wwLa+vKhkqfzJveFxFzuSSlwo&#10;pQAd41BSGlqNVoaFH9Cl26cfrYxpHTuqRnlK5dbQjLEVtbJ36YOWAz5qbL93kxXw0q5uvngzHWzx&#10;+qGXuTk8x/2dENdX88M9kIhz/AvDGT+hQ52YGj85FYgRsGZZcokCMr7JgZwTjC+TTZOmvGAcaF3R&#10;/xb1LwAAAP//AwBQSwECLQAUAAYACAAAACEAtoM4kv4AAADhAQAAEwAAAAAAAAAAAAAAAAAAAAAA&#10;W0NvbnRlbnRfVHlwZXNdLnhtbFBLAQItABQABgAIAAAAIQA4/SH/1gAAAJQBAAALAAAAAAAAAAAA&#10;AAAAAC8BAABfcmVscy8ucmVsc1BLAQItABQABgAIAAAAIQBh8CCLFAEAAD4CAAAOAAAAAAAAAAAA&#10;AAAAAC4CAABkcnMvZTJvRG9jLnhtbFBLAQItABQABgAIAAAAIQCD7vlz5AAAAA0BAAAPAAAAAAAA&#10;AAAAAAAAAG4DAABkcnMvZG93bnJldi54bWxQSwUGAAAAAAQABADzAAAAfwQ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99;height:86398;visibility:visible;mso-wrap-style:square">
                <v:fill o:detectmouseclick="t"/>
                <v:path o:connecttype="none"/>
              </v:shape>
              <w10:wrap type="square" anchorx="page" anchory="page"/>
            </v:group>
          </w:pict>
        </mc:Fallback>
      </mc:AlternateContent>
    </w:r>
    <w:r w:rsidR="00B56AE7">
      <w:rPr>
        <w:noProof/>
        <w:lang w:val="de-DE" w:eastAsia="de-DE" w:bidi="ar-SA"/>
      </w:rPr>
      <w:drawing>
        <wp:anchor distT="0" distB="0" distL="114300" distR="114300" simplePos="0" relativeHeight="251656704" behindDoc="0" locked="1" layoutInCell="1" allowOverlap="1">
          <wp:simplePos x="0" y="0"/>
          <wp:positionH relativeFrom="page">
            <wp:posOffset>720090</wp:posOffset>
          </wp:positionH>
          <wp:positionV relativeFrom="page">
            <wp:posOffset>360045</wp:posOffset>
          </wp:positionV>
          <wp:extent cx="6473190" cy="733425"/>
          <wp:effectExtent l="19050" t="0" r="3810" b="0"/>
          <wp:wrapSquare wrapText="bothSides"/>
          <wp:docPr id="1" name="Bild 12" descr="300_dpi_Logo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300_dpi_LogoDK"/>
                  <pic:cNvPicPr>
                    <a:picLocks noChangeAspect="1" noChangeArrowheads="1"/>
                  </pic:cNvPicPr>
                </pic:nvPicPr>
                <pic:blipFill>
                  <a:blip r:embed="rId1"/>
                  <a:srcRect/>
                  <a:stretch>
                    <a:fillRect/>
                  </a:stretch>
                </pic:blipFill>
                <pic:spPr bwMode="auto">
                  <a:xfrm>
                    <a:off x="0" y="0"/>
                    <a:ext cx="6473190" cy="733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9CFD9E"/>
    <w:lvl w:ilvl="0">
      <w:start w:val="1"/>
      <w:numFmt w:val="decimal"/>
      <w:lvlText w:val="%1."/>
      <w:lvlJc w:val="left"/>
      <w:pPr>
        <w:tabs>
          <w:tab w:val="num" w:pos="1492"/>
        </w:tabs>
        <w:ind w:left="1492" w:hanging="360"/>
      </w:pPr>
    </w:lvl>
  </w:abstractNum>
  <w:abstractNum w:abstractNumId="1">
    <w:nsid w:val="FFFFFF7D"/>
    <w:multiLevelType w:val="singleLevel"/>
    <w:tmpl w:val="638097EC"/>
    <w:lvl w:ilvl="0">
      <w:start w:val="1"/>
      <w:numFmt w:val="decimal"/>
      <w:lvlText w:val="%1."/>
      <w:lvlJc w:val="left"/>
      <w:pPr>
        <w:tabs>
          <w:tab w:val="num" w:pos="1209"/>
        </w:tabs>
        <w:ind w:left="1209" w:hanging="360"/>
      </w:pPr>
    </w:lvl>
  </w:abstractNum>
  <w:abstractNum w:abstractNumId="2">
    <w:nsid w:val="FFFFFF7E"/>
    <w:multiLevelType w:val="singleLevel"/>
    <w:tmpl w:val="5254C172"/>
    <w:lvl w:ilvl="0">
      <w:start w:val="1"/>
      <w:numFmt w:val="decimal"/>
      <w:lvlText w:val="%1."/>
      <w:lvlJc w:val="left"/>
      <w:pPr>
        <w:tabs>
          <w:tab w:val="num" w:pos="926"/>
        </w:tabs>
        <w:ind w:left="926" w:hanging="360"/>
      </w:pPr>
    </w:lvl>
  </w:abstractNum>
  <w:abstractNum w:abstractNumId="3">
    <w:nsid w:val="FFFFFF7F"/>
    <w:multiLevelType w:val="singleLevel"/>
    <w:tmpl w:val="733E8FE8"/>
    <w:lvl w:ilvl="0">
      <w:start w:val="1"/>
      <w:numFmt w:val="decimal"/>
      <w:lvlText w:val="%1."/>
      <w:lvlJc w:val="left"/>
      <w:pPr>
        <w:tabs>
          <w:tab w:val="num" w:pos="643"/>
        </w:tabs>
        <w:ind w:left="643" w:hanging="360"/>
      </w:pPr>
    </w:lvl>
  </w:abstractNum>
  <w:abstractNum w:abstractNumId="4">
    <w:nsid w:val="FFFFFF80"/>
    <w:multiLevelType w:val="singleLevel"/>
    <w:tmpl w:val="72E63D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8684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E281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9072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2C13CC"/>
    <w:lvl w:ilvl="0">
      <w:start w:val="1"/>
      <w:numFmt w:val="decimal"/>
      <w:lvlText w:val="%1."/>
      <w:lvlJc w:val="left"/>
      <w:pPr>
        <w:tabs>
          <w:tab w:val="num" w:pos="360"/>
        </w:tabs>
        <w:ind w:left="360" w:hanging="360"/>
      </w:pPr>
    </w:lvl>
  </w:abstractNum>
  <w:abstractNum w:abstractNumId="9">
    <w:nsid w:val="FFFFFF89"/>
    <w:multiLevelType w:val="singleLevel"/>
    <w:tmpl w:val="BD48053C"/>
    <w:lvl w:ilvl="0">
      <w:start w:val="1"/>
      <w:numFmt w:val="bullet"/>
      <w:lvlText w:val=""/>
      <w:lvlJc w:val="left"/>
      <w:pPr>
        <w:tabs>
          <w:tab w:val="num" w:pos="360"/>
        </w:tabs>
        <w:ind w:left="360" w:hanging="360"/>
      </w:pPr>
      <w:rPr>
        <w:rFonts w:ascii="Symbol" w:hAnsi="Symbol" w:hint="default"/>
      </w:rPr>
    </w:lvl>
  </w:abstractNum>
  <w:abstractNum w:abstractNumId="10">
    <w:nsid w:val="00E924E5"/>
    <w:multiLevelType w:val="hybridMultilevel"/>
    <w:tmpl w:val="91B65E08"/>
    <w:lvl w:ilvl="0" w:tplc="AEA0C03A">
      <w:start w:val="1"/>
      <w:numFmt w:val="bullet"/>
      <w:pStyle w:val="AufzhlungFlietext2"/>
      <w:lvlText w:val="-"/>
      <w:lvlJc w:val="left"/>
      <w:pPr>
        <w:tabs>
          <w:tab w:val="num" w:pos="851"/>
        </w:tabs>
        <w:ind w:left="851" w:hanging="851"/>
      </w:pPr>
      <w:rPr>
        <w:rFonts w:ascii="Verdana" w:hAnsi="Verdana" w:hint="default"/>
        <w:color w:val="800033"/>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51654B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D4705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DB300E"/>
    <w:multiLevelType w:val="multilevel"/>
    <w:tmpl w:val="8F8C8F1E"/>
    <w:numStyleLink w:val="111111"/>
  </w:abstractNum>
  <w:abstractNum w:abstractNumId="14">
    <w:nsid w:val="35A255A7"/>
    <w:multiLevelType w:val="multilevel"/>
    <w:tmpl w:val="8F8C8F1E"/>
    <w:styleLink w:val="111111"/>
    <w:lvl w:ilvl="0">
      <w:start w:val="1"/>
      <w:numFmt w:val="decimal"/>
      <w:pStyle w:val="Aufzhlung1"/>
      <w:lvlText w:val="%1."/>
      <w:lvlJc w:val="left"/>
      <w:pPr>
        <w:tabs>
          <w:tab w:val="num" w:pos="851"/>
        </w:tabs>
        <w:ind w:left="851" w:hanging="851"/>
      </w:pPr>
      <w:rPr>
        <w:rFonts w:ascii="Verdana" w:hAnsi="Verdana" w:hint="default"/>
        <w:color w:val="000000"/>
        <w:sz w:val="24"/>
        <w:szCs w:val="24"/>
      </w:rPr>
    </w:lvl>
    <w:lvl w:ilvl="1">
      <w:start w:val="1"/>
      <w:numFmt w:val="decimal"/>
      <w:pStyle w:val="Aufzhlung2"/>
      <w:lvlText w:val="%1.%2"/>
      <w:lvlJc w:val="left"/>
      <w:pPr>
        <w:tabs>
          <w:tab w:val="num" w:pos="851"/>
        </w:tabs>
        <w:ind w:left="851" w:hanging="851"/>
      </w:pPr>
      <w:rPr>
        <w:rFonts w:hint="default"/>
      </w:rPr>
    </w:lvl>
    <w:lvl w:ilvl="2">
      <w:start w:val="1"/>
      <w:numFmt w:val="decimal"/>
      <w:pStyle w:val="Aufzhlung3"/>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D79028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7357AA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F007F1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691BC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23179B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82A08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DA417E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BA3FC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6743D42"/>
    <w:multiLevelType w:val="multilevel"/>
    <w:tmpl w:val="8F8C8F1E"/>
    <w:numStyleLink w:val="111111"/>
  </w:abstractNum>
  <w:abstractNum w:abstractNumId="24">
    <w:nsid w:val="7672536A"/>
    <w:multiLevelType w:val="hybridMultilevel"/>
    <w:tmpl w:val="C3BEF946"/>
    <w:lvl w:ilvl="0" w:tplc="CAC8DB04">
      <w:start w:val="1"/>
      <w:numFmt w:val="bullet"/>
      <w:pStyle w:val="AufzhlungFlietext1"/>
      <w:lvlText w:val=""/>
      <w:lvlJc w:val="left"/>
      <w:pPr>
        <w:tabs>
          <w:tab w:val="num" w:pos="0"/>
        </w:tabs>
        <w:ind w:left="0" w:firstLine="0"/>
      </w:pPr>
      <w:rPr>
        <w:rFonts w:ascii="Wingdings" w:hAnsi="Wingdings" w:hint="default"/>
        <w:color w:val="8000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16"/>
  </w:num>
  <w:num w:numId="14">
    <w:abstractNumId w:val="11"/>
  </w:num>
  <w:num w:numId="15">
    <w:abstractNumId w:val="14"/>
  </w:num>
  <w:num w:numId="16">
    <w:abstractNumId w:val="13"/>
  </w:num>
  <w:num w:numId="17">
    <w:abstractNumId w:val="23"/>
  </w:num>
  <w:num w:numId="18">
    <w:abstractNumId w:val="20"/>
  </w:num>
  <w:num w:numId="19">
    <w:abstractNumId w:val="24"/>
  </w:num>
  <w:num w:numId="20">
    <w:abstractNumId w:val="21"/>
  </w:num>
  <w:num w:numId="21">
    <w:abstractNumId w:val="18"/>
  </w:num>
  <w:num w:numId="22">
    <w:abstractNumId w:val="12"/>
  </w:num>
  <w:num w:numId="23">
    <w:abstractNumId w:val="17"/>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9"/>
  <w:autoHyphenation/>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96"/>
    <w:rsid w:val="00034B0D"/>
    <w:rsid w:val="000434E7"/>
    <w:rsid w:val="0005469F"/>
    <w:rsid w:val="00064B84"/>
    <w:rsid w:val="00066540"/>
    <w:rsid w:val="00066654"/>
    <w:rsid w:val="00073197"/>
    <w:rsid w:val="00081FF2"/>
    <w:rsid w:val="000A44FE"/>
    <w:rsid w:val="000B4299"/>
    <w:rsid w:val="000B5287"/>
    <w:rsid w:val="000B799E"/>
    <w:rsid w:val="000C4CB9"/>
    <w:rsid w:val="00116BD9"/>
    <w:rsid w:val="001216C1"/>
    <w:rsid w:val="00154F08"/>
    <w:rsid w:val="00170117"/>
    <w:rsid w:val="00175026"/>
    <w:rsid w:val="00184A63"/>
    <w:rsid w:val="001931F4"/>
    <w:rsid w:val="001B0C84"/>
    <w:rsid w:val="001B4798"/>
    <w:rsid w:val="001C16A2"/>
    <w:rsid w:val="001C5BF7"/>
    <w:rsid w:val="001F387E"/>
    <w:rsid w:val="00224775"/>
    <w:rsid w:val="00232FA4"/>
    <w:rsid w:val="00243BBC"/>
    <w:rsid w:val="00281DDE"/>
    <w:rsid w:val="00297444"/>
    <w:rsid w:val="002C2D38"/>
    <w:rsid w:val="002C3EB8"/>
    <w:rsid w:val="002D369A"/>
    <w:rsid w:val="002D52E3"/>
    <w:rsid w:val="002E531F"/>
    <w:rsid w:val="003058A9"/>
    <w:rsid w:val="0031758A"/>
    <w:rsid w:val="00324B88"/>
    <w:rsid w:val="00325F52"/>
    <w:rsid w:val="003614F4"/>
    <w:rsid w:val="003847EA"/>
    <w:rsid w:val="003952B8"/>
    <w:rsid w:val="003A0D7B"/>
    <w:rsid w:val="003C7B41"/>
    <w:rsid w:val="00406FD2"/>
    <w:rsid w:val="00407920"/>
    <w:rsid w:val="004157E8"/>
    <w:rsid w:val="00442122"/>
    <w:rsid w:val="004423E5"/>
    <w:rsid w:val="00446887"/>
    <w:rsid w:val="00483830"/>
    <w:rsid w:val="004B68D4"/>
    <w:rsid w:val="004D12CF"/>
    <w:rsid w:val="004D23DA"/>
    <w:rsid w:val="00503FD0"/>
    <w:rsid w:val="0050651E"/>
    <w:rsid w:val="00520E99"/>
    <w:rsid w:val="005362EF"/>
    <w:rsid w:val="00540310"/>
    <w:rsid w:val="0054691F"/>
    <w:rsid w:val="00574433"/>
    <w:rsid w:val="005D4354"/>
    <w:rsid w:val="005D50FA"/>
    <w:rsid w:val="005E75AD"/>
    <w:rsid w:val="005F082C"/>
    <w:rsid w:val="005F70EE"/>
    <w:rsid w:val="00624B72"/>
    <w:rsid w:val="00624B9B"/>
    <w:rsid w:val="0063518B"/>
    <w:rsid w:val="00657DF9"/>
    <w:rsid w:val="00661275"/>
    <w:rsid w:val="00661A75"/>
    <w:rsid w:val="00667185"/>
    <w:rsid w:val="00677F4D"/>
    <w:rsid w:val="006A2E70"/>
    <w:rsid w:val="006A692B"/>
    <w:rsid w:val="006A72B5"/>
    <w:rsid w:val="006B166E"/>
    <w:rsid w:val="006B1766"/>
    <w:rsid w:val="006B7B06"/>
    <w:rsid w:val="006D25E3"/>
    <w:rsid w:val="006D283E"/>
    <w:rsid w:val="00720082"/>
    <w:rsid w:val="00733CD3"/>
    <w:rsid w:val="00743EF3"/>
    <w:rsid w:val="00744DA6"/>
    <w:rsid w:val="00753A54"/>
    <w:rsid w:val="007671C4"/>
    <w:rsid w:val="007762AE"/>
    <w:rsid w:val="00776710"/>
    <w:rsid w:val="007861A5"/>
    <w:rsid w:val="0078794C"/>
    <w:rsid w:val="007B0153"/>
    <w:rsid w:val="007E1BAB"/>
    <w:rsid w:val="007E2949"/>
    <w:rsid w:val="007F3AD4"/>
    <w:rsid w:val="0080115D"/>
    <w:rsid w:val="00804D4D"/>
    <w:rsid w:val="00810EAC"/>
    <w:rsid w:val="00810F2E"/>
    <w:rsid w:val="0081538A"/>
    <w:rsid w:val="0082312A"/>
    <w:rsid w:val="008372C0"/>
    <w:rsid w:val="0084623B"/>
    <w:rsid w:val="00851E9C"/>
    <w:rsid w:val="00852035"/>
    <w:rsid w:val="00861393"/>
    <w:rsid w:val="00883BCB"/>
    <w:rsid w:val="00884D52"/>
    <w:rsid w:val="008874F6"/>
    <w:rsid w:val="008A05B7"/>
    <w:rsid w:val="008C0C9A"/>
    <w:rsid w:val="008E7DBF"/>
    <w:rsid w:val="008F370C"/>
    <w:rsid w:val="00927F6E"/>
    <w:rsid w:val="00942DCF"/>
    <w:rsid w:val="00947609"/>
    <w:rsid w:val="0095324D"/>
    <w:rsid w:val="009568A8"/>
    <w:rsid w:val="009600AB"/>
    <w:rsid w:val="00964CE9"/>
    <w:rsid w:val="00973C90"/>
    <w:rsid w:val="00981D53"/>
    <w:rsid w:val="009B52E6"/>
    <w:rsid w:val="009C52DB"/>
    <w:rsid w:val="009D591E"/>
    <w:rsid w:val="009E130E"/>
    <w:rsid w:val="00A003D0"/>
    <w:rsid w:val="00A0192B"/>
    <w:rsid w:val="00A0387E"/>
    <w:rsid w:val="00A33B03"/>
    <w:rsid w:val="00A43F2B"/>
    <w:rsid w:val="00A612DD"/>
    <w:rsid w:val="00A773BA"/>
    <w:rsid w:val="00A82498"/>
    <w:rsid w:val="00A921F5"/>
    <w:rsid w:val="00AB0DA2"/>
    <w:rsid w:val="00AB2C4E"/>
    <w:rsid w:val="00AB3477"/>
    <w:rsid w:val="00AD15D0"/>
    <w:rsid w:val="00AD6E88"/>
    <w:rsid w:val="00AE426E"/>
    <w:rsid w:val="00B069AB"/>
    <w:rsid w:val="00B1243E"/>
    <w:rsid w:val="00B160BF"/>
    <w:rsid w:val="00B17D1F"/>
    <w:rsid w:val="00B22128"/>
    <w:rsid w:val="00B31C16"/>
    <w:rsid w:val="00B33F97"/>
    <w:rsid w:val="00B37DA4"/>
    <w:rsid w:val="00B44DE4"/>
    <w:rsid w:val="00B461CD"/>
    <w:rsid w:val="00B52E07"/>
    <w:rsid w:val="00B5350B"/>
    <w:rsid w:val="00B56AE7"/>
    <w:rsid w:val="00B8413D"/>
    <w:rsid w:val="00B90025"/>
    <w:rsid w:val="00B9734B"/>
    <w:rsid w:val="00BA4A4E"/>
    <w:rsid w:val="00BB05A9"/>
    <w:rsid w:val="00BD0C97"/>
    <w:rsid w:val="00BE3A89"/>
    <w:rsid w:val="00BF3C26"/>
    <w:rsid w:val="00C029FA"/>
    <w:rsid w:val="00C03FED"/>
    <w:rsid w:val="00C125A1"/>
    <w:rsid w:val="00C36757"/>
    <w:rsid w:val="00C7157D"/>
    <w:rsid w:val="00C810F3"/>
    <w:rsid w:val="00C85196"/>
    <w:rsid w:val="00C85A90"/>
    <w:rsid w:val="00C91805"/>
    <w:rsid w:val="00C918E7"/>
    <w:rsid w:val="00CC289D"/>
    <w:rsid w:val="00CC4D58"/>
    <w:rsid w:val="00CC720A"/>
    <w:rsid w:val="00CD38FC"/>
    <w:rsid w:val="00CE215B"/>
    <w:rsid w:val="00CE6EDF"/>
    <w:rsid w:val="00CF3D46"/>
    <w:rsid w:val="00D16CC7"/>
    <w:rsid w:val="00D23DF2"/>
    <w:rsid w:val="00D35C1B"/>
    <w:rsid w:val="00D420D7"/>
    <w:rsid w:val="00D50DC7"/>
    <w:rsid w:val="00D5172D"/>
    <w:rsid w:val="00D74088"/>
    <w:rsid w:val="00D76B75"/>
    <w:rsid w:val="00D931F7"/>
    <w:rsid w:val="00DC28C2"/>
    <w:rsid w:val="00DD3B62"/>
    <w:rsid w:val="00DF11C9"/>
    <w:rsid w:val="00DF1A97"/>
    <w:rsid w:val="00E00784"/>
    <w:rsid w:val="00E8480E"/>
    <w:rsid w:val="00EB48B4"/>
    <w:rsid w:val="00EB77F6"/>
    <w:rsid w:val="00EC000A"/>
    <w:rsid w:val="00EE7813"/>
    <w:rsid w:val="00EF3B53"/>
    <w:rsid w:val="00F0514A"/>
    <w:rsid w:val="00F27041"/>
    <w:rsid w:val="00F3637A"/>
    <w:rsid w:val="00F416D2"/>
    <w:rsid w:val="00F45A5A"/>
    <w:rsid w:val="00F47B88"/>
    <w:rsid w:val="00F65660"/>
    <w:rsid w:val="00F8656D"/>
    <w:rsid w:val="00FD04C3"/>
    <w:rsid w:val="00FD5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index heading" w:locked="1"/>
    <w:lsdException w:name="caption" w:locked="1" w:qFormat="1"/>
    <w:lsdException w:name="table of figures" w:locked="1"/>
    <w:lsdException w:name="envelope address" w:locked="1"/>
    <w:lsdException w:name="envelope return"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semiHidden="0" w:unhideWhenUsed="0"/>
    <w:lsdException w:name="Body Text First Indent" w:locked="1" w:semiHidden="0" w:unhideWhenUsed="0"/>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semiHidden="0" w:unhideWhenUsed="0" w:qFormat="1"/>
    <w:lsdException w:name="Emphasis" w:locked="1" w:semiHidden="0" w:unhideWhenUsed="0"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7444"/>
    <w:pPr>
      <w:spacing w:line="280" w:lineRule="exact"/>
    </w:pPr>
    <w:rPr>
      <w:rFonts w:ascii="Verdana" w:hAnsi="Verdana"/>
      <w:color w:val="000000"/>
      <w:sz w:val="18"/>
      <w:szCs w:val="24"/>
    </w:rPr>
  </w:style>
  <w:style w:type="paragraph" w:styleId="berschrift1">
    <w:name w:val="heading 1"/>
    <w:basedOn w:val="Standard"/>
    <w:next w:val="Standard"/>
    <w:qFormat/>
    <w:rsid w:val="00297444"/>
    <w:pPr>
      <w:keepNext/>
      <w:spacing w:line="480" w:lineRule="auto"/>
      <w:outlineLvl w:val="0"/>
    </w:pPr>
    <w:rPr>
      <w:rFonts w:cs="Arial"/>
      <w:b/>
      <w:bCs/>
      <w:color w:val="333333"/>
      <w:sz w:val="28"/>
      <w:szCs w:val="28"/>
    </w:rPr>
  </w:style>
  <w:style w:type="paragraph" w:styleId="berschrift2">
    <w:name w:val="heading 2"/>
    <w:basedOn w:val="Standard"/>
    <w:next w:val="Standard"/>
    <w:qFormat/>
    <w:rsid w:val="00297444"/>
    <w:pPr>
      <w:keepNext/>
      <w:spacing w:line="480" w:lineRule="auto"/>
      <w:outlineLvl w:val="1"/>
    </w:pPr>
    <w:rPr>
      <w:rFonts w:cs="Arial"/>
      <w:b/>
      <w:bCs/>
      <w:iCs/>
      <w:sz w:val="24"/>
    </w:rPr>
  </w:style>
  <w:style w:type="paragraph" w:styleId="berschrift3">
    <w:name w:val="heading 3"/>
    <w:basedOn w:val="Standard"/>
    <w:next w:val="Standard"/>
    <w:qFormat/>
    <w:rsid w:val="00297444"/>
    <w:pPr>
      <w:keepNext/>
      <w:spacing w:line="480" w:lineRule="auto"/>
      <w:outlineLvl w:val="2"/>
    </w:pPr>
    <w:rPr>
      <w:rFonts w:cs="Arial"/>
      <w:b/>
      <w:bCs/>
      <w:sz w:val="20"/>
      <w:szCs w:val="20"/>
    </w:rPr>
  </w:style>
  <w:style w:type="paragraph" w:styleId="berschrift4">
    <w:name w:val="heading 4"/>
    <w:basedOn w:val="Standard"/>
    <w:next w:val="Standard"/>
    <w:qFormat/>
    <w:rsid w:val="00297444"/>
    <w:pPr>
      <w:keepNext/>
      <w:spacing w:line="240" w:lineRule="auto"/>
      <w:outlineLvl w:val="3"/>
    </w:pPr>
    <w:rPr>
      <w:b/>
      <w:bCs/>
      <w:szCs w:val="18"/>
    </w:rPr>
  </w:style>
  <w:style w:type="paragraph" w:styleId="berschrift5">
    <w:name w:val="heading 5"/>
    <w:basedOn w:val="Standard"/>
    <w:next w:val="Standard"/>
    <w:qFormat/>
    <w:locked/>
    <w:rsid w:val="00CE6EDF"/>
    <w:pPr>
      <w:spacing w:before="240" w:after="60"/>
      <w:outlineLvl w:val="4"/>
    </w:pPr>
    <w:rPr>
      <w:b/>
      <w:bCs/>
      <w:i/>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ocked/>
    <w:rsid w:val="00CE6EDF"/>
    <w:pPr>
      <w:tabs>
        <w:tab w:val="center" w:pos="4536"/>
        <w:tab w:val="right" w:pos="9072"/>
      </w:tabs>
    </w:pPr>
  </w:style>
  <w:style w:type="paragraph" w:styleId="Fuzeile">
    <w:name w:val="footer"/>
    <w:basedOn w:val="Standard"/>
    <w:locked/>
    <w:rsid w:val="00CE6EDF"/>
    <w:pPr>
      <w:tabs>
        <w:tab w:val="center" w:pos="4536"/>
        <w:tab w:val="right" w:pos="9072"/>
      </w:tabs>
    </w:pPr>
  </w:style>
  <w:style w:type="paragraph" w:customStyle="1" w:styleId="Adressfeld">
    <w:name w:val="Adressfeld"/>
    <w:basedOn w:val="Standard"/>
    <w:rsid w:val="00297444"/>
    <w:pPr>
      <w:framePr w:w="4820" w:h="2155" w:hRule="exact" w:wrap="around" w:vAnchor="page" w:hAnchor="page" w:x="1141" w:y="3006" w:anchorLock="1"/>
      <w:spacing w:line="240" w:lineRule="exact"/>
    </w:pPr>
  </w:style>
  <w:style w:type="paragraph" w:styleId="Sprechblasentext">
    <w:name w:val="Balloon Text"/>
    <w:basedOn w:val="Standard"/>
    <w:link w:val="SprechblasentextZchn"/>
    <w:locked/>
    <w:rsid w:val="00CE6EDF"/>
    <w:pPr>
      <w:spacing w:line="240" w:lineRule="auto"/>
    </w:pPr>
    <w:rPr>
      <w:rFonts w:ascii="Tahoma" w:hAnsi="Tahoma" w:cs="Tahoma"/>
      <w:sz w:val="16"/>
      <w:szCs w:val="16"/>
    </w:rPr>
  </w:style>
  <w:style w:type="paragraph" w:customStyle="1" w:styleId="Adresse">
    <w:name w:val="Adresse"/>
    <w:basedOn w:val="Standard"/>
    <w:locked/>
    <w:rsid w:val="00884D52"/>
    <w:pPr>
      <w:spacing w:line="240" w:lineRule="exact"/>
    </w:pPr>
  </w:style>
  <w:style w:type="paragraph" w:customStyle="1" w:styleId="Federfhrer">
    <w:name w:val="Federführer"/>
    <w:basedOn w:val="Standard"/>
    <w:locked/>
    <w:rsid w:val="00CE6EDF"/>
    <w:pPr>
      <w:spacing w:line="240" w:lineRule="exact"/>
    </w:pPr>
    <w:rPr>
      <w:color w:val="3E5A6B"/>
      <w:sz w:val="14"/>
      <w:szCs w:val="14"/>
    </w:rPr>
  </w:style>
  <w:style w:type="paragraph" w:customStyle="1" w:styleId="02Textschwarz10ptZAB14PTFlietextundAuszeichnungen">
    <w:name w:val="02_Text  schwarz 10 pt ZAB 14 PT (Fließtext und Auszeichnungen)"/>
    <w:basedOn w:val="Standard"/>
    <w:locked/>
    <w:rsid w:val="00EB77F6"/>
    <w:pPr>
      <w:autoSpaceDE w:val="0"/>
      <w:autoSpaceDN w:val="0"/>
      <w:adjustRightInd w:val="0"/>
      <w:spacing w:line="280" w:lineRule="atLeast"/>
      <w:textAlignment w:val="center"/>
    </w:pPr>
    <w:rPr>
      <w:rFonts w:cs="Verdana"/>
      <w:sz w:val="20"/>
      <w:szCs w:val="20"/>
    </w:rPr>
  </w:style>
  <w:style w:type="character" w:customStyle="1" w:styleId="SprechblasentextZchn">
    <w:name w:val="Sprechblasentext Zchn"/>
    <w:link w:val="Sprechblasentext"/>
    <w:locked/>
    <w:rsid w:val="00CE6EDF"/>
    <w:rPr>
      <w:rFonts w:ascii="Tahoma" w:hAnsi="Tahoma" w:cs="Tahoma"/>
      <w:color w:val="000000"/>
      <w:sz w:val="16"/>
      <w:szCs w:val="16"/>
      <w:lang w:val="en-GB" w:eastAsia="en-GB" w:bidi="en-GB"/>
    </w:rPr>
  </w:style>
  <w:style w:type="character" w:styleId="Seitenzahl">
    <w:name w:val="page number"/>
    <w:basedOn w:val="Absatz-Standardschriftart"/>
    <w:locked/>
    <w:rsid w:val="00CE6EDF"/>
  </w:style>
  <w:style w:type="character" w:styleId="Hyperlink">
    <w:name w:val="Hyperlink"/>
    <w:locked/>
    <w:rsid w:val="00CE6EDF"/>
    <w:rPr>
      <w:color w:val="0000FF"/>
      <w:u w:val="single"/>
    </w:rPr>
  </w:style>
  <w:style w:type="paragraph" w:styleId="Dokumentstruktur">
    <w:name w:val="Document Map"/>
    <w:basedOn w:val="Standard"/>
    <w:semiHidden/>
    <w:locked/>
    <w:rsid w:val="00CE6EDF"/>
    <w:pPr>
      <w:shd w:val="clear" w:color="auto" w:fill="000080"/>
    </w:pPr>
    <w:rPr>
      <w:rFonts w:ascii="Tahoma" w:hAnsi="Tahoma" w:cs="Tahoma"/>
      <w:sz w:val="20"/>
      <w:szCs w:val="20"/>
    </w:rPr>
  </w:style>
  <w:style w:type="paragraph" w:styleId="Fu-Endnotenberschrift">
    <w:name w:val="Note Heading"/>
    <w:basedOn w:val="Standard"/>
    <w:next w:val="Standard"/>
    <w:locked/>
    <w:rsid w:val="00CE6EDF"/>
    <w:pPr>
      <w:spacing w:line="240" w:lineRule="exact"/>
    </w:pPr>
    <w:rPr>
      <w:color w:val="333333"/>
      <w:sz w:val="14"/>
      <w:szCs w:val="14"/>
    </w:rPr>
  </w:style>
  <w:style w:type="paragraph" w:customStyle="1" w:styleId="Zitateingerckt">
    <w:name w:val="Zitat eingerückt"/>
    <w:basedOn w:val="Standard"/>
    <w:locked/>
    <w:rsid w:val="00CE6EDF"/>
    <w:pPr>
      <w:ind w:left="567"/>
    </w:pPr>
    <w:rPr>
      <w:i/>
      <w:color w:val="58595B"/>
      <w:szCs w:val="18"/>
    </w:rPr>
  </w:style>
  <w:style w:type="paragraph" w:customStyle="1" w:styleId="Abstract">
    <w:name w:val="Abstract"/>
    <w:basedOn w:val="Standard"/>
    <w:rsid w:val="00297444"/>
    <w:rPr>
      <w:i/>
      <w:color w:val="333333"/>
      <w:szCs w:val="18"/>
    </w:rPr>
  </w:style>
  <w:style w:type="paragraph" w:styleId="Funotentext">
    <w:name w:val="footnote text"/>
    <w:aliases w:val="Fußnote"/>
    <w:basedOn w:val="Standard"/>
    <w:rsid w:val="00297444"/>
    <w:pPr>
      <w:spacing w:line="240" w:lineRule="exact"/>
      <w:ind w:left="142" w:hanging="142"/>
    </w:pPr>
    <w:rPr>
      <w:color w:val="333333"/>
      <w:sz w:val="14"/>
      <w:szCs w:val="14"/>
    </w:rPr>
  </w:style>
  <w:style w:type="character" w:styleId="Funotenzeichen">
    <w:name w:val="footnote reference"/>
    <w:locked/>
    <w:rsid w:val="00CE6EDF"/>
    <w:rPr>
      <w:vertAlign w:val="superscript"/>
    </w:rPr>
  </w:style>
  <w:style w:type="paragraph" w:customStyle="1" w:styleId="Absenderzeile">
    <w:name w:val="Absenderzeile"/>
    <w:basedOn w:val="Standard"/>
    <w:rsid w:val="00297444"/>
    <w:pPr>
      <w:framePr w:w="5387" w:h="227" w:hRule="exact" w:wrap="around" w:vAnchor="page" w:hAnchor="page" w:x="1135" w:y="2666" w:anchorLock="1"/>
      <w:spacing w:line="240" w:lineRule="exact"/>
    </w:pPr>
    <w:rPr>
      <w:color w:val="333333"/>
      <w:sz w:val="14"/>
      <w:szCs w:val="14"/>
    </w:rPr>
  </w:style>
  <w:style w:type="paragraph" w:customStyle="1" w:styleId="Aufzhlung1">
    <w:name w:val="Aufzählung 1"/>
    <w:basedOn w:val="Standard"/>
    <w:next w:val="Standard"/>
    <w:rsid w:val="00297444"/>
    <w:pPr>
      <w:numPr>
        <w:numId w:val="15"/>
      </w:numPr>
      <w:tabs>
        <w:tab w:val="num" w:pos="5670"/>
      </w:tabs>
      <w:spacing w:before="280" w:after="120"/>
    </w:pPr>
    <w:rPr>
      <w:b/>
      <w:sz w:val="24"/>
    </w:rPr>
  </w:style>
  <w:style w:type="paragraph" w:styleId="Datum">
    <w:name w:val="Date"/>
    <w:basedOn w:val="Standard"/>
    <w:next w:val="Standard"/>
    <w:rsid w:val="00297444"/>
    <w:pPr>
      <w:framePr w:w="2268" w:h="510" w:hRule="exact" w:wrap="around" w:hAnchor="page" w:x="8495" w:y="5762" w:anchorLock="1"/>
    </w:pPr>
  </w:style>
  <w:style w:type="paragraph" w:customStyle="1" w:styleId="Marginalspalte">
    <w:name w:val="Marginalspalte"/>
    <w:basedOn w:val="Standard"/>
    <w:rsid w:val="00297444"/>
    <w:pPr>
      <w:spacing w:line="240" w:lineRule="exact"/>
    </w:pPr>
    <w:rPr>
      <w:color w:val="333333"/>
      <w:sz w:val="14"/>
      <w:szCs w:val="14"/>
    </w:rPr>
  </w:style>
  <w:style w:type="paragraph" w:customStyle="1" w:styleId="Zitat1">
    <w:name w:val="Zitat1"/>
    <w:basedOn w:val="Standard"/>
    <w:qFormat/>
    <w:rsid w:val="00297444"/>
    <w:pPr>
      <w:ind w:left="567"/>
    </w:pPr>
    <w:rPr>
      <w:i/>
      <w:color w:val="333333"/>
      <w:szCs w:val="18"/>
    </w:rPr>
  </w:style>
  <w:style w:type="paragraph" w:styleId="Titel">
    <w:name w:val="Title"/>
    <w:basedOn w:val="Standard"/>
    <w:qFormat/>
    <w:rsid w:val="00297444"/>
    <w:pPr>
      <w:spacing w:line="440" w:lineRule="exact"/>
      <w:outlineLvl w:val="0"/>
    </w:pPr>
    <w:rPr>
      <w:rFonts w:ascii="Arial" w:hAnsi="Arial" w:cs="Arial"/>
      <w:bCs/>
      <w:color w:val="800033"/>
      <w:kern w:val="28"/>
      <w:sz w:val="40"/>
      <w:szCs w:val="40"/>
    </w:rPr>
  </w:style>
  <w:style w:type="paragraph" w:customStyle="1" w:styleId="Aufzhlung2">
    <w:name w:val="Aufzählung 2"/>
    <w:basedOn w:val="Aufzhlung1"/>
    <w:next w:val="Standard"/>
    <w:rsid w:val="00297444"/>
    <w:pPr>
      <w:numPr>
        <w:ilvl w:val="1"/>
      </w:numPr>
      <w:spacing w:before="0" w:after="0" w:line="300" w:lineRule="exact"/>
    </w:pPr>
    <w:rPr>
      <w:sz w:val="20"/>
      <w:szCs w:val="20"/>
    </w:rPr>
  </w:style>
  <w:style w:type="paragraph" w:customStyle="1" w:styleId="Aufzhlung3">
    <w:name w:val="Aufzählung 3"/>
    <w:basedOn w:val="Aufzhlung2"/>
    <w:next w:val="Standard"/>
    <w:rsid w:val="00297444"/>
    <w:pPr>
      <w:numPr>
        <w:ilvl w:val="2"/>
      </w:numPr>
      <w:spacing w:line="280" w:lineRule="exact"/>
    </w:pPr>
    <w:rPr>
      <w:b w:val="0"/>
      <w:sz w:val="18"/>
      <w:szCs w:val="18"/>
    </w:rPr>
  </w:style>
  <w:style w:type="paragraph" w:customStyle="1" w:styleId="AufzhlungFlietext1">
    <w:name w:val="Aufzählung Fließtext1"/>
    <w:basedOn w:val="Standard"/>
    <w:rsid w:val="00297444"/>
    <w:pPr>
      <w:numPr>
        <w:numId w:val="19"/>
      </w:numPr>
      <w:tabs>
        <w:tab w:val="clear" w:pos="0"/>
        <w:tab w:val="left" w:pos="567"/>
      </w:tabs>
    </w:pPr>
    <w:rPr>
      <w:szCs w:val="18"/>
    </w:rPr>
  </w:style>
  <w:style w:type="paragraph" w:customStyle="1" w:styleId="AufzhlungFlietext2">
    <w:name w:val="Aufzählung Fließtext2"/>
    <w:basedOn w:val="AufzhlungFlietext1"/>
    <w:rsid w:val="00297444"/>
    <w:pPr>
      <w:numPr>
        <w:numId w:val="11"/>
      </w:numPr>
      <w:tabs>
        <w:tab w:val="clear" w:pos="567"/>
      </w:tabs>
      <w:ind w:left="511" w:hanging="227"/>
    </w:pPr>
  </w:style>
  <w:style w:type="paragraph" w:customStyle="1" w:styleId="AufzhlungFlietext3">
    <w:name w:val="Aufzählung Fließtext3"/>
    <w:basedOn w:val="AufzhlungFlietext2"/>
    <w:rsid w:val="00297444"/>
    <w:pPr>
      <w:ind w:left="737"/>
    </w:pPr>
  </w:style>
  <w:style w:type="paragraph" w:customStyle="1" w:styleId="Flietext">
    <w:name w:val="Fließtext"/>
    <w:basedOn w:val="Standard"/>
    <w:rsid w:val="00297444"/>
  </w:style>
  <w:style w:type="paragraph" w:customStyle="1" w:styleId="MarginalDokumentInfoDK">
    <w:name w:val="MarginalDokumentInfoDK"/>
    <w:basedOn w:val="Standard"/>
    <w:rsid w:val="00297444"/>
    <w:pPr>
      <w:framePr w:w="2999" w:h="3005" w:hRule="exact" w:wrap="around" w:vAnchor="page" w:hAnchor="page" w:x="8245" w:y="7627" w:anchorLock="1"/>
      <w:shd w:val="solid" w:color="FFFFFF" w:fill="FFFFFF"/>
      <w:tabs>
        <w:tab w:val="left" w:pos="720"/>
      </w:tabs>
    </w:pPr>
    <w:rPr>
      <w:color w:val="333333"/>
      <w:sz w:val="14"/>
      <w:szCs w:val="14"/>
    </w:rPr>
  </w:style>
  <w:style w:type="paragraph" w:customStyle="1" w:styleId="MarginalDokumentInfoBdB">
    <w:name w:val="MarginalDokumentInfoBdB"/>
    <w:basedOn w:val="MarginalDokumentInfoDK"/>
    <w:rsid w:val="00297444"/>
    <w:pPr>
      <w:framePr w:wrap="around" w:x="8495" w:y="6465"/>
    </w:pPr>
  </w:style>
  <w:style w:type="numbering" w:styleId="111111">
    <w:name w:val="Outline List 2"/>
    <w:basedOn w:val="KeineListe"/>
    <w:rsid w:val="00297444"/>
    <w:pPr>
      <w:numPr>
        <w:numId w:val="15"/>
      </w:numPr>
    </w:pPr>
  </w:style>
  <w:style w:type="paragraph" w:customStyle="1" w:styleId="Subtitel">
    <w:name w:val="Subtitel"/>
    <w:basedOn w:val="Titel"/>
    <w:next w:val="Flietext"/>
    <w:rsid w:val="00297444"/>
    <w:pPr>
      <w:spacing w:line="400" w:lineRule="exact"/>
    </w:pPr>
    <w:rPr>
      <w:rFonts w:ascii="Verdana" w:hAnsi="Verdana"/>
      <w:color w:val="000000"/>
      <w:sz w:val="28"/>
      <w:szCs w:val="28"/>
    </w:rPr>
  </w:style>
  <w:style w:type="paragraph" w:customStyle="1" w:styleId="Betreff">
    <w:name w:val="Betreff"/>
    <w:basedOn w:val="Standard"/>
    <w:rsid w:val="00297444"/>
    <w:pPr>
      <w:spacing w:line="240" w:lineRule="exact"/>
    </w:pPr>
    <w:rPr>
      <w:b/>
      <w:szCs w:val="18"/>
    </w:rPr>
  </w:style>
  <w:style w:type="paragraph" w:customStyle="1" w:styleId="Default">
    <w:name w:val="Default"/>
    <w:rsid w:val="00C85196"/>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sid w:val="00927F6E"/>
    <w:rPr>
      <w:sz w:val="16"/>
      <w:szCs w:val="16"/>
    </w:rPr>
  </w:style>
  <w:style w:type="paragraph" w:styleId="Kommentartext">
    <w:name w:val="annotation text"/>
    <w:link w:val="KommentartextZchn"/>
    <w:uiPriority w:val="99"/>
    <w:semiHidden/>
    <w:unhideWhenUsed/>
    <w:rsid w:val="00927F6E"/>
  </w:style>
  <w:style w:type="character" w:customStyle="1" w:styleId="KommentartextZchn">
    <w:name w:val="Kommentartext Zchn"/>
    <w:link w:val="Kommentartext"/>
    <w:rsid w:val="00073197"/>
    <w:rPr>
      <w:rFonts w:ascii="Verdana" w:hAnsi="Verdana"/>
      <w:color w:val="000000"/>
    </w:rPr>
  </w:style>
  <w:style w:type="paragraph" w:styleId="Kommentarthema">
    <w:name w:val="annotation subject"/>
    <w:basedOn w:val="Kommentartext"/>
    <w:next w:val="Kommentartext"/>
    <w:link w:val="KommentarthemaZchn"/>
    <w:locked/>
    <w:rsid w:val="00073197"/>
    <w:rPr>
      <w:b/>
      <w:bCs/>
    </w:rPr>
  </w:style>
  <w:style w:type="character" w:customStyle="1" w:styleId="KommentarthemaZchn">
    <w:name w:val="Kommentarthema Zchn"/>
    <w:link w:val="Kommentarthema"/>
    <w:rsid w:val="00073197"/>
    <w:rPr>
      <w:rFonts w:ascii="Verdana" w:hAnsi="Verdana"/>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index heading" w:locked="1"/>
    <w:lsdException w:name="caption" w:locked="1" w:qFormat="1"/>
    <w:lsdException w:name="table of figures" w:locked="1"/>
    <w:lsdException w:name="envelope address" w:locked="1"/>
    <w:lsdException w:name="envelope return"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semiHidden="0" w:unhideWhenUsed="0"/>
    <w:lsdException w:name="Body Text First Indent" w:locked="1" w:semiHidden="0" w:unhideWhenUsed="0"/>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semiHidden="0" w:unhideWhenUsed="0" w:qFormat="1"/>
    <w:lsdException w:name="Emphasis" w:locked="1" w:semiHidden="0" w:unhideWhenUsed="0"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7444"/>
    <w:pPr>
      <w:spacing w:line="280" w:lineRule="exact"/>
    </w:pPr>
    <w:rPr>
      <w:rFonts w:ascii="Verdana" w:hAnsi="Verdana"/>
      <w:color w:val="000000"/>
      <w:sz w:val="18"/>
      <w:szCs w:val="24"/>
    </w:rPr>
  </w:style>
  <w:style w:type="paragraph" w:styleId="berschrift1">
    <w:name w:val="heading 1"/>
    <w:basedOn w:val="Standard"/>
    <w:next w:val="Standard"/>
    <w:qFormat/>
    <w:rsid w:val="00297444"/>
    <w:pPr>
      <w:keepNext/>
      <w:spacing w:line="480" w:lineRule="auto"/>
      <w:outlineLvl w:val="0"/>
    </w:pPr>
    <w:rPr>
      <w:rFonts w:cs="Arial"/>
      <w:b/>
      <w:bCs/>
      <w:color w:val="333333"/>
      <w:sz w:val="28"/>
      <w:szCs w:val="28"/>
    </w:rPr>
  </w:style>
  <w:style w:type="paragraph" w:styleId="berschrift2">
    <w:name w:val="heading 2"/>
    <w:basedOn w:val="Standard"/>
    <w:next w:val="Standard"/>
    <w:qFormat/>
    <w:rsid w:val="00297444"/>
    <w:pPr>
      <w:keepNext/>
      <w:spacing w:line="480" w:lineRule="auto"/>
      <w:outlineLvl w:val="1"/>
    </w:pPr>
    <w:rPr>
      <w:rFonts w:cs="Arial"/>
      <w:b/>
      <w:bCs/>
      <w:iCs/>
      <w:sz w:val="24"/>
    </w:rPr>
  </w:style>
  <w:style w:type="paragraph" w:styleId="berschrift3">
    <w:name w:val="heading 3"/>
    <w:basedOn w:val="Standard"/>
    <w:next w:val="Standard"/>
    <w:qFormat/>
    <w:rsid w:val="00297444"/>
    <w:pPr>
      <w:keepNext/>
      <w:spacing w:line="480" w:lineRule="auto"/>
      <w:outlineLvl w:val="2"/>
    </w:pPr>
    <w:rPr>
      <w:rFonts w:cs="Arial"/>
      <w:b/>
      <w:bCs/>
      <w:sz w:val="20"/>
      <w:szCs w:val="20"/>
    </w:rPr>
  </w:style>
  <w:style w:type="paragraph" w:styleId="berschrift4">
    <w:name w:val="heading 4"/>
    <w:basedOn w:val="Standard"/>
    <w:next w:val="Standard"/>
    <w:qFormat/>
    <w:rsid w:val="00297444"/>
    <w:pPr>
      <w:keepNext/>
      <w:spacing w:line="240" w:lineRule="auto"/>
      <w:outlineLvl w:val="3"/>
    </w:pPr>
    <w:rPr>
      <w:b/>
      <w:bCs/>
      <w:szCs w:val="18"/>
    </w:rPr>
  </w:style>
  <w:style w:type="paragraph" w:styleId="berschrift5">
    <w:name w:val="heading 5"/>
    <w:basedOn w:val="Standard"/>
    <w:next w:val="Standard"/>
    <w:qFormat/>
    <w:locked/>
    <w:rsid w:val="00CE6EDF"/>
    <w:pPr>
      <w:spacing w:before="240" w:after="60"/>
      <w:outlineLvl w:val="4"/>
    </w:pPr>
    <w:rPr>
      <w:b/>
      <w:bCs/>
      <w:i/>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ocked/>
    <w:rsid w:val="00CE6EDF"/>
    <w:pPr>
      <w:tabs>
        <w:tab w:val="center" w:pos="4536"/>
        <w:tab w:val="right" w:pos="9072"/>
      </w:tabs>
    </w:pPr>
  </w:style>
  <w:style w:type="paragraph" w:styleId="Fuzeile">
    <w:name w:val="footer"/>
    <w:basedOn w:val="Standard"/>
    <w:locked/>
    <w:rsid w:val="00CE6EDF"/>
    <w:pPr>
      <w:tabs>
        <w:tab w:val="center" w:pos="4536"/>
        <w:tab w:val="right" w:pos="9072"/>
      </w:tabs>
    </w:pPr>
  </w:style>
  <w:style w:type="paragraph" w:customStyle="1" w:styleId="Adressfeld">
    <w:name w:val="Adressfeld"/>
    <w:basedOn w:val="Standard"/>
    <w:rsid w:val="00297444"/>
    <w:pPr>
      <w:framePr w:w="4820" w:h="2155" w:hRule="exact" w:wrap="around" w:vAnchor="page" w:hAnchor="page" w:x="1141" w:y="3006" w:anchorLock="1"/>
      <w:spacing w:line="240" w:lineRule="exact"/>
    </w:pPr>
  </w:style>
  <w:style w:type="paragraph" w:styleId="Sprechblasentext">
    <w:name w:val="Balloon Text"/>
    <w:basedOn w:val="Standard"/>
    <w:link w:val="SprechblasentextZchn"/>
    <w:locked/>
    <w:rsid w:val="00CE6EDF"/>
    <w:pPr>
      <w:spacing w:line="240" w:lineRule="auto"/>
    </w:pPr>
    <w:rPr>
      <w:rFonts w:ascii="Tahoma" w:hAnsi="Tahoma" w:cs="Tahoma"/>
      <w:sz w:val="16"/>
      <w:szCs w:val="16"/>
    </w:rPr>
  </w:style>
  <w:style w:type="paragraph" w:customStyle="1" w:styleId="Adresse">
    <w:name w:val="Adresse"/>
    <w:basedOn w:val="Standard"/>
    <w:locked/>
    <w:rsid w:val="00884D52"/>
    <w:pPr>
      <w:spacing w:line="240" w:lineRule="exact"/>
    </w:pPr>
  </w:style>
  <w:style w:type="paragraph" w:customStyle="1" w:styleId="Federfhrer">
    <w:name w:val="Federführer"/>
    <w:basedOn w:val="Standard"/>
    <w:locked/>
    <w:rsid w:val="00CE6EDF"/>
    <w:pPr>
      <w:spacing w:line="240" w:lineRule="exact"/>
    </w:pPr>
    <w:rPr>
      <w:color w:val="3E5A6B"/>
      <w:sz w:val="14"/>
      <w:szCs w:val="14"/>
    </w:rPr>
  </w:style>
  <w:style w:type="paragraph" w:customStyle="1" w:styleId="02Textschwarz10ptZAB14PTFlietextundAuszeichnungen">
    <w:name w:val="02_Text  schwarz 10 pt ZAB 14 PT (Fließtext und Auszeichnungen)"/>
    <w:basedOn w:val="Standard"/>
    <w:locked/>
    <w:rsid w:val="00EB77F6"/>
    <w:pPr>
      <w:autoSpaceDE w:val="0"/>
      <w:autoSpaceDN w:val="0"/>
      <w:adjustRightInd w:val="0"/>
      <w:spacing w:line="280" w:lineRule="atLeast"/>
      <w:textAlignment w:val="center"/>
    </w:pPr>
    <w:rPr>
      <w:rFonts w:cs="Verdana"/>
      <w:sz w:val="20"/>
      <w:szCs w:val="20"/>
    </w:rPr>
  </w:style>
  <w:style w:type="character" w:customStyle="1" w:styleId="SprechblasentextZchn">
    <w:name w:val="Sprechblasentext Zchn"/>
    <w:link w:val="Sprechblasentext"/>
    <w:locked/>
    <w:rsid w:val="00CE6EDF"/>
    <w:rPr>
      <w:rFonts w:ascii="Tahoma" w:hAnsi="Tahoma" w:cs="Tahoma"/>
      <w:color w:val="000000"/>
      <w:sz w:val="16"/>
      <w:szCs w:val="16"/>
      <w:lang w:val="en-GB" w:eastAsia="en-GB" w:bidi="en-GB"/>
    </w:rPr>
  </w:style>
  <w:style w:type="character" w:styleId="Seitenzahl">
    <w:name w:val="page number"/>
    <w:basedOn w:val="Absatz-Standardschriftart"/>
    <w:locked/>
    <w:rsid w:val="00CE6EDF"/>
  </w:style>
  <w:style w:type="character" w:styleId="Hyperlink">
    <w:name w:val="Hyperlink"/>
    <w:locked/>
    <w:rsid w:val="00CE6EDF"/>
    <w:rPr>
      <w:color w:val="0000FF"/>
      <w:u w:val="single"/>
    </w:rPr>
  </w:style>
  <w:style w:type="paragraph" w:styleId="Dokumentstruktur">
    <w:name w:val="Document Map"/>
    <w:basedOn w:val="Standard"/>
    <w:semiHidden/>
    <w:locked/>
    <w:rsid w:val="00CE6EDF"/>
    <w:pPr>
      <w:shd w:val="clear" w:color="auto" w:fill="000080"/>
    </w:pPr>
    <w:rPr>
      <w:rFonts w:ascii="Tahoma" w:hAnsi="Tahoma" w:cs="Tahoma"/>
      <w:sz w:val="20"/>
      <w:szCs w:val="20"/>
    </w:rPr>
  </w:style>
  <w:style w:type="paragraph" w:styleId="Fu-Endnotenberschrift">
    <w:name w:val="Note Heading"/>
    <w:basedOn w:val="Standard"/>
    <w:next w:val="Standard"/>
    <w:locked/>
    <w:rsid w:val="00CE6EDF"/>
    <w:pPr>
      <w:spacing w:line="240" w:lineRule="exact"/>
    </w:pPr>
    <w:rPr>
      <w:color w:val="333333"/>
      <w:sz w:val="14"/>
      <w:szCs w:val="14"/>
    </w:rPr>
  </w:style>
  <w:style w:type="paragraph" w:customStyle="1" w:styleId="Zitateingerckt">
    <w:name w:val="Zitat eingerückt"/>
    <w:basedOn w:val="Standard"/>
    <w:locked/>
    <w:rsid w:val="00CE6EDF"/>
    <w:pPr>
      <w:ind w:left="567"/>
    </w:pPr>
    <w:rPr>
      <w:i/>
      <w:color w:val="58595B"/>
      <w:szCs w:val="18"/>
    </w:rPr>
  </w:style>
  <w:style w:type="paragraph" w:customStyle="1" w:styleId="Abstract">
    <w:name w:val="Abstract"/>
    <w:basedOn w:val="Standard"/>
    <w:rsid w:val="00297444"/>
    <w:rPr>
      <w:i/>
      <w:color w:val="333333"/>
      <w:szCs w:val="18"/>
    </w:rPr>
  </w:style>
  <w:style w:type="paragraph" w:styleId="Funotentext">
    <w:name w:val="footnote text"/>
    <w:aliases w:val="Fußnote"/>
    <w:basedOn w:val="Standard"/>
    <w:rsid w:val="00297444"/>
    <w:pPr>
      <w:spacing w:line="240" w:lineRule="exact"/>
      <w:ind w:left="142" w:hanging="142"/>
    </w:pPr>
    <w:rPr>
      <w:color w:val="333333"/>
      <w:sz w:val="14"/>
      <w:szCs w:val="14"/>
    </w:rPr>
  </w:style>
  <w:style w:type="character" w:styleId="Funotenzeichen">
    <w:name w:val="footnote reference"/>
    <w:locked/>
    <w:rsid w:val="00CE6EDF"/>
    <w:rPr>
      <w:vertAlign w:val="superscript"/>
    </w:rPr>
  </w:style>
  <w:style w:type="paragraph" w:customStyle="1" w:styleId="Absenderzeile">
    <w:name w:val="Absenderzeile"/>
    <w:basedOn w:val="Standard"/>
    <w:rsid w:val="00297444"/>
    <w:pPr>
      <w:framePr w:w="5387" w:h="227" w:hRule="exact" w:wrap="around" w:vAnchor="page" w:hAnchor="page" w:x="1135" w:y="2666" w:anchorLock="1"/>
      <w:spacing w:line="240" w:lineRule="exact"/>
    </w:pPr>
    <w:rPr>
      <w:color w:val="333333"/>
      <w:sz w:val="14"/>
      <w:szCs w:val="14"/>
    </w:rPr>
  </w:style>
  <w:style w:type="paragraph" w:customStyle="1" w:styleId="Aufzhlung1">
    <w:name w:val="Aufzählung 1"/>
    <w:basedOn w:val="Standard"/>
    <w:next w:val="Standard"/>
    <w:rsid w:val="00297444"/>
    <w:pPr>
      <w:numPr>
        <w:numId w:val="15"/>
      </w:numPr>
      <w:tabs>
        <w:tab w:val="num" w:pos="5670"/>
      </w:tabs>
      <w:spacing w:before="280" w:after="120"/>
    </w:pPr>
    <w:rPr>
      <w:b/>
      <w:sz w:val="24"/>
    </w:rPr>
  </w:style>
  <w:style w:type="paragraph" w:styleId="Datum">
    <w:name w:val="Date"/>
    <w:basedOn w:val="Standard"/>
    <w:next w:val="Standard"/>
    <w:rsid w:val="00297444"/>
    <w:pPr>
      <w:framePr w:w="2268" w:h="510" w:hRule="exact" w:wrap="around" w:hAnchor="page" w:x="8495" w:y="5762" w:anchorLock="1"/>
    </w:pPr>
  </w:style>
  <w:style w:type="paragraph" w:customStyle="1" w:styleId="Marginalspalte">
    <w:name w:val="Marginalspalte"/>
    <w:basedOn w:val="Standard"/>
    <w:rsid w:val="00297444"/>
    <w:pPr>
      <w:spacing w:line="240" w:lineRule="exact"/>
    </w:pPr>
    <w:rPr>
      <w:color w:val="333333"/>
      <w:sz w:val="14"/>
      <w:szCs w:val="14"/>
    </w:rPr>
  </w:style>
  <w:style w:type="paragraph" w:customStyle="1" w:styleId="Zitat1">
    <w:name w:val="Zitat1"/>
    <w:basedOn w:val="Standard"/>
    <w:qFormat/>
    <w:rsid w:val="00297444"/>
    <w:pPr>
      <w:ind w:left="567"/>
    </w:pPr>
    <w:rPr>
      <w:i/>
      <w:color w:val="333333"/>
      <w:szCs w:val="18"/>
    </w:rPr>
  </w:style>
  <w:style w:type="paragraph" w:styleId="Titel">
    <w:name w:val="Title"/>
    <w:basedOn w:val="Standard"/>
    <w:qFormat/>
    <w:rsid w:val="00297444"/>
    <w:pPr>
      <w:spacing w:line="440" w:lineRule="exact"/>
      <w:outlineLvl w:val="0"/>
    </w:pPr>
    <w:rPr>
      <w:rFonts w:ascii="Arial" w:hAnsi="Arial" w:cs="Arial"/>
      <w:bCs/>
      <w:color w:val="800033"/>
      <w:kern w:val="28"/>
      <w:sz w:val="40"/>
      <w:szCs w:val="40"/>
    </w:rPr>
  </w:style>
  <w:style w:type="paragraph" w:customStyle="1" w:styleId="Aufzhlung2">
    <w:name w:val="Aufzählung 2"/>
    <w:basedOn w:val="Aufzhlung1"/>
    <w:next w:val="Standard"/>
    <w:rsid w:val="00297444"/>
    <w:pPr>
      <w:numPr>
        <w:ilvl w:val="1"/>
      </w:numPr>
      <w:spacing w:before="0" w:after="0" w:line="300" w:lineRule="exact"/>
    </w:pPr>
    <w:rPr>
      <w:sz w:val="20"/>
      <w:szCs w:val="20"/>
    </w:rPr>
  </w:style>
  <w:style w:type="paragraph" w:customStyle="1" w:styleId="Aufzhlung3">
    <w:name w:val="Aufzählung 3"/>
    <w:basedOn w:val="Aufzhlung2"/>
    <w:next w:val="Standard"/>
    <w:rsid w:val="00297444"/>
    <w:pPr>
      <w:numPr>
        <w:ilvl w:val="2"/>
      </w:numPr>
      <w:spacing w:line="280" w:lineRule="exact"/>
    </w:pPr>
    <w:rPr>
      <w:b w:val="0"/>
      <w:sz w:val="18"/>
      <w:szCs w:val="18"/>
    </w:rPr>
  </w:style>
  <w:style w:type="paragraph" w:customStyle="1" w:styleId="AufzhlungFlietext1">
    <w:name w:val="Aufzählung Fließtext1"/>
    <w:basedOn w:val="Standard"/>
    <w:rsid w:val="00297444"/>
    <w:pPr>
      <w:numPr>
        <w:numId w:val="19"/>
      </w:numPr>
      <w:tabs>
        <w:tab w:val="clear" w:pos="0"/>
        <w:tab w:val="left" w:pos="567"/>
      </w:tabs>
    </w:pPr>
    <w:rPr>
      <w:szCs w:val="18"/>
    </w:rPr>
  </w:style>
  <w:style w:type="paragraph" w:customStyle="1" w:styleId="AufzhlungFlietext2">
    <w:name w:val="Aufzählung Fließtext2"/>
    <w:basedOn w:val="AufzhlungFlietext1"/>
    <w:rsid w:val="00297444"/>
    <w:pPr>
      <w:numPr>
        <w:numId w:val="11"/>
      </w:numPr>
      <w:tabs>
        <w:tab w:val="clear" w:pos="567"/>
      </w:tabs>
      <w:ind w:left="511" w:hanging="227"/>
    </w:pPr>
  </w:style>
  <w:style w:type="paragraph" w:customStyle="1" w:styleId="AufzhlungFlietext3">
    <w:name w:val="Aufzählung Fließtext3"/>
    <w:basedOn w:val="AufzhlungFlietext2"/>
    <w:rsid w:val="00297444"/>
    <w:pPr>
      <w:ind w:left="737"/>
    </w:pPr>
  </w:style>
  <w:style w:type="paragraph" w:customStyle="1" w:styleId="Flietext">
    <w:name w:val="Fließtext"/>
    <w:basedOn w:val="Standard"/>
    <w:rsid w:val="00297444"/>
  </w:style>
  <w:style w:type="paragraph" w:customStyle="1" w:styleId="MarginalDokumentInfoDK">
    <w:name w:val="MarginalDokumentInfoDK"/>
    <w:basedOn w:val="Standard"/>
    <w:rsid w:val="00297444"/>
    <w:pPr>
      <w:framePr w:w="2999" w:h="3005" w:hRule="exact" w:wrap="around" w:vAnchor="page" w:hAnchor="page" w:x="8245" w:y="7627" w:anchorLock="1"/>
      <w:shd w:val="solid" w:color="FFFFFF" w:fill="FFFFFF"/>
      <w:tabs>
        <w:tab w:val="left" w:pos="720"/>
      </w:tabs>
    </w:pPr>
    <w:rPr>
      <w:color w:val="333333"/>
      <w:sz w:val="14"/>
      <w:szCs w:val="14"/>
    </w:rPr>
  </w:style>
  <w:style w:type="paragraph" w:customStyle="1" w:styleId="MarginalDokumentInfoBdB">
    <w:name w:val="MarginalDokumentInfoBdB"/>
    <w:basedOn w:val="MarginalDokumentInfoDK"/>
    <w:rsid w:val="00297444"/>
    <w:pPr>
      <w:framePr w:wrap="around" w:x="8495" w:y="6465"/>
    </w:pPr>
  </w:style>
  <w:style w:type="numbering" w:styleId="111111">
    <w:name w:val="Outline List 2"/>
    <w:basedOn w:val="KeineListe"/>
    <w:rsid w:val="00297444"/>
    <w:pPr>
      <w:numPr>
        <w:numId w:val="15"/>
      </w:numPr>
    </w:pPr>
  </w:style>
  <w:style w:type="paragraph" w:customStyle="1" w:styleId="Subtitel">
    <w:name w:val="Subtitel"/>
    <w:basedOn w:val="Titel"/>
    <w:next w:val="Flietext"/>
    <w:rsid w:val="00297444"/>
    <w:pPr>
      <w:spacing w:line="400" w:lineRule="exact"/>
    </w:pPr>
    <w:rPr>
      <w:rFonts w:ascii="Verdana" w:hAnsi="Verdana"/>
      <w:color w:val="000000"/>
      <w:sz w:val="28"/>
      <w:szCs w:val="28"/>
    </w:rPr>
  </w:style>
  <w:style w:type="paragraph" w:customStyle="1" w:styleId="Betreff">
    <w:name w:val="Betreff"/>
    <w:basedOn w:val="Standard"/>
    <w:rsid w:val="00297444"/>
    <w:pPr>
      <w:spacing w:line="240" w:lineRule="exact"/>
    </w:pPr>
    <w:rPr>
      <w:b/>
      <w:szCs w:val="18"/>
    </w:rPr>
  </w:style>
  <w:style w:type="paragraph" w:customStyle="1" w:styleId="Default">
    <w:name w:val="Default"/>
    <w:rsid w:val="00C85196"/>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sid w:val="00927F6E"/>
    <w:rPr>
      <w:sz w:val="16"/>
      <w:szCs w:val="16"/>
    </w:rPr>
  </w:style>
  <w:style w:type="paragraph" w:styleId="Kommentartext">
    <w:name w:val="annotation text"/>
    <w:link w:val="KommentartextZchn"/>
    <w:uiPriority w:val="99"/>
    <w:semiHidden/>
    <w:unhideWhenUsed/>
    <w:rsid w:val="00927F6E"/>
  </w:style>
  <w:style w:type="character" w:customStyle="1" w:styleId="KommentartextZchn">
    <w:name w:val="Kommentartext Zchn"/>
    <w:link w:val="Kommentartext"/>
    <w:rsid w:val="00073197"/>
    <w:rPr>
      <w:rFonts w:ascii="Verdana" w:hAnsi="Verdana"/>
      <w:color w:val="000000"/>
    </w:rPr>
  </w:style>
  <w:style w:type="paragraph" w:styleId="Kommentarthema">
    <w:name w:val="annotation subject"/>
    <w:basedOn w:val="Kommentartext"/>
    <w:next w:val="Kommentartext"/>
    <w:link w:val="KommentarthemaZchn"/>
    <w:locked/>
    <w:rsid w:val="00073197"/>
    <w:rPr>
      <w:b/>
      <w:bCs/>
    </w:rPr>
  </w:style>
  <w:style w:type="character" w:customStyle="1" w:styleId="KommentarthemaZchn">
    <w:name w:val="Kommentarthema Zchn"/>
    <w:link w:val="Kommentarthema"/>
    <w:rsid w:val="00073197"/>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Anwendungen\Vorlagen\MsOffice\Die-Deutsche-Kreditwirtschaft\DK%20Brie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DK Brief.dot</Template>
  <TotalTime>0</TotalTime>
  <Pages>4</Pages>
  <Words>1479</Words>
  <Characters>9318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DK Brief</vt:lpstr>
    </vt:vector>
  </TitlesOfParts>
  <Company>Die Deutsche Kreditwirtschaft</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 Brief</dc:title>
  <dc:creator>Mielk</dc:creator>
  <cp:lastModifiedBy>Dr. Holger Mielk</cp:lastModifiedBy>
  <cp:revision>4</cp:revision>
  <cp:lastPrinted>2014-09-12T10:57:00Z</cp:lastPrinted>
  <dcterms:created xsi:type="dcterms:W3CDTF">2014-09-12T10:47:00Z</dcterms:created>
  <dcterms:modified xsi:type="dcterms:W3CDTF">2014-09-12T10:57:00Z</dcterms:modified>
</cp:coreProperties>
</file>