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DEA47" w14:textId="77777777" w:rsidR="009A5C43" w:rsidRPr="000C193D" w:rsidRDefault="009A5C43" w:rsidP="008505FF">
      <w:pPr>
        <w:pBdr>
          <w:top w:val="single" w:sz="4" w:space="1" w:color="auto"/>
          <w:left w:val="single" w:sz="4" w:space="4" w:color="auto"/>
          <w:bottom w:val="single" w:sz="4" w:space="1" w:color="auto"/>
          <w:right w:val="single" w:sz="4" w:space="4" w:color="auto"/>
        </w:pBdr>
        <w:jc w:val="center"/>
        <w:rPr>
          <w:rFonts w:asciiTheme="minorHAnsi" w:hAnsiTheme="minorHAnsi" w:cs="Calibri"/>
          <w:b/>
          <w:sz w:val="28"/>
          <w:szCs w:val="22"/>
          <w:lang w:val="en-US"/>
        </w:rPr>
      </w:pPr>
    </w:p>
    <w:p w14:paraId="1131687B" w14:textId="77777777" w:rsidR="008505FF" w:rsidRPr="000C193D" w:rsidRDefault="00975E1C" w:rsidP="0019357A">
      <w:pPr>
        <w:pBdr>
          <w:top w:val="single" w:sz="4" w:space="1" w:color="auto"/>
          <w:left w:val="single" w:sz="4" w:space="4" w:color="auto"/>
          <w:bottom w:val="single" w:sz="4" w:space="1" w:color="auto"/>
          <w:right w:val="single" w:sz="4" w:space="4" w:color="auto"/>
        </w:pBdr>
        <w:jc w:val="center"/>
        <w:rPr>
          <w:rFonts w:asciiTheme="minorHAnsi" w:hAnsiTheme="minorHAnsi" w:cs="Calibri"/>
          <w:b/>
          <w:sz w:val="28"/>
          <w:szCs w:val="22"/>
          <w:lang w:val="en-US"/>
        </w:rPr>
      </w:pPr>
      <w:r w:rsidRPr="000C193D">
        <w:rPr>
          <w:rFonts w:asciiTheme="minorHAnsi" w:hAnsiTheme="minorHAnsi" w:cs="Calibri"/>
          <w:b/>
          <w:sz w:val="28"/>
          <w:szCs w:val="22"/>
          <w:lang w:val="en-US"/>
        </w:rPr>
        <w:t>EFAMA</w:t>
      </w:r>
      <w:r w:rsidR="008505FF" w:rsidRPr="000C193D">
        <w:rPr>
          <w:rFonts w:asciiTheme="minorHAnsi" w:hAnsiTheme="minorHAnsi" w:cs="Calibri"/>
          <w:b/>
          <w:sz w:val="28"/>
          <w:szCs w:val="22"/>
          <w:lang w:val="en-US"/>
        </w:rPr>
        <w:t xml:space="preserve"> </w:t>
      </w:r>
      <w:r w:rsidR="00D91B1E" w:rsidRPr="000C193D">
        <w:rPr>
          <w:rFonts w:asciiTheme="minorHAnsi" w:hAnsiTheme="minorHAnsi" w:cs="Calibri"/>
          <w:b/>
          <w:sz w:val="28"/>
          <w:szCs w:val="22"/>
          <w:lang w:val="en-US"/>
        </w:rPr>
        <w:t xml:space="preserve">COMMENTS </w:t>
      </w:r>
      <w:r w:rsidR="00E11217" w:rsidRPr="000C193D">
        <w:rPr>
          <w:rFonts w:asciiTheme="minorHAnsi" w:hAnsiTheme="minorHAnsi" w:cs="Calibri"/>
          <w:b/>
          <w:sz w:val="28"/>
          <w:szCs w:val="22"/>
          <w:lang w:val="en-US"/>
        </w:rPr>
        <w:t>ON</w:t>
      </w:r>
      <w:r w:rsidR="00404D55" w:rsidRPr="000C193D">
        <w:rPr>
          <w:rFonts w:asciiTheme="minorHAnsi" w:hAnsiTheme="minorHAnsi" w:cs="Calibri"/>
          <w:b/>
          <w:sz w:val="28"/>
          <w:szCs w:val="22"/>
          <w:lang w:val="en-US"/>
        </w:rPr>
        <w:t xml:space="preserve"> </w:t>
      </w:r>
      <w:r w:rsidR="00291F46" w:rsidRPr="000C193D">
        <w:rPr>
          <w:rFonts w:asciiTheme="minorHAnsi" w:hAnsiTheme="minorHAnsi" w:cs="Calibri"/>
          <w:b/>
          <w:sz w:val="28"/>
          <w:szCs w:val="22"/>
          <w:lang w:val="en-US"/>
        </w:rPr>
        <w:t xml:space="preserve">THE </w:t>
      </w:r>
      <w:r w:rsidR="00404D55" w:rsidRPr="000C193D">
        <w:rPr>
          <w:rFonts w:asciiTheme="minorHAnsi" w:hAnsiTheme="minorHAnsi" w:cs="Calibri"/>
          <w:b/>
          <w:sz w:val="28"/>
          <w:szCs w:val="22"/>
          <w:lang w:val="en-US"/>
        </w:rPr>
        <w:t xml:space="preserve">CONSULTATION </w:t>
      </w:r>
      <w:r w:rsidR="007040A7" w:rsidRPr="000C193D">
        <w:rPr>
          <w:rFonts w:asciiTheme="minorHAnsi" w:hAnsiTheme="minorHAnsi" w:cs="Calibri"/>
          <w:b/>
          <w:sz w:val="28"/>
          <w:szCs w:val="22"/>
          <w:lang w:val="en-US"/>
        </w:rPr>
        <w:t xml:space="preserve">PAPER ON DRAFT REGULATORY TECHNICAL STANDARDS ON RISK MITIGATION TECHNIQUES FOR OTC DERIVATIVES </w:t>
      </w:r>
      <w:r w:rsidR="0019357A" w:rsidRPr="000C193D">
        <w:rPr>
          <w:rFonts w:asciiTheme="minorHAnsi" w:hAnsiTheme="minorHAnsi" w:cs="Calibri"/>
          <w:b/>
          <w:sz w:val="28"/>
          <w:szCs w:val="22"/>
          <w:lang w:val="en-US"/>
        </w:rPr>
        <w:t>CONTRACTS NOT CLEARED BY A CCP</w:t>
      </w:r>
    </w:p>
    <w:p w14:paraId="2F82037D" w14:textId="77777777" w:rsidR="00E74D3C" w:rsidRPr="000C193D" w:rsidRDefault="00E74D3C" w:rsidP="008505FF">
      <w:pPr>
        <w:pBdr>
          <w:top w:val="single" w:sz="4" w:space="1" w:color="auto"/>
          <w:left w:val="single" w:sz="4" w:space="4" w:color="auto"/>
          <w:bottom w:val="single" w:sz="4" w:space="1" w:color="auto"/>
          <w:right w:val="single" w:sz="4" w:space="4" w:color="auto"/>
        </w:pBdr>
        <w:jc w:val="center"/>
        <w:rPr>
          <w:rFonts w:asciiTheme="minorHAnsi" w:hAnsiTheme="minorHAnsi" w:cs="Calibri"/>
          <w:b/>
          <w:sz w:val="28"/>
          <w:szCs w:val="22"/>
          <w:lang w:val="en-US"/>
        </w:rPr>
      </w:pPr>
    </w:p>
    <w:p w14:paraId="29CC8CDB" w14:textId="77777777" w:rsidR="008505FF" w:rsidRPr="000C193D" w:rsidRDefault="008505FF" w:rsidP="008505FF">
      <w:pPr>
        <w:jc w:val="both"/>
        <w:rPr>
          <w:rFonts w:asciiTheme="minorHAnsi" w:hAnsiTheme="minorHAnsi" w:cs="Calibri"/>
          <w:b/>
          <w:bCs/>
          <w:sz w:val="22"/>
          <w:szCs w:val="22"/>
          <w:lang w:val="en-US"/>
        </w:rPr>
      </w:pPr>
    </w:p>
    <w:p w14:paraId="27447B1C" w14:textId="77777777" w:rsidR="00997751" w:rsidRPr="000C193D" w:rsidRDefault="00997751" w:rsidP="007040A7">
      <w:pPr>
        <w:rPr>
          <w:rFonts w:asciiTheme="minorHAnsi" w:hAnsiTheme="minorHAnsi" w:cs="Calibri"/>
          <w:b/>
          <w:bCs/>
          <w:sz w:val="22"/>
          <w:szCs w:val="22"/>
          <w:u w:val="single"/>
          <w:lang w:val="en-US"/>
        </w:rPr>
      </w:pPr>
    </w:p>
    <w:p w14:paraId="0933BAF1" w14:textId="77777777" w:rsidR="007040A7" w:rsidRPr="001D787F" w:rsidRDefault="00997751" w:rsidP="007040A7">
      <w:pPr>
        <w:rPr>
          <w:rFonts w:asciiTheme="minorHAnsi" w:hAnsiTheme="minorHAnsi" w:cs="Calibri"/>
          <w:b/>
          <w:bCs/>
          <w:szCs w:val="22"/>
          <w:u w:val="single"/>
          <w:lang w:val="en-US"/>
        </w:rPr>
      </w:pPr>
      <w:r w:rsidRPr="001D787F">
        <w:rPr>
          <w:rFonts w:asciiTheme="minorHAnsi" w:hAnsiTheme="minorHAnsi" w:cs="Calibri"/>
          <w:b/>
          <w:bCs/>
          <w:szCs w:val="22"/>
          <w:u w:val="single"/>
          <w:lang w:val="en-US"/>
        </w:rPr>
        <w:t>INTRODUCTION</w:t>
      </w:r>
    </w:p>
    <w:p w14:paraId="209753E5" w14:textId="77777777" w:rsidR="007E3226" w:rsidRPr="000C193D" w:rsidRDefault="007E3226" w:rsidP="00531E37">
      <w:pPr>
        <w:rPr>
          <w:rFonts w:asciiTheme="minorHAnsi" w:hAnsiTheme="minorHAnsi" w:cs="Calibri"/>
          <w:b/>
          <w:bCs/>
          <w:sz w:val="22"/>
          <w:szCs w:val="22"/>
          <w:lang w:val="en-US"/>
        </w:rPr>
      </w:pPr>
    </w:p>
    <w:p w14:paraId="687A2F56" w14:textId="77777777" w:rsidR="00CA68F6" w:rsidRPr="000C193D" w:rsidRDefault="00997751" w:rsidP="00997751">
      <w:pPr>
        <w:jc w:val="both"/>
        <w:rPr>
          <w:rStyle w:val="Hyperlink"/>
          <w:rFonts w:asciiTheme="minorHAnsi" w:hAnsiTheme="minorHAnsi" w:cs="Calibri"/>
          <w:bCs/>
          <w:sz w:val="22"/>
          <w:szCs w:val="22"/>
          <w:lang w:val="en-US"/>
        </w:rPr>
      </w:pPr>
      <w:r w:rsidRPr="000C193D">
        <w:rPr>
          <w:rFonts w:asciiTheme="minorHAnsi" w:hAnsiTheme="minorHAnsi" w:cs="Calibri"/>
          <w:bCs/>
          <w:sz w:val="22"/>
          <w:szCs w:val="22"/>
        </w:rPr>
        <w:t xml:space="preserve">EFAMA is the representative association for the European investment management industry. EFAMA represents through its 27 member associations and 62 corporate members almost EUR 17 trillion in assets under management of which EUR 10.2 trillion managed by 55,000 investment funds at end March 2014. Just over 35,600 of these funds were UCITS (Undertakings for Collective Investments in Transferable Securities) funds. </w:t>
      </w:r>
      <w:r w:rsidRPr="000C193D">
        <w:rPr>
          <w:rFonts w:asciiTheme="minorHAnsi" w:hAnsiTheme="minorHAnsi" w:cs="Calibri"/>
          <w:bCs/>
          <w:sz w:val="22"/>
          <w:szCs w:val="22"/>
          <w:lang w:val="en-US"/>
        </w:rPr>
        <w:t xml:space="preserve">For more information about EFAMA, please visit </w:t>
      </w:r>
      <w:hyperlink r:id="rId8" w:history="1">
        <w:r w:rsidRPr="000C193D">
          <w:rPr>
            <w:rStyle w:val="Hyperlink"/>
            <w:rFonts w:asciiTheme="minorHAnsi" w:hAnsiTheme="minorHAnsi" w:cs="Calibri"/>
            <w:bCs/>
            <w:sz w:val="22"/>
            <w:szCs w:val="22"/>
            <w:lang w:val="en-US"/>
          </w:rPr>
          <w:t>www.efama.org</w:t>
        </w:r>
      </w:hyperlink>
      <w:r w:rsidRPr="000C193D">
        <w:rPr>
          <w:rStyle w:val="Hyperlink"/>
          <w:rFonts w:asciiTheme="minorHAnsi" w:hAnsiTheme="minorHAnsi" w:cs="Calibri"/>
          <w:bCs/>
          <w:sz w:val="22"/>
          <w:szCs w:val="22"/>
          <w:lang w:val="en-US"/>
        </w:rPr>
        <w:t>.</w:t>
      </w:r>
    </w:p>
    <w:p w14:paraId="3276EA75" w14:textId="77777777" w:rsidR="00997751" w:rsidRPr="000C193D" w:rsidRDefault="00997751" w:rsidP="00997751">
      <w:pPr>
        <w:jc w:val="both"/>
        <w:rPr>
          <w:rFonts w:asciiTheme="minorHAnsi" w:hAnsiTheme="minorHAnsi" w:cs="Calibri"/>
          <w:bCs/>
          <w:sz w:val="22"/>
          <w:szCs w:val="22"/>
          <w:lang w:val="en-US"/>
        </w:rPr>
      </w:pPr>
    </w:p>
    <w:p w14:paraId="170D59C8" w14:textId="77777777" w:rsidR="00663B5A" w:rsidRPr="000C193D" w:rsidRDefault="00C73305"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We </w:t>
      </w:r>
      <w:r w:rsidR="006E3C93" w:rsidRPr="000C193D">
        <w:rPr>
          <w:rFonts w:asciiTheme="minorHAnsi" w:hAnsiTheme="minorHAnsi" w:cs="Calibri"/>
          <w:bCs/>
          <w:sz w:val="22"/>
          <w:szCs w:val="22"/>
          <w:lang w:val="en-US"/>
        </w:rPr>
        <w:t xml:space="preserve">would like to </w:t>
      </w:r>
      <w:r w:rsidR="00663B5A" w:rsidRPr="000C193D">
        <w:rPr>
          <w:rFonts w:asciiTheme="minorHAnsi" w:hAnsiTheme="minorHAnsi" w:cs="Calibri"/>
          <w:bCs/>
          <w:sz w:val="22"/>
          <w:szCs w:val="22"/>
          <w:lang w:val="en-US"/>
        </w:rPr>
        <w:t>thank the European Supervisory Authorities for this opportunity to comment on risk-mitigation techniques for non</w:t>
      </w:r>
      <w:r w:rsidR="00291F46" w:rsidRPr="000C193D">
        <w:rPr>
          <w:rFonts w:asciiTheme="minorHAnsi" w:hAnsiTheme="minorHAnsi" w:cs="Calibri"/>
          <w:bCs/>
          <w:sz w:val="22"/>
          <w:szCs w:val="22"/>
          <w:lang w:val="en-US"/>
        </w:rPr>
        <w:t>-</w:t>
      </w:r>
      <w:r w:rsidR="00663B5A" w:rsidRPr="000C193D">
        <w:rPr>
          <w:rFonts w:asciiTheme="minorHAnsi" w:hAnsiTheme="minorHAnsi" w:cs="Calibri"/>
          <w:bCs/>
          <w:sz w:val="22"/>
          <w:szCs w:val="22"/>
          <w:lang w:val="en-US"/>
        </w:rPr>
        <w:t xml:space="preserve">centrally cleared OTC derivative contracts. </w:t>
      </w:r>
    </w:p>
    <w:p w14:paraId="763A07DF" w14:textId="77777777" w:rsidR="00663B5A" w:rsidRPr="000C193D" w:rsidRDefault="00663B5A" w:rsidP="00531E37">
      <w:pPr>
        <w:rPr>
          <w:rFonts w:asciiTheme="minorHAnsi" w:hAnsiTheme="minorHAnsi" w:cs="Calibri"/>
          <w:bCs/>
          <w:sz w:val="22"/>
          <w:szCs w:val="22"/>
          <w:lang w:val="en-US"/>
        </w:rPr>
      </w:pPr>
    </w:p>
    <w:p w14:paraId="2B4CFB63" w14:textId="77777777" w:rsidR="006E3C93" w:rsidRPr="000C193D" w:rsidRDefault="006E3C93" w:rsidP="00FB4F31">
      <w:pPr>
        <w:rPr>
          <w:rFonts w:asciiTheme="minorHAnsi" w:hAnsiTheme="minorHAnsi" w:cs="Calibri"/>
          <w:bCs/>
          <w:sz w:val="22"/>
          <w:szCs w:val="22"/>
          <w:lang w:val="en-US"/>
        </w:rPr>
      </w:pPr>
    </w:p>
    <w:p w14:paraId="4354C4BB" w14:textId="77777777" w:rsidR="006E3C93" w:rsidRPr="001D787F" w:rsidRDefault="00C73305" w:rsidP="00FB4F31">
      <w:pPr>
        <w:rPr>
          <w:rFonts w:asciiTheme="minorHAnsi" w:hAnsiTheme="minorHAnsi" w:cs="Calibri"/>
          <w:b/>
          <w:szCs w:val="22"/>
          <w:u w:val="single"/>
          <w:lang w:val="en-US"/>
        </w:rPr>
      </w:pPr>
      <w:r w:rsidRPr="001D787F">
        <w:rPr>
          <w:rFonts w:asciiTheme="minorHAnsi" w:hAnsiTheme="minorHAnsi" w:cs="Calibri"/>
          <w:b/>
          <w:szCs w:val="22"/>
          <w:u w:val="single"/>
          <w:lang w:val="en-US"/>
        </w:rPr>
        <w:t>GENERAL REPLY</w:t>
      </w:r>
    </w:p>
    <w:p w14:paraId="260C0384" w14:textId="77777777" w:rsidR="006E3C93" w:rsidRPr="000C193D" w:rsidRDefault="006E3C93" w:rsidP="00FB4F31">
      <w:pPr>
        <w:rPr>
          <w:rFonts w:asciiTheme="minorHAnsi" w:hAnsiTheme="minorHAnsi" w:cs="Calibri"/>
          <w:bCs/>
          <w:sz w:val="22"/>
          <w:szCs w:val="22"/>
          <w:lang w:val="en-US"/>
        </w:rPr>
      </w:pPr>
    </w:p>
    <w:p w14:paraId="35EFA0AB" w14:textId="4820424A" w:rsidR="00FB4F31" w:rsidRPr="000C193D" w:rsidRDefault="00FB4F31"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The rapid confirmation, daily valuation, reconciliation and dispute procedure requirements have </w:t>
      </w:r>
      <w:r w:rsidR="00C620F1" w:rsidRPr="000C193D">
        <w:rPr>
          <w:rFonts w:asciiTheme="minorHAnsi" w:hAnsiTheme="minorHAnsi" w:cs="Calibri"/>
          <w:bCs/>
          <w:sz w:val="22"/>
          <w:szCs w:val="22"/>
          <w:lang w:val="en-US"/>
        </w:rPr>
        <w:t xml:space="preserve">led to </w:t>
      </w:r>
      <w:r w:rsidRPr="000C193D">
        <w:rPr>
          <w:rFonts w:asciiTheme="minorHAnsi" w:hAnsiTheme="minorHAnsi" w:cs="Calibri"/>
          <w:bCs/>
          <w:sz w:val="22"/>
          <w:szCs w:val="22"/>
          <w:lang w:val="en-US"/>
        </w:rPr>
        <w:t xml:space="preserve">significantly improved risk control of OTC derivatives. The </w:t>
      </w:r>
      <w:r w:rsidR="00C620F1" w:rsidRPr="000C193D">
        <w:rPr>
          <w:rFonts w:asciiTheme="minorHAnsi" w:hAnsiTheme="minorHAnsi" w:cs="Calibri"/>
          <w:bCs/>
          <w:sz w:val="22"/>
          <w:szCs w:val="22"/>
          <w:lang w:val="en-US"/>
        </w:rPr>
        <w:t xml:space="preserve">mandatory </w:t>
      </w:r>
      <w:r w:rsidRPr="000C193D">
        <w:rPr>
          <w:rFonts w:asciiTheme="minorHAnsi" w:hAnsiTheme="minorHAnsi" w:cs="Calibri"/>
          <w:bCs/>
          <w:sz w:val="22"/>
          <w:szCs w:val="22"/>
          <w:lang w:val="en-US"/>
        </w:rPr>
        <w:t>reporting to T</w:t>
      </w:r>
      <w:r w:rsidR="00291F46" w:rsidRPr="000C193D">
        <w:rPr>
          <w:rFonts w:asciiTheme="minorHAnsi" w:hAnsiTheme="minorHAnsi" w:cs="Calibri"/>
          <w:bCs/>
          <w:sz w:val="22"/>
          <w:szCs w:val="22"/>
          <w:lang w:val="en-US"/>
        </w:rPr>
        <w:t xml:space="preserve">rade </w:t>
      </w:r>
      <w:r w:rsidRPr="000C193D">
        <w:rPr>
          <w:rFonts w:asciiTheme="minorHAnsi" w:hAnsiTheme="minorHAnsi" w:cs="Calibri"/>
          <w:bCs/>
          <w:sz w:val="22"/>
          <w:szCs w:val="22"/>
          <w:lang w:val="en-US"/>
        </w:rPr>
        <w:t>R</w:t>
      </w:r>
      <w:r w:rsidR="00291F46" w:rsidRPr="000C193D">
        <w:rPr>
          <w:rFonts w:asciiTheme="minorHAnsi" w:hAnsiTheme="minorHAnsi" w:cs="Calibri"/>
          <w:bCs/>
          <w:sz w:val="22"/>
          <w:szCs w:val="22"/>
          <w:lang w:val="en-US"/>
        </w:rPr>
        <w:t>epositories (“TR”)</w:t>
      </w:r>
      <w:r w:rsidRPr="000C193D">
        <w:rPr>
          <w:rFonts w:asciiTheme="minorHAnsi" w:hAnsiTheme="minorHAnsi" w:cs="Calibri"/>
          <w:bCs/>
          <w:sz w:val="22"/>
          <w:szCs w:val="22"/>
          <w:lang w:val="en-US"/>
        </w:rPr>
        <w:t xml:space="preserve"> does facilitate transparency and control by authorities. The following step</w:t>
      </w:r>
      <w:r w:rsidR="00291F46" w:rsidRPr="000C193D">
        <w:rPr>
          <w:rFonts w:asciiTheme="minorHAnsi" w:hAnsiTheme="minorHAnsi" w:cs="Calibri"/>
          <w:bCs/>
          <w:sz w:val="22"/>
          <w:szCs w:val="22"/>
          <w:lang w:val="en-US"/>
        </w:rPr>
        <w:t>s</w:t>
      </w:r>
      <w:r w:rsidRPr="000C193D">
        <w:rPr>
          <w:rFonts w:asciiTheme="minorHAnsi" w:hAnsiTheme="minorHAnsi" w:cs="Calibri"/>
          <w:bCs/>
          <w:sz w:val="22"/>
          <w:szCs w:val="22"/>
          <w:lang w:val="en-US"/>
        </w:rPr>
        <w:t>, now under discussion</w:t>
      </w:r>
      <w:r w:rsidR="001D787F">
        <w:rPr>
          <w:rFonts w:asciiTheme="minorHAnsi" w:hAnsiTheme="minorHAnsi" w:cs="Calibri"/>
          <w:bCs/>
          <w:sz w:val="22"/>
          <w:szCs w:val="22"/>
          <w:lang w:val="en-US"/>
        </w:rPr>
        <w:t>,</w:t>
      </w:r>
      <w:r w:rsidRPr="000C193D">
        <w:rPr>
          <w:rFonts w:asciiTheme="minorHAnsi" w:hAnsiTheme="minorHAnsi" w:cs="Calibri"/>
          <w:bCs/>
          <w:sz w:val="22"/>
          <w:szCs w:val="22"/>
          <w:lang w:val="en-US"/>
        </w:rPr>
        <w:t xml:space="preserve"> should concentrate on systemic risk issues.</w:t>
      </w:r>
    </w:p>
    <w:p w14:paraId="44F37F10" w14:textId="77777777" w:rsidR="00FB4F31" w:rsidRPr="000C193D" w:rsidRDefault="00FB4F31" w:rsidP="00997751">
      <w:pPr>
        <w:jc w:val="both"/>
        <w:rPr>
          <w:rFonts w:asciiTheme="minorHAnsi" w:hAnsiTheme="minorHAnsi" w:cs="Calibri"/>
          <w:bCs/>
          <w:sz w:val="22"/>
          <w:szCs w:val="22"/>
          <w:lang w:val="en-US"/>
        </w:rPr>
      </w:pPr>
    </w:p>
    <w:p w14:paraId="4C5E5277" w14:textId="77777777" w:rsidR="00FB4F31" w:rsidRPr="000C193D" w:rsidRDefault="00FB4F31"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Before answering the questions asked in the consultation, </w:t>
      </w:r>
      <w:r w:rsidR="00C620F1" w:rsidRPr="000C193D">
        <w:rPr>
          <w:rFonts w:asciiTheme="minorHAnsi" w:hAnsiTheme="minorHAnsi" w:cs="Calibri"/>
          <w:bCs/>
          <w:sz w:val="22"/>
          <w:szCs w:val="22"/>
          <w:lang w:val="en-US"/>
        </w:rPr>
        <w:t xml:space="preserve">we </w:t>
      </w:r>
      <w:r w:rsidRPr="000C193D">
        <w:rPr>
          <w:rFonts w:asciiTheme="minorHAnsi" w:hAnsiTheme="minorHAnsi" w:cs="Calibri"/>
          <w:bCs/>
          <w:sz w:val="22"/>
          <w:szCs w:val="22"/>
          <w:lang w:val="en-US"/>
        </w:rPr>
        <w:t xml:space="preserve">would like to </w:t>
      </w:r>
      <w:r w:rsidR="00C620F1" w:rsidRPr="000C193D">
        <w:rPr>
          <w:rFonts w:asciiTheme="minorHAnsi" w:hAnsiTheme="minorHAnsi" w:cs="Calibri"/>
          <w:bCs/>
          <w:sz w:val="22"/>
          <w:szCs w:val="22"/>
          <w:lang w:val="en-US"/>
        </w:rPr>
        <w:t xml:space="preserve">insist on </w:t>
      </w:r>
      <w:r w:rsidR="00291F46" w:rsidRPr="000C193D">
        <w:rPr>
          <w:rFonts w:asciiTheme="minorHAnsi" w:hAnsiTheme="minorHAnsi" w:cs="Calibri"/>
          <w:bCs/>
          <w:sz w:val="22"/>
          <w:szCs w:val="22"/>
          <w:lang w:val="en-US"/>
        </w:rPr>
        <w:t>the following points</w:t>
      </w:r>
      <w:r w:rsidRPr="000C193D">
        <w:rPr>
          <w:rFonts w:asciiTheme="minorHAnsi" w:hAnsiTheme="minorHAnsi" w:cs="Calibri"/>
          <w:bCs/>
          <w:sz w:val="22"/>
          <w:szCs w:val="22"/>
          <w:lang w:val="en-US"/>
        </w:rPr>
        <w:t>:</w:t>
      </w:r>
    </w:p>
    <w:p w14:paraId="598E8E46" w14:textId="77777777" w:rsidR="00291F46" w:rsidRPr="000C193D" w:rsidRDefault="00291F46" w:rsidP="00997751">
      <w:pPr>
        <w:jc w:val="both"/>
        <w:rPr>
          <w:rFonts w:asciiTheme="minorHAnsi" w:hAnsiTheme="minorHAnsi" w:cs="Calibri"/>
          <w:bCs/>
          <w:sz w:val="22"/>
          <w:szCs w:val="22"/>
          <w:lang w:val="en-US"/>
        </w:rPr>
      </w:pPr>
    </w:p>
    <w:p w14:paraId="4CF4F49C" w14:textId="77777777" w:rsidR="00997751" w:rsidRPr="000C193D" w:rsidRDefault="00FB4F31" w:rsidP="00997751">
      <w:pPr>
        <w:pStyle w:val="ListParagraph"/>
        <w:numPr>
          <w:ilvl w:val="0"/>
          <w:numId w:val="5"/>
        </w:numPr>
        <w:spacing w:after="0"/>
        <w:contextualSpacing w:val="0"/>
        <w:jc w:val="both"/>
        <w:rPr>
          <w:rFonts w:asciiTheme="minorHAnsi" w:hAnsiTheme="minorHAnsi" w:cs="Calibri"/>
          <w:bCs/>
        </w:rPr>
      </w:pPr>
      <w:r w:rsidRPr="000C193D">
        <w:rPr>
          <w:rFonts w:asciiTheme="minorHAnsi" w:hAnsiTheme="minorHAnsi" w:cs="Calibri"/>
          <w:bCs/>
        </w:rPr>
        <w:t xml:space="preserve">Risk in an OTC derivative transaction </w:t>
      </w:r>
      <w:r w:rsidR="00C620F1" w:rsidRPr="000C193D">
        <w:rPr>
          <w:rFonts w:asciiTheme="minorHAnsi" w:hAnsiTheme="minorHAnsi" w:cs="Calibri"/>
          <w:bCs/>
        </w:rPr>
        <w:t xml:space="preserve">comes </w:t>
      </w:r>
      <w:r w:rsidRPr="000C193D">
        <w:rPr>
          <w:rFonts w:asciiTheme="minorHAnsi" w:hAnsiTheme="minorHAnsi" w:cs="Calibri"/>
          <w:bCs/>
        </w:rPr>
        <w:t>first from the volatility of the underlying asset that creates price movements sometimes enhanced by leverage in the contract</w:t>
      </w:r>
      <w:r w:rsidR="00C620F1" w:rsidRPr="000C193D">
        <w:rPr>
          <w:rFonts w:asciiTheme="minorHAnsi" w:hAnsiTheme="minorHAnsi" w:cs="Calibri"/>
          <w:bCs/>
        </w:rPr>
        <w:t>.</w:t>
      </w:r>
    </w:p>
    <w:p w14:paraId="6C58F510" w14:textId="77777777" w:rsidR="00997751" w:rsidRPr="000C193D" w:rsidRDefault="00997751" w:rsidP="002E7333">
      <w:pPr>
        <w:pStyle w:val="ListParagraph"/>
        <w:spacing w:after="0"/>
        <w:ind w:left="360"/>
        <w:contextualSpacing w:val="0"/>
        <w:jc w:val="both"/>
        <w:rPr>
          <w:rFonts w:asciiTheme="minorHAnsi" w:hAnsiTheme="minorHAnsi" w:cs="Calibri"/>
          <w:bCs/>
        </w:rPr>
      </w:pPr>
    </w:p>
    <w:p w14:paraId="2BBE5256" w14:textId="77777777" w:rsidR="00997751" w:rsidRPr="000C193D" w:rsidRDefault="00C620F1" w:rsidP="00997751">
      <w:pPr>
        <w:pStyle w:val="ListParagraph"/>
        <w:spacing w:after="0"/>
        <w:ind w:left="360"/>
        <w:contextualSpacing w:val="0"/>
        <w:jc w:val="both"/>
        <w:rPr>
          <w:rFonts w:asciiTheme="minorHAnsi" w:hAnsiTheme="minorHAnsi" w:cs="Calibri"/>
          <w:bCs/>
        </w:rPr>
      </w:pPr>
      <w:r w:rsidRPr="000C193D">
        <w:rPr>
          <w:rFonts w:asciiTheme="minorHAnsi" w:hAnsiTheme="minorHAnsi" w:cs="Calibri"/>
          <w:bCs/>
        </w:rPr>
        <w:t>I</w:t>
      </w:r>
      <w:r w:rsidR="00FB4F31" w:rsidRPr="000C193D">
        <w:rPr>
          <w:rFonts w:asciiTheme="minorHAnsi" w:hAnsiTheme="minorHAnsi" w:cs="Calibri"/>
          <w:bCs/>
        </w:rPr>
        <w:t>t comes secondly from the counterparty risk of failure, which is not mitigated by central clearing in OTC deals but by collateral</w:t>
      </w:r>
      <w:r w:rsidR="00C823E5" w:rsidRPr="000C193D">
        <w:rPr>
          <w:rFonts w:asciiTheme="minorHAnsi" w:hAnsiTheme="minorHAnsi" w:cs="Calibri"/>
          <w:bCs/>
        </w:rPr>
        <w:t>;</w:t>
      </w:r>
    </w:p>
    <w:p w14:paraId="3F6979E5" w14:textId="77777777" w:rsidR="00997751" w:rsidRPr="000C193D" w:rsidRDefault="00997751" w:rsidP="00997751">
      <w:pPr>
        <w:pStyle w:val="ListParagraph"/>
        <w:spacing w:after="0"/>
        <w:ind w:left="360"/>
        <w:contextualSpacing w:val="0"/>
        <w:jc w:val="both"/>
        <w:rPr>
          <w:rFonts w:asciiTheme="minorHAnsi" w:hAnsiTheme="minorHAnsi" w:cs="Calibri"/>
          <w:bCs/>
        </w:rPr>
      </w:pPr>
    </w:p>
    <w:p w14:paraId="4C761910" w14:textId="47643FA3" w:rsidR="00997751" w:rsidRPr="000C193D" w:rsidRDefault="00AD198A" w:rsidP="00997751">
      <w:pPr>
        <w:pStyle w:val="ListParagraph"/>
        <w:spacing w:after="0"/>
        <w:ind w:left="360"/>
        <w:contextualSpacing w:val="0"/>
        <w:jc w:val="both"/>
        <w:rPr>
          <w:rFonts w:asciiTheme="minorHAnsi" w:hAnsiTheme="minorHAnsi" w:cs="Calibri"/>
          <w:bCs/>
        </w:rPr>
      </w:pPr>
      <w:r w:rsidRPr="000C193D">
        <w:rPr>
          <w:rFonts w:asciiTheme="minorHAnsi" w:hAnsiTheme="minorHAnsi" w:cs="Calibri"/>
          <w:bCs/>
        </w:rPr>
        <w:t>Quality of collateral (and, more specifically, its liquidity) represents</w:t>
      </w:r>
      <w:r w:rsidR="00FB4F31" w:rsidRPr="000C193D">
        <w:rPr>
          <w:rFonts w:asciiTheme="minorHAnsi" w:hAnsiTheme="minorHAnsi" w:cs="Calibri"/>
          <w:bCs/>
        </w:rPr>
        <w:t xml:space="preserve"> the third level </w:t>
      </w:r>
      <w:r w:rsidR="00C823E5" w:rsidRPr="000C193D">
        <w:rPr>
          <w:rFonts w:asciiTheme="minorHAnsi" w:hAnsiTheme="minorHAnsi" w:cs="Calibri"/>
          <w:bCs/>
        </w:rPr>
        <w:t xml:space="preserve">in terms of </w:t>
      </w:r>
      <w:r w:rsidR="00FB4F31" w:rsidRPr="000C193D">
        <w:rPr>
          <w:rFonts w:asciiTheme="minorHAnsi" w:hAnsiTheme="minorHAnsi" w:cs="Calibri"/>
          <w:bCs/>
        </w:rPr>
        <w:t>risk</w:t>
      </w:r>
      <w:r w:rsidR="00C823E5" w:rsidRPr="000C193D">
        <w:rPr>
          <w:rFonts w:asciiTheme="minorHAnsi" w:hAnsiTheme="minorHAnsi" w:cs="Calibri"/>
          <w:bCs/>
        </w:rPr>
        <w:t xml:space="preserve"> mitigation</w:t>
      </w:r>
      <w:r w:rsidR="00557E1D" w:rsidRPr="000C193D">
        <w:rPr>
          <w:rFonts w:asciiTheme="minorHAnsi" w:hAnsiTheme="minorHAnsi" w:cs="Calibri"/>
          <w:bCs/>
        </w:rPr>
        <w:t xml:space="preserve">; </w:t>
      </w:r>
    </w:p>
    <w:p w14:paraId="69AC509A" w14:textId="77777777" w:rsidR="00997751" w:rsidRPr="000C193D" w:rsidRDefault="00997751" w:rsidP="00997751">
      <w:pPr>
        <w:pStyle w:val="ListParagraph"/>
        <w:spacing w:after="0"/>
        <w:ind w:left="360"/>
        <w:contextualSpacing w:val="0"/>
        <w:jc w:val="both"/>
        <w:rPr>
          <w:rFonts w:asciiTheme="minorHAnsi" w:hAnsiTheme="minorHAnsi" w:cs="Calibri"/>
          <w:bCs/>
        </w:rPr>
      </w:pPr>
    </w:p>
    <w:p w14:paraId="129D2354" w14:textId="77777777" w:rsidR="00B90B21" w:rsidRPr="000C193D" w:rsidRDefault="00C823E5" w:rsidP="00997751">
      <w:pPr>
        <w:pStyle w:val="ListParagraph"/>
        <w:spacing w:after="0"/>
        <w:ind w:left="360"/>
        <w:contextualSpacing w:val="0"/>
        <w:jc w:val="both"/>
        <w:rPr>
          <w:rFonts w:asciiTheme="minorHAnsi" w:hAnsiTheme="minorHAnsi" w:cs="Calibri"/>
          <w:bCs/>
        </w:rPr>
      </w:pPr>
      <w:r w:rsidRPr="000C193D">
        <w:rPr>
          <w:rFonts w:asciiTheme="minorHAnsi" w:hAnsiTheme="minorHAnsi" w:cs="Calibri"/>
          <w:bCs/>
        </w:rPr>
        <w:t xml:space="preserve">Diversification </w:t>
      </w:r>
      <w:r w:rsidR="00557E1D" w:rsidRPr="000C193D">
        <w:rPr>
          <w:rFonts w:asciiTheme="minorHAnsi" w:hAnsiTheme="minorHAnsi" w:cs="Calibri"/>
          <w:bCs/>
        </w:rPr>
        <w:t xml:space="preserve">and haircuts </w:t>
      </w:r>
      <w:r w:rsidRPr="000C193D">
        <w:rPr>
          <w:rFonts w:asciiTheme="minorHAnsi" w:hAnsiTheme="minorHAnsi" w:cs="Calibri"/>
          <w:bCs/>
        </w:rPr>
        <w:t xml:space="preserve">rules </w:t>
      </w:r>
      <w:r w:rsidR="00557E1D" w:rsidRPr="000C193D">
        <w:rPr>
          <w:rFonts w:asciiTheme="minorHAnsi" w:hAnsiTheme="minorHAnsi" w:cs="Calibri"/>
          <w:bCs/>
        </w:rPr>
        <w:t>are</w:t>
      </w:r>
      <w:r w:rsidR="00FB4F31" w:rsidRPr="000C193D">
        <w:rPr>
          <w:rFonts w:asciiTheme="minorHAnsi" w:hAnsiTheme="minorHAnsi" w:cs="Calibri"/>
          <w:bCs/>
        </w:rPr>
        <w:t xml:space="preserve"> the fourth level of risk</w:t>
      </w:r>
      <w:r w:rsidR="00557E1D" w:rsidRPr="000C193D">
        <w:rPr>
          <w:rFonts w:asciiTheme="minorHAnsi" w:hAnsiTheme="minorHAnsi" w:cs="Calibri"/>
          <w:bCs/>
        </w:rPr>
        <w:t xml:space="preserve"> mitigations.</w:t>
      </w:r>
      <w:r w:rsidR="00FB4F31" w:rsidRPr="000C193D">
        <w:rPr>
          <w:rFonts w:asciiTheme="minorHAnsi" w:hAnsiTheme="minorHAnsi" w:cs="Calibri"/>
          <w:bCs/>
        </w:rPr>
        <w:t xml:space="preserve"> </w:t>
      </w:r>
      <w:r w:rsidR="00557E1D" w:rsidRPr="000C193D">
        <w:rPr>
          <w:rFonts w:asciiTheme="minorHAnsi" w:hAnsiTheme="minorHAnsi" w:cs="Calibri"/>
          <w:bCs/>
        </w:rPr>
        <w:t xml:space="preserve">Consequently, </w:t>
      </w:r>
      <w:r w:rsidR="00C73305" w:rsidRPr="000C193D">
        <w:rPr>
          <w:rFonts w:asciiTheme="minorHAnsi" w:hAnsiTheme="minorHAnsi" w:cs="Calibri"/>
          <w:bCs/>
        </w:rPr>
        <w:t>quality and diversification of collateral should not be the primary focus of the regulators.</w:t>
      </w:r>
    </w:p>
    <w:p w14:paraId="3160F8E6" w14:textId="77777777" w:rsidR="00997751" w:rsidRPr="000C193D" w:rsidRDefault="00997751" w:rsidP="00997751">
      <w:pPr>
        <w:pStyle w:val="ListParagraph"/>
        <w:spacing w:after="0"/>
        <w:ind w:left="360"/>
        <w:contextualSpacing w:val="0"/>
        <w:jc w:val="both"/>
        <w:rPr>
          <w:rFonts w:asciiTheme="minorHAnsi" w:hAnsiTheme="minorHAnsi" w:cs="Calibri"/>
          <w:bCs/>
        </w:rPr>
      </w:pPr>
    </w:p>
    <w:p w14:paraId="70396FE9" w14:textId="77777777" w:rsidR="00997751" w:rsidRPr="000C193D" w:rsidRDefault="00DF57BE" w:rsidP="00997751">
      <w:pPr>
        <w:pStyle w:val="ListParagraph"/>
        <w:numPr>
          <w:ilvl w:val="0"/>
          <w:numId w:val="5"/>
        </w:numPr>
        <w:spacing w:after="0"/>
        <w:contextualSpacing w:val="0"/>
        <w:jc w:val="both"/>
        <w:rPr>
          <w:rFonts w:asciiTheme="minorHAnsi" w:hAnsiTheme="minorHAnsi" w:cs="Calibri"/>
          <w:bCs/>
        </w:rPr>
      </w:pPr>
      <w:r w:rsidRPr="000C193D">
        <w:rPr>
          <w:rFonts w:asciiTheme="minorHAnsi" w:hAnsiTheme="minorHAnsi" w:cs="Calibri"/>
          <w:bCs/>
        </w:rPr>
        <w:t>The ESAs should be aware of conflicting and overlapping regulation which should be addressed before submitting the drafted RTS to the Commission:</w:t>
      </w:r>
    </w:p>
    <w:p w14:paraId="66872E1C" w14:textId="77777777" w:rsidR="00997751" w:rsidRPr="000C193D" w:rsidRDefault="00DF57BE" w:rsidP="00997751">
      <w:pPr>
        <w:pStyle w:val="ListParagraph"/>
        <w:numPr>
          <w:ilvl w:val="1"/>
          <w:numId w:val="5"/>
        </w:numPr>
        <w:spacing w:after="0"/>
        <w:contextualSpacing w:val="0"/>
        <w:jc w:val="both"/>
        <w:rPr>
          <w:rFonts w:asciiTheme="minorHAnsi" w:hAnsiTheme="minorHAnsi" w:cs="Calibri"/>
          <w:bCs/>
        </w:rPr>
      </w:pPr>
      <w:r w:rsidRPr="000C193D">
        <w:rPr>
          <w:rFonts w:asciiTheme="minorHAnsi" w:hAnsiTheme="minorHAnsi" w:cs="Calibri"/>
          <w:bCs/>
        </w:rPr>
        <w:lastRenderedPageBreak/>
        <w:t xml:space="preserve">Certain provisions of ESMAs Guidelines on ETFs and other UCITS issues (ESMA/2012/832EN) implemented in all Member States </w:t>
      </w:r>
      <w:r w:rsidR="00A918F1" w:rsidRPr="000C193D">
        <w:rPr>
          <w:rFonts w:asciiTheme="minorHAnsi" w:hAnsiTheme="minorHAnsi" w:cs="Calibri"/>
          <w:bCs/>
        </w:rPr>
        <w:t xml:space="preserve">prevent </w:t>
      </w:r>
      <w:r w:rsidRPr="000C193D">
        <w:rPr>
          <w:rFonts w:asciiTheme="minorHAnsi" w:hAnsiTheme="minorHAnsi" w:cs="Calibri"/>
          <w:bCs/>
        </w:rPr>
        <w:t>UCITS funds to comply with some of the provisions of the RTS (replacement of defaulted derivatives);</w:t>
      </w:r>
    </w:p>
    <w:p w14:paraId="6B00DABC" w14:textId="16C9D5C9" w:rsidR="00B90B21" w:rsidRPr="000C193D" w:rsidRDefault="00DF57BE" w:rsidP="00997751">
      <w:pPr>
        <w:pStyle w:val="ListParagraph"/>
        <w:numPr>
          <w:ilvl w:val="1"/>
          <w:numId w:val="5"/>
        </w:numPr>
        <w:spacing w:after="0"/>
        <w:contextualSpacing w:val="0"/>
        <w:jc w:val="both"/>
        <w:rPr>
          <w:rFonts w:asciiTheme="minorHAnsi" w:hAnsiTheme="minorHAnsi" w:cs="Calibri"/>
          <w:bCs/>
        </w:rPr>
      </w:pPr>
      <w:r w:rsidRPr="000C193D">
        <w:rPr>
          <w:rFonts w:asciiTheme="minorHAnsi" w:hAnsiTheme="minorHAnsi" w:cs="Calibri"/>
          <w:bCs/>
        </w:rPr>
        <w:t>UCITS funds already have to comply with con</w:t>
      </w:r>
      <w:r w:rsidR="002E7333">
        <w:rPr>
          <w:rFonts w:asciiTheme="minorHAnsi" w:hAnsiTheme="minorHAnsi" w:cs="Calibri"/>
          <w:bCs/>
        </w:rPr>
        <w:t>centration limits on collateral.</w:t>
      </w:r>
      <w:r w:rsidRPr="000C193D">
        <w:rPr>
          <w:rFonts w:asciiTheme="minorHAnsi" w:hAnsiTheme="minorHAnsi" w:cs="Calibri"/>
          <w:bCs/>
        </w:rPr>
        <w:t xml:space="preserve">  </w:t>
      </w:r>
    </w:p>
    <w:p w14:paraId="1AD45416" w14:textId="77777777" w:rsidR="00997751" w:rsidRPr="000C193D" w:rsidRDefault="00997751" w:rsidP="00997751">
      <w:pPr>
        <w:pStyle w:val="ListParagraph"/>
        <w:spacing w:after="0"/>
        <w:ind w:left="1440"/>
        <w:contextualSpacing w:val="0"/>
        <w:jc w:val="both"/>
        <w:rPr>
          <w:rFonts w:asciiTheme="minorHAnsi" w:hAnsiTheme="minorHAnsi" w:cs="Calibri"/>
          <w:bCs/>
        </w:rPr>
      </w:pPr>
    </w:p>
    <w:p w14:paraId="5EAA9826" w14:textId="77777777" w:rsidR="00B90B21" w:rsidRPr="000C193D" w:rsidRDefault="00FB4F31" w:rsidP="00997751">
      <w:pPr>
        <w:pStyle w:val="ListParagraph"/>
        <w:numPr>
          <w:ilvl w:val="0"/>
          <w:numId w:val="5"/>
        </w:numPr>
        <w:spacing w:after="0"/>
        <w:contextualSpacing w:val="0"/>
        <w:jc w:val="both"/>
        <w:rPr>
          <w:rFonts w:asciiTheme="minorHAnsi" w:hAnsiTheme="minorHAnsi" w:cs="Calibri"/>
          <w:bCs/>
        </w:rPr>
      </w:pPr>
      <w:r w:rsidRPr="000C193D">
        <w:rPr>
          <w:rFonts w:asciiTheme="minorHAnsi" w:hAnsiTheme="minorHAnsi" w:cs="Calibri"/>
          <w:bCs/>
        </w:rPr>
        <w:t>As investment funds and asset managers are very strictly regulated and closely supervised, we consider that a specific exemption from the obligation to exchange initial margin would be justified</w:t>
      </w:r>
      <w:r w:rsidR="00557E1D" w:rsidRPr="000C193D">
        <w:rPr>
          <w:rFonts w:asciiTheme="minorHAnsi" w:hAnsiTheme="minorHAnsi" w:cs="Calibri"/>
          <w:bCs/>
        </w:rPr>
        <w:t xml:space="preserve">. </w:t>
      </w:r>
    </w:p>
    <w:p w14:paraId="519BC092" w14:textId="77777777" w:rsidR="00557E1D" w:rsidRPr="000C193D" w:rsidRDefault="00557E1D" w:rsidP="00997751">
      <w:pPr>
        <w:pStyle w:val="ListParagraph"/>
        <w:spacing w:after="0"/>
        <w:contextualSpacing w:val="0"/>
        <w:jc w:val="both"/>
        <w:rPr>
          <w:rFonts w:asciiTheme="minorHAnsi" w:hAnsiTheme="minorHAnsi" w:cs="Calibri"/>
          <w:bCs/>
        </w:rPr>
      </w:pPr>
    </w:p>
    <w:p w14:paraId="5F3787EA" w14:textId="77777777" w:rsidR="00B90B21" w:rsidRPr="000C193D" w:rsidRDefault="00FB4F31" w:rsidP="00997751">
      <w:pPr>
        <w:pStyle w:val="ListParagraph"/>
        <w:numPr>
          <w:ilvl w:val="0"/>
          <w:numId w:val="5"/>
        </w:numPr>
        <w:spacing w:after="0"/>
        <w:contextualSpacing w:val="0"/>
        <w:jc w:val="both"/>
        <w:rPr>
          <w:rFonts w:asciiTheme="minorHAnsi" w:hAnsiTheme="minorHAnsi" w:cs="Calibri"/>
          <w:bCs/>
        </w:rPr>
      </w:pPr>
      <w:r w:rsidRPr="000C193D">
        <w:rPr>
          <w:rFonts w:asciiTheme="minorHAnsi" w:hAnsiTheme="minorHAnsi" w:cs="Calibri"/>
          <w:bCs/>
        </w:rPr>
        <w:t xml:space="preserve">Deals existing at the time of implementation of a new regulation should be exempted (as mentioned in recital 18) </w:t>
      </w:r>
      <w:r w:rsidR="00557E1D" w:rsidRPr="000C193D">
        <w:rPr>
          <w:rFonts w:asciiTheme="minorHAnsi" w:hAnsiTheme="minorHAnsi" w:cs="Calibri"/>
          <w:bCs/>
        </w:rPr>
        <w:t xml:space="preserve">and this principle should be embedded in </w:t>
      </w:r>
      <w:r w:rsidR="00C73305" w:rsidRPr="000C193D">
        <w:rPr>
          <w:rFonts w:asciiTheme="minorHAnsi" w:hAnsiTheme="minorHAnsi" w:cs="Calibri"/>
          <w:bCs/>
        </w:rPr>
        <w:t>the text of the RTS</w:t>
      </w:r>
      <w:r w:rsidR="00557E1D" w:rsidRPr="000C193D">
        <w:rPr>
          <w:rFonts w:asciiTheme="minorHAnsi" w:hAnsiTheme="minorHAnsi" w:cs="Calibri"/>
          <w:bCs/>
        </w:rPr>
        <w:t xml:space="preserve"> as well (rather than being only written in a recital). </w:t>
      </w:r>
    </w:p>
    <w:p w14:paraId="706604E8" w14:textId="77777777" w:rsidR="00997751" w:rsidRPr="000C193D" w:rsidRDefault="00997751" w:rsidP="00997751">
      <w:pPr>
        <w:pStyle w:val="ListParagraph"/>
        <w:spacing w:after="0"/>
        <w:contextualSpacing w:val="0"/>
        <w:jc w:val="both"/>
        <w:rPr>
          <w:rFonts w:asciiTheme="minorHAnsi" w:hAnsiTheme="minorHAnsi" w:cs="Calibri"/>
          <w:bCs/>
        </w:rPr>
      </w:pPr>
    </w:p>
    <w:p w14:paraId="14D71D83" w14:textId="77777777" w:rsidR="00B90B21" w:rsidRPr="000C193D" w:rsidRDefault="00557E1D" w:rsidP="00997751">
      <w:pPr>
        <w:pStyle w:val="ListParagraph"/>
        <w:numPr>
          <w:ilvl w:val="0"/>
          <w:numId w:val="5"/>
        </w:numPr>
        <w:spacing w:after="0"/>
        <w:contextualSpacing w:val="0"/>
        <w:jc w:val="both"/>
        <w:rPr>
          <w:rFonts w:asciiTheme="minorHAnsi" w:hAnsiTheme="minorHAnsi" w:cs="Calibri"/>
          <w:bCs/>
        </w:rPr>
      </w:pPr>
      <w:r w:rsidRPr="000C193D">
        <w:rPr>
          <w:rFonts w:asciiTheme="minorHAnsi" w:hAnsiTheme="minorHAnsi" w:cs="Calibri"/>
          <w:bCs/>
        </w:rPr>
        <w:t xml:space="preserve"> </w:t>
      </w:r>
      <w:r w:rsidR="00FB4F31" w:rsidRPr="000C193D">
        <w:rPr>
          <w:rFonts w:asciiTheme="minorHAnsi" w:hAnsiTheme="minorHAnsi" w:cs="Calibri"/>
          <w:bCs/>
        </w:rPr>
        <w:t xml:space="preserve">With a view to reduce </w:t>
      </w:r>
      <w:proofErr w:type="spellStart"/>
      <w:r w:rsidR="00FB4F31" w:rsidRPr="000C193D">
        <w:rPr>
          <w:rFonts w:asciiTheme="minorHAnsi" w:hAnsiTheme="minorHAnsi" w:cs="Calibri"/>
          <w:bCs/>
        </w:rPr>
        <w:t>procyclicality</w:t>
      </w:r>
      <w:proofErr w:type="spellEnd"/>
      <w:r w:rsidR="00FB4F31" w:rsidRPr="000C193D">
        <w:rPr>
          <w:rFonts w:asciiTheme="minorHAnsi" w:hAnsiTheme="minorHAnsi" w:cs="Calibri"/>
          <w:bCs/>
        </w:rPr>
        <w:t xml:space="preserve"> and to enhance financial stability, we consider that the basis for eligible collateral should be as diversified as possible and include </w:t>
      </w:r>
      <w:r w:rsidR="00A918F1" w:rsidRPr="000C193D">
        <w:rPr>
          <w:rFonts w:asciiTheme="minorHAnsi" w:hAnsiTheme="minorHAnsi" w:cs="Calibri"/>
          <w:bCs/>
        </w:rPr>
        <w:t xml:space="preserve">various </w:t>
      </w:r>
      <w:r w:rsidR="00FB4F31" w:rsidRPr="000C193D">
        <w:rPr>
          <w:rFonts w:asciiTheme="minorHAnsi" w:hAnsiTheme="minorHAnsi" w:cs="Calibri"/>
          <w:bCs/>
        </w:rPr>
        <w:t>types of assets and specifically funds</w:t>
      </w:r>
      <w:r w:rsidRPr="000C193D">
        <w:rPr>
          <w:rFonts w:asciiTheme="minorHAnsi" w:hAnsiTheme="minorHAnsi" w:cs="Calibri"/>
          <w:bCs/>
        </w:rPr>
        <w:t xml:space="preserve"> (as opposed to the </w:t>
      </w:r>
      <w:r w:rsidR="00C73305" w:rsidRPr="000C193D">
        <w:rPr>
          <w:rFonts w:asciiTheme="minorHAnsi" w:hAnsiTheme="minorHAnsi" w:cs="Calibri"/>
          <w:bCs/>
        </w:rPr>
        <w:t>approach chosen</w:t>
      </w:r>
      <w:r w:rsidRPr="000C193D">
        <w:rPr>
          <w:rFonts w:asciiTheme="minorHAnsi" w:hAnsiTheme="minorHAnsi" w:cs="Calibri"/>
          <w:bCs/>
        </w:rPr>
        <w:t xml:space="preserve"> about funds in CRR on liquidity ratios).</w:t>
      </w:r>
    </w:p>
    <w:p w14:paraId="1B93ED5A" w14:textId="77777777" w:rsidR="00997751" w:rsidRPr="000C193D" w:rsidRDefault="00997751" w:rsidP="00997751">
      <w:pPr>
        <w:jc w:val="both"/>
        <w:rPr>
          <w:rFonts w:asciiTheme="minorHAnsi" w:hAnsiTheme="minorHAnsi" w:cs="Calibri"/>
          <w:bCs/>
        </w:rPr>
      </w:pPr>
    </w:p>
    <w:p w14:paraId="15056978" w14:textId="77777777" w:rsidR="00B90B21" w:rsidRPr="000C193D" w:rsidRDefault="00557E1D" w:rsidP="00997751">
      <w:pPr>
        <w:pStyle w:val="ListParagraph"/>
        <w:numPr>
          <w:ilvl w:val="0"/>
          <w:numId w:val="5"/>
        </w:numPr>
        <w:spacing w:after="0"/>
        <w:contextualSpacing w:val="0"/>
        <w:jc w:val="both"/>
        <w:rPr>
          <w:rFonts w:asciiTheme="minorHAnsi" w:hAnsiTheme="minorHAnsi" w:cs="Calibri"/>
          <w:bCs/>
        </w:rPr>
      </w:pPr>
      <w:r w:rsidRPr="000C193D">
        <w:rPr>
          <w:rFonts w:asciiTheme="minorHAnsi" w:hAnsiTheme="minorHAnsi" w:cs="Calibri"/>
          <w:bCs/>
        </w:rPr>
        <w:t>A</w:t>
      </w:r>
      <w:r w:rsidR="00FB4F31" w:rsidRPr="000C193D">
        <w:rPr>
          <w:rFonts w:asciiTheme="minorHAnsi" w:hAnsiTheme="minorHAnsi" w:cs="Calibri"/>
          <w:bCs/>
        </w:rPr>
        <w:t>ccording to their quality and their liquidity</w:t>
      </w:r>
      <w:r w:rsidR="00A918F1" w:rsidRPr="000C193D">
        <w:rPr>
          <w:rFonts w:asciiTheme="minorHAnsi" w:hAnsiTheme="minorHAnsi" w:cs="Calibri"/>
          <w:bCs/>
        </w:rPr>
        <w:t>,</w:t>
      </w:r>
      <w:r w:rsidR="00FB4F31" w:rsidRPr="000C193D">
        <w:rPr>
          <w:rFonts w:asciiTheme="minorHAnsi" w:hAnsiTheme="minorHAnsi" w:cs="Calibri"/>
          <w:bCs/>
        </w:rPr>
        <w:t xml:space="preserve"> these assets should be subject to appropriate haircuts and not percentage limits on concentration to reduce risk;  </w:t>
      </w:r>
    </w:p>
    <w:p w14:paraId="0BABD6EC" w14:textId="77777777" w:rsidR="00997751" w:rsidRPr="000C193D" w:rsidRDefault="00997751" w:rsidP="00997751">
      <w:pPr>
        <w:jc w:val="both"/>
        <w:rPr>
          <w:rFonts w:asciiTheme="minorHAnsi" w:hAnsiTheme="minorHAnsi" w:cs="Calibri"/>
          <w:bCs/>
        </w:rPr>
      </w:pPr>
    </w:p>
    <w:p w14:paraId="5A60C34C" w14:textId="77777777" w:rsidR="00B90B21" w:rsidRPr="000C193D" w:rsidRDefault="00FB4F31" w:rsidP="00997751">
      <w:pPr>
        <w:pStyle w:val="ListParagraph"/>
        <w:numPr>
          <w:ilvl w:val="0"/>
          <w:numId w:val="5"/>
        </w:numPr>
        <w:spacing w:after="0"/>
        <w:contextualSpacing w:val="0"/>
        <w:jc w:val="both"/>
        <w:rPr>
          <w:rFonts w:asciiTheme="minorHAnsi" w:hAnsiTheme="minorHAnsi" w:cs="Calibri"/>
          <w:bCs/>
        </w:rPr>
      </w:pPr>
      <w:r w:rsidRPr="000C193D">
        <w:rPr>
          <w:rFonts w:asciiTheme="minorHAnsi" w:hAnsiTheme="minorHAnsi" w:cs="Calibri"/>
          <w:bCs/>
        </w:rPr>
        <w:t>The possibility to re-use collateral received can be a major device to leverage a position and should not be granted without restriction</w:t>
      </w:r>
      <w:r w:rsidR="009D7BB1" w:rsidRPr="000C193D">
        <w:rPr>
          <w:rFonts w:asciiTheme="minorHAnsi" w:hAnsiTheme="minorHAnsi" w:cs="Calibri"/>
          <w:bCs/>
        </w:rPr>
        <w:t>. H</w:t>
      </w:r>
      <w:r w:rsidRPr="000C193D">
        <w:rPr>
          <w:rFonts w:asciiTheme="minorHAnsi" w:hAnsiTheme="minorHAnsi" w:cs="Calibri"/>
          <w:bCs/>
        </w:rPr>
        <w:t xml:space="preserve">owever </w:t>
      </w:r>
      <w:r w:rsidR="009D7BB1" w:rsidRPr="000C193D">
        <w:rPr>
          <w:rFonts w:asciiTheme="minorHAnsi" w:hAnsiTheme="minorHAnsi" w:cs="Calibri"/>
          <w:bCs/>
        </w:rPr>
        <w:t xml:space="preserve">a </w:t>
      </w:r>
      <w:r w:rsidRPr="000C193D">
        <w:rPr>
          <w:rFonts w:asciiTheme="minorHAnsi" w:hAnsiTheme="minorHAnsi" w:cs="Calibri"/>
          <w:bCs/>
        </w:rPr>
        <w:t>total prohibition of re-use or re</w:t>
      </w:r>
      <w:r w:rsidR="00AD198A">
        <w:rPr>
          <w:rFonts w:asciiTheme="minorHAnsi" w:hAnsiTheme="minorHAnsi" w:cs="Calibri"/>
          <w:bCs/>
        </w:rPr>
        <w:t>-</w:t>
      </w:r>
      <w:r w:rsidRPr="000C193D">
        <w:rPr>
          <w:rFonts w:asciiTheme="minorHAnsi" w:hAnsiTheme="minorHAnsi" w:cs="Calibri"/>
          <w:bCs/>
        </w:rPr>
        <w:t xml:space="preserve">hypothecation in all circumstances is not advisable either, as it increases the run for eligible collateral and hence produces </w:t>
      </w:r>
      <w:proofErr w:type="spellStart"/>
      <w:r w:rsidRPr="000C193D">
        <w:rPr>
          <w:rFonts w:asciiTheme="minorHAnsi" w:hAnsiTheme="minorHAnsi" w:cs="Calibri"/>
          <w:bCs/>
        </w:rPr>
        <w:t>procyclicality</w:t>
      </w:r>
      <w:proofErr w:type="spellEnd"/>
      <w:r w:rsidRPr="000C193D">
        <w:rPr>
          <w:rFonts w:asciiTheme="minorHAnsi" w:hAnsiTheme="minorHAnsi" w:cs="Calibri"/>
          <w:bCs/>
        </w:rPr>
        <w:t xml:space="preserve"> and reduced liquidity</w:t>
      </w:r>
      <w:r w:rsidR="00D46C7C" w:rsidRPr="000C193D">
        <w:rPr>
          <w:rFonts w:asciiTheme="minorHAnsi" w:hAnsiTheme="minorHAnsi" w:cs="Calibri"/>
          <w:bCs/>
        </w:rPr>
        <w:t>.</w:t>
      </w:r>
      <w:r w:rsidRPr="000C193D">
        <w:rPr>
          <w:rFonts w:asciiTheme="minorHAnsi" w:hAnsiTheme="minorHAnsi" w:cs="Calibri"/>
          <w:bCs/>
        </w:rPr>
        <w:t xml:space="preserve"> </w:t>
      </w:r>
      <w:r w:rsidR="00A918F1" w:rsidRPr="000C193D">
        <w:rPr>
          <w:rFonts w:asciiTheme="minorHAnsi" w:hAnsiTheme="minorHAnsi" w:cs="Calibri"/>
          <w:bCs/>
        </w:rPr>
        <w:t>We c</w:t>
      </w:r>
      <w:r w:rsidRPr="000C193D">
        <w:rPr>
          <w:rFonts w:asciiTheme="minorHAnsi" w:hAnsiTheme="minorHAnsi" w:cs="Calibri"/>
          <w:bCs/>
        </w:rPr>
        <w:t>onsider that OTC transactions being conducted between responsible professionals, re-use should be allowed in exceptional conditions as</w:t>
      </w:r>
      <w:r w:rsidR="00997751" w:rsidRPr="000C193D">
        <w:rPr>
          <w:rFonts w:asciiTheme="minorHAnsi" w:hAnsiTheme="minorHAnsi" w:cs="Calibri"/>
          <w:bCs/>
        </w:rPr>
        <w:t xml:space="preserve"> defined by IOSCO / BCSS rules.</w:t>
      </w:r>
    </w:p>
    <w:p w14:paraId="4D3110DA" w14:textId="77777777" w:rsidR="00FB4F31" w:rsidRPr="000C193D" w:rsidRDefault="00FB4F31" w:rsidP="00997751">
      <w:pPr>
        <w:jc w:val="both"/>
        <w:rPr>
          <w:rFonts w:asciiTheme="minorHAnsi" w:hAnsiTheme="minorHAnsi" w:cs="Calibri"/>
          <w:bCs/>
          <w:sz w:val="22"/>
          <w:szCs w:val="22"/>
          <w:lang w:val="en-US"/>
        </w:rPr>
      </w:pPr>
    </w:p>
    <w:p w14:paraId="6E6057A8" w14:textId="77777777" w:rsidR="00531E37" w:rsidRPr="000C193D" w:rsidRDefault="00531E37" w:rsidP="00997751">
      <w:pPr>
        <w:jc w:val="both"/>
        <w:rPr>
          <w:rFonts w:asciiTheme="minorHAnsi" w:hAnsiTheme="minorHAnsi" w:cs="Calibri"/>
          <w:bCs/>
          <w:sz w:val="22"/>
          <w:szCs w:val="22"/>
          <w:lang w:val="en-US"/>
        </w:rPr>
      </w:pPr>
    </w:p>
    <w:p w14:paraId="010FA76B" w14:textId="77777777" w:rsidR="00531E37" w:rsidRPr="001D787F" w:rsidRDefault="00997751" w:rsidP="00997751">
      <w:pPr>
        <w:jc w:val="both"/>
        <w:rPr>
          <w:rFonts w:asciiTheme="minorHAnsi" w:hAnsiTheme="minorHAnsi" w:cs="Calibri"/>
          <w:b/>
          <w:szCs w:val="22"/>
          <w:u w:val="single"/>
          <w:lang w:val="en-US"/>
        </w:rPr>
      </w:pPr>
      <w:r w:rsidRPr="001D787F">
        <w:rPr>
          <w:rFonts w:asciiTheme="minorHAnsi" w:hAnsiTheme="minorHAnsi" w:cs="Calibri"/>
          <w:b/>
          <w:szCs w:val="22"/>
          <w:u w:val="single"/>
          <w:lang w:val="en-US"/>
        </w:rPr>
        <w:t>DETAILED REPLY</w:t>
      </w:r>
    </w:p>
    <w:p w14:paraId="50967030" w14:textId="77777777" w:rsidR="00997751" w:rsidRPr="000C193D" w:rsidRDefault="00997751" w:rsidP="00997751">
      <w:pPr>
        <w:jc w:val="both"/>
        <w:rPr>
          <w:rFonts w:asciiTheme="minorHAnsi" w:hAnsiTheme="minorHAnsi" w:cs="Calibri"/>
          <w:b/>
          <w:sz w:val="22"/>
          <w:szCs w:val="22"/>
          <w:u w:val="single"/>
          <w:lang w:val="en-US"/>
        </w:rPr>
      </w:pPr>
    </w:p>
    <w:p w14:paraId="365AC3BF" w14:textId="77777777" w:rsidR="00531E37" w:rsidRPr="000C193D" w:rsidRDefault="00531E37" w:rsidP="00531E37">
      <w:pPr>
        <w:rPr>
          <w:rFonts w:asciiTheme="minorHAnsi" w:hAnsiTheme="minorHAnsi" w:cs="Calibri"/>
          <w:bCs/>
          <w:sz w:val="22"/>
          <w:szCs w:val="22"/>
          <w:lang w:val="en-US"/>
        </w:rPr>
      </w:pPr>
    </w:p>
    <w:p w14:paraId="53144150" w14:textId="77777777" w:rsidR="00645513" w:rsidRPr="000C193D" w:rsidRDefault="00645513" w:rsidP="001B712D">
      <w:pPr>
        <w:pBdr>
          <w:top w:val="single" w:sz="4" w:space="1" w:color="auto"/>
          <w:left w:val="single" w:sz="4" w:space="4" w:color="auto"/>
          <w:bottom w:val="single" w:sz="4" w:space="1" w:color="auto"/>
          <w:right w:val="single" w:sz="4" w:space="4" w:color="auto"/>
        </w:pBdr>
        <w:rPr>
          <w:rFonts w:asciiTheme="minorHAnsi" w:hAnsiTheme="minorHAnsi" w:cs="Calibri"/>
          <w:bCs/>
          <w:sz w:val="22"/>
          <w:szCs w:val="22"/>
        </w:rPr>
      </w:pPr>
      <w:r w:rsidRPr="000C193D">
        <w:rPr>
          <w:rFonts w:asciiTheme="minorHAnsi" w:hAnsiTheme="minorHAnsi" w:cs="Calibri"/>
          <w:bCs/>
          <w:sz w:val="22"/>
          <w:szCs w:val="22"/>
        </w:rPr>
        <w:t>Question 1</w:t>
      </w:r>
      <w:r w:rsidR="001B712D" w:rsidRPr="000C193D">
        <w:rPr>
          <w:rFonts w:asciiTheme="minorHAnsi" w:hAnsiTheme="minorHAnsi" w:cs="Calibri"/>
          <w:bCs/>
          <w:sz w:val="22"/>
          <w:szCs w:val="22"/>
        </w:rPr>
        <w:t>. What costs will the proposed collateral requirement create for small or medium-sized entities, particular types of counterparties and particular jurisdictions? Is it possible to quantify these costs? How could the costs be reduced without compromising the objective of sound risk management and keeping with the proposal aligned with interaction standards?</w:t>
      </w:r>
    </w:p>
    <w:p w14:paraId="4B1A8C7A" w14:textId="77777777" w:rsidR="001B712D" w:rsidRPr="000C193D" w:rsidRDefault="001B712D" w:rsidP="00645513">
      <w:pPr>
        <w:rPr>
          <w:rFonts w:asciiTheme="minorHAnsi" w:hAnsiTheme="minorHAnsi" w:cs="Calibri"/>
          <w:bCs/>
          <w:sz w:val="22"/>
          <w:szCs w:val="22"/>
        </w:rPr>
      </w:pPr>
    </w:p>
    <w:p w14:paraId="548C0C2C" w14:textId="77777777" w:rsidR="00751581" w:rsidRPr="000C193D" w:rsidRDefault="00751581"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EFAMA members consider it </w:t>
      </w:r>
      <w:r w:rsidR="00645513" w:rsidRPr="000C193D">
        <w:rPr>
          <w:rFonts w:asciiTheme="minorHAnsi" w:hAnsiTheme="minorHAnsi" w:cs="Calibri"/>
          <w:bCs/>
          <w:sz w:val="22"/>
          <w:szCs w:val="22"/>
        </w:rPr>
        <w:t xml:space="preserve">difficult to determine the costs of implementing the </w:t>
      </w:r>
      <w:r w:rsidRPr="000C193D">
        <w:rPr>
          <w:rFonts w:asciiTheme="minorHAnsi" w:hAnsiTheme="minorHAnsi" w:cs="Calibri"/>
          <w:bCs/>
          <w:sz w:val="22"/>
          <w:szCs w:val="22"/>
        </w:rPr>
        <w:t>propos</w:t>
      </w:r>
      <w:r w:rsidR="00645513" w:rsidRPr="000C193D">
        <w:rPr>
          <w:rFonts w:asciiTheme="minorHAnsi" w:hAnsiTheme="minorHAnsi" w:cs="Calibri"/>
          <w:bCs/>
          <w:sz w:val="22"/>
          <w:szCs w:val="22"/>
        </w:rPr>
        <w:t>ed RTS</w:t>
      </w:r>
      <w:r w:rsidRPr="000C193D">
        <w:rPr>
          <w:rFonts w:asciiTheme="minorHAnsi" w:hAnsiTheme="minorHAnsi" w:cs="Calibri"/>
          <w:bCs/>
          <w:sz w:val="22"/>
          <w:szCs w:val="22"/>
        </w:rPr>
        <w:t xml:space="preserve"> considering the currently available information.</w:t>
      </w:r>
    </w:p>
    <w:p w14:paraId="1BBBC463" w14:textId="77777777" w:rsidR="00751581" w:rsidRPr="000C193D" w:rsidRDefault="00751581" w:rsidP="00997751">
      <w:pPr>
        <w:jc w:val="both"/>
        <w:rPr>
          <w:rFonts w:asciiTheme="minorHAnsi" w:hAnsiTheme="minorHAnsi" w:cs="Calibri"/>
          <w:bCs/>
          <w:sz w:val="22"/>
          <w:szCs w:val="22"/>
        </w:rPr>
      </w:pPr>
    </w:p>
    <w:p w14:paraId="0D69B99F" w14:textId="77777777" w:rsidR="0048434F" w:rsidRPr="000C193D" w:rsidRDefault="00645513"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The number of new obligations and their scope seem to make their </w:t>
      </w:r>
      <w:r w:rsidR="00751581" w:rsidRPr="000C193D">
        <w:rPr>
          <w:rFonts w:asciiTheme="minorHAnsi" w:hAnsiTheme="minorHAnsi" w:cs="Calibri"/>
          <w:bCs/>
          <w:sz w:val="22"/>
          <w:szCs w:val="22"/>
        </w:rPr>
        <w:t xml:space="preserve">implementation quite expensive, especially for small or midsize </w:t>
      </w:r>
      <w:r w:rsidR="00020729" w:rsidRPr="000C193D">
        <w:rPr>
          <w:rFonts w:asciiTheme="minorHAnsi" w:hAnsiTheme="minorHAnsi" w:cs="Calibri"/>
          <w:bCs/>
          <w:sz w:val="22"/>
          <w:szCs w:val="22"/>
        </w:rPr>
        <w:t>funds or asset management companies</w:t>
      </w:r>
      <w:r w:rsidR="00751581" w:rsidRPr="000C193D">
        <w:rPr>
          <w:rFonts w:asciiTheme="minorHAnsi" w:hAnsiTheme="minorHAnsi" w:cs="Calibri"/>
          <w:bCs/>
          <w:sz w:val="22"/>
          <w:szCs w:val="22"/>
        </w:rPr>
        <w:t>. Indeed, those asset managers have often outsourced part of the services and this leads to uncertain</w:t>
      </w:r>
      <w:r w:rsidR="0048434F" w:rsidRPr="000C193D">
        <w:rPr>
          <w:rFonts w:asciiTheme="minorHAnsi" w:hAnsiTheme="minorHAnsi" w:cs="Calibri"/>
          <w:bCs/>
          <w:sz w:val="22"/>
          <w:szCs w:val="22"/>
        </w:rPr>
        <w:t>ty around fees and charges caused by the review of contracts and services.</w:t>
      </w:r>
    </w:p>
    <w:p w14:paraId="2C02D052" w14:textId="77777777" w:rsidR="00645513" w:rsidRPr="000C193D" w:rsidRDefault="00751581"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 </w:t>
      </w:r>
    </w:p>
    <w:p w14:paraId="02FE9F2D" w14:textId="77777777" w:rsidR="0085448E" w:rsidRPr="000C193D" w:rsidRDefault="00020729" w:rsidP="00997751">
      <w:pPr>
        <w:jc w:val="both"/>
        <w:rPr>
          <w:rFonts w:asciiTheme="minorHAnsi" w:hAnsiTheme="minorHAnsi" w:cs="Calibri"/>
          <w:bCs/>
          <w:sz w:val="22"/>
          <w:szCs w:val="22"/>
        </w:rPr>
      </w:pPr>
      <w:r w:rsidRPr="000C193D">
        <w:rPr>
          <w:rFonts w:asciiTheme="minorHAnsi" w:hAnsiTheme="minorHAnsi" w:cs="Calibri"/>
          <w:bCs/>
          <w:sz w:val="22"/>
          <w:szCs w:val="22"/>
        </w:rPr>
        <w:t>Another element of uncertainty of costs is the fact that</w:t>
      </w:r>
      <w:r w:rsidR="00645513" w:rsidRPr="000C193D">
        <w:rPr>
          <w:rFonts w:asciiTheme="minorHAnsi" w:hAnsiTheme="minorHAnsi" w:cs="Calibri"/>
          <w:bCs/>
          <w:sz w:val="22"/>
          <w:szCs w:val="22"/>
        </w:rPr>
        <w:t xml:space="preserve">, </w:t>
      </w:r>
      <w:r w:rsidR="0048434F" w:rsidRPr="000C193D">
        <w:rPr>
          <w:rFonts w:asciiTheme="minorHAnsi" w:hAnsiTheme="minorHAnsi" w:cs="Calibri"/>
          <w:bCs/>
          <w:sz w:val="22"/>
          <w:szCs w:val="22"/>
        </w:rPr>
        <w:t xml:space="preserve">even if </w:t>
      </w:r>
      <w:r w:rsidR="00645513" w:rsidRPr="000C193D">
        <w:rPr>
          <w:rFonts w:asciiTheme="minorHAnsi" w:hAnsiTheme="minorHAnsi" w:cs="Calibri"/>
          <w:bCs/>
          <w:sz w:val="22"/>
          <w:szCs w:val="22"/>
        </w:rPr>
        <w:t xml:space="preserve">the costs could be reduced by </w:t>
      </w:r>
      <w:r w:rsidR="0048434F" w:rsidRPr="000C193D">
        <w:rPr>
          <w:rFonts w:asciiTheme="minorHAnsi" w:hAnsiTheme="minorHAnsi" w:cs="Calibri"/>
          <w:bCs/>
          <w:sz w:val="22"/>
          <w:szCs w:val="22"/>
        </w:rPr>
        <w:t>implementing jointly requirements from various legislation</w:t>
      </w:r>
      <w:r w:rsidR="00645513" w:rsidRPr="000C193D">
        <w:rPr>
          <w:rFonts w:asciiTheme="minorHAnsi" w:hAnsiTheme="minorHAnsi" w:cs="Calibri"/>
          <w:bCs/>
          <w:sz w:val="22"/>
          <w:szCs w:val="22"/>
        </w:rPr>
        <w:t xml:space="preserve">, </w:t>
      </w:r>
      <w:r w:rsidR="0048434F" w:rsidRPr="000C193D">
        <w:rPr>
          <w:rFonts w:asciiTheme="minorHAnsi" w:hAnsiTheme="minorHAnsi" w:cs="Calibri"/>
          <w:bCs/>
          <w:sz w:val="22"/>
          <w:szCs w:val="22"/>
        </w:rPr>
        <w:t>all the changes coming on a same period of time will have an impact on cost e.g. for contracts reviews and modification or IT systems changes.</w:t>
      </w:r>
    </w:p>
    <w:p w14:paraId="7D2D3C76" w14:textId="77777777" w:rsidR="00852197" w:rsidRPr="000C193D" w:rsidRDefault="00852197" w:rsidP="00A4678F">
      <w:pPr>
        <w:jc w:val="both"/>
        <w:rPr>
          <w:rFonts w:asciiTheme="minorHAnsi" w:hAnsiTheme="minorHAnsi" w:cs="Arial"/>
          <w:sz w:val="22"/>
          <w:szCs w:val="22"/>
        </w:rPr>
      </w:pPr>
    </w:p>
    <w:p w14:paraId="4B758723" w14:textId="77777777" w:rsidR="00A4678F" w:rsidRPr="000C193D" w:rsidRDefault="00852197" w:rsidP="00A4678F">
      <w:pPr>
        <w:jc w:val="both"/>
        <w:rPr>
          <w:rFonts w:asciiTheme="minorHAnsi" w:hAnsiTheme="minorHAnsi" w:cs="Arial"/>
          <w:sz w:val="22"/>
          <w:szCs w:val="22"/>
        </w:rPr>
      </w:pPr>
      <w:r w:rsidRPr="000C193D">
        <w:rPr>
          <w:rFonts w:asciiTheme="minorHAnsi" w:hAnsiTheme="minorHAnsi" w:cs="Arial"/>
          <w:sz w:val="22"/>
          <w:szCs w:val="22"/>
        </w:rPr>
        <w:t xml:space="preserve">In order to ensure that </w:t>
      </w:r>
      <w:r w:rsidR="00A4678F" w:rsidRPr="000C193D">
        <w:rPr>
          <w:rFonts w:asciiTheme="minorHAnsi" w:hAnsiTheme="minorHAnsi" w:cs="Arial"/>
          <w:sz w:val="22"/>
          <w:szCs w:val="22"/>
        </w:rPr>
        <w:t>small and medium sizes counte</w:t>
      </w:r>
      <w:r w:rsidR="00697875" w:rsidRPr="000C193D">
        <w:rPr>
          <w:rFonts w:asciiTheme="minorHAnsi" w:hAnsiTheme="minorHAnsi" w:cs="Arial"/>
          <w:sz w:val="22"/>
          <w:szCs w:val="22"/>
        </w:rPr>
        <w:t>rparty</w:t>
      </w:r>
      <w:r w:rsidR="00FD06D3" w:rsidRPr="000C193D">
        <w:rPr>
          <w:rFonts w:asciiTheme="minorHAnsi" w:hAnsiTheme="minorHAnsi" w:cs="Arial"/>
          <w:sz w:val="22"/>
          <w:szCs w:val="22"/>
        </w:rPr>
        <w:t xml:space="preserve"> are not commercially forced to deliver initial margins</w:t>
      </w:r>
      <w:r w:rsidR="00697875" w:rsidRPr="000C193D">
        <w:rPr>
          <w:rFonts w:asciiTheme="minorHAnsi" w:hAnsiTheme="minorHAnsi" w:cs="Arial"/>
          <w:sz w:val="22"/>
          <w:szCs w:val="22"/>
        </w:rPr>
        <w:t>, the 8 billion thresholds</w:t>
      </w:r>
      <w:r w:rsidR="00A4678F" w:rsidRPr="000C193D">
        <w:rPr>
          <w:rFonts w:asciiTheme="minorHAnsi" w:hAnsiTheme="minorHAnsi" w:cs="Arial"/>
          <w:sz w:val="22"/>
          <w:szCs w:val="22"/>
        </w:rPr>
        <w:t xml:space="preserve"> should be reinforced</w:t>
      </w:r>
      <w:r w:rsidR="00FD06D3" w:rsidRPr="000C193D">
        <w:rPr>
          <w:rFonts w:asciiTheme="minorHAnsi" w:hAnsiTheme="minorHAnsi" w:cs="Arial"/>
          <w:sz w:val="22"/>
          <w:szCs w:val="22"/>
        </w:rPr>
        <w:t xml:space="preserve"> through </w:t>
      </w:r>
      <w:r w:rsidR="00A4678F" w:rsidRPr="000C193D">
        <w:rPr>
          <w:rFonts w:asciiTheme="minorHAnsi" w:hAnsiTheme="minorHAnsi" w:cs="Arial"/>
          <w:sz w:val="22"/>
          <w:szCs w:val="22"/>
        </w:rPr>
        <w:t>the generalization of a Minimum Transfer Amount applicable on the Initial Margin</w:t>
      </w:r>
      <w:r w:rsidR="00FD06D3" w:rsidRPr="000C193D">
        <w:rPr>
          <w:rFonts w:asciiTheme="minorHAnsi" w:hAnsiTheme="minorHAnsi" w:cs="Arial"/>
          <w:sz w:val="22"/>
          <w:szCs w:val="22"/>
        </w:rPr>
        <w:t xml:space="preserve"> for </w:t>
      </w:r>
      <w:r w:rsidR="00A918F1" w:rsidRPr="000C193D">
        <w:rPr>
          <w:rFonts w:asciiTheme="minorHAnsi" w:hAnsiTheme="minorHAnsi" w:cs="Arial"/>
          <w:sz w:val="22"/>
          <w:szCs w:val="22"/>
        </w:rPr>
        <w:t>entities</w:t>
      </w:r>
      <w:r w:rsidR="00FD06D3" w:rsidRPr="000C193D">
        <w:rPr>
          <w:rFonts w:asciiTheme="minorHAnsi" w:hAnsiTheme="minorHAnsi" w:cs="Arial"/>
          <w:sz w:val="22"/>
          <w:szCs w:val="22"/>
        </w:rPr>
        <w:t xml:space="preserve"> that are below the threshold</w:t>
      </w:r>
      <w:r w:rsidR="00A4678F" w:rsidRPr="000C193D">
        <w:rPr>
          <w:rFonts w:asciiTheme="minorHAnsi" w:hAnsiTheme="minorHAnsi" w:cs="Arial"/>
          <w:sz w:val="22"/>
          <w:szCs w:val="22"/>
        </w:rPr>
        <w:t xml:space="preserve">. </w:t>
      </w:r>
    </w:p>
    <w:p w14:paraId="76CE1577" w14:textId="77777777" w:rsidR="00FB4F31" w:rsidRPr="000C193D" w:rsidRDefault="00FB4F31" w:rsidP="00A4678F">
      <w:pPr>
        <w:jc w:val="both"/>
        <w:rPr>
          <w:rFonts w:asciiTheme="minorHAnsi" w:hAnsiTheme="minorHAnsi" w:cs="Arial"/>
          <w:sz w:val="22"/>
          <w:szCs w:val="22"/>
        </w:rPr>
      </w:pPr>
    </w:p>
    <w:p w14:paraId="5B1A6892" w14:textId="77777777" w:rsidR="00FB4F31" w:rsidRDefault="00A918F1" w:rsidP="00FB4F31">
      <w:pPr>
        <w:jc w:val="both"/>
        <w:rPr>
          <w:rFonts w:asciiTheme="minorHAnsi" w:hAnsiTheme="minorHAnsi" w:cs="Arial"/>
          <w:sz w:val="22"/>
          <w:szCs w:val="22"/>
        </w:rPr>
      </w:pPr>
      <w:r w:rsidRPr="000C193D">
        <w:rPr>
          <w:rFonts w:asciiTheme="minorHAnsi" w:hAnsiTheme="minorHAnsi" w:cs="Arial"/>
          <w:sz w:val="22"/>
          <w:szCs w:val="22"/>
        </w:rPr>
        <w:t xml:space="preserve">More specifically, </w:t>
      </w:r>
      <w:r w:rsidR="00FE5BB8" w:rsidRPr="000C193D">
        <w:rPr>
          <w:rFonts w:asciiTheme="minorHAnsi" w:hAnsiTheme="minorHAnsi" w:cs="Arial"/>
          <w:sz w:val="22"/>
          <w:szCs w:val="22"/>
        </w:rPr>
        <w:t xml:space="preserve">we </w:t>
      </w:r>
      <w:r w:rsidR="00FB4F31" w:rsidRPr="000C193D">
        <w:rPr>
          <w:rFonts w:asciiTheme="minorHAnsi" w:hAnsiTheme="minorHAnsi" w:cs="Arial"/>
          <w:sz w:val="22"/>
          <w:szCs w:val="22"/>
        </w:rPr>
        <w:t>are aware that collateral management for non-centrally cleared OTC transactions will bring the following:</w:t>
      </w:r>
    </w:p>
    <w:p w14:paraId="189BD9F1" w14:textId="77777777" w:rsidR="001D787F" w:rsidRPr="000C193D" w:rsidRDefault="001D787F" w:rsidP="00FB4F31">
      <w:pPr>
        <w:jc w:val="both"/>
        <w:rPr>
          <w:rFonts w:asciiTheme="minorHAnsi" w:hAnsiTheme="minorHAnsi" w:cs="Arial"/>
          <w:sz w:val="22"/>
          <w:szCs w:val="22"/>
        </w:rPr>
      </w:pPr>
    </w:p>
    <w:p w14:paraId="1F2A8A13" w14:textId="17EFADA8" w:rsidR="00B90B21" w:rsidRPr="000C193D" w:rsidRDefault="00FB4F31">
      <w:pPr>
        <w:pStyle w:val="ListParagraph"/>
        <w:numPr>
          <w:ilvl w:val="0"/>
          <w:numId w:val="4"/>
        </w:numPr>
        <w:jc w:val="both"/>
        <w:rPr>
          <w:rFonts w:asciiTheme="minorHAnsi" w:hAnsiTheme="minorHAnsi" w:cs="Arial"/>
        </w:rPr>
      </w:pPr>
      <w:r w:rsidRPr="000C193D">
        <w:rPr>
          <w:rFonts w:asciiTheme="minorHAnsi" w:hAnsiTheme="minorHAnsi" w:cs="Arial"/>
          <w:b/>
        </w:rPr>
        <w:t>Legal and documentation cost</w:t>
      </w:r>
      <w:r w:rsidRPr="000C193D">
        <w:rPr>
          <w:rFonts w:asciiTheme="minorHAnsi" w:hAnsiTheme="minorHAnsi" w:cs="Arial"/>
        </w:rPr>
        <w:t xml:space="preserve">, as agreements must be negotiated or amended to take on board new requirements and some asset managers may have to solicit external </w:t>
      </w:r>
      <w:r w:rsidR="00AD198A" w:rsidRPr="000C193D">
        <w:rPr>
          <w:rFonts w:asciiTheme="minorHAnsi" w:hAnsiTheme="minorHAnsi" w:cs="Arial"/>
        </w:rPr>
        <w:t>advice, which</w:t>
      </w:r>
      <w:r w:rsidR="001A555A" w:rsidRPr="000C193D">
        <w:rPr>
          <w:rFonts w:asciiTheme="minorHAnsi" w:hAnsiTheme="minorHAnsi" w:cs="Arial"/>
        </w:rPr>
        <w:t xml:space="preserve"> tends</w:t>
      </w:r>
      <w:r w:rsidRPr="000C193D">
        <w:rPr>
          <w:rFonts w:asciiTheme="minorHAnsi" w:hAnsiTheme="minorHAnsi" w:cs="Arial"/>
        </w:rPr>
        <w:t xml:space="preserve"> to increase the cost of compliance</w:t>
      </w:r>
      <w:r w:rsidR="001A555A" w:rsidRPr="000C193D">
        <w:rPr>
          <w:rFonts w:asciiTheme="minorHAnsi" w:hAnsiTheme="minorHAnsi" w:cs="Arial"/>
        </w:rPr>
        <w:t xml:space="preserve">. Furthermore, the responsibility imposed on counterparties (e.g. UCITS/AIF) to obtain and apply legal opinions (Article 1, par. 5) in all relevant jurisdictions in the context of the segregation of initial margins will clearly increase the legal burden and the costs for investment fund management companies outweighing the benefit of such legal arrangements. Moreover, the requirement imposed by counterparties to obtain and apply legal opinions is not covered by article 11, par. 3 of the EMIR </w:t>
      </w:r>
      <w:r w:rsidR="00AD198A" w:rsidRPr="000C193D">
        <w:rPr>
          <w:rFonts w:asciiTheme="minorHAnsi" w:hAnsiTheme="minorHAnsi" w:cs="Arial"/>
        </w:rPr>
        <w:t>regulation;</w:t>
      </w:r>
      <w:r w:rsidRPr="000C193D">
        <w:rPr>
          <w:rFonts w:asciiTheme="minorHAnsi" w:hAnsiTheme="minorHAnsi" w:cs="Arial"/>
        </w:rPr>
        <w:t xml:space="preserve">   </w:t>
      </w:r>
    </w:p>
    <w:p w14:paraId="3DFFB6FF" w14:textId="77777777" w:rsidR="00B90B21" w:rsidRPr="000C193D" w:rsidRDefault="00FB4F31">
      <w:pPr>
        <w:pStyle w:val="ListParagraph"/>
        <w:numPr>
          <w:ilvl w:val="0"/>
          <w:numId w:val="4"/>
        </w:numPr>
        <w:jc w:val="both"/>
        <w:rPr>
          <w:rFonts w:asciiTheme="minorHAnsi" w:hAnsiTheme="minorHAnsi" w:cs="Arial"/>
        </w:rPr>
      </w:pPr>
      <w:r w:rsidRPr="000C193D">
        <w:rPr>
          <w:rFonts w:asciiTheme="minorHAnsi" w:hAnsiTheme="minorHAnsi" w:cs="Arial"/>
          <w:b/>
        </w:rPr>
        <w:t>Operational cost</w:t>
      </w:r>
      <w:r w:rsidRPr="000C193D">
        <w:rPr>
          <w:rFonts w:asciiTheme="minorHAnsi" w:hAnsiTheme="minorHAnsi" w:cs="Arial"/>
        </w:rPr>
        <w:t xml:space="preserve"> exposed in order to establish and then run processes for orderly collateral management; operational costs could be reduced if the suggestions expressed in the answer to the following question were accepted.</w:t>
      </w:r>
    </w:p>
    <w:p w14:paraId="161C220A" w14:textId="77777777" w:rsidR="00B90B21" w:rsidRPr="000C193D" w:rsidRDefault="00FB4F31">
      <w:pPr>
        <w:pStyle w:val="ListParagraph"/>
        <w:numPr>
          <w:ilvl w:val="0"/>
          <w:numId w:val="4"/>
        </w:numPr>
        <w:jc w:val="both"/>
        <w:rPr>
          <w:rFonts w:asciiTheme="minorHAnsi" w:hAnsiTheme="minorHAnsi" w:cs="Arial"/>
        </w:rPr>
      </w:pPr>
      <w:r w:rsidRPr="000C193D">
        <w:rPr>
          <w:rFonts w:asciiTheme="minorHAnsi" w:hAnsiTheme="minorHAnsi" w:cs="Arial"/>
          <w:b/>
        </w:rPr>
        <w:t>Opportunity cost</w:t>
      </w:r>
      <w:r w:rsidRPr="000C193D">
        <w:rPr>
          <w:rFonts w:asciiTheme="minorHAnsi" w:hAnsiTheme="minorHAnsi" w:cs="Arial"/>
        </w:rPr>
        <w:t xml:space="preserve"> </w:t>
      </w:r>
      <w:r w:rsidR="00020729" w:rsidRPr="000C193D">
        <w:rPr>
          <w:rFonts w:asciiTheme="minorHAnsi" w:hAnsiTheme="minorHAnsi" w:cs="Arial"/>
        </w:rPr>
        <w:t>if initial margining is imposed by counterparties</w:t>
      </w:r>
      <w:r w:rsidRPr="000C193D">
        <w:rPr>
          <w:rFonts w:asciiTheme="minorHAnsi" w:hAnsiTheme="minorHAnsi" w:cs="Arial"/>
        </w:rPr>
        <w:t>: for example, the securities held in the portfolio which are to be used as collateral will no longer be available for securities lending activities that improve the return for the fund and its client holder; the reduced facility to sell assets transferred as collateral makes the process to arbitrage positions more difficult and might prevent the manager from seizing opportunities.</w:t>
      </w:r>
    </w:p>
    <w:p w14:paraId="5052A576" w14:textId="77777777" w:rsidR="00B90B21" w:rsidRPr="000C193D" w:rsidRDefault="00020729" w:rsidP="002E7333">
      <w:pPr>
        <w:pStyle w:val="ListParagraph"/>
        <w:numPr>
          <w:ilvl w:val="0"/>
          <w:numId w:val="4"/>
        </w:numPr>
        <w:spacing w:after="0" w:line="240" w:lineRule="auto"/>
        <w:jc w:val="both"/>
        <w:rPr>
          <w:rFonts w:asciiTheme="minorHAnsi" w:hAnsiTheme="minorHAnsi" w:cs="Arial"/>
        </w:rPr>
      </w:pPr>
      <w:r w:rsidRPr="000C193D">
        <w:rPr>
          <w:rFonts w:asciiTheme="minorHAnsi" w:hAnsiTheme="minorHAnsi" w:cs="Arial"/>
          <w:b/>
        </w:rPr>
        <w:t>Initial Margin</w:t>
      </w:r>
      <w:r w:rsidRPr="000C193D">
        <w:rPr>
          <w:rFonts w:asciiTheme="minorHAnsi" w:hAnsiTheme="minorHAnsi" w:cs="Arial"/>
        </w:rPr>
        <w:t xml:space="preserve"> may commercially be imposed to Asset Manager by large bank even if the aggregate month-end average notional amount of non-centrally cleared derivatives is below 8 billion euros as of December 1</w:t>
      </w:r>
      <w:r w:rsidRPr="000C193D">
        <w:rPr>
          <w:rFonts w:asciiTheme="minorHAnsi" w:hAnsiTheme="minorHAnsi" w:cs="Arial"/>
          <w:vertAlign w:val="superscript"/>
        </w:rPr>
        <w:t>st</w:t>
      </w:r>
      <w:r w:rsidRPr="000C193D">
        <w:rPr>
          <w:rFonts w:asciiTheme="minorHAnsi" w:hAnsiTheme="minorHAnsi" w:cs="Arial"/>
        </w:rPr>
        <w:t xml:space="preserve"> 2019. This Initial Margin may have a significant cost impact on small entities</w:t>
      </w:r>
      <w:r w:rsidR="00600F22" w:rsidRPr="000C193D">
        <w:rPr>
          <w:rFonts w:asciiTheme="minorHAnsi" w:hAnsiTheme="minorHAnsi" w:cs="Arial"/>
        </w:rPr>
        <w:t>.</w:t>
      </w:r>
      <w:r w:rsidRPr="000C193D">
        <w:rPr>
          <w:rFonts w:asciiTheme="minorHAnsi" w:hAnsiTheme="minorHAnsi" w:cs="Calibri"/>
          <w:bCs/>
        </w:rPr>
        <w:t xml:space="preserve"> </w:t>
      </w:r>
    </w:p>
    <w:p w14:paraId="0DA272D1" w14:textId="77777777" w:rsidR="001B712D" w:rsidRPr="000C193D" w:rsidRDefault="001B712D" w:rsidP="002E7333">
      <w:pPr>
        <w:rPr>
          <w:rFonts w:asciiTheme="minorHAnsi" w:hAnsiTheme="minorHAnsi" w:cs="Calibri"/>
          <w:bCs/>
          <w:sz w:val="22"/>
          <w:szCs w:val="22"/>
        </w:rPr>
      </w:pPr>
    </w:p>
    <w:p w14:paraId="2C1B7253" w14:textId="77777777" w:rsidR="00600F22" w:rsidRPr="00AA5F4F" w:rsidRDefault="00600F22" w:rsidP="00AA5F4F">
      <w:pPr>
        <w:jc w:val="both"/>
        <w:rPr>
          <w:rFonts w:asciiTheme="minorHAnsi" w:hAnsiTheme="minorHAnsi" w:cs="Arial"/>
          <w:sz w:val="22"/>
          <w:szCs w:val="22"/>
        </w:rPr>
      </w:pPr>
      <w:r w:rsidRPr="00AA5F4F">
        <w:rPr>
          <w:rFonts w:asciiTheme="minorHAnsi" w:hAnsiTheme="minorHAnsi" w:cs="Arial"/>
          <w:sz w:val="22"/>
          <w:szCs w:val="22"/>
        </w:rPr>
        <w:t>In order to reduce the costs for the envisaged collateral requirements without compromising the objective of sound risk management, we are of the opinion that the ESAs should also carefully take into account existing regulations</w:t>
      </w:r>
      <w:r w:rsidR="00B41025" w:rsidRPr="00AA5F4F">
        <w:rPr>
          <w:rFonts w:asciiTheme="minorHAnsi" w:hAnsiTheme="minorHAnsi" w:cs="Arial"/>
          <w:sz w:val="22"/>
          <w:szCs w:val="22"/>
        </w:rPr>
        <w:t>.</w:t>
      </w:r>
      <w:r w:rsidRPr="00AA5F4F">
        <w:rPr>
          <w:rFonts w:asciiTheme="minorHAnsi" w:hAnsiTheme="minorHAnsi" w:cs="Arial"/>
          <w:sz w:val="22"/>
          <w:szCs w:val="22"/>
        </w:rPr>
        <w:t xml:space="preserve"> Those regulations are already aiming at mitigating counterparty risk and credit risk for bilaterally concluded OTC derivatives transactions.</w:t>
      </w:r>
    </w:p>
    <w:p w14:paraId="33FDAF0C" w14:textId="77777777" w:rsidR="00600F22" w:rsidRPr="00AD198A" w:rsidRDefault="00600F22" w:rsidP="00AA5F4F">
      <w:pPr>
        <w:jc w:val="both"/>
        <w:rPr>
          <w:rFonts w:asciiTheme="minorHAnsi" w:hAnsiTheme="minorHAnsi" w:cs="Arial"/>
          <w:sz w:val="22"/>
          <w:szCs w:val="22"/>
        </w:rPr>
      </w:pPr>
    </w:p>
    <w:p w14:paraId="2631317C" w14:textId="77777777" w:rsidR="00600F22" w:rsidRPr="000C193D" w:rsidRDefault="00600F22" w:rsidP="00531E37">
      <w:pPr>
        <w:rPr>
          <w:rFonts w:asciiTheme="minorHAnsi" w:hAnsiTheme="minorHAnsi" w:cs="Calibri"/>
          <w:bCs/>
          <w:sz w:val="22"/>
          <w:szCs w:val="22"/>
        </w:rPr>
      </w:pPr>
    </w:p>
    <w:p w14:paraId="48441885" w14:textId="77777777" w:rsidR="0092563D" w:rsidRPr="000C193D" w:rsidRDefault="0092563D" w:rsidP="001B712D">
      <w:pPr>
        <w:pBdr>
          <w:top w:val="single" w:sz="4" w:space="1" w:color="auto"/>
          <w:left w:val="single" w:sz="4" w:space="4" w:color="auto"/>
          <w:bottom w:val="single" w:sz="4" w:space="1" w:color="auto"/>
          <w:right w:val="single" w:sz="4" w:space="4" w:color="auto"/>
        </w:pBdr>
        <w:rPr>
          <w:rFonts w:asciiTheme="minorHAnsi" w:hAnsiTheme="minorHAnsi" w:cs="Calibri"/>
          <w:bCs/>
          <w:sz w:val="22"/>
          <w:szCs w:val="22"/>
          <w:lang w:val="en-US"/>
        </w:rPr>
      </w:pPr>
      <w:r w:rsidRPr="000C193D">
        <w:rPr>
          <w:rFonts w:asciiTheme="minorHAnsi" w:hAnsiTheme="minorHAnsi" w:cs="Calibri"/>
          <w:bCs/>
          <w:sz w:val="22"/>
          <w:szCs w:val="22"/>
          <w:lang w:val="en-US"/>
        </w:rPr>
        <w:t>Question 2. Are there particular aspects, for instance of an operational nature, that are not addressed in an appropriate manner? If yes, please provide the rationale for the concerns and potential solutions.</w:t>
      </w:r>
    </w:p>
    <w:p w14:paraId="776D822D" w14:textId="77777777" w:rsidR="0092563D" w:rsidRPr="000C193D" w:rsidRDefault="0092563D" w:rsidP="0092563D">
      <w:pPr>
        <w:rPr>
          <w:rFonts w:asciiTheme="minorHAnsi" w:hAnsiTheme="minorHAnsi" w:cs="Calibri"/>
          <w:bCs/>
          <w:sz w:val="22"/>
          <w:szCs w:val="22"/>
          <w:lang w:val="en-US"/>
        </w:rPr>
      </w:pPr>
    </w:p>
    <w:p w14:paraId="3F27ECB6" w14:textId="77777777" w:rsidR="00B90B21" w:rsidRPr="000C193D" w:rsidRDefault="008C77D8" w:rsidP="00997751">
      <w:pPr>
        <w:pStyle w:val="ListParagraph"/>
        <w:numPr>
          <w:ilvl w:val="0"/>
          <w:numId w:val="1"/>
        </w:numPr>
        <w:jc w:val="both"/>
        <w:rPr>
          <w:rFonts w:asciiTheme="minorHAnsi" w:hAnsiTheme="minorHAnsi" w:cs="Calibri"/>
          <w:bCs/>
        </w:rPr>
      </w:pPr>
      <w:r w:rsidRPr="000C193D">
        <w:rPr>
          <w:rFonts w:asciiTheme="minorHAnsi" w:hAnsiTheme="minorHAnsi" w:cs="Calibri"/>
          <w:bCs/>
          <w:u w:val="single"/>
        </w:rPr>
        <w:t>Impossibility to calculate exposures</w:t>
      </w:r>
    </w:p>
    <w:p w14:paraId="79B0DF66" w14:textId="77777777" w:rsidR="008C77D8" w:rsidRPr="000C193D" w:rsidRDefault="008C77D8" w:rsidP="00997751">
      <w:pPr>
        <w:jc w:val="both"/>
        <w:rPr>
          <w:rFonts w:asciiTheme="minorHAnsi" w:hAnsiTheme="minorHAnsi" w:cs="Calibri"/>
          <w:bCs/>
          <w:sz w:val="22"/>
          <w:szCs w:val="22"/>
        </w:rPr>
      </w:pPr>
      <w:r w:rsidRPr="000C193D">
        <w:rPr>
          <w:rFonts w:asciiTheme="minorHAnsi" w:hAnsiTheme="minorHAnsi" w:cs="Calibri"/>
          <w:bCs/>
          <w:sz w:val="22"/>
          <w:szCs w:val="22"/>
          <w:u w:val="single"/>
        </w:rPr>
        <w:t>Sub-funds and segmented investment funds</w:t>
      </w:r>
    </w:p>
    <w:p w14:paraId="117751BB" w14:textId="60E5B83B" w:rsidR="008C77D8" w:rsidRPr="000C193D" w:rsidRDefault="008C77D8" w:rsidP="00997751">
      <w:pPr>
        <w:jc w:val="both"/>
        <w:rPr>
          <w:rFonts w:asciiTheme="minorHAnsi" w:hAnsiTheme="minorHAnsi" w:cs="Calibri"/>
          <w:bCs/>
          <w:sz w:val="22"/>
          <w:szCs w:val="22"/>
        </w:rPr>
      </w:pPr>
      <w:r w:rsidRPr="000C193D">
        <w:rPr>
          <w:rFonts w:asciiTheme="minorHAnsi" w:hAnsiTheme="minorHAnsi" w:cs="Calibri"/>
          <w:bCs/>
          <w:sz w:val="22"/>
          <w:szCs w:val="22"/>
        </w:rPr>
        <w:t>We welcome the ESAs view</w:t>
      </w:r>
      <w:r w:rsidR="00D46C7C" w:rsidRPr="000C193D">
        <w:rPr>
          <w:rFonts w:asciiTheme="minorHAnsi" w:hAnsiTheme="minorHAnsi" w:cs="Calibri"/>
          <w:bCs/>
          <w:sz w:val="22"/>
          <w:szCs w:val="22"/>
        </w:rPr>
        <w:t xml:space="preserve"> in recital 5</w:t>
      </w:r>
      <w:r w:rsidRPr="000C193D">
        <w:rPr>
          <w:rFonts w:asciiTheme="minorHAnsi" w:hAnsiTheme="minorHAnsi" w:cs="Calibri"/>
          <w:bCs/>
          <w:sz w:val="22"/>
          <w:szCs w:val="22"/>
        </w:rPr>
        <w:t xml:space="preserve"> that the threshold relevant for the question whether or not to exchange Initial Margin contributions needs to be considered for each investment fund or sub-fund (compartment) separately.</w:t>
      </w:r>
      <w:r w:rsidR="00D46C7C" w:rsidRPr="000C193D">
        <w:rPr>
          <w:rFonts w:asciiTheme="minorHAnsi" w:hAnsiTheme="minorHAnsi" w:cs="Calibri"/>
          <w:bCs/>
          <w:sz w:val="22"/>
          <w:szCs w:val="22"/>
        </w:rPr>
        <w:t xml:space="preserve"> We understand that sub</w:t>
      </w:r>
      <w:r w:rsidR="00A32B23">
        <w:rPr>
          <w:rFonts w:asciiTheme="minorHAnsi" w:hAnsiTheme="minorHAnsi" w:cs="Calibri"/>
          <w:bCs/>
          <w:sz w:val="22"/>
          <w:szCs w:val="22"/>
        </w:rPr>
        <w:t>-</w:t>
      </w:r>
      <w:r w:rsidR="00A32B23" w:rsidRPr="000C193D">
        <w:rPr>
          <w:rFonts w:asciiTheme="minorHAnsi" w:hAnsiTheme="minorHAnsi" w:cs="Calibri"/>
          <w:bCs/>
          <w:sz w:val="22"/>
          <w:szCs w:val="22"/>
        </w:rPr>
        <w:t>funds, which are totally risk segregated,</w:t>
      </w:r>
      <w:r w:rsidR="00D46C7C" w:rsidRPr="000C193D">
        <w:rPr>
          <w:rFonts w:asciiTheme="minorHAnsi" w:hAnsiTheme="minorHAnsi" w:cs="Calibri"/>
          <w:bCs/>
          <w:sz w:val="22"/>
          <w:szCs w:val="22"/>
        </w:rPr>
        <w:t xml:space="preserve"> and without any solidarity between them are different entities when considering collateral requirements and thresholds.</w:t>
      </w:r>
    </w:p>
    <w:p w14:paraId="29872836" w14:textId="77777777" w:rsidR="008C77D8" w:rsidRPr="000C193D" w:rsidRDefault="008C77D8" w:rsidP="00997751">
      <w:pPr>
        <w:jc w:val="both"/>
        <w:rPr>
          <w:rFonts w:asciiTheme="minorHAnsi" w:hAnsiTheme="minorHAnsi" w:cs="Calibri"/>
          <w:bCs/>
          <w:sz w:val="22"/>
          <w:szCs w:val="22"/>
          <w:lang w:val="en-US"/>
        </w:rPr>
      </w:pPr>
    </w:p>
    <w:p w14:paraId="411E58B6" w14:textId="77777777" w:rsidR="008C77D8" w:rsidRPr="000C193D" w:rsidRDefault="008C77D8"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lastRenderedPageBreak/>
        <w:t xml:space="preserve">In some cases, the investor of an investment fund (AIF) wishes that more than one asset manager manages the investment fund. This is achieved by creating segments or portfolios (e.g. one segment concerning equities and another segment concerning non-equities) each managed by a certain asset manager. </w:t>
      </w:r>
    </w:p>
    <w:p w14:paraId="443E27B1" w14:textId="77777777" w:rsidR="008C77D8" w:rsidRPr="000C193D" w:rsidRDefault="008C77D8" w:rsidP="00997751">
      <w:pPr>
        <w:jc w:val="both"/>
        <w:rPr>
          <w:rFonts w:asciiTheme="minorHAnsi" w:hAnsiTheme="minorHAnsi" w:cs="Calibri"/>
          <w:bCs/>
          <w:sz w:val="22"/>
          <w:szCs w:val="22"/>
          <w:lang w:val="en-US"/>
        </w:rPr>
      </w:pPr>
    </w:p>
    <w:p w14:paraId="1F858885" w14:textId="77777777" w:rsidR="008C77D8" w:rsidRPr="000C193D" w:rsidRDefault="008C77D8"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This is considered for collateralization reasons too. The collateral to be posted by the parties is determined with respect to each segment separately. </w:t>
      </w:r>
    </w:p>
    <w:p w14:paraId="60D31A46" w14:textId="77777777" w:rsidR="008C77D8" w:rsidRPr="000C193D" w:rsidRDefault="008C77D8" w:rsidP="00997751">
      <w:pPr>
        <w:jc w:val="both"/>
        <w:rPr>
          <w:rFonts w:asciiTheme="minorHAnsi" w:hAnsiTheme="minorHAnsi" w:cs="Calibri"/>
          <w:bCs/>
          <w:sz w:val="22"/>
          <w:szCs w:val="22"/>
          <w:lang w:val="en-US"/>
        </w:rPr>
      </w:pPr>
    </w:p>
    <w:p w14:paraId="1DA3E5F8" w14:textId="77777777" w:rsidR="008C77D8" w:rsidRPr="000C193D" w:rsidRDefault="008C77D8"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In order to maintain the possibility </w:t>
      </w:r>
      <w:r w:rsidR="00FE5BB8" w:rsidRPr="000C193D">
        <w:rPr>
          <w:rFonts w:asciiTheme="minorHAnsi" w:hAnsiTheme="minorHAnsi" w:cs="Calibri"/>
          <w:bCs/>
          <w:sz w:val="22"/>
          <w:szCs w:val="22"/>
          <w:lang w:val="en-US"/>
        </w:rPr>
        <w:t>for investors to have their</w:t>
      </w:r>
      <w:r w:rsidRPr="000C193D">
        <w:rPr>
          <w:rFonts w:asciiTheme="minorHAnsi" w:hAnsiTheme="minorHAnsi" w:cs="Calibri"/>
          <w:bCs/>
          <w:sz w:val="22"/>
          <w:szCs w:val="22"/>
          <w:lang w:val="en-US"/>
        </w:rPr>
        <w:t xml:space="preserve"> investment fund managed by more than one asset manager or to </w:t>
      </w:r>
      <w:r w:rsidR="00FE5BB8" w:rsidRPr="000C193D">
        <w:rPr>
          <w:rFonts w:asciiTheme="minorHAnsi" w:hAnsiTheme="minorHAnsi" w:cs="Calibri"/>
          <w:bCs/>
          <w:sz w:val="22"/>
          <w:szCs w:val="22"/>
          <w:lang w:val="en-US"/>
        </w:rPr>
        <w:t>avoid the</w:t>
      </w:r>
      <w:r w:rsidRPr="000C193D">
        <w:rPr>
          <w:rFonts w:asciiTheme="minorHAnsi" w:hAnsiTheme="minorHAnsi" w:cs="Calibri"/>
          <w:bCs/>
          <w:sz w:val="22"/>
          <w:szCs w:val="22"/>
          <w:lang w:val="en-US"/>
        </w:rPr>
        <w:t xml:space="preserve"> creation of </w:t>
      </w:r>
      <w:r w:rsidR="00FE5BB8" w:rsidRPr="000C193D">
        <w:rPr>
          <w:rFonts w:asciiTheme="minorHAnsi" w:hAnsiTheme="minorHAnsi" w:cs="Calibri"/>
          <w:bCs/>
          <w:sz w:val="22"/>
          <w:szCs w:val="22"/>
          <w:lang w:val="en-US"/>
        </w:rPr>
        <w:t xml:space="preserve">legal </w:t>
      </w:r>
      <w:r w:rsidRPr="000C193D">
        <w:rPr>
          <w:rFonts w:asciiTheme="minorHAnsi" w:hAnsiTheme="minorHAnsi" w:cs="Calibri"/>
          <w:bCs/>
          <w:sz w:val="22"/>
          <w:szCs w:val="22"/>
          <w:lang w:val="en-US"/>
        </w:rPr>
        <w:t xml:space="preserve">solidarity between sub-funds, it would be helpful if the ESAs would clarify in Recital 5 that in case of segmented investment funds, each segment should be considered as </w:t>
      </w:r>
      <w:r w:rsidR="00FE5BB8" w:rsidRPr="000C193D">
        <w:rPr>
          <w:rFonts w:asciiTheme="minorHAnsi" w:hAnsiTheme="minorHAnsi" w:cs="Calibri"/>
          <w:bCs/>
          <w:sz w:val="22"/>
          <w:szCs w:val="22"/>
          <w:lang w:val="en-US"/>
        </w:rPr>
        <w:t xml:space="preserve">a </w:t>
      </w:r>
      <w:r w:rsidRPr="000C193D">
        <w:rPr>
          <w:rFonts w:asciiTheme="minorHAnsi" w:hAnsiTheme="minorHAnsi" w:cs="Calibri"/>
          <w:bCs/>
          <w:sz w:val="22"/>
          <w:szCs w:val="22"/>
          <w:lang w:val="en-US"/>
        </w:rPr>
        <w:t>distinct entity.</w:t>
      </w:r>
    </w:p>
    <w:p w14:paraId="33BA1C35" w14:textId="77777777" w:rsidR="008C77D8" w:rsidRPr="000C193D" w:rsidRDefault="008C77D8" w:rsidP="00997751">
      <w:pPr>
        <w:jc w:val="both"/>
        <w:rPr>
          <w:rFonts w:asciiTheme="minorHAnsi" w:hAnsiTheme="minorHAnsi" w:cs="Calibri"/>
          <w:bCs/>
          <w:sz w:val="22"/>
          <w:szCs w:val="22"/>
          <w:lang w:val="en-US"/>
        </w:rPr>
      </w:pPr>
    </w:p>
    <w:p w14:paraId="05D8F12D" w14:textId="77777777" w:rsidR="008C77D8" w:rsidRPr="000C193D" w:rsidRDefault="008C77D8"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This question is even more crucial for funds with sub-funds as it would force each sub-fund from a fund to deliver initial margin, even when the size of the sub-fund may be below 2 million euros.</w:t>
      </w:r>
    </w:p>
    <w:p w14:paraId="6EA90F9B" w14:textId="77777777" w:rsidR="0012682B" w:rsidRPr="000C193D" w:rsidRDefault="0012682B" w:rsidP="0012682B">
      <w:pPr>
        <w:jc w:val="both"/>
        <w:rPr>
          <w:rFonts w:asciiTheme="minorHAnsi" w:hAnsiTheme="minorHAnsi" w:cs="Calibri"/>
          <w:bCs/>
          <w:sz w:val="22"/>
          <w:szCs w:val="22"/>
        </w:rPr>
      </w:pPr>
    </w:p>
    <w:p w14:paraId="66C8995A" w14:textId="77777777" w:rsidR="0012682B" w:rsidRPr="000C193D" w:rsidRDefault="0012682B" w:rsidP="0012682B">
      <w:pPr>
        <w:jc w:val="both"/>
        <w:rPr>
          <w:rFonts w:asciiTheme="minorHAnsi" w:hAnsiTheme="minorHAnsi" w:cs="Calibri"/>
          <w:bCs/>
          <w:sz w:val="22"/>
          <w:szCs w:val="22"/>
          <w:u w:val="single"/>
        </w:rPr>
      </w:pPr>
      <w:r w:rsidRPr="000C193D">
        <w:rPr>
          <w:rFonts w:asciiTheme="minorHAnsi" w:hAnsiTheme="minorHAnsi" w:cs="Calibri"/>
          <w:bCs/>
          <w:sz w:val="22"/>
          <w:szCs w:val="22"/>
          <w:u w:val="single"/>
        </w:rPr>
        <w:t>Investment funds established in accordance with contract law (Art. 1</w:t>
      </w:r>
      <w:r w:rsidR="001A555A" w:rsidRPr="000C193D">
        <w:rPr>
          <w:rFonts w:asciiTheme="minorHAnsi" w:hAnsiTheme="minorHAnsi" w:cs="Calibri"/>
          <w:bCs/>
          <w:sz w:val="22"/>
          <w:szCs w:val="22"/>
          <w:u w:val="single"/>
        </w:rPr>
        <w:t>,</w:t>
      </w:r>
      <w:r w:rsidRPr="000C193D">
        <w:rPr>
          <w:rFonts w:asciiTheme="minorHAnsi" w:hAnsiTheme="minorHAnsi" w:cs="Calibri"/>
          <w:bCs/>
          <w:sz w:val="22"/>
          <w:szCs w:val="22"/>
          <w:u w:val="single"/>
        </w:rPr>
        <w:t xml:space="preserve"> par</w:t>
      </w:r>
      <w:proofErr w:type="gramStart"/>
      <w:r w:rsidR="001A555A" w:rsidRPr="000C193D">
        <w:rPr>
          <w:rFonts w:asciiTheme="minorHAnsi" w:hAnsiTheme="minorHAnsi" w:cs="Calibri"/>
          <w:bCs/>
          <w:sz w:val="22"/>
          <w:szCs w:val="22"/>
          <w:u w:val="single"/>
        </w:rPr>
        <w:t>.</w:t>
      </w:r>
      <w:r w:rsidRPr="000C193D">
        <w:rPr>
          <w:rFonts w:asciiTheme="minorHAnsi" w:hAnsiTheme="minorHAnsi" w:cs="Calibri"/>
          <w:bCs/>
          <w:sz w:val="22"/>
          <w:szCs w:val="22"/>
          <w:u w:val="single"/>
        </w:rPr>
        <w:t>.</w:t>
      </w:r>
      <w:proofErr w:type="gramEnd"/>
      <w:r w:rsidRPr="000C193D">
        <w:rPr>
          <w:rFonts w:asciiTheme="minorHAnsi" w:hAnsiTheme="minorHAnsi" w:cs="Calibri"/>
          <w:bCs/>
          <w:sz w:val="22"/>
          <w:szCs w:val="22"/>
          <w:u w:val="single"/>
        </w:rPr>
        <w:t xml:space="preserve"> 3</w:t>
      </w:r>
      <w:r w:rsidR="001A555A" w:rsidRPr="000C193D">
        <w:rPr>
          <w:rFonts w:asciiTheme="minorHAnsi" w:hAnsiTheme="minorHAnsi" w:cs="Calibri"/>
          <w:bCs/>
          <w:sz w:val="22"/>
          <w:szCs w:val="22"/>
          <w:u w:val="single"/>
        </w:rPr>
        <w:t xml:space="preserve"> of the</w:t>
      </w:r>
      <w:r w:rsidRPr="000C193D">
        <w:rPr>
          <w:rFonts w:asciiTheme="minorHAnsi" w:hAnsiTheme="minorHAnsi" w:cs="Calibri"/>
          <w:bCs/>
          <w:sz w:val="22"/>
          <w:szCs w:val="22"/>
          <w:u w:val="single"/>
        </w:rPr>
        <w:t xml:space="preserve"> Directive 2009/65/EC)</w:t>
      </w:r>
    </w:p>
    <w:p w14:paraId="38B00F33" w14:textId="77777777" w:rsidR="0012682B" w:rsidRPr="000C193D" w:rsidRDefault="0012682B" w:rsidP="0012682B">
      <w:pPr>
        <w:jc w:val="both"/>
        <w:rPr>
          <w:rFonts w:asciiTheme="minorHAnsi" w:hAnsiTheme="minorHAnsi" w:cs="Calibri"/>
          <w:bCs/>
          <w:sz w:val="22"/>
          <w:szCs w:val="22"/>
        </w:rPr>
      </w:pPr>
      <w:r w:rsidRPr="000C193D">
        <w:rPr>
          <w:rFonts w:asciiTheme="minorHAnsi" w:hAnsiTheme="minorHAnsi" w:cs="Calibri"/>
          <w:bCs/>
          <w:sz w:val="22"/>
          <w:szCs w:val="22"/>
        </w:rPr>
        <w:t>As far as the ESAs determine an exemption from the rule that the threshold shall be considered for each investment funds separately, it should clarify that just the circumstance that an investment fund is established in accordance with contract law (cf. Article 1</w:t>
      </w:r>
      <w:r w:rsidR="001A555A" w:rsidRPr="000C193D">
        <w:rPr>
          <w:rFonts w:asciiTheme="minorHAnsi" w:hAnsiTheme="minorHAnsi" w:cs="Calibri"/>
          <w:bCs/>
          <w:sz w:val="22"/>
          <w:szCs w:val="22"/>
        </w:rPr>
        <w:t>,</w:t>
      </w:r>
      <w:r w:rsidRPr="000C193D">
        <w:rPr>
          <w:rFonts w:asciiTheme="minorHAnsi" w:hAnsiTheme="minorHAnsi" w:cs="Calibri"/>
          <w:bCs/>
          <w:sz w:val="22"/>
          <w:szCs w:val="22"/>
        </w:rPr>
        <w:t xml:space="preserve"> par</w:t>
      </w:r>
      <w:r w:rsidR="001A555A" w:rsidRPr="000C193D">
        <w:rPr>
          <w:rFonts w:asciiTheme="minorHAnsi" w:hAnsiTheme="minorHAnsi" w:cs="Calibri"/>
          <w:bCs/>
          <w:sz w:val="22"/>
          <w:szCs w:val="22"/>
        </w:rPr>
        <w:t>.</w:t>
      </w:r>
      <w:r w:rsidRPr="000C193D">
        <w:rPr>
          <w:rFonts w:asciiTheme="minorHAnsi" w:hAnsiTheme="minorHAnsi" w:cs="Calibri"/>
          <w:bCs/>
          <w:sz w:val="22"/>
          <w:szCs w:val="22"/>
        </w:rPr>
        <w:t xml:space="preserve"> 3 of EU Directive 2009/65/EC) does not mean that the threshold always needs to be applied </w:t>
      </w:r>
      <w:r w:rsidR="00C73305" w:rsidRPr="000C193D">
        <w:rPr>
          <w:rFonts w:asciiTheme="minorHAnsi" w:hAnsiTheme="minorHAnsi" w:cs="Calibri"/>
          <w:bCs/>
          <w:sz w:val="22"/>
          <w:szCs w:val="22"/>
        </w:rPr>
        <w:t>at the</w:t>
      </w:r>
      <w:r w:rsidRPr="000C193D">
        <w:rPr>
          <w:rFonts w:asciiTheme="minorHAnsi" w:hAnsiTheme="minorHAnsi" w:cs="Calibri"/>
          <w:bCs/>
          <w:sz w:val="22"/>
          <w:szCs w:val="22"/>
        </w:rPr>
        <w:t xml:space="preserve"> level of the asset management company (“investment advisor” in Recital 5). As a matter of fact, it is the asset management company who becomes contractual party to OTC derivatives (acting for the joint account of the investors of the relevant investment fund established in accordance with contract law. It should be clear that this direct liability of the asset management company should not be understood as one of the exemptions from the general rule that the threshold is to be applied on the fund level.</w:t>
      </w:r>
    </w:p>
    <w:p w14:paraId="5543FAE2" w14:textId="77777777" w:rsidR="0012682B" w:rsidRPr="000C193D" w:rsidRDefault="0012682B" w:rsidP="0012682B">
      <w:pPr>
        <w:jc w:val="both"/>
        <w:rPr>
          <w:rFonts w:asciiTheme="minorHAnsi" w:hAnsiTheme="minorHAnsi" w:cs="Calibri"/>
          <w:bCs/>
          <w:sz w:val="22"/>
          <w:szCs w:val="22"/>
        </w:rPr>
      </w:pPr>
    </w:p>
    <w:p w14:paraId="2BFC8466" w14:textId="6F9CD7CA" w:rsidR="0012682B" w:rsidRPr="000C193D" w:rsidRDefault="0012682B" w:rsidP="0012682B">
      <w:pPr>
        <w:jc w:val="both"/>
        <w:rPr>
          <w:rFonts w:asciiTheme="minorHAnsi" w:hAnsiTheme="minorHAnsi" w:cs="Calibri"/>
          <w:bCs/>
          <w:sz w:val="22"/>
          <w:szCs w:val="22"/>
        </w:rPr>
      </w:pPr>
      <w:r w:rsidRPr="000C193D">
        <w:rPr>
          <w:rFonts w:asciiTheme="minorHAnsi" w:hAnsiTheme="minorHAnsi" w:cs="Calibri"/>
          <w:bCs/>
          <w:sz w:val="22"/>
          <w:szCs w:val="22"/>
        </w:rPr>
        <w:t>First of all it needs to be pointed out that there is no incentive for the asset management company to breach the cover rule set out in Art. 51</w:t>
      </w:r>
      <w:r w:rsidR="001A555A" w:rsidRPr="000C193D">
        <w:rPr>
          <w:rFonts w:asciiTheme="minorHAnsi" w:hAnsiTheme="minorHAnsi" w:cs="Calibri"/>
          <w:bCs/>
          <w:sz w:val="22"/>
          <w:szCs w:val="22"/>
        </w:rPr>
        <w:t>,</w:t>
      </w:r>
      <w:r w:rsidRPr="000C193D">
        <w:rPr>
          <w:rFonts w:asciiTheme="minorHAnsi" w:hAnsiTheme="minorHAnsi" w:cs="Calibri"/>
          <w:bCs/>
          <w:sz w:val="22"/>
          <w:szCs w:val="22"/>
        </w:rPr>
        <w:t xml:space="preserve"> par</w:t>
      </w:r>
      <w:r w:rsidR="00A32B23">
        <w:rPr>
          <w:rFonts w:asciiTheme="minorHAnsi" w:hAnsiTheme="minorHAnsi" w:cs="Calibri"/>
          <w:bCs/>
          <w:sz w:val="22"/>
          <w:szCs w:val="22"/>
        </w:rPr>
        <w:t xml:space="preserve">agraph </w:t>
      </w:r>
      <w:r w:rsidRPr="000C193D">
        <w:rPr>
          <w:rFonts w:asciiTheme="minorHAnsi" w:hAnsiTheme="minorHAnsi" w:cs="Calibri"/>
          <w:bCs/>
          <w:sz w:val="22"/>
          <w:szCs w:val="22"/>
        </w:rPr>
        <w:t>3</w:t>
      </w:r>
      <w:r w:rsidR="00A32B23">
        <w:rPr>
          <w:rFonts w:asciiTheme="minorHAnsi" w:hAnsiTheme="minorHAnsi" w:cs="Calibri"/>
          <w:bCs/>
          <w:sz w:val="22"/>
          <w:szCs w:val="22"/>
        </w:rPr>
        <w:t>,</w:t>
      </w:r>
      <w:r w:rsidRPr="000C193D">
        <w:rPr>
          <w:rFonts w:asciiTheme="minorHAnsi" w:hAnsiTheme="minorHAnsi" w:cs="Calibri"/>
          <w:bCs/>
          <w:sz w:val="22"/>
          <w:szCs w:val="22"/>
        </w:rPr>
        <w:t xml:space="preserve"> of Directive 2009/65/EC</w:t>
      </w:r>
      <w:r w:rsidR="00C73305" w:rsidRPr="000C193D">
        <w:rPr>
          <w:rStyle w:val="FootnoteReference"/>
          <w:rFonts w:asciiTheme="minorHAnsi" w:hAnsiTheme="minorHAnsi" w:cs="Calibri"/>
          <w:bCs/>
          <w:sz w:val="22"/>
          <w:szCs w:val="22"/>
        </w:rPr>
        <w:footnoteReference w:id="1"/>
      </w:r>
      <w:r w:rsidRPr="000C193D">
        <w:rPr>
          <w:rFonts w:asciiTheme="minorHAnsi" w:hAnsiTheme="minorHAnsi" w:cs="Calibri"/>
          <w:bCs/>
          <w:sz w:val="22"/>
          <w:szCs w:val="22"/>
        </w:rPr>
        <w:t xml:space="preserve">. According to the cover rule, it is not allowed to enter into derivatives that cannot be fulfilled with the assets of the fund. If the investment fund is established in accordance with contract law, whatever the asset management company receives from a transaction relating to an investment </w:t>
      </w:r>
      <w:r w:rsidR="00A32B23" w:rsidRPr="000C193D">
        <w:rPr>
          <w:rFonts w:asciiTheme="minorHAnsi" w:hAnsiTheme="minorHAnsi" w:cs="Calibri"/>
          <w:bCs/>
          <w:sz w:val="22"/>
          <w:szCs w:val="22"/>
        </w:rPr>
        <w:t>fund</w:t>
      </w:r>
      <w:r w:rsidRPr="000C193D">
        <w:rPr>
          <w:rFonts w:asciiTheme="minorHAnsi" w:hAnsiTheme="minorHAnsi" w:cs="Calibri"/>
          <w:bCs/>
          <w:sz w:val="22"/>
          <w:szCs w:val="22"/>
        </w:rPr>
        <w:t xml:space="preserve"> automatically becomes part of this investment fund. In consequence, there is no possibility of the asset management company to make own profits from any transactions being in breach of the cover rule. In case of transactions the asset management company has agreed on for the joint account of the investors of an investment fund established in accordance with contract law, any liability arising from an OTC derivative is a liability of the asset management company. The latter only has a respective claim for reimbursement against the joint group of investors of the investment </w:t>
      </w:r>
      <w:r w:rsidR="00A32B23" w:rsidRPr="000C193D">
        <w:rPr>
          <w:rFonts w:asciiTheme="minorHAnsi" w:hAnsiTheme="minorHAnsi" w:cs="Calibri"/>
          <w:bCs/>
          <w:sz w:val="22"/>
          <w:szCs w:val="22"/>
        </w:rPr>
        <w:t>fund, which</w:t>
      </w:r>
      <w:r w:rsidRPr="000C193D">
        <w:rPr>
          <w:rFonts w:asciiTheme="minorHAnsi" w:hAnsiTheme="minorHAnsi" w:cs="Calibri"/>
          <w:bCs/>
          <w:sz w:val="22"/>
          <w:szCs w:val="22"/>
        </w:rPr>
        <w:t xml:space="preserve"> is limited to the assets of the funds. Any liability exceeding the value of the investment funds assets are to be borne by the asset management company. For that reason, it is the overall interest of the asset management company to comply with the cover rule. </w:t>
      </w:r>
    </w:p>
    <w:p w14:paraId="116FFDCC" w14:textId="77777777" w:rsidR="0012682B" w:rsidRPr="000C193D" w:rsidRDefault="0012682B" w:rsidP="0012682B">
      <w:pPr>
        <w:jc w:val="both"/>
        <w:rPr>
          <w:rFonts w:asciiTheme="minorHAnsi" w:hAnsiTheme="minorHAnsi" w:cs="Calibri"/>
          <w:bCs/>
          <w:sz w:val="22"/>
          <w:szCs w:val="22"/>
        </w:rPr>
      </w:pPr>
    </w:p>
    <w:p w14:paraId="10682C31" w14:textId="77777777" w:rsidR="0012682B" w:rsidRPr="000C193D" w:rsidRDefault="0012682B" w:rsidP="0012682B">
      <w:pPr>
        <w:jc w:val="both"/>
        <w:rPr>
          <w:rFonts w:asciiTheme="minorHAnsi" w:hAnsiTheme="minorHAnsi" w:cs="Calibri"/>
          <w:bCs/>
          <w:sz w:val="22"/>
          <w:szCs w:val="22"/>
        </w:rPr>
      </w:pPr>
      <w:r w:rsidRPr="000C193D">
        <w:rPr>
          <w:rFonts w:asciiTheme="minorHAnsi" w:hAnsiTheme="minorHAnsi" w:cs="Calibri"/>
          <w:bCs/>
          <w:sz w:val="22"/>
          <w:szCs w:val="22"/>
        </w:rPr>
        <w:t xml:space="preserve">The above demonstrates that just the circumstance that investment funds are established in accordance with contract law gives no reason for deviating from the principle of a fund-by-fund view when applying the threshold. Since the wording in Recital 5 leaves space for interpretations, the ESAs should clarify that aspect accordingly, at least in Recital 5. </w:t>
      </w:r>
    </w:p>
    <w:p w14:paraId="0774064E" w14:textId="77777777" w:rsidR="0012682B" w:rsidRPr="000C193D" w:rsidRDefault="0012682B" w:rsidP="0012682B">
      <w:pPr>
        <w:jc w:val="both"/>
        <w:rPr>
          <w:rFonts w:asciiTheme="minorHAnsi" w:hAnsiTheme="minorHAnsi" w:cs="Calibri"/>
          <w:bCs/>
          <w:sz w:val="22"/>
          <w:szCs w:val="22"/>
        </w:rPr>
      </w:pPr>
    </w:p>
    <w:p w14:paraId="0922A226" w14:textId="77777777" w:rsidR="0012682B" w:rsidRPr="000C193D" w:rsidRDefault="0012682B" w:rsidP="0012682B">
      <w:pPr>
        <w:jc w:val="both"/>
        <w:rPr>
          <w:rFonts w:asciiTheme="minorHAnsi" w:hAnsiTheme="minorHAnsi" w:cs="Calibri"/>
          <w:bCs/>
          <w:sz w:val="22"/>
          <w:szCs w:val="22"/>
        </w:rPr>
      </w:pPr>
      <w:r w:rsidRPr="000C193D">
        <w:rPr>
          <w:rFonts w:asciiTheme="minorHAnsi" w:hAnsiTheme="minorHAnsi" w:cs="Calibri"/>
          <w:bCs/>
          <w:sz w:val="22"/>
          <w:szCs w:val="22"/>
        </w:rPr>
        <w:lastRenderedPageBreak/>
        <w:t xml:space="preserve">Besides the legal aspects, we would raise a second point in that context. </w:t>
      </w:r>
    </w:p>
    <w:p w14:paraId="10B34E0B" w14:textId="77777777" w:rsidR="0012682B" w:rsidRPr="000C193D" w:rsidRDefault="0012682B" w:rsidP="0012682B">
      <w:pPr>
        <w:jc w:val="both"/>
        <w:rPr>
          <w:rFonts w:asciiTheme="minorHAnsi" w:hAnsiTheme="minorHAnsi" w:cs="Calibri"/>
          <w:bCs/>
          <w:sz w:val="22"/>
          <w:szCs w:val="22"/>
        </w:rPr>
      </w:pPr>
    </w:p>
    <w:p w14:paraId="49C5C55A" w14:textId="6F0F606F" w:rsidR="0012682B" w:rsidRPr="000C193D" w:rsidRDefault="0012682B" w:rsidP="0012682B">
      <w:pPr>
        <w:jc w:val="both"/>
        <w:rPr>
          <w:rFonts w:asciiTheme="minorHAnsi" w:hAnsiTheme="minorHAnsi" w:cs="Calibri"/>
          <w:bCs/>
          <w:sz w:val="22"/>
          <w:szCs w:val="22"/>
        </w:rPr>
      </w:pPr>
      <w:r w:rsidRPr="000C193D">
        <w:rPr>
          <w:rFonts w:asciiTheme="minorHAnsi" w:hAnsiTheme="minorHAnsi" w:cs="Calibri"/>
          <w:bCs/>
          <w:sz w:val="22"/>
          <w:szCs w:val="22"/>
        </w:rPr>
        <w:t xml:space="preserve">Since in each </w:t>
      </w:r>
      <w:r w:rsidR="00B41025" w:rsidRPr="000C193D">
        <w:rPr>
          <w:rFonts w:asciiTheme="minorHAnsi" w:hAnsiTheme="minorHAnsi" w:cs="Calibri"/>
          <w:bCs/>
          <w:sz w:val="22"/>
          <w:szCs w:val="22"/>
        </w:rPr>
        <w:t>M</w:t>
      </w:r>
      <w:r w:rsidRPr="000C193D">
        <w:rPr>
          <w:rFonts w:asciiTheme="minorHAnsi" w:hAnsiTheme="minorHAnsi" w:cs="Calibri"/>
          <w:bCs/>
          <w:sz w:val="22"/>
          <w:szCs w:val="22"/>
        </w:rPr>
        <w:t xml:space="preserve">ember </w:t>
      </w:r>
      <w:r w:rsidR="00B41025" w:rsidRPr="000C193D">
        <w:rPr>
          <w:rFonts w:asciiTheme="minorHAnsi" w:hAnsiTheme="minorHAnsi" w:cs="Calibri"/>
          <w:bCs/>
          <w:sz w:val="22"/>
          <w:szCs w:val="22"/>
        </w:rPr>
        <w:t>S</w:t>
      </w:r>
      <w:r w:rsidRPr="000C193D">
        <w:rPr>
          <w:rFonts w:asciiTheme="minorHAnsi" w:hAnsiTheme="minorHAnsi" w:cs="Calibri"/>
          <w:bCs/>
          <w:sz w:val="22"/>
          <w:szCs w:val="22"/>
        </w:rPr>
        <w:t xml:space="preserve">tate there is always one leading practise how investment funds are established (statute, trust or contract law) which very much relates to what structure retail investors are used to, any interpretation of the RTS being in conflict with the above would mean a discrimination of the funds industry in the relevant member states. Applying IM requirements is expensive </w:t>
      </w:r>
      <w:r w:rsidR="00B41025" w:rsidRPr="000C193D">
        <w:rPr>
          <w:rFonts w:asciiTheme="minorHAnsi" w:hAnsiTheme="minorHAnsi" w:cs="Calibri"/>
          <w:bCs/>
          <w:sz w:val="22"/>
          <w:szCs w:val="22"/>
        </w:rPr>
        <w:t>and</w:t>
      </w:r>
      <w:r w:rsidRPr="000C193D">
        <w:rPr>
          <w:rFonts w:asciiTheme="minorHAnsi" w:hAnsiTheme="minorHAnsi" w:cs="Calibri"/>
          <w:bCs/>
          <w:sz w:val="22"/>
          <w:szCs w:val="22"/>
        </w:rPr>
        <w:t xml:space="preserve"> creates </w:t>
      </w:r>
      <w:r w:rsidR="00A32B23" w:rsidRPr="000C193D">
        <w:rPr>
          <w:rFonts w:asciiTheme="minorHAnsi" w:hAnsiTheme="minorHAnsi" w:cs="Calibri"/>
          <w:bCs/>
          <w:sz w:val="22"/>
          <w:szCs w:val="22"/>
        </w:rPr>
        <w:t>costs, which</w:t>
      </w:r>
      <w:r w:rsidRPr="000C193D">
        <w:rPr>
          <w:rFonts w:asciiTheme="minorHAnsi" w:hAnsiTheme="minorHAnsi" w:cs="Calibri"/>
          <w:bCs/>
          <w:sz w:val="22"/>
          <w:szCs w:val="22"/>
        </w:rPr>
        <w:t xml:space="preserve"> are finally borne by the investors. Treating investment funds established in accordance with contract law different from those being established by statute would create unequal conditions for managing the investors</w:t>
      </w:r>
      <w:r w:rsidR="001A555A" w:rsidRPr="000C193D">
        <w:rPr>
          <w:rFonts w:asciiTheme="minorHAnsi" w:hAnsiTheme="minorHAnsi" w:cs="Calibri"/>
          <w:bCs/>
          <w:sz w:val="22"/>
          <w:szCs w:val="22"/>
        </w:rPr>
        <w:t>’</w:t>
      </w:r>
      <w:r w:rsidRPr="000C193D">
        <w:rPr>
          <w:rFonts w:asciiTheme="minorHAnsi" w:hAnsiTheme="minorHAnsi" w:cs="Calibri"/>
          <w:bCs/>
          <w:sz w:val="22"/>
          <w:szCs w:val="22"/>
        </w:rPr>
        <w:t xml:space="preserve"> assets. </w:t>
      </w:r>
    </w:p>
    <w:p w14:paraId="4330E0DE" w14:textId="77777777" w:rsidR="0012682B" w:rsidRPr="000C193D" w:rsidRDefault="0012682B" w:rsidP="0012682B">
      <w:pPr>
        <w:jc w:val="both"/>
        <w:rPr>
          <w:rFonts w:asciiTheme="minorHAnsi" w:hAnsiTheme="minorHAnsi" w:cs="Calibri"/>
          <w:bCs/>
          <w:sz w:val="22"/>
          <w:szCs w:val="22"/>
        </w:rPr>
      </w:pPr>
    </w:p>
    <w:p w14:paraId="452F6FF4" w14:textId="3BF36C80" w:rsidR="008C77D8" w:rsidRPr="000C193D" w:rsidRDefault="0012682B" w:rsidP="0012682B">
      <w:pPr>
        <w:jc w:val="both"/>
        <w:rPr>
          <w:rFonts w:asciiTheme="minorHAnsi" w:hAnsiTheme="minorHAnsi" w:cs="Calibri"/>
          <w:bCs/>
          <w:sz w:val="22"/>
          <w:szCs w:val="22"/>
        </w:rPr>
      </w:pPr>
      <w:r w:rsidRPr="000C193D">
        <w:rPr>
          <w:rFonts w:asciiTheme="minorHAnsi" w:hAnsiTheme="minorHAnsi" w:cs="Calibri"/>
          <w:bCs/>
          <w:sz w:val="22"/>
          <w:szCs w:val="22"/>
        </w:rPr>
        <w:t>Neither EMIR</w:t>
      </w:r>
      <w:r w:rsidR="001A555A" w:rsidRPr="000C193D">
        <w:rPr>
          <w:rFonts w:asciiTheme="minorHAnsi" w:hAnsiTheme="minorHAnsi" w:cs="Calibri"/>
          <w:bCs/>
          <w:sz w:val="22"/>
          <w:szCs w:val="22"/>
        </w:rPr>
        <w:t xml:space="preserve"> nor</w:t>
      </w:r>
      <w:r w:rsidRPr="000C193D">
        <w:rPr>
          <w:rFonts w:asciiTheme="minorHAnsi" w:hAnsiTheme="minorHAnsi" w:cs="Calibri"/>
          <w:bCs/>
          <w:sz w:val="22"/>
          <w:szCs w:val="22"/>
        </w:rPr>
        <w:t xml:space="preserve"> the UCITS directive nor BCBS/IOSCO differs between the </w:t>
      </w:r>
      <w:r w:rsidR="001A555A" w:rsidRPr="000C193D">
        <w:rPr>
          <w:rFonts w:asciiTheme="minorHAnsi" w:hAnsiTheme="minorHAnsi" w:cs="Calibri"/>
          <w:bCs/>
          <w:sz w:val="22"/>
          <w:szCs w:val="22"/>
        </w:rPr>
        <w:t>ways</w:t>
      </w:r>
      <w:r w:rsidRPr="000C193D">
        <w:rPr>
          <w:rFonts w:asciiTheme="minorHAnsi" w:hAnsiTheme="minorHAnsi" w:cs="Calibri"/>
          <w:bCs/>
          <w:sz w:val="22"/>
          <w:szCs w:val="22"/>
        </w:rPr>
        <w:t xml:space="preserve"> an investment fund is being established. </w:t>
      </w:r>
      <w:r w:rsidR="00B41025" w:rsidRPr="000C193D">
        <w:rPr>
          <w:rFonts w:asciiTheme="minorHAnsi" w:hAnsiTheme="minorHAnsi" w:cs="Calibri"/>
          <w:bCs/>
          <w:sz w:val="22"/>
          <w:szCs w:val="22"/>
        </w:rPr>
        <w:t xml:space="preserve">We have no reason to believe that the ESAs think otherwise. </w:t>
      </w:r>
      <w:r w:rsidRPr="000C193D">
        <w:rPr>
          <w:rFonts w:asciiTheme="minorHAnsi" w:hAnsiTheme="minorHAnsi" w:cs="Calibri"/>
          <w:bCs/>
          <w:sz w:val="22"/>
          <w:szCs w:val="22"/>
        </w:rPr>
        <w:t>For that</w:t>
      </w:r>
      <w:r w:rsidR="00B41025" w:rsidRPr="000C193D">
        <w:rPr>
          <w:rFonts w:asciiTheme="minorHAnsi" w:hAnsiTheme="minorHAnsi" w:cs="Calibri"/>
          <w:bCs/>
          <w:sz w:val="22"/>
          <w:szCs w:val="22"/>
        </w:rPr>
        <w:t xml:space="preserve"> reason,</w:t>
      </w:r>
      <w:r w:rsidRPr="000C193D">
        <w:rPr>
          <w:rFonts w:asciiTheme="minorHAnsi" w:hAnsiTheme="minorHAnsi" w:cs="Calibri"/>
          <w:bCs/>
          <w:sz w:val="22"/>
          <w:szCs w:val="22"/>
        </w:rPr>
        <w:t xml:space="preserve"> we would welcome a clarification by the ESAs in the favoured manner either in Recital 5 and/or Art. 2 GEN</w:t>
      </w:r>
      <w:r w:rsidR="001A555A" w:rsidRPr="000C193D">
        <w:rPr>
          <w:rFonts w:asciiTheme="minorHAnsi" w:hAnsiTheme="minorHAnsi" w:cs="Calibri"/>
          <w:bCs/>
          <w:sz w:val="22"/>
          <w:szCs w:val="22"/>
        </w:rPr>
        <w:t>,</w:t>
      </w:r>
      <w:r w:rsidRPr="000C193D">
        <w:rPr>
          <w:rFonts w:asciiTheme="minorHAnsi" w:hAnsiTheme="minorHAnsi" w:cs="Calibri"/>
          <w:bCs/>
          <w:sz w:val="22"/>
          <w:szCs w:val="22"/>
        </w:rPr>
        <w:t xml:space="preserve"> par</w:t>
      </w:r>
      <w:r w:rsidR="00A32B23">
        <w:rPr>
          <w:rFonts w:asciiTheme="minorHAnsi" w:hAnsiTheme="minorHAnsi" w:cs="Calibri"/>
          <w:bCs/>
          <w:sz w:val="22"/>
          <w:szCs w:val="22"/>
        </w:rPr>
        <w:t>agraph</w:t>
      </w:r>
      <w:r w:rsidRPr="000C193D">
        <w:rPr>
          <w:rFonts w:asciiTheme="minorHAnsi" w:hAnsiTheme="minorHAnsi" w:cs="Calibri"/>
          <w:bCs/>
          <w:sz w:val="22"/>
          <w:szCs w:val="22"/>
        </w:rPr>
        <w:t>. 3</w:t>
      </w:r>
    </w:p>
    <w:p w14:paraId="47E6AC2C" w14:textId="77777777" w:rsidR="0012682B" w:rsidRPr="000C193D" w:rsidRDefault="0012682B" w:rsidP="0012682B">
      <w:pPr>
        <w:jc w:val="both"/>
        <w:rPr>
          <w:rFonts w:asciiTheme="minorHAnsi" w:hAnsiTheme="minorHAnsi" w:cs="Calibri"/>
          <w:bCs/>
          <w:sz w:val="22"/>
          <w:szCs w:val="22"/>
        </w:rPr>
      </w:pPr>
    </w:p>
    <w:p w14:paraId="7767E73A" w14:textId="77777777" w:rsidR="008C77D8" w:rsidRPr="000C193D" w:rsidRDefault="008C77D8" w:rsidP="00997751">
      <w:pPr>
        <w:jc w:val="both"/>
        <w:rPr>
          <w:rFonts w:asciiTheme="minorHAnsi" w:hAnsiTheme="minorHAnsi" w:cs="Calibri"/>
          <w:bCs/>
          <w:sz w:val="22"/>
          <w:szCs w:val="22"/>
          <w:lang w:val="en-US"/>
        </w:rPr>
      </w:pPr>
      <w:r w:rsidRPr="000C193D">
        <w:rPr>
          <w:rFonts w:asciiTheme="minorHAnsi" w:hAnsiTheme="minorHAnsi" w:cs="Arial"/>
          <w:sz w:val="22"/>
          <w:szCs w:val="22"/>
          <w:u w:val="single"/>
        </w:rPr>
        <w:t>Calculation of group exposure</w:t>
      </w:r>
    </w:p>
    <w:p w14:paraId="681E94B4" w14:textId="04962CD1" w:rsidR="008C77D8" w:rsidRPr="000C193D" w:rsidRDefault="00FE5BB8"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Moreover,</w:t>
      </w:r>
      <w:r w:rsidR="008C77D8" w:rsidRPr="000C193D">
        <w:rPr>
          <w:rFonts w:asciiTheme="minorHAnsi" w:hAnsiTheme="minorHAnsi" w:cs="Calibri"/>
          <w:bCs/>
          <w:sz w:val="22"/>
          <w:szCs w:val="22"/>
          <w:lang w:val="en-US"/>
        </w:rPr>
        <w:t xml:space="preserve"> the fact that a client may have </w:t>
      </w:r>
      <w:r w:rsidRPr="000C193D">
        <w:rPr>
          <w:rFonts w:asciiTheme="minorHAnsi" w:hAnsiTheme="minorHAnsi" w:cs="Calibri"/>
          <w:bCs/>
          <w:sz w:val="22"/>
          <w:szCs w:val="22"/>
          <w:lang w:val="en-US"/>
        </w:rPr>
        <w:t xml:space="preserve">concluded </w:t>
      </w:r>
      <w:r w:rsidR="008C77D8" w:rsidRPr="000C193D">
        <w:rPr>
          <w:rFonts w:asciiTheme="minorHAnsi" w:hAnsiTheme="minorHAnsi" w:cs="Calibri"/>
          <w:bCs/>
          <w:sz w:val="22"/>
          <w:szCs w:val="22"/>
          <w:lang w:val="en-US"/>
        </w:rPr>
        <w:t xml:space="preserve">several mandates with </w:t>
      </w:r>
      <w:r w:rsidRPr="000C193D">
        <w:rPr>
          <w:rFonts w:asciiTheme="minorHAnsi" w:hAnsiTheme="minorHAnsi" w:cs="Calibri"/>
          <w:bCs/>
          <w:sz w:val="22"/>
          <w:szCs w:val="22"/>
          <w:lang w:val="en-US"/>
        </w:rPr>
        <w:t xml:space="preserve">different asset managers </w:t>
      </w:r>
      <w:r w:rsidR="008C77D8" w:rsidRPr="000C193D">
        <w:rPr>
          <w:rFonts w:asciiTheme="minorHAnsi" w:hAnsiTheme="minorHAnsi" w:cs="Calibri"/>
          <w:bCs/>
          <w:sz w:val="22"/>
          <w:szCs w:val="22"/>
          <w:lang w:val="en-US"/>
        </w:rPr>
        <w:t>brings additional difficulties in calculating margin</w:t>
      </w:r>
      <w:r w:rsidRPr="000C193D">
        <w:rPr>
          <w:rFonts w:asciiTheme="minorHAnsi" w:hAnsiTheme="minorHAnsi" w:cs="Calibri"/>
          <w:bCs/>
          <w:sz w:val="22"/>
          <w:szCs w:val="22"/>
          <w:lang w:val="en-US"/>
        </w:rPr>
        <w:t>s</w:t>
      </w:r>
      <w:r w:rsidR="008C77D8" w:rsidRPr="000C193D">
        <w:rPr>
          <w:rFonts w:asciiTheme="minorHAnsi" w:hAnsiTheme="minorHAnsi" w:cs="Calibri"/>
          <w:bCs/>
          <w:sz w:val="22"/>
          <w:szCs w:val="22"/>
          <w:lang w:val="en-US"/>
        </w:rPr>
        <w:t xml:space="preserve">. It is then not possible for the asset manager of one mandate to calculate the threshold or deliver the </w:t>
      </w:r>
      <w:r w:rsidR="00A32B23" w:rsidRPr="000C193D">
        <w:rPr>
          <w:rFonts w:asciiTheme="minorHAnsi" w:hAnsiTheme="minorHAnsi" w:cs="Calibri"/>
          <w:bCs/>
          <w:sz w:val="22"/>
          <w:szCs w:val="22"/>
          <w:lang w:val="en-US"/>
        </w:rPr>
        <w:t>margins,</w:t>
      </w:r>
      <w:r w:rsidR="008C77D8" w:rsidRPr="000C193D">
        <w:rPr>
          <w:rFonts w:asciiTheme="minorHAnsi" w:hAnsiTheme="minorHAnsi" w:cs="Calibri"/>
          <w:bCs/>
          <w:sz w:val="22"/>
          <w:szCs w:val="22"/>
          <w:lang w:val="en-US"/>
        </w:rPr>
        <w:t xml:space="preserve"> as the global exposure remains impossible to define.</w:t>
      </w:r>
    </w:p>
    <w:p w14:paraId="783BA84F" w14:textId="77777777" w:rsidR="008C77D8" w:rsidRPr="000C193D" w:rsidRDefault="008C77D8" w:rsidP="00997751">
      <w:pPr>
        <w:jc w:val="both"/>
        <w:rPr>
          <w:rFonts w:asciiTheme="minorHAnsi" w:hAnsiTheme="minorHAnsi" w:cs="Calibri"/>
          <w:bCs/>
          <w:sz w:val="22"/>
          <w:szCs w:val="22"/>
        </w:rPr>
      </w:pPr>
    </w:p>
    <w:p w14:paraId="23B4E69F" w14:textId="77777777" w:rsidR="00B90B21" w:rsidRPr="000C193D" w:rsidRDefault="008C77D8" w:rsidP="00997751">
      <w:pPr>
        <w:pStyle w:val="ListParagraph"/>
        <w:numPr>
          <w:ilvl w:val="0"/>
          <w:numId w:val="1"/>
        </w:numPr>
        <w:jc w:val="both"/>
        <w:rPr>
          <w:rFonts w:asciiTheme="minorHAnsi" w:hAnsiTheme="minorHAnsi" w:cs="Calibri"/>
          <w:bCs/>
        </w:rPr>
      </w:pPr>
      <w:r w:rsidRPr="000C193D">
        <w:rPr>
          <w:rFonts w:asciiTheme="minorHAnsi" w:hAnsiTheme="minorHAnsi" w:cs="Calibri"/>
          <w:bCs/>
        </w:rPr>
        <w:t>Grand-fathering clause</w:t>
      </w:r>
    </w:p>
    <w:p w14:paraId="6E00286B" w14:textId="77777777" w:rsidR="008C77D8" w:rsidRPr="000C193D" w:rsidRDefault="008C77D8"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We </w:t>
      </w:r>
      <w:r w:rsidR="00FE5BB8" w:rsidRPr="000C193D">
        <w:rPr>
          <w:rFonts w:asciiTheme="minorHAnsi" w:hAnsiTheme="minorHAnsi" w:cs="Calibri"/>
          <w:bCs/>
          <w:sz w:val="22"/>
          <w:szCs w:val="22"/>
        </w:rPr>
        <w:t xml:space="preserve">wish to </w:t>
      </w:r>
      <w:r w:rsidRPr="000C193D">
        <w:rPr>
          <w:rFonts w:asciiTheme="minorHAnsi" w:hAnsiTheme="minorHAnsi" w:cs="Calibri"/>
          <w:bCs/>
          <w:sz w:val="22"/>
          <w:szCs w:val="22"/>
        </w:rPr>
        <w:t xml:space="preserve">insist on the necessity to fully </w:t>
      </w:r>
      <w:r w:rsidR="00FE5BB8" w:rsidRPr="000C193D">
        <w:rPr>
          <w:rFonts w:asciiTheme="minorHAnsi" w:hAnsiTheme="minorHAnsi" w:cs="Calibri"/>
          <w:bCs/>
          <w:sz w:val="22"/>
          <w:szCs w:val="22"/>
        </w:rPr>
        <w:t xml:space="preserve">and explicitly </w:t>
      </w:r>
      <w:r w:rsidRPr="000C193D">
        <w:rPr>
          <w:rFonts w:asciiTheme="minorHAnsi" w:hAnsiTheme="minorHAnsi" w:cs="Calibri"/>
          <w:bCs/>
          <w:sz w:val="22"/>
          <w:szCs w:val="22"/>
        </w:rPr>
        <w:t xml:space="preserve">establish the fact that the regulation will only apply for transactions conducted after its implementation date. </w:t>
      </w:r>
    </w:p>
    <w:p w14:paraId="171B75BA" w14:textId="77777777" w:rsidR="008C77D8" w:rsidRPr="000C193D" w:rsidRDefault="008C77D8" w:rsidP="00997751">
      <w:pPr>
        <w:jc w:val="both"/>
        <w:rPr>
          <w:rFonts w:asciiTheme="minorHAnsi" w:hAnsiTheme="minorHAnsi" w:cs="Calibri"/>
          <w:bCs/>
          <w:sz w:val="22"/>
          <w:szCs w:val="22"/>
          <w:lang w:val="en-US"/>
        </w:rPr>
      </w:pPr>
    </w:p>
    <w:p w14:paraId="138026EE" w14:textId="77777777" w:rsidR="008C77D8" w:rsidRPr="000C193D" w:rsidRDefault="008C77D8"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It should not only be mentioned under recital 18 but also included in the text of the regulation itself. Furthermore, we consider that a </w:t>
      </w:r>
      <w:r w:rsidR="00FE5BB8" w:rsidRPr="000C193D">
        <w:rPr>
          <w:rFonts w:asciiTheme="minorHAnsi" w:hAnsiTheme="minorHAnsi" w:cs="Calibri"/>
          <w:bCs/>
          <w:sz w:val="22"/>
          <w:szCs w:val="22"/>
          <w:lang w:val="en-US"/>
        </w:rPr>
        <w:t xml:space="preserve">clarification </w:t>
      </w:r>
      <w:r w:rsidRPr="000C193D">
        <w:rPr>
          <w:rFonts w:asciiTheme="minorHAnsi" w:hAnsiTheme="minorHAnsi" w:cs="Calibri"/>
          <w:bCs/>
          <w:sz w:val="22"/>
          <w:szCs w:val="22"/>
          <w:lang w:val="en-US"/>
        </w:rPr>
        <w:t>should be added to make sure that “genuine amendments” as referred to in the BCBS/IOSCO final report (§ 8.9 and footnote 20, p. 24) made to existing derivative contracts shall not be in the scope of the new regulation. An explicit mention in article 1 FP § 4 would bring the necessary clarification.</w:t>
      </w:r>
    </w:p>
    <w:p w14:paraId="727562BD" w14:textId="77777777" w:rsidR="00F54D76" w:rsidRPr="000C193D" w:rsidRDefault="00F54D76" w:rsidP="00997751">
      <w:pPr>
        <w:jc w:val="both"/>
        <w:rPr>
          <w:rFonts w:asciiTheme="minorHAnsi" w:hAnsiTheme="minorHAnsi" w:cs="Calibri"/>
          <w:bCs/>
          <w:sz w:val="22"/>
          <w:szCs w:val="22"/>
          <w:lang w:val="en-US"/>
        </w:rPr>
      </w:pPr>
    </w:p>
    <w:p w14:paraId="1C59F2EF" w14:textId="77777777" w:rsidR="00B90B21" w:rsidRPr="000C193D" w:rsidRDefault="00F54D76" w:rsidP="002E7333">
      <w:pPr>
        <w:pStyle w:val="ListParagraph"/>
        <w:numPr>
          <w:ilvl w:val="0"/>
          <w:numId w:val="1"/>
        </w:numPr>
        <w:spacing w:after="0" w:line="240" w:lineRule="auto"/>
        <w:jc w:val="both"/>
        <w:rPr>
          <w:rFonts w:asciiTheme="minorHAnsi" w:hAnsiTheme="minorHAnsi" w:cs="Arial"/>
          <w:u w:val="single"/>
        </w:rPr>
      </w:pPr>
      <w:r w:rsidRPr="000C193D">
        <w:rPr>
          <w:rFonts w:asciiTheme="minorHAnsi" w:hAnsiTheme="minorHAnsi" w:cs="Arial"/>
          <w:u w:val="single"/>
        </w:rPr>
        <w:t>Eligible collateral</w:t>
      </w:r>
    </w:p>
    <w:p w14:paraId="41C9817B" w14:textId="77777777" w:rsidR="00F54D76" w:rsidRPr="000C193D" w:rsidRDefault="00F54D76" w:rsidP="002E7333">
      <w:pPr>
        <w:rPr>
          <w:rFonts w:asciiTheme="minorHAnsi" w:hAnsiTheme="minorHAnsi" w:cs="Arial"/>
          <w:sz w:val="22"/>
          <w:szCs w:val="22"/>
        </w:rPr>
      </w:pPr>
    </w:p>
    <w:p w14:paraId="6A793089" w14:textId="77777777" w:rsidR="00F54D76" w:rsidRPr="000C193D" w:rsidRDefault="00F54D76" w:rsidP="002E7333">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The eligible collateral should not be limited to the list of the main indices. Eligible collateral list should be extended to other indices</w:t>
      </w:r>
      <w:r w:rsidR="00FE5BB8" w:rsidRPr="000C193D">
        <w:rPr>
          <w:rFonts w:asciiTheme="minorHAnsi" w:hAnsiTheme="minorHAnsi" w:cs="Calibri"/>
          <w:bCs/>
          <w:sz w:val="22"/>
          <w:szCs w:val="22"/>
          <w:lang w:val="en-US"/>
        </w:rPr>
        <w:t xml:space="preserve"> as well</w:t>
      </w:r>
      <w:r w:rsidRPr="000C193D">
        <w:rPr>
          <w:rFonts w:asciiTheme="minorHAnsi" w:hAnsiTheme="minorHAnsi" w:cs="Calibri"/>
          <w:bCs/>
          <w:sz w:val="22"/>
          <w:szCs w:val="22"/>
          <w:lang w:val="en-US"/>
        </w:rPr>
        <w:t xml:space="preserve">. </w:t>
      </w:r>
    </w:p>
    <w:p w14:paraId="4647E457" w14:textId="77777777" w:rsidR="00F54D76" w:rsidRPr="000C193D" w:rsidRDefault="00F54D76" w:rsidP="00997751">
      <w:pPr>
        <w:jc w:val="both"/>
        <w:rPr>
          <w:rFonts w:asciiTheme="minorHAnsi" w:hAnsiTheme="minorHAnsi" w:cs="Calibri"/>
          <w:bCs/>
          <w:sz w:val="22"/>
          <w:szCs w:val="22"/>
          <w:lang w:val="en-US"/>
        </w:rPr>
      </w:pPr>
    </w:p>
    <w:p w14:paraId="4F0FBF03" w14:textId="77777777" w:rsidR="00F54D76" w:rsidRPr="000C193D" w:rsidRDefault="00F54D76"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The RTS should also provide an assessment method for the calculation of haircuts on equities.</w:t>
      </w:r>
    </w:p>
    <w:p w14:paraId="2A1FB507" w14:textId="77777777" w:rsidR="00F54D76" w:rsidRPr="000C193D" w:rsidRDefault="00F54D76" w:rsidP="00997751">
      <w:pPr>
        <w:jc w:val="both"/>
        <w:rPr>
          <w:rFonts w:asciiTheme="minorHAnsi" w:hAnsiTheme="minorHAnsi" w:cs="Calibri"/>
          <w:bCs/>
          <w:sz w:val="22"/>
          <w:szCs w:val="22"/>
          <w:lang w:val="en-US"/>
        </w:rPr>
      </w:pPr>
    </w:p>
    <w:p w14:paraId="1D708657" w14:textId="77777777" w:rsidR="00F54D76" w:rsidRPr="000C193D" w:rsidRDefault="00F54D76"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As far as we understand, the application of two different methods by the parties to evaluate and calculate haircuts may result in discrepancies and we see no procedure in the RTS to solve those discrepancies.</w:t>
      </w:r>
    </w:p>
    <w:p w14:paraId="73ACE909" w14:textId="77777777" w:rsidR="00F54D76" w:rsidRPr="000C193D" w:rsidRDefault="00F54D76" w:rsidP="00997751">
      <w:pPr>
        <w:jc w:val="both"/>
        <w:rPr>
          <w:rFonts w:asciiTheme="minorHAnsi" w:hAnsiTheme="minorHAnsi" w:cs="Calibri"/>
          <w:bCs/>
          <w:sz w:val="22"/>
          <w:szCs w:val="22"/>
          <w:lang w:val="en-US"/>
        </w:rPr>
      </w:pPr>
    </w:p>
    <w:p w14:paraId="4B74E718" w14:textId="68EBF87F" w:rsidR="00B90B21" w:rsidRPr="000C193D" w:rsidRDefault="008C77D8" w:rsidP="002E7333">
      <w:pPr>
        <w:pStyle w:val="ListParagraph"/>
        <w:numPr>
          <w:ilvl w:val="0"/>
          <w:numId w:val="1"/>
        </w:numPr>
        <w:spacing w:after="0" w:line="240" w:lineRule="auto"/>
        <w:contextualSpacing w:val="0"/>
        <w:jc w:val="both"/>
        <w:rPr>
          <w:rFonts w:asciiTheme="minorHAnsi" w:hAnsiTheme="minorHAnsi" w:cs="Calibri"/>
          <w:bCs/>
          <w:u w:val="single"/>
        </w:rPr>
      </w:pPr>
      <w:r w:rsidRPr="000C193D">
        <w:rPr>
          <w:rFonts w:asciiTheme="minorHAnsi" w:hAnsiTheme="minorHAnsi" w:cs="Calibri"/>
          <w:bCs/>
          <w:u w:val="single"/>
        </w:rPr>
        <w:t xml:space="preserve"> </w:t>
      </w:r>
      <w:r w:rsidR="00240294" w:rsidRPr="000C193D">
        <w:rPr>
          <w:rFonts w:asciiTheme="minorHAnsi" w:hAnsiTheme="minorHAnsi" w:cs="Calibri"/>
          <w:bCs/>
          <w:u w:val="single"/>
        </w:rPr>
        <w:t>I</w:t>
      </w:r>
      <w:r w:rsidR="0092563D" w:rsidRPr="000C193D">
        <w:rPr>
          <w:rFonts w:asciiTheme="minorHAnsi" w:hAnsiTheme="minorHAnsi" w:cs="Calibri"/>
          <w:bCs/>
          <w:u w:val="single"/>
        </w:rPr>
        <w:t>mplementation of collateral transfer m</w:t>
      </w:r>
      <w:r w:rsidR="002E7333">
        <w:rPr>
          <w:rFonts w:asciiTheme="minorHAnsi" w:hAnsiTheme="minorHAnsi" w:cs="Calibri"/>
          <w:bCs/>
          <w:u w:val="single"/>
        </w:rPr>
        <w:t>ade of units or shares of UCITS</w:t>
      </w:r>
    </w:p>
    <w:p w14:paraId="46345249" w14:textId="77777777" w:rsidR="002E7333" w:rsidRDefault="002E7333" w:rsidP="002E7333">
      <w:pPr>
        <w:jc w:val="both"/>
        <w:rPr>
          <w:rFonts w:asciiTheme="minorHAnsi" w:hAnsiTheme="minorHAnsi" w:cs="Calibri"/>
          <w:bCs/>
          <w:sz w:val="22"/>
          <w:szCs w:val="22"/>
          <w:lang w:val="en-US"/>
        </w:rPr>
      </w:pPr>
    </w:p>
    <w:p w14:paraId="5ED26D97" w14:textId="77777777" w:rsidR="00240294" w:rsidRPr="000C193D" w:rsidRDefault="0092563D" w:rsidP="002E7333">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We </w:t>
      </w:r>
      <w:r w:rsidR="004F7E4F" w:rsidRPr="000C193D">
        <w:rPr>
          <w:rFonts w:asciiTheme="minorHAnsi" w:hAnsiTheme="minorHAnsi" w:cs="Calibri"/>
          <w:bCs/>
          <w:sz w:val="22"/>
          <w:szCs w:val="22"/>
          <w:lang w:val="en-US"/>
        </w:rPr>
        <w:t xml:space="preserve">greatly </w:t>
      </w:r>
      <w:r w:rsidRPr="000C193D">
        <w:rPr>
          <w:rFonts w:asciiTheme="minorHAnsi" w:hAnsiTheme="minorHAnsi" w:cs="Calibri"/>
          <w:bCs/>
          <w:sz w:val="22"/>
          <w:szCs w:val="22"/>
          <w:lang w:val="en-US"/>
        </w:rPr>
        <w:t xml:space="preserve">welcome the </w:t>
      </w:r>
      <w:r w:rsidR="00FE5BB8" w:rsidRPr="000C193D">
        <w:rPr>
          <w:rFonts w:asciiTheme="minorHAnsi" w:hAnsiTheme="minorHAnsi" w:cs="Calibri"/>
          <w:bCs/>
          <w:sz w:val="22"/>
          <w:szCs w:val="22"/>
          <w:lang w:val="en-US"/>
        </w:rPr>
        <w:t xml:space="preserve">possibility </w:t>
      </w:r>
      <w:r w:rsidRPr="000C193D">
        <w:rPr>
          <w:rFonts w:asciiTheme="minorHAnsi" w:hAnsiTheme="minorHAnsi" w:cs="Calibri"/>
          <w:bCs/>
          <w:sz w:val="22"/>
          <w:szCs w:val="22"/>
          <w:lang w:val="en-US"/>
        </w:rPr>
        <w:t>for counterparties to use units or shares in UCITS as eligible collateral</w:t>
      </w:r>
      <w:r w:rsidR="00240294" w:rsidRPr="000C193D">
        <w:rPr>
          <w:rFonts w:asciiTheme="minorHAnsi" w:hAnsiTheme="minorHAnsi" w:cs="Calibri"/>
          <w:bCs/>
          <w:sz w:val="22"/>
          <w:szCs w:val="22"/>
          <w:lang w:val="en-US"/>
        </w:rPr>
        <w:t xml:space="preserve"> as it supports the need for liquidity in the markets</w:t>
      </w:r>
      <w:r w:rsidR="00FE5BB8" w:rsidRPr="000C193D">
        <w:rPr>
          <w:rFonts w:asciiTheme="minorHAnsi" w:hAnsiTheme="minorHAnsi" w:cs="Calibri"/>
          <w:bCs/>
          <w:sz w:val="22"/>
          <w:szCs w:val="22"/>
          <w:lang w:val="en-US"/>
        </w:rPr>
        <w:t>,</w:t>
      </w:r>
      <w:r w:rsidR="00240294" w:rsidRPr="000C193D">
        <w:rPr>
          <w:rFonts w:asciiTheme="minorHAnsi" w:hAnsiTheme="minorHAnsi" w:cs="Calibri"/>
          <w:bCs/>
          <w:sz w:val="22"/>
          <w:szCs w:val="22"/>
          <w:lang w:val="en-US"/>
        </w:rPr>
        <w:t xml:space="preserve"> even if it does not benefit directly to the funds</w:t>
      </w:r>
      <w:r w:rsidRPr="000C193D">
        <w:rPr>
          <w:rFonts w:asciiTheme="minorHAnsi" w:hAnsiTheme="minorHAnsi" w:cs="Calibri"/>
          <w:bCs/>
          <w:sz w:val="22"/>
          <w:szCs w:val="22"/>
          <w:lang w:val="en-US"/>
        </w:rPr>
        <w:t xml:space="preserve">. </w:t>
      </w:r>
    </w:p>
    <w:p w14:paraId="49C32CF2" w14:textId="77777777" w:rsidR="00240294" w:rsidRPr="000C193D" w:rsidRDefault="00240294" w:rsidP="00997751">
      <w:pPr>
        <w:jc w:val="both"/>
        <w:rPr>
          <w:rFonts w:asciiTheme="minorHAnsi" w:hAnsiTheme="minorHAnsi" w:cs="Calibri"/>
          <w:bCs/>
          <w:sz w:val="22"/>
          <w:szCs w:val="22"/>
          <w:lang w:val="en-US"/>
        </w:rPr>
      </w:pPr>
    </w:p>
    <w:p w14:paraId="5FA019C0" w14:textId="77777777" w:rsidR="00240294" w:rsidRPr="000C193D" w:rsidRDefault="004F7E4F"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In order to support even more the liquidity,</w:t>
      </w:r>
      <w:r w:rsidR="0092563D" w:rsidRPr="000C193D">
        <w:rPr>
          <w:rFonts w:asciiTheme="minorHAnsi" w:hAnsiTheme="minorHAnsi" w:cs="Calibri"/>
          <w:bCs/>
          <w:sz w:val="22"/>
          <w:szCs w:val="22"/>
          <w:lang w:val="en-US"/>
        </w:rPr>
        <w:t xml:space="preserve"> we </w:t>
      </w:r>
      <w:r w:rsidR="00FE5BB8" w:rsidRPr="000C193D">
        <w:rPr>
          <w:rFonts w:asciiTheme="minorHAnsi" w:hAnsiTheme="minorHAnsi" w:cs="Calibri"/>
          <w:bCs/>
          <w:sz w:val="22"/>
          <w:szCs w:val="22"/>
          <w:lang w:val="en-US"/>
        </w:rPr>
        <w:t xml:space="preserve">would </w:t>
      </w:r>
      <w:r w:rsidRPr="000C193D">
        <w:rPr>
          <w:rFonts w:asciiTheme="minorHAnsi" w:hAnsiTheme="minorHAnsi" w:cs="Calibri"/>
          <w:bCs/>
          <w:sz w:val="22"/>
          <w:szCs w:val="22"/>
          <w:lang w:val="en-US"/>
        </w:rPr>
        <w:t>urge the ESAs to provide solutions to the following constraints</w:t>
      </w:r>
      <w:r w:rsidR="006F502C" w:rsidRPr="000C193D">
        <w:rPr>
          <w:rFonts w:asciiTheme="minorHAnsi" w:hAnsiTheme="minorHAnsi" w:cs="Calibri"/>
          <w:bCs/>
          <w:sz w:val="22"/>
          <w:szCs w:val="22"/>
          <w:lang w:val="en-US"/>
        </w:rPr>
        <w:t xml:space="preserve"> that may arise in the practical use of such possibility:</w:t>
      </w:r>
    </w:p>
    <w:p w14:paraId="1C08D2CA" w14:textId="77777777" w:rsidR="00240294" w:rsidRPr="000C193D" w:rsidRDefault="00240294" w:rsidP="00997751">
      <w:pPr>
        <w:jc w:val="both"/>
        <w:rPr>
          <w:rFonts w:asciiTheme="minorHAnsi" w:hAnsiTheme="minorHAnsi" w:cs="Calibri"/>
          <w:bCs/>
          <w:sz w:val="22"/>
          <w:szCs w:val="22"/>
          <w:lang w:val="en-US"/>
        </w:rPr>
      </w:pPr>
    </w:p>
    <w:p w14:paraId="198B4269" w14:textId="77777777" w:rsidR="00B90B21" w:rsidRPr="000C193D" w:rsidRDefault="004E673B" w:rsidP="002E7333">
      <w:pPr>
        <w:pStyle w:val="ListParagraph"/>
        <w:numPr>
          <w:ilvl w:val="0"/>
          <w:numId w:val="2"/>
        </w:numPr>
        <w:spacing w:before="120" w:after="0" w:line="240" w:lineRule="auto"/>
        <w:contextualSpacing w:val="0"/>
        <w:jc w:val="both"/>
        <w:rPr>
          <w:rFonts w:asciiTheme="minorHAnsi" w:hAnsiTheme="minorHAnsi" w:cs="Calibri"/>
          <w:bCs/>
        </w:rPr>
      </w:pPr>
      <w:r w:rsidRPr="000C193D">
        <w:rPr>
          <w:rFonts w:asciiTheme="minorHAnsi" w:hAnsiTheme="minorHAnsi" w:cs="Calibri"/>
          <w:bCs/>
        </w:rPr>
        <w:t>The settlement system of UCITS does not allow transfer of shares or units in a proper manner when they are not eligible to a CSD’s operations. As of today, an integrated European settlement circuit for such UCITS does not exist. This is an impediment to the implementation of such collateral transfer between counterparties when they are not located in the same country. Even if the counterparties are both located in the same country, the consent from the depositary of a given UCITS for the delivery of the shares/units as collateral is rarely granted by the depository, due to operational constraints when they are not eligible to a CSD’s operations</w:t>
      </w:r>
      <w:r w:rsidR="00240294" w:rsidRPr="000C193D">
        <w:rPr>
          <w:rFonts w:asciiTheme="minorHAnsi" w:hAnsiTheme="minorHAnsi" w:cs="Calibri"/>
          <w:bCs/>
        </w:rPr>
        <w:t xml:space="preserve">; </w:t>
      </w:r>
    </w:p>
    <w:p w14:paraId="0E7F845F" w14:textId="1041F7E4" w:rsidR="00B90B21" w:rsidRPr="000C193D" w:rsidRDefault="00240294" w:rsidP="002E7333">
      <w:pPr>
        <w:pStyle w:val="ListParagraph"/>
        <w:numPr>
          <w:ilvl w:val="0"/>
          <w:numId w:val="2"/>
        </w:numPr>
        <w:spacing w:before="120" w:after="0" w:line="240" w:lineRule="auto"/>
        <w:contextualSpacing w:val="0"/>
        <w:jc w:val="both"/>
        <w:rPr>
          <w:rFonts w:asciiTheme="minorHAnsi" w:hAnsiTheme="minorHAnsi" w:cs="Calibri"/>
          <w:bCs/>
        </w:rPr>
      </w:pPr>
      <w:r w:rsidRPr="000C193D">
        <w:rPr>
          <w:rFonts w:asciiTheme="minorHAnsi" w:hAnsiTheme="minorHAnsi" w:cs="Calibri"/>
          <w:bCs/>
        </w:rPr>
        <w:t>The banking regulation Capital Requirement Regulation (CRR, June 26</w:t>
      </w:r>
      <w:r w:rsidRPr="000C193D">
        <w:rPr>
          <w:rFonts w:asciiTheme="minorHAnsi" w:hAnsiTheme="minorHAnsi" w:cs="Calibri"/>
          <w:bCs/>
          <w:vertAlign w:val="superscript"/>
        </w:rPr>
        <w:t>th</w:t>
      </w:r>
      <w:r w:rsidRPr="000C193D">
        <w:rPr>
          <w:rFonts w:asciiTheme="minorHAnsi" w:hAnsiTheme="minorHAnsi" w:cs="Calibri"/>
          <w:bCs/>
        </w:rPr>
        <w:t xml:space="preserve">, 2013) has introduced two new ratios in order to ensure a better monitoring of liquidity </w:t>
      </w:r>
      <w:r w:rsidR="00A32B23" w:rsidRPr="000C193D">
        <w:rPr>
          <w:rFonts w:asciiTheme="minorHAnsi" w:hAnsiTheme="minorHAnsi" w:cs="Calibri"/>
          <w:bCs/>
        </w:rPr>
        <w:t>risks:</w:t>
      </w:r>
      <w:r w:rsidRPr="000C193D">
        <w:rPr>
          <w:rFonts w:asciiTheme="minorHAnsi" w:hAnsiTheme="minorHAnsi" w:cs="Calibri"/>
          <w:bCs/>
        </w:rPr>
        <w:t xml:space="preserve"> (</w:t>
      </w:r>
      <w:proofErr w:type="spellStart"/>
      <w:r w:rsidRPr="000C193D">
        <w:rPr>
          <w:rFonts w:asciiTheme="minorHAnsi" w:hAnsiTheme="minorHAnsi" w:cs="Calibri"/>
          <w:bCs/>
        </w:rPr>
        <w:t>i</w:t>
      </w:r>
      <w:proofErr w:type="spellEnd"/>
      <w:r w:rsidRPr="000C193D">
        <w:rPr>
          <w:rFonts w:asciiTheme="minorHAnsi" w:hAnsiTheme="minorHAnsi" w:cs="Calibri"/>
          <w:bCs/>
        </w:rPr>
        <w:t xml:space="preserve">) the Liquidity Coverage Ratio (LCR – that  measures the liquidity risk with a time horizon of 1 month, and ensures that banks own sufficient reserves and cash inflows in order to face potential cash outflows) and (ii) the </w:t>
      </w:r>
      <w:r w:rsidR="003B318D" w:rsidRPr="000C193D">
        <w:rPr>
          <w:rFonts w:asciiTheme="minorHAnsi" w:hAnsiTheme="minorHAnsi" w:cs="Calibri"/>
          <w:bCs/>
        </w:rPr>
        <w:t>N</w:t>
      </w:r>
      <w:r w:rsidRPr="000C193D">
        <w:rPr>
          <w:rFonts w:asciiTheme="minorHAnsi" w:hAnsiTheme="minorHAnsi" w:cs="Calibri"/>
          <w:bCs/>
        </w:rPr>
        <w:t>et Stable Funding Ratio (NSFR</w:t>
      </w:r>
      <w:r w:rsidR="003B318D" w:rsidRPr="000C193D">
        <w:rPr>
          <w:rFonts w:asciiTheme="minorHAnsi" w:hAnsiTheme="minorHAnsi" w:cs="Calibri"/>
          <w:bCs/>
        </w:rPr>
        <w:t xml:space="preserve"> that </w:t>
      </w:r>
      <w:r w:rsidRPr="000C193D">
        <w:rPr>
          <w:rFonts w:asciiTheme="minorHAnsi" w:hAnsiTheme="minorHAnsi" w:cs="Calibri"/>
          <w:bCs/>
        </w:rPr>
        <w:t xml:space="preserve"> measures the liquidity risk with a time horizon of 1 year, and ensures that the Available Stable Funding (with a maturity over 1 year) is sufficient to face the Required Stable Funding</w:t>
      </w:r>
      <w:r w:rsidR="003B318D" w:rsidRPr="000C193D">
        <w:rPr>
          <w:rFonts w:asciiTheme="minorHAnsi" w:hAnsiTheme="minorHAnsi" w:cs="Calibri"/>
          <w:bCs/>
        </w:rPr>
        <w:t>)</w:t>
      </w:r>
      <w:r w:rsidRPr="000C193D">
        <w:rPr>
          <w:rFonts w:asciiTheme="minorHAnsi" w:hAnsiTheme="minorHAnsi" w:cs="Calibri"/>
          <w:bCs/>
        </w:rPr>
        <w:t>.</w:t>
      </w:r>
    </w:p>
    <w:p w14:paraId="4D05FC44" w14:textId="77777777" w:rsidR="00240294" w:rsidRPr="000C193D" w:rsidRDefault="003B318D" w:rsidP="002E7333">
      <w:pPr>
        <w:pStyle w:val="ListParagraph"/>
        <w:spacing w:before="120" w:after="0" w:line="240" w:lineRule="auto"/>
        <w:contextualSpacing w:val="0"/>
        <w:jc w:val="both"/>
        <w:rPr>
          <w:rFonts w:asciiTheme="minorHAnsi" w:hAnsiTheme="minorHAnsi" w:cs="Calibri"/>
          <w:bCs/>
        </w:rPr>
      </w:pPr>
      <w:r w:rsidRPr="000C193D">
        <w:rPr>
          <w:rFonts w:asciiTheme="minorHAnsi" w:hAnsiTheme="minorHAnsi" w:cs="Calibri"/>
          <w:bCs/>
        </w:rPr>
        <w:t xml:space="preserve">However, </w:t>
      </w:r>
      <w:r w:rsidR="00240294" w:rsidRPr="000C193D">
        <w:rPr>
          <w:rFonts w:asciiTheme="minorHAnsi" w:hAnsiTheme="minorHAnsi" w:cs="Calibri"/>
          <w:bCs/>
        </w:rPr>
        <w:t xml:space="preserve">Mutual Funds have </w:t>
      </w:r>
      <w:r w:rsidRPr="000C193D">
        <w:rPr>
          <w:rFonts w:asciiTheme="minorHAnsi" w:hAnsiTheme="minorHAnsi" w:cs="Calibri"/>
          <w:bCs/>
        </w:rPr>
        <w:t xml:space="preserve">generally speaking </w:t>
      </w:r>
      <w:r w:rsidR="00240294" w:rsidRPr="000C193D">
        <w:rPr>
          <w:rFonts w:asciiTheme="minorHAnsi" w:hAnsiTheme="minorHAnsi" w:cs="Calibri"/>
          <w:bCs/>
        </w:rPr>
        <w:t>not been taken into account in the CRR regulation n°575/2013, for the computation of liquidity ratios (LCR and NSFR).</w:t>
      </w:r>
    </w:p>
    <w:p w14:paraId="79AB88AD" w14:textId="77777777" w:rsidR="003B318D" w:rsidRPr="000C193D" w:rsidRDefault="00240294" w:rsidP="002E7333">
      <w:pPr>
        <w:pStyle w:val="ListParagraph"/>
        <w:spacing w:before="120" w:after="0" w:line="240" w:lineRule="auto"/>
        <w:contextualSpacing w:val="0"/>
        <w:jc w:val="both"/>
        <w:rPr>
          <w:rFonts w:asciiTheme="minorHAnsi" w:hAnsiTheme="minorHAnsi" w:cs="Calibri"/>
          <w:bCs/>
        </w:rPr>
      </w:pPr>
      <w:r w:rsidRPr="000C193D">
        <w:rPr>
          <w:rFonts w:asciiTheme="minorHAnsi" w:hAnsiTheme="minorHAnsi" w:cs="Calibri"/>
          <w:bCs/>
        </w:rPr>
        <w:t>Under a strict interpretation of CRR, funds could then be assimilated into the less liquid categories of assets and suffer from a particularly adverse processing</w:t>
      </w:r>
      <w:r w:rsidR="003B318D" w:rsidRPr="000C193D">
        <w:rPr>
          <w:rFonts w:asciiTheme="minorHAnsi" w:hAnsiTheme="minorHAnsi" w:cs="Calibri"/>
          <w:bCs/>
        </w:rPr>
        <w:t xml:space="preserve"> as, </w:t>
      </w:r>
      <w:r w:rsidRPr="000C193D">
        <w:rPr>
          <w:rFonts w:asciiTheme="minorHAnsi" w:hAnsiTheme="minorHAnsi" w:cs="Calibri"/>
          <w:bCs/>
        </w:rPr>
        <w:t>in the LCR computation, funds would not be eligible at all for the computation of inflows, i.e. they could be considered assets with a maturity over one month</w:t>
      </w:r>
      <w:r w:rsidR="003B318D" w:rsidRPr="000C193D">
        <w:rPr>
          <w:rFonts w:asciiTheme="minorHAnsi" w:hAnsiTheme="minorHAnsi" w:cs="Calibri"/>
          <w:bCs/>
        </w:rPr>
        <w:t>.</w:t>
      </w:r>
    </w:p>
    <w:p w14:paraId="44A75C18" w14:textId="77777777" w:rsidR="00240294" w:rsidRPr="000C193D" w:rsidRDefault="006F502C" w:rsidP="002E7333">
      <w:pPr>
        <w:pStyle w:val="ListParagraph"/>
        <w:spacing w:after="0" w:line="240" w:lineRule="auto"/>
        <w:contextualSpacing w:val="0"/>
        <w:jc w:val="both"/>
        <w:rPr>
          <w:rFonts w:asciiTheme="minorHAnsi" w:hAnsiTheme="minorHAnsi" w:cs="Calibri"/>
          <w:bCs/>
        </w:rPr>
      </w:pPr>
      <w:r w:rsidRPr="000C193D">
        <w:rPr>
          <w:rFonts w:asciiTheme="minorHAnsi" w:hAnsiTheme="minorHAnsi" w:cs="Calibri"/>
          <w:bCs/>
        </w:rPr>
        <w:t xml:space="preserve">Concerning </w:t>
      </w:r>
      <w:r w:rsidR="003B318D" w:rsidRPr="000C193D">
        <w:rPr>
          <w:rFonts w:asciiTheme="minorHAnsi" w:hAnsiTheme="minorHAnsi" w:cs="Calibri"/>
          <w:bCs/>
        </w:rPr>
        <w:t xml:space="preserve">this later point, we would be happy to engage with the ESAs to </w:t>
      </w:r>
      <w:r w:rsidRPr="000C193D">
        <w:rPr>
          <w:rFonts w:asciiTheme="minorHAnsi" w:hAnsiTheme="minorHAnsi" w:cs="Calibri"/>
          <w:bCs/>
        </w:rPr>
        <w:t xml:space="preserve">further </w:t>
      </w:r>
      <w:r w:rsidR="003B318D" w:rsidRPr="000C193D">
        <w:rPr>
          <w:rFonts w:asciiTheme="minorHAnsi" w:hAnsiTheme="minorHAnsi" w:cs="Calibri"/>
          <w:bCs/>
        </w:rPr>
        <w:t xml:space="preserve">elaborate </w:t>
      </w:r>
      <w:r w:rsidRPr="000C193D">
        <w:rPr>
          <w:rFonts w:asciiTheme="minorHAnsi" w:hAnsiTheme="minorHAnsi" w:cs="Calibri"/>
          <w:bCs/>
        </w:rPr>
        <w:t xml:space="preserve">on </w:t>
      </w:r>
      <w:r w:rsidR="003B318D" w:rsidRPr="000C193D">
        <w:rPr>
          <w:rFonts w:asciiTheme="minorHAnsi" w:hAnsiTheme="minorHAnsi" w:cs="Calibri"/>
          <w:bCs/>
        </w:rPr>
        <w:t>this topic</w:t>
      </w:r>
      <w:r w:rsidR="001D256B" w:rsidRPr="000C193D">
        <w:rPr>
          <w:rFonts w:asciiTheme="minorHAnsi" w:hAnsiTheme="minorHAnsi" w:cs="Calibri"/>
          <w:bCs/>
        </w:rPr>
        <w:t xml:space="preserve"> </w:t>
      </w:r>
      <w:r w:rsidR="003B318D" w:rsidRPr="000C193D">
        <w:rPr>
          <w:rFonts w:asciiTheme="minorHAnsi" w:hAnsiTheme="minorHAnsi" w:cs="Calibri"/>
          <w:bCs/>
        </w:rPr>
        <w:t>and propose</w:t>
      </w:r>
      <w:r w:rsidRPr="000C193D">
        <w:rPr>
          <w:rFonts w:asciiTheme="minorHAnsi" w:hAnsiTheme="minorHAnsi" w:cs="Calibri"/>
          <w:bCs/>
        </w:rPr>
        <w:t xml:space="preserve"> concrete</w:t>
      </w:r>
      <w:r w:rsidR="003B318D" w:rsidRPr="000C193D">
        <w:rPr>
          <w:rFonts w:asciiTheme="minorHAnsi" w:hAnsiTheme="minorHAnsi" w:cs="Calibri"/>
          <w:bCs/>
        </w:rPr>
        <w:t xml:space="preserve"> solution</w:t>
      </w:r>
      <w:r w:rsidRPr="000C193D">
        <w:rPr>
          <w:rFonts w:asciiTheme="minorHAnsi" w:hAnsiTheme="minorHAnsi" w:cs="Calibri"/>
          <w:bCs/>
        </w:rPr>
        <w:t>s</w:t>
      </w:r>
      <w:r w:rsidR="002B5A2F" w:rsidRPr="000C193D">
        <w:rPr>
          <w:rFonts w:asciiTheme="minorHAnsi" w:hAnsiTheme="minorHAnsi" w:cs="Calibri"/>
          <w:bCs/>
        </w:rPr>
        <w:t xml:space="preserve"> that could enable banks to hold a portfolio of funds eligible as collateral without being unduly penalized</w:t>
      </w:r>
      <w:r w:rsidR="003B318D" w:rsidRPr="000C193D">
        <w:rPr>
          <w:rFonts w:asciiTheme="minorHAnsi" w:hAnsiTheme="minorHAnsi" w:cs="Calibri"/>
          <w:bCs/>
        </w:rPr>
        <w:t>.</w:t>
      </w:r>
    </w:p>
    <w:p w14:paraId="6384D950" w14:textId="77777777" w:rsidR="0092563D" w:rsidRPr="000C193D" w:rsidRDefault="0092563D" w:rsidP="002E7333">
      <w:pPr>
        <w:jc w:val="both"/>
        <w:rPr>
          <w:rFonts w:asciiTheme="minorHAnsi" w:hAnsiTheme="minorHAnsi" w:cs="Calibri"/>
          <w:bCs/>
          <w:sz w:val="22"/>
          <w:szCs w:val="22"/>
          <w:lang w:val="en-US"/>
        </w:rPr>
      </w:pPr>
    </w:p>
    <w:p w14:paraId="7A91AEAC" w14:textId="77777777" w:rsidR="00B90B21" w:rsidRPr="000C193D" w:rsidRDefault="003B318D" w:rsidP="002E7333">
      <w:pPr>
        <w:pStyle w:val="ListParagraph"/>
        <w:numPr>
          <w:ilvl w:val="0"/>
          <w:numId w:val="1"/>
        </w:numPr>
        <w:spacing w:after="0" w:line="240" w:lineRule="auto"/>
        <w:contextualSpacing w:val="0"/>
        <w:jc w:val="both"/>
        <w:rPr>
          <w:rFonts w:asciiTheme="minorHAnsi" w:hAnsiTheme="minorHAnsi" w:cs="Calibri"/>
          <w:bCs/>
          <w:u w:val="single"/>
        </w:rPr>
      </w:pPr>
      <w:r w:rsidRPr="000C193D">
        <w:rPr>
          <w:rFonts w:asciiTheme="minorHAnsi" w:hAnsiTheme="minorHAnsi" w:cs="Calibri"/>
          <w:bCs/>
          <w:u w:val="single"/>
        </w:rPr>
        <w:t>A</w:t>
      </w:r>
      <w:r w:rsidR="0092563D" w:rsidRPr="000C193D">
        <w:rPr>
          <w:rFonts w:asciiTheme="minorHAnsi" w:hAnsiTheme="minorHAnsi" w:cs="Calibri"/>
          <w:bCs/>
          <w:u w:val="single"/>
        </w:rPr>
        <w:t xml:space="preserve">bility to return to the liquidator unused collateral proceeds </w:t>
      </w:r>
    </w:p>
    <w:p w14:paraId="3FA90D88" w14:textId="77777777" w:rsidR="002E7333" w:rsidRDefault="002E7333" w:rsidP="00997751">
      <w:pPr>
        <w:jc w:val="both"/>
        <w:rPr>
          <w:rFonts w:asciiTheme="minorHAnsi" w:hAnsiTheme="minorHAnsi" w:cs="Calibri"/>
          <w:bCs/>
          <w:sz w:val="22"/>
          <w:szCs w:val="22"/>
          <w:lang w:val="en-US"/>
        </w:rPr>
      </w:pPr>
    </w:p>
    <w:p w14:paraId="41E6E9CE" w14:textId="77777777" w:rsidR="003B318D" w:rsidRPr="000C193D" w:rsidRDefault="0092563D"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According to the draft RTS, this capability must be included in the risk management procedure of the counterparty receiving collateral. </w:t>
      </w:r>
    </w:p>
    <w:p w14:paraId="52A45E46" w14:textId="77777777" w:rsidR="003B318D" w:rsidRPr="000C193D" w:rsidRDefault="003B318D" w:rsidP="00997751">
      <w:pPr>
        <w:jc w:val="both"/>
        <w:rPr>
          <w:rFonts w:asciiTheme="minorHAnsi" w:hAnsiTheme="minorHAnsi" w:cs="Calibri"/>
          <w:bCs/>
          <w:sz w:val="22"/>
          <w:szCs w:val="22"/>
          <w:lang w:val="en-US"/>
        </w:rPr>
      </w:pPr>
    </w:p>
    <w:p w14:paraId="06C1867D" w14:textId="77777777" w:rsidR="003B318D" w:rsidRPr="000C193D" w:rsidRDefault="0092563D"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The issue is that current market documentation of OTC derivatives is</w:t>
      </w:r>
      <w:r w:rsidR="00F24904" w:rsidRPr="000C193D">
        <w:rPr>
          <w:rFonts w:asciiTheme="minorHAnsi" w:hAnsiTheme="minorHAnsi" w:cs="Calibri"/>
          <w:bCs/>
          <w:sz w:val="22"/>
          <w:szCs w:val="22"/>
          <w:lang w:val="en-US"/>
        </w:rPr>
        <w:t xml:space="preserve"> not </w:t>
      </w:r>
      <w:r w:rsidRPr="000C193D">
        <w:rPr>
          <w:rFonts w:asciiTheme="minorHAnsi" w:hAnsiTheme="minorHAnsi" w:cs="Calibri"/>
          <w:bCs/>
          <w:sz w:val="22"/>
          <w:szCs w:val="22"/>
          <w:lang w:val="en-US"/>
        </w:rPr>
        <w:t xml:space="preserve">compliant with such </w:t>
      </w:r>
      <w:r w:rsidR="00F24904" w:rsidRPr="000C193D">
        <w:rPr>
          <w:rFonts w:asciiTheme="minorHAnsi" w:hAnsiTheme="minorHAnsi" w:cs="Calibri"/>
          <w:bCs/>
          <w:sz w:val="22"/>
          <w:szCs w:val="22"/>
          <w:lang w:val="en-US"/>
        </w:rPr>
        <w:t>possibility</w:t>
      </w:r>
      <w:r w:rsidRPr="000C193D">
        <w:rPr>
          <w:rFonts w:asciiTheme="minorHAnsi" w:hAnsiTheme="minorHAnsi" w:cs="Calibri"/>
          <w:bCs/>
          <w:sz w:val="22"/>
          <w:szCs w:val="22"/>
          <w:lang w:val="en-US"/>
        </w:rPr>
        <w:t xml:space="preserve">. </w:t>
      </w:r>
    </w:p>
    <w:p w14:paraId="495121D5" w14:textId="77777777" w:rsidR="002C6E4A" w:rsidRPr="000C193D" w:rsidRDefault="002C6E4A" w:rsidP="00997751">
      <w:pPr>
        <w:jc w:val="both"/>
        <w:rPr>
          <w:rFonts w:asciiTheme="minorHAnsi" w:hAnsiTheme="minorHAnsi" w:cs="Calibri"/>
          <w:bCs/>
          <w:sz w:val="22"/>
          <w:szCs w:val="22"/>
          <w:lang w:val="en-US"/>
        </w:rPr>
      </w:pPr>
    </w:p>
    <w:p w14:paraId="488BB99A" w14:textId="77777777" w:rsidR="003B318D" w:rsidRPr="000C193D" w:rsidRDefault="0092563D"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ISDA Master </w:t>
      </w:r>
      <w:r w:rsidR="003B318D" w:rsidRPr="000C193D">
        <w:rPr>
          <w:rFonts w:asciiTheme="minorHAnsi" w:hAnsiTheme="minorHAnsi" w:cs="Calibri"/>
          <w:bCs/>
          <w:sz w:val="22"/>
          <w:szCs w:val="22"/>
          <w:lang w:val="en-US"/>
        </w:rPr>
        <w:t>Agreement</w:t>
      </w:r>
      <w:r w:rsidRPr="000C193D">
        <w:rPr>
          <w:rFonts w:asciiTheme="minorHAnsi" w:hAnsiTheme="minorHAnsi" w:cs="Calibri"/>
          <w:bCs/>
          <w:sz w:val="22"/>
          <w:szCs w:val="22"/>
          <w:lang w:val="en-US"/>
        </w:rPr>
        <w:t xml:space="preserve"> </w:t>
      </w:r>
      <w:r w:rsidR="0012682B" w:rsidRPr="000C193D">
        <w:rPr>
          <w:rFonts w:asciiTheme="minorHAnsi" w:hAnsiTheme="minorHAnsi" w:cs="Calibri"/>
          <w:bCs/>
          <w:sz w:val="22"/>
          <w:szCs w:val="22"/>
          <w:lang w:val="en-US"/>
        </w:rPr>
        <w:t xml:space="preserve">but also other master agreements (like the German Master Agreement for Financial Derivatives Transactions) </w:t>
      </w:r>
      <w:r w:rsidRPr="000C193D">
        <w:rPr>
          <w:rFonts w:asciiTheme="minorHAnsi" w:hAnsiTheme="minorHAnsi" w:cs="Calibri"/>
          <w:bCs/>
          <w:sz w:val="22"/>
          <w:szCs w:val="22"/>
          <w:lang w:val="en-US"/>
        </w:rPr>
        <w:t>allow the non</w:t>
      </w:r>
      <w:r w:rsidR="003B318D" w:rsidRPr="000C193D">
        <w:rPr>
          <w:rFonts w:asciiTheme="minorHAnsi" w:hAnsiTheme="minorHAnsi" w:cs="Calibri"/>
          <w:bCs/>
          <w:sz w:val="22"/>
          <w:szCs w:val="22"/>
          <w:lang w:val="en-US"/>
        </w:rPr>
        <w:t>-</w:t>
      </w:r>
      <w:r w:rsidRPr="000C193D">
        <w:rPr>
          <w:rFonts w:asciiTheme="minorHAnsi" w:hAnsiTheme="minorHAnsi" w:cs="Calibri"/>
          <w:bCs/>
          <w:sz w:val="22"/>
          <w:szCs w:val="22"/>
          <w:lang w:val="en-US"/>
        </w:rPr>
        <w:t xml:space="preserve">defaulting party to net any payment owed by this party (the </w:t>
      </w:r>
      <w:r w:rsidR="00DF57BE" w:rsidRPr="000C193D">
        <w:rPr>
          <w:rFonts w:asciiTheme="minorHAnsi" w:hAnsiTheme="minorHAnsi" w:cs="Calibri"/>
          <w:bCs/>
          <w:sz w:val="22"/>
          <w:szCs w:val="22"/>
          <w:lang w:val="en-US"/>
        </w:rPr>
        <w:t xml:space="preserve">defaulting </w:t>
      </w:r>
      <w:r w:rsidRPr="000C193D">
        <w:rPr>
          <w:rFonts w:asciiTheme="minorHAnsi" w:hAnsiTheme="minorHAnsi" w:cs="Calibri"/>
          <w:bCs/>
          <w:sz w:val="22"/>
          <w:szCs w:val="22"/>
          <w:lang w:val="en-US"/>
        </w:rPr>
        <w:t xml:space="preserve">party) with all amount he may have to pay to its counterparty. </w:t>
      </w:r>
    </w:p>
    <w:p w14:paraId="335C1EE4" w14:textId="77777777" w:rsidR="003B318D" w:rsidRPr="000C193D" w:rsidRDefault="0092563D"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The non</w:t>
      </w:r>
      <w:r w:rsidR="003B318D" w:rsidRPr="000C193D">
        <w:rPr>
          <w:rFonts w:asciiTheme="minorHAnsi" w:hAnsiTheme="minorHAnsi" w:cs="Calibri"/>
          <w:bCs/>
          <w:sz w:val="22"/>
          <w:szCs w:val="22"/>
          <w:lang w:val="en-US"/>
        </w:rPr>
        <w:t>-</w:t>
      </w:r>
      <w:r w:rsidRPr="000C193D">
        <w:rPr>
          <w:rFonts w:asciiTheme="minorHAnsi" w:hAnsiTheme="minorHAnsi" w:cs="Calibri"/>
          <w:bCs/>
          <w:sz w:val="22"/>
          <w:szCs w:val="22"/>
          <w:lang w:val="en-US"/>
        </w:rPr>
        <w:t xml:space="preserve">defaulting party can then retain any amount received as collateral provided it is inferior to the amount that results from the addition of the sums due by its counterparty. </w:t>
      </w:r>
    </w:p>
    <w:p w14:paraId="7019D16A" w14:textId="77777777" w:rsidR="003B318D" w:rsidRPr="000C193D" w:rsidRDefault="003B318D" w:rsidP="00997751">
      <w:pPr>
        <w:jc w:val="both"/>
        <w:rPr>
          <w:rFonts w:asciiTheme="minorHAnsi" w:hAnsiTheme="minorHAnsi" w:cs="Calibri"/>
          <w:bCs/>
          <w:sz w:val="22"/>
          <w:szCs w:val="22"/>
          <w:lang w:val="en-US"/>
        </w:rPr>
      </w:pPr>
    </w:p>
    <w:p w14:paraId="2983BF61" w14:textId="77777777" w:rsidR="003B318D" w:rsidRPr="000C193D" w:rsidRDefault="0092563D"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F</w:t>
      </w:r>
      <w:r w:rsidR="003B318D" w:rsidRPr="000C193D">
        <w:rPr>
          <w:rFonts w:asciiTheme="minorHAnsi" w:hAnsiTheme="minorHAnsi" w:cs="Calibri"/>
          <w:bCs/>
          <w:sz w:val="22"/>
          <w:szCs w:val="22"/>
          <w:lang w:val="en-US"/>
        </w:rPr>
        <w:t>or that reason we consider that</w:t>
      </w:r>
      <w:r w:rsidRPr="000C193D">
        <w:rPr>
          <w:rFonts w:asciiTheme="minorHAnsi" w:hAnsiTheme="minorHAnsi" w:cs="Calibri"/>
          <w:bCs/>
          <w:sz w:val="22"/>
          <w:szCs w:val="22"/>
          <w:lang w:val="en-US"/>
        </w:rPr>
        <w:t xml:space="preserve">, in some cases, unused collateral proceeds shall not be returned to the liquidator of the defaulting party. This netting should continue to apply as it reduces settlement risk between the parties. </w:t>
      </w:r>
    </w:p>
    <w:p w14:paraId="3E51A70F" w14:textId="77777777" w:rsidR="003B318D" w:rsidRPr="000C193D" w:rsidRDefault="003B318D" w:rsidP="00997751">
      <w:pPr>
        <w:jc w:val="both"/>
        <w:rPr>
          <w:rFonts w:asciiTheme="minorHAnsi" w:hAnsiTheme="minorHAnsi" w:cs="Calibri"/>
          <w:bCs/>
          <w:sz w:val="22"/>
          <w:szCs w:val="22"/>
          <w:lang w:val="en-US"/>
        </w:rPr>
      </w:pPr>
    </w:p>
    <w:p w14:paraId="5D82B47A" w14:textId="77777777" w:rsidR="0092563D" w:rsidRPr="000C193D" w:rsidRDefault="0092563D"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We consider </w:t>
      </w:r>
      <w:r w:rsidR="00F24904" w:rsidRPr="000C193D">
        <w:rPr>
          <w:rFonts w:asciiTheme="minorHAnsi" w:hAnsiTheme="minorHAnsi" w:cs="Calibri"/>
          <w:bCs/>
          <w:sz w:val="22"/>
          <w:szCs w:val="22"/>
          <w:lang w:val="en-US"/>
        </w:rPr>
        <w:t xml:space="preserve">that the </w:t>
      </w:r>
      <w:r w:rsidRPr="000C193D">
        <w:rPr>
          <w:rFonts w:asciiTheme="minorHAnsi" w:hAnsiTheme="minorHAnsi" w:cs="Calibri"/>
          <w:bCs/>
          <w:sz w:val="22"/>
          <w:szCs w:val="22"/>
          <w:lang w:val="en-US"/>
        </w:rPr>
        <w:t>regulatory regime of collateral should take into account this point.</w:t>
      </w:r>
    </w:p>
    <w:p w14:paraId="4D98060C" w14:textId="5378FBBD" w:rsidR="002E7333" w:rsidRDefault="002E7333">
      <w:pPr>
        <w:rPr>
          <w:rFonts w:asciiTheme="minorHAnsi" w:hAnsiTheme="minorHAnsi" w:cs="Calibri"/>
          <w:bCs/>
          <w:sz w:val="22"/>
          <w:szCs w:val="22"/>
          <w:lang w:val="en-US"/>
        </w:rPr>
      </w:pPr>
      <w:r>
        <w:rPr>
          <w:rFonts w:asciiTheme="minorHAnsi" w:hAnsiTheme="minorHAnsi" w:cs="Calibri"/>
          <w:bCs/>
          <w:sz w:val="22"/>
          <w:szCs w:val="22"/>
          <w:lang w:val="en-US"/>
        </w:rPr>
        <w:br w:type="page"/>
      </w:r>
    </w:p>
    <w:p w14:paraId="635E59A0" w14:textId="77777777" w:rsidR="00DF57BE" w:rsidRPr="000C193D" w:rsidRDefault="00DF57BE" w:rsidP="00997751">
      <w:pPr>
        <w:jc w:val="both"/>
        <w:rPr>
          <w:rFonts w:asciiTheme="minorHAnsi" w:hAnsiTheme="minorHAnsi" w:cs="Calibri"/>
          <w:bCs/>
          <w:sz w:val="22"/>
          <w:szCs w:val="22"/>
          <w:lang w:val="en-US"/>
        </w:rPr>
      </w:pPr>
    </w:p>
    <w:p w14:paraId="5C2CC669" w14:textId="77777777" w:rsidR="00B90B21" w:rsidRPr="000C193D" w:rsidRDefault="005E4560" w:rsidP="00997751">
      <w:pPr>
        <w:pStyle w:val="ListParagraph"/>
        <w:numPr>
          <w:ilvl w:val="0"/>
          <w:numId w:val="1"/>
        </w:numPr>
        <w:jc w:val="both"/>
        <w:rPr>
          <w:rFonts w:asciiTheme="minorHAnsi" w:hAnsiTheme="minorHAnsi" w:cs="Calibri"/>
          <w:bCs/>
          <w:u w:val="single"/>
        </w:rPr>
      </w:pPr>
      <w:r w:rsidRPr="000C193D">
        <w:rPr>
          <w:rFonts w:asciiTheme="minorHAnsi" w:hAnsiTheme="minorHAnsi" w:cs="Calibri"/>
          <w:bCs/>
          <w:u w:val="single"/>
        </w:rPr>
        <w:t>B</w:t>
      </w:r>
      <w:r w:rsidR="0092563D" w:rsidRPr="000C193D">
        <w:rPr>
          <w:rFonts w:asciiTheme="minorHAnsi" w:hAnsiTheme="minorHAnsi" w:cs="Calibri"/>
          <w:bCs/>
          <w:u w:val="single"/>
        </w:rPr>
        <w:t>an of re-use of initial margin</w:t>
      </w:r>
    </w:p>
    <w:p w14:paraId="3CC491FF" w14:textId="77777777" w:rsidR="002B5A2F" w:rsidRPr="000C193D" w:rsidRDefault="0092563D"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We consider the ban of re-use of initial margin may trigger some adverse consequences on UCITS legal regime and furthermore will increase the cost of OTC transactions.</w:t>
      </w:r>
      <w:r w:rsidR="002B5A2F" w:rsidRPr="000C193D">
        <w:rPr>
          <w:rFonts w:asciiTheme="minorHAnsi" w:hAnsiTheme="minorHAnsi" w:cs="Calibri"/>
          <w:bCs/>
          <w:sz w:val="22"/>
          <w:szCs w:val="22"/>
          <w:lang w:val="en-US"/>
        </w:rPr>
        <w:t xml:space="preserve">  We ask for an authorization to agree to re-use in some circumstances. See question 6 below.</w:t>
      </w:r>
    </w:p>
    <w:p w14:paraId="5C21B409" w14:textId="77777777" w:rsidR="002B5A2F" w:rsidRPr="000C193D" w:rsidRDefault="002B5A2F" w:rsidP="00997751">
      <w:pPr>
        <w:jc w:val="both"/>
        <w:rPr>
          <w:rFonts w:asciiTheme="minorHAnsi" w:hAnsiTheme="minorHAnsi" w:cs="Calibri"/>
          <w:bCs/>
          <w:sz w:val="22"/>
          <w:szCs w:val="22"/>
          <w:lang w:val="en-US"/>
        </w:rPr>
      </w:pPr>
    </w:p>
    <w:p w14:paraId="1404934A" w14:textId="77777777" w:rsidR="002B5A2F" w:rsidRPr="000C193D" w:rsidRDefault="002B5A2F" w:rsidP="002B5A2F">
      <w:pPr>
        <w:pStyle w:val="ListParagraph"/>
        <w:numPr>
          <w:ilvl w:val="0"/>
          <w:numId w:val="1"/>
        </w:numPr>
        <w:jc w:val="both"/>
        <w:rPr>
          <w:rFonts w:asciiTheme="minorHAnsi" w:hAnsiTheme="minorHAnsi" w:cs="Calibri"/>
          <w:bCs/>
          <w:u w:val="single"/>
        </w:rPr>
      </w:pPr>
      <w:r w:rsidRPr="000C193D">
        <w:rPr>
          <w:rFonts w:asciiTheme="minorHAnsi" w:hAnsiTheme="minorHAnsi" w:cs="Calibri"/>
          <w:bCs/>
          <w:u w:val="single"/>
        </w:rPr>
        <w:t>Necessity of initial margin</w:t>
      </w:r>
    </w:p>
    <w:p w14:paraId="0E934571" w14:textId="77777777" w:rsidR="005E4560" w:rsidRPr="000C193D" w:rsidRDefault="0092563D"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As per the “Guidelines on ETFs and other UCITS issues” published by ESMA on the 18th December 2012, a UCITS is bound to invest the cash collateral it receives. </w:t>
      </w:r>
    </w:p>
    <w:p w14:paraId="42DBC56F" w14:textId="77777777" w:rsidR="00F24904" w:rsidRPr="000C193D" w:rsidRDefault="00F24904" w:rsidP="00997751">
      <w:pPr>
        <w:jc w:val="both"/>
        <w:rPr>
          <w:rFonts w:asciiTheme="minorHAnsi" w:hAnsiTheme="minorHAnsi" w:cs="Calibri"/>
          <w:bCs/>
          <w:sz w:val="22"/>
          <w:szCs w:val="22"/>
          <w:lang w:val="en-US"/>
        </w:rPr>
      </w:pPr>
    </w:p>
    <w:p w14:paraId="043214CF" w14:textId="77777777" w:rsidR="005E4560" w:rsidRPr="000C193D" w:rsidRDefault="0092563D"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Cash collateral should be placed on deposits, invested on high quality investment bonds, used for the purpose of reverse repo or invested in short term money market funds. Such investments must be in compliance with additional security constraints. We consider this regime adequately secures transactions and avoid</w:t>
      </w:r>
      <w:r w:rsidR="002B5A2F" w:rsidRPr="000C193D">
        <w:rPr>
          <w:rFonts w:asciiTheme="minorHAnsi" w:hAnsiTheme="minorHAnsi" w:cs="Calibri"/>
          <w:bCs/>
          <w:sz w:val="22"/>
          <w:szCs w:val="22"/>
          <w:lang w:val="en-US"/>
        </w:rPr>
        <w:t>s</w:t>
      </w:r>
      <w:r w:rsidRPr="000C193D">
        <w:rPr>
          <w:rFonts w:asciiTheme="minorHAnsi" w:hAnsiTheme="minorHAnsi" w:cs="Calibri"/>
          <w:bCs/>
          <w:sz w:val="22"/>
          <w:szCs w:val="22"/>
          <w:lang w:val="en-US"/>
        </w:rPr>
        <w:t xml:space="preserve"> risk in case of default of the receiving party. </w:t>
      </w:r>
    </w:p>
    <w:p w14:paraId="105508BE" w14:textId="77777777" w:rsidR="005E4560" w:rsidRPr="000C193D" w:rsidRDefault="005E4560" w:rsidP="00997751">
      <w:pPr>
        <w:jc w:val="both"/>
        <w:rPr>
          <w:rFonts w:asciiTheme="minorHAnsi" w:hAnsiTheme="minorHAnsi" w:cs="Calibri"/>
          <w:bCs/>
          <w:sz w:val="22"/>
          <w:szCs w:val="22"/>
          <w:lang w:val="en-US"/>
        </w:rPr>
      </w:pPr>
    </w:p>
    <w:p w14:paraId="293D15B3" w14:textId="77777777" w:rsidR="005E4560" w:rsidRPr="000C193D" w:rsidRDefault="005E4560"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We do not share the ESAs</w:t>
      </w:r>
      <w:r w:rsidR="00F24904" w:rsidRPr="000C193D">
        <w:rPr>
          <w:rFonts w:asciiTheme="minorHAnsi" w:hAnsiTheme="minorHAnsi" w:cs="Calibri"/>
          <w:bCs/>
          <w:sz w:val="22"/>
          <w:szCs w:val="22"/>
          <w:lang w:val="en-US"/>
        </w:rPr>
        <w:t>’</w:t>
      </w:r>
      <w:r w:rsidRPr="000C193D">
        <w:rPr>
          <w:rFonts w:asciiTheme="minorHAnsi" w:hAnsiTheme="minorHAnsi" w:cs="Calibri"/>
          <w:bCs/>
          <w:sz w:val="22"/>
          <w:szCs w:val="22"/>
          <w:lang w:val="en-US"/>
        </w:rPr>
        <w:t xml:space="preserve"> opinion that it is necessary to consider initial margins in order to properly manage counterparty risks arising from certain OTC derivatives.</w:t>
      </w:r>
    </w:p>
    <w:p w14:paraId="2776421B" w14:textId="77777777" w:rsidR="005E4560" w:rsidRPr="000C193D" w:rsidRDefault="005E4560" w:rsidP="00997751">
      <w:pPr>
        <w:jc w:val="both"/>
        <w:rPr>
          <w:rFonts w:asciiTheme="minorHAnsi" w:hAnsiTheme="minorHAnsi" w:cs="Calibri"/>
          <w:bCs/>
          <w:sz w:val="22"/>
          <w:szCs w:val="22"/>
          <w:lang w:val="en-US"/>
        </w:rPr>
      </w:pPr>
    </w:p>
    <w:p w14:paraId="7ED2C39F" w14:textId="77777777" w:rsidR="005E4560" w:rsidRPr="000C193D" w:rsidRDefault="005E4560"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Therefore we would like to point the ESAs</w:t>
      </w:r>
      <w:r w:rsidR="00F24904" w:rsidRPr="000C193D">
        <w:rPr>
          <w:rFonts w:asciiTheme="minorHAnsi" w:hAnsiTheme="minorHAnsi" w:cs="Calibri"/>
          <w:bCs/>
          <w:sz w:val="22"/>
          <w:szCs w:val="22"/>
          <w:lang w:val="en-US"/>
        </w:rPr>
        <w:t>’</w:t>
      </w:r>
      <w:r w:rsidRPr="000C193D">
        <w:rPr>
          <w:rFonts w:asciiTheme="minorHAnsi" w:hAnsiTheme="minorHAnsi" w:cs="Calibri"/>
          <w:bCs/>
          <w:sz w:val="22"/>
          <w:szCs w:val="22"/>
          <w:lang w:val="en-US"/>
        </w:rPr>
        <w:t xml:space="preserve"> attention once more </w:t>
      </w:r>
      <w:r w:rsidR="00F24904" w:rsidRPr="000C193D">
        <w:rPr>
          <w:rFonts w:asciiTheme="minorHAnsi" w:hAnsiTheme="minorHAnsi" w:cs="Calibri"/>
          <w:bCs/>
          <w:sz w:val="22"/>
          <w:szCs w:val="22"/>
          <w:lang w:val="en-US"/>
        </w:rPr>
        <w:t xml:space="preserve">to </w:t>
      </w:r>
      <w:r w:rsidRPr="000C193D">
        <w:rPr>
          <w:rFonts w:asciiTheme="minorHAnsi" w:hAnsiTheme="minorHAnsi" w:cs="Calibri"/>
          <w:bCs/>
          <w:sz w:val="22"/>
          <w:szCs w:val="22"/>
          <w:lang w:val="en-US"/>
        </w:rPr>
        <w:t xml:space="preserve">the drafted initial margin requirements. Such is necessary to make the RTS an appropriate measure when building more resilient financial markets. </w:t>
      </w:r>
    </w:p>
    <w:p w14:paraId="76A7A557" w14:textId="77777777" w:rsidR="005E4560" w:rsidRPr="000C193D" w:rsidRDefault="005E4560" w:rsidP="00997751">
      <w:pPr>
        <w:jc w:val="both"/>
        <w:rPr>
          <w:rFonts w:asciiTheme="minorHAnsi" w:hAnsiTheme="minorHAnsi" w:cs="Calibri"/>
          <w:bCs/>
          <w:sz w:val="22"/>
          <w:szCs w:val="22"/>
          <w:lang w:val="en-US"/>
        </w:rPr>
      </w:pPr>
    </w:p>
    <w:p w14:paraId="187F011B" w14:textId="77777777" w:rsidR="005E4560" w:rsidRPr="000C193D" w:rsidRDefault="00F24904"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In summary, here are the key points we wish to draw to your attention in that respect</w:t>
      </w:r>
      <w:r w:rsidR="005E4560" w:rsidRPr="000C193D">
        <w:rPr>
          <w:rFonts w:asciiTheme="minorHAnsi" w:hAnsiTheme="minorHAnsi" w:cs="Calibri"/>
          <w:bCs/>
          <w:sz w:val="22"/>
          <w:szCs w:val="22"/>
          <w:lang w:val="en-US"/>
        </w:rPr>
        <w:t>:</w:t>
      </w:r>
    </w:p>
    <w:p w14:paraId="5B5A1E15" w14:textId="77777777" w:rsidR="00F24904" w:rsidRPr="000C193D" w:rsidRDefault="00F24904" w:rsidP="00997751">
      <w:pPr>
        <w:jc w:val="both"/>
        <w:rPr>
          <w:rFonts w:asciiTheme="minorHAnsi" w:hAnsiTheme="minorHAnsi" w:cs="Calibri"/>
          <w:bCs/>
          <w:sz w:val="22"/>
          <w:szCs w:val="22"/>
          <w:lang w:val="en-US"/>
        </w:rPr>
      </w:pPr>
    </w:p>
    <w:p w14:paraId="2B40EB17" w14:textId="4DCF8E84" w:rsidR="00B90B21" w:rsidRPr="000C193D" w:rsidRDefault="00F24904" w:rsidP="00893A55">
      <w:pPr>
        <w:pStyle w:val="ListParagraph"/>
        <w:numPr>
          <w:ilvl w:val="0"/>
          <w:numId w:val="2"/>
        </w:numPr>
        <w:spacing w:before="120" w:after="120" w:line="240" w:lineRule="auto"/>
        <w:ind w:left="714" w:hanging="357"/>
        <w:contextualSpacing w:val="0"/>
        <w:jc w:val="both"/>
        <w:rPr>
          <w:rFonts w:asciiTheme="minorHAnsi" w:hAnsiTheme="minorHAnsi" w:cs="Calibri"/>
          <w:bCs/>
        </w:rPr>
      </w:pPr>
      <w:r w:rsidRPr="000C193D">
        <w:rPr>
          <w:rFonts w:asciiTheme="minorHAnsi" w:hAnsiTheme="minorHAnsi" w:cs="Calibri"/>
          <w:bCs/>
        </w:rPr>
        <w:t xml:space="preserve">The </w:t>
      </w:r>
      <w:r w:rsidR="005E4560" w:rsidRPr="000C193D">
        <w:rPr>
          <w:rFonts w:asciiTheme="minorHAnsi" w:hAnsiTheme="minorHAnsi" w:cs="Calibri"/>
          <w:bCs/>
        </w:rPr>
        <w:t xml:space="preserve">G-20 did not </w:t>
      </w:r>
      <w:r w:rsidR="001D256B" w:rsidRPr="000C193D">
        <w:rPr>
          <w:rFonts w:asciiTheme="minorHAnsi" w:hAnsiTheme="minorHAnsi" w:cs="Calibri"/>
          <w:bCs/>
        </w:rPr>
        <w:t xml:space="preserve">impose </w:t>
      </w:r>
      <w:r w:rsidR="005E4560" w:rsidRPr="000C193D">
        <w:rPr>
          <w:rFonts w:asciiTheme="minorHAnsi" w:hAnsiTheme="minorHAnsi" w:cs="Calibri"/>
          <w:bCs/>
        </w:rPr>
        <w:t xml:space="preserve">the requirement of initial margins for </w:t>
      </w:r>
      <w:r w:rsidR="00A32B23">
        <w:rPr>
          <w:rFonts w:asciiTheme="minorHAnsi" w:hAnsiTheme="minorHAnsi" w:cs="Calibri"/>
          <w:bCs/>
        </w:rPr>
        <w:t>non-</w:t>
      </w:r>
      <w:r w:rsidR="005E4560" w:rsidRPr="000C193D">
        <w:rPr>
          <w:rFonts w:asciiTheme="minorHAnsi" w:hAnsiTheme="minorHAnsi" w:cs="Calibri"/>
          <w:bCs/>
        </w:rPr>
        <w:t xml:space="preserve">cleared OTC derivatives. For that reason the ESAs should evaluate if setting initial margin requirements would be appropriate in all </w:t>
      </w:r>
      <w:r w:rsidR="001D256B" w:rsidRPr="000C193D">
        <w:rPr>
          <w:rFonts w:asciiTheme="minorHAnsi" w:hAnsiTheme="minorHAnsi" w:cs="Calibri"/>
          <w:bCs/>
        </w:rPr>
        <w:t>circumstances</w:t>
      </w:r>
      <w:r w:rsidR="005E4560" w:rsidRPr="000C193D">
        <w:rPr>
          <w:rFonts w:asciiTheme="minorHAnsi" w:hAnsiTheme="minorHAnsi" w:cs="Calibri"/>
          <w:bCs/>
        </w:rPr>
        <w:t>;</w:t>
      </w:r>
    </w:p>
    <w:p w14:paraId="74879490" w14:textId="77777777" w:rsidR="002D3423" w:rsidRPr="000C193D" w:rsidRDefault="00F24904" w:rsidP="00893A55">
      <w:pPr>
        <w:pStyle w:val="ListParagraph"/>
        <w:numPr>
          <w:ilvl w:val="0"/>
          <w:numId w:val="2"/>
        </w:numPr>
        <w:spacing w:before="120" w:after="120" w:line="240" w:lineRule="auto"/>
        <w:ind w:left="714" w:hanging="357"/>
        <w:contextualSpacing w:val="0"/>
        <w:rPr>
          <w:rFonts w:asciiTheme="minorHAnsi" w:hAnsiTheme="minorHAnsi" w:cs="Calibri"/>
          <w:bCs/>
        </w:rPr>
      </w:pPr>
      <w:r w:rsidRPr="000C193D">
        <w:rPr>
          <w:rFonts w:asciiTheme="minorHAnsi" w:hAnsiTheme="minorHAnsi" w:cs="Calibri"/>
          <w:bCs/>
        </w:rPr>
        <w:t xml:space="preserve">Non-cleared </w:t>
      </w:r>
      <w:r w:rsidR="005E4560" w:rsidRPr="000C193D">
        <w:rPr>
          <w:rFonts w:asciiTheme="minorHAnsi" w:hAnsiTheme="minorHAnsi" w:cs="Calibri"/>
          <w:bCs/>
        </w:rPr>
        <w:t xml:space="preserve">OTC derivatives, subject to standardized Master Agreements including an automated early termination, already mitigate the risk the ESAs intend to decrease with the initial margin requirement. </w:t>
      </w:r>
      <w:r w:rsidR="003F0E00" w:rsidRPr="000C193D">
        <w:rPr>
          <w:rFonts w:asciiTheme="minorHAnsi" w:hAnsiTheme="minorHAnsi" w:cs="Calibri"/>
          <w:bCs/>
        </w:rPr>
        <w:br/>
      </w:r>
      <w:r w:rsidR="005E4560" w:rsidRPr="000C193D">
        <w:rPr>
          <w:rFonts w:asciiTheme="minorHAnsi" w:hAnsiTheme="minorHAnsi" w:cs="Calibri"/>
          <w:bCs/>
        </w:rPr>
        <w:t>Therefore, having in place respective Master Agreements should be recognized as reliable alternative to initial margins</w:t>
      </w:r>
      <w:r w:rsidR="003F0E00" w:rsidRPr="000C193D">
        <w:rPr>
          <w:rFonts w:asciiTheme="minorHAnsi" w:hAnsiTheme="minorHAnsi" w:cs="Calibri"/>
          <w:bCs/>
        </w:rPr>
        <w:t xml:space="preserve">. </w:t>
      </w:r>
      <w:r w:rsidR="005E4560" w:rsidRPr="000C193D">
        <w:rPr>
          <w:rFonts w:asciiTheme="minorHAnsi" w:hAnsiTheme="minorHAnsi" w:cs="Calibri"/>
          <w:bCs/>
        </w:rPr>
        <w:t>The risk initial margins are mitigating is related to the requested portability</w:t>
      </w:r>
      <w:r w:rsidR="002D3423" w:rsidRPr="000C193D">
        <w:rPr>
          <w:rFonts w:asciiTheme="minorHAnsi" w:hAnsiTheme="minorHAnsi" w:cs="Calibri"/>
          <w:bCs/>
        </w:rPr>
        <w:t>;</w:t>
      </w:r>
    </w:p>
    <w:p w14:paraId="105B55E5" w14:textId="262666C7" w:rsidR="00B90B21" w:rsidRPr="000C193D" w:rsidRDefault="002D3423" w:rsidP="00893A55">
      <w:pPr>
        <w:pStyle w:val="ListParagraph"/>
        <w:numPr>
          <w:ilvl w:val="0"/>
          <w:numId w:val="2"/>
        </w:numPr>
        <w:spacing w:before="120" w:after="120" w:line="240" w:lineRule="auto"/>
        <w:ind w:left="714" w:hanging="357"/>
        <w:contextualSpacing w:val="0"/>
        <w:jc w:val="both"/>
        <w:rPr>
          <w:rFonts w:asciiTheme="minorHAnsi" w:hAnsiTheme="minorHAnsi" w:cs="Calibri"/>
          <w:bCs/>
        </w:rPr>
      </w:pPr>
      <w:r w:rsidRPr="000C193D">
        <w:rPr>
          <w:rFonts w:asciiTheme="minorHAnsi" w:hAnsiTheme="minorHAnsi" w:cs="Calibri"/>
          <w:bCs/>
        </w:rPr>
        <w:t>We know that BCBS</w:t>
      </w:r>
      <w:r w:rsidR="00B41025" w:rsidRPr="000C193D">
        <w:rPr>
          <w:rFonts w:asciiTheme="minorHAnsi" w:hAnsiTheme="minorHAnsi" w:cs="Calibri"/>
          <w:bCs/>
        </w:rPr>
        <w:t xml:space="preserve"> and </w:t>
      </w:r>
      <w:r w:rsidRPr="000C193D">
        <w:rPr>
          <w:rFonts w:asciiTheme="minorHAnsi" w:hAnsiTheme="minorHAnsi" w:cs="Calibri"/>
          <w:bCs/>
        </w:rPr>
        <w:t xml:space="preserve">IOSCO </w:t>
      </w:r>
      <w:r w:rsidR="004E673B" w:rsidRPr="000C193D">
        <w:rPr>
          <w:rFonts w:asciiTheme="minorHAnsi" w:hAnsiTheme="minorHAnsi" w:cs="Calibri"/>
          <w:bCs/>
        </w:rPr>
        <w:t>is</w:t>
      </w:r>
      <w:r w:rsidRPr="000C193D">
        <w:rPr>
          <w:rFonts w:asciiTheme="minorHAnsi" w:hAnsiTheme="minorHAnsi" w:cs="Calibri"/>
          <w:bCs/>
        </w:rPr>
        <w:t xml:space="preserve"> in favor of IM requirements. Nevertheless the ESAs should keep in mind that the goals have been set by G-20 and that the ESAs have been established with the power to draft RTS which are independent from BCBS/IOSCO`s view. Declining any and all variances from the aspects suggested by BCBS/IOSCO would place BCBS/IOSCO in the position of a legislator</w:t>
      </w:r>
      <w:r w:rsidR="00B41025" w:rsidRPr="000C193D">
        <w:rPr>
          <w:rFonts w:asciiTheme="minorHAnsi" w:hAnsiTheme="minorHAnsi" w:cs="Calibri"/>
          <w:bCs/>
        </w:rPr>
        <w:t>,</w:t>
      </w:r>
      <w:r w:rsidR="00893A55">
        <w:rPr>
          <w:rFonts w:asciiTheme="minorHAnsi" w:hAnsiTheme="minorHAnsi" w:cs="Calibri"/>
          <w:bCs/>
        </w:rPr>
        <w:t xml:space="preserve"> which it is not. </w:t>
      </w:r>
    </w:p>
    <w:p w14:paraId="1AFAF627" w14:textId="77777777" w:rsidR="005E4560" w:rsidRPr="000C193D" w:rsidRDefault="005E4560" w:rsidP="00997751">
      <w:pPr>
        <w:jc w:val="both"/>
        <w:rPr>
          <w:rFonts w:asciiTheme="minorHAnsi" w:hAnsiTheme="minorHAnsi" w:cs="Calibri"/>
          <w:bCs/>
          <w:sz w:val="22"/>
          <w:szCs w:val="22"/>
          <w:lang w:val="en-US"/>
        </w:rPr>
      </w:pPr>
    </w:p>
    <w:p w14:paraId="28C20658" w14:textId="77777777" w:rsidR="003F0E00" w:rsidRPr="000C193D" w:rsidRDefault="003F0E00"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The ESAs should consider the differences between cleared and </w:t>
      </w:r>
      <w:r w:rsidR="00F24904" w:rsidRPr="000C193D">
        <w:rPr>
          <w:rFonts w:asciiTheme="minorHAnsi" w:hAnsiTheme="minorHAnsi" w:cs="Calibri"/>
          <w:bCs/>
          <w:sz w:val="22"/>
          <w:szCs w:val="22"/>
          <w:lang w:val="en-US"/>
        </w:rPr>
        <w:t>non-</w:t>
      </w:r>
      <w:r w:rsidRPr="000C193D">
        <w:rPr>
          <w:rFonts w:asciiTheme="minorHAnsi" w:hAnsiTheme="minorHAnsi" w:cs="Calibri"/>
          <w:bCs/>
          <w:sz w:val="22"/>
          <w:szCs w:val="22"/>
          <w:lang w:val="en-US"/>
        </w:rPr>
        <w:t xml:space="preserve">cleared OTC derivatives </w:t>
      </w:r>
      <w:r w:rsidR="00F24904" w:rsidRPr="000C193D">
        <w:rPr>
          <w:rFonts w:asciiTheme="minorHAnsi" w:hAnsiTheme="minorHAnsi" w:cs="Calibri"/>
          <w:bCs/>
          <w:sz w:val="22"/>
          <w:szCs w:val="22"/>
          <w:lang w:val="en-US"/>
        </w:rPr>
        <w:t xml:space="preserve">before </w:t>
      </w:r>
      <w:r w:rsidRPr="000C193D">
        <w:rPr>
          <w:rFonts w:asciiTheme="minorHAnsi" w:hAnsiTheme="minorHAnsi" w:cs="Calibri"/>
          <w:bCs/>
          <w:sz w:val="22"/>
          <w:szCs w:val="22"/>
          <w:lang w:val="en-US"/>
        </w:rPr>
        <w:t xml:space="preserve">stipulating any initial margin requirements for </w:t>
      </w:r>
      <w:r w:rsidR="00F24904" w:rsidRPr="000C193D">
        <w:rPr>
          <w:rFonts w:asciiTheme="minorHAnsi" w:hAnsiTheme="minorHAnsi" w:cs="Calibri"/>
          <w:bCs/>
          <w:sz w:val="22"/>
          <w:szCs w:val="22"/>
          <w:lang w:val="en-US"/>
        </w:rPr>
        <w:t xml:space="preserve">non-cleared </w:t>
      </w:r>
      <w:r w:rsidRPr="000C193D">
        <w:rPr>
          <w:rFonts w:asciiTheme="minorHAnsi" w:hAnsiTheme="minorHAnsi" w:cs="Calibri"/>
          <w:bCs/>
          <w:sz w:val="22"/>
          <w:szCs w:val="22"/>
          <w:lang w:val="en-US"/>
        </w:rPr>
        <w:t xml:space="preserve">OTC derivatives. </w:t>
      </w:r>
    </w:p>
    <w:p w14:paraId="367A1F15" w14:textId="77777777" w:rsidR="003F0E00" w:rsidRPr="000C193D" w:rsidRDefault="00F24904"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The </w:t>
      </w:r>
      <w:r w:rsidR="003F0E00" w:rsidRPr="000C193D">
        <w:rPr>
          <w:rFonts w:asciiTheme="minorHAnsi" w:hAnsiTheme="minorHAnsi" w:cs="Calibri"/>
          <w:bCs/>
          <w:sz w:val="22"/>
          <w:szCs w:val="22"/>
          <w:lang w:val="en-US"/>
        </w:rPr>
        <w:t xml:space="preserve">G-20 accepted that market participants will use </w:t>
      </w:r>
      <w:r w:rsidRPr="000C193D">
        <w:rPr>
          <w:rFonts w:asciiTheme="minorHAnsi" w:hAnsiTheme="minorHAnsi" w:cs="Calibri"/>
          <w:bCs/>
          <w:sz w:val="22"/>
          <w:szCs w:val="22"/>
          <w:lang w:val="en-US"/>
        </w:rPr>
        <w:t xml:space="preserve">non-cleared </w:t>
      </w:r>
      <w:r w:rsidR="003F0E00" w:rsidRPr="000C193D">
        <w:rPr>
          <w:rFonts w:asciiTheme="minorHAnsi" w:hAnsiTheme="minorHAnsi" w:cs="Calibri"/>
          <w:bCs/>
          <w:sz w:val="22"/>
          <w:szCs w:val="22"/>
          <w:lang w:val="en-US"/>
        </w:rPr>
        <w:t xml:space="preserve">OTC derivatives in </w:t>
      </w:r>
      <w:r w:rsidRPr="000C193D">
        <w:rPr>
          <w:rFonts w:asciiTheme="minorHAnsi" w:hAnsiTheme="minorHAnsi" w:cs="Calibri"/>
          <w:bCs/>
          <w:sz w:val="22"/>
          <w:szCs w:val="22"/>
          <w:lang w:val="en-US"/>
        </w:rPr>
        <w:t xml:space="preserve">the </w:t>
      </w:r>
      <w:r w:rsidR="003F0E00" w:rsidRPr="000C193D">
        <w:rPr>
          <w:rFonts w:asciiTheme="minorHAnsi" w:hAnsiTheme="minorHAnsi" w:cs="Calibri"/>
          <w:bCs/>
          <w:sz w:val="22"/>
          <w:szCs w:val="22"/>
          <w:lang w:val="en-US"/>
        </w:rPr>
        <w:t xml:space="preserve">future and that their use may bear higher risks than the use of cleared OTC derivatives. </w:t>
      </w:r>
    </w:p>
    <w:p w14:paraId="06073C8D" w14:textId="77777777" w:rsidR="00F24904" w:rsidRPr="000C193D" w:rsidRDefault="00F24904" w:rsidP="00997751">
      <w:pPr>
        <w:jc w:val="both"/>
        <w:rPr>
          <w:rFonts w:asciiTheme="minorHAnsi" w:hAnsiTheme="minorHAnsi" w:cs="Calibri"/>
          <w:bCs/>
          <w:sz w:val="22"/>
          <w:szCs w:val="22"/>
          <w:lang w:val="en-US"/>
        </w:rPr>
      </w:pPr>
    </w:p>
    <w:p w14:paraId="5EAAB17B" w14:textId="77777777" w:rsidR="00663B5A" w:rsidRPr="000C193D" w:rsidRDefault="003F0E00"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The ESAs should consider that creating too big burdens on the use of OTC derivatives sets an incentive not to hedge existing market risks which</w:t>
      </w:r>
      <w:r w:rsidR="00F24904" w:rsidRPr="000C193D">
        <w:rPr>
          <w:rFonts w:asciiTheme="minorHAnsi" w:hAnsiTheme="minorHAnsi" w:cs="Calibri"/>
          <w:bCs/>
          <w:sz w:val="22"/>
          <w:szCs w:val="22"/>
          <w:lang w:val="en-US"/>
        </w:rPr>
        <w:t>, in turn,</w:t>
      </w:r>
      <w:r w:rsidRPr="000C193D">
        <w:rPr>
          <w:rFonts w:asciiTheme="minorHAnsi" w:hAnsiTheme="minorHAnsi" w:cs="Calibri"/>
          <w:bCs/>
          <w:sz w:val="22"/>
          <w:szCs w:val="22"/>
          <w:lang w:val="en-US"/>
        </w:rPr>
        <w:t xml:space="preserve"> would have a negative impact on </w:t>
      </w:r>
      <w:r w:rsidR="00F24904" w:rsidRPr="000C193D">
        <w:rPr>
          <w:rFonts w:asciiTheme="minorHAnsi" w:hAnsiTheme="minorHAnsi" w:cs="Calibri"/>
          <w:bCs/>
          <w:sz w:val="22"/>
          <w:szCs w:val="22"/>
          <w:lang w:val="en-US"/>
        </w:rPr>
        <w:t xml:space="preserve">the </w:t>
      </w:r>
      <w:r w:rsidRPr="000C193D">
        <w:rPr>
          <w:rFonts w:asciiTheme="minorHAnsi" w:hAnsiTheme="minorHAnsi" w:cs="Calibri"/>
          <w:bCs/>
          <w:sz w:val="22"/>
          <w:szCs w:val="22"/>
          <w:lang w:val="en-US"/>
        </w:rPr>
        <w:t>G-20’s goal to building more resilient financial markets</w:t>
      </w:r>
      <w:r w:rsidR="00663B5A" w:rsidRPr="000C193D">
        <w:rPr>
          <w:rFonts w:asciiTheme="minorHAnsi" w:hAnsiTheme="minorHAnsi" w:cs="Calibri"/>
          <w:bCs/>
          <w:sz w:val="22"/>
          <w:szCs w:val="22"/>
          <w:lang w:val="en-US"/>
        </w:rPr>
        <w:t xml:space="preserve">. </w:t>
      </w:r>
    </w:p>
    <w:p w14:paraId="5567A7BB" w14:textId="77777777" w:rsidR="00663B5A" w:rsidRPr="000C193D" w:rsidRDefault="00663B5A" w:rsidP="00997751">
      <w:pPr>
        <w:jc w:val="both"/>
        <w:rPr>
          <w:rFonts w:asciiTheme="minorHAnsi" w:hAnsiTheme="minorHAnsi" w:cs="Calibri"/>
          <w:bCs/>
          <w:sz w:val="22"/>
          <w:szCs w:val="22"/>
          <w:lang w:val="en-US"/>
        </w:rPr>
      </w:pPr>
    </w:p>
    <w:p w14:paraId="049A87EE" w14:textId="77777777" w:rsidR="003F0E00" w:rsidRPr="000C193D" w:rsidRDefault="003F0E00"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Therefore the ESAs should evaluate whether it is appropriate to decrease the low risk of market movement effects after the OTC derivatives counterparties default by setting initial margins requirements or, if this risk is acceptable</w:t>
      </w:r>
      <w:r w:rsidR="00663B5A" w:rsidRPr="000C193D">
        <w:rPr>
          <w:rFonts w:asciiTheme="minorHAnsi" w:hAnsiTheme="minorHAnsi" w:cs="Calibri"/>
          <w:bCs/>
          <w:sz w:val="22"/>
          <w:szCs w:val="22"/>
          <w:lang w:val="en-US"/>
        </w:rPr>
        <w:t xml:space="preserve">. </w:t>
      </w:r>
    </w:p>
    <w:p w14:paraId="375D6484" w14:textId="77777777" w:rsidR="003F0E00" w:rsidRPr="000C193D" w:rsidRDefault="003F0E00" w:rsidP="00997751">
      <w:pPr>
        <w:jc w:val="both"/>
        <w:rPr>
          <w:rFonts w:asciiTheme="minorHAnsi" w:hAnsiTheme="minorHAnsi" w:cs="Calibri"/>
          <w:bCs/>
          <w:sz w:val="22"/>
          <w:szCs w:val="22"/>
          <w:lang w:val="en-US"/>
        </w:rPr>
      </w:pPr>
    </w:p>
    <w:p w14:paraId="14E5F87E" w14:textId="2E9B29A2" w:rsidR="00531E37" w:rsidRPr="000C193D" w:rsidRDefault="00F24904"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For those reasons,</w:t>
      </w:r>
      <w:r w:rsidR="0092563D" w:rsidRPr="000C193D">
        <w:rPr>
          <w:rFonts w:asciiTheme="minorHAnsi" w:hAnsiTheme="minorHAnsi" w:cs="Calibri"/>
          <w:bCs/>
          <w:sz w:val="22"/>
          <w:szCs w:val="22"/>
          <w:lang w:val="en-US"/>
        </w:rPr>
        <w:t xml:space="preserve"> </w:t>
      </w:r>
      <w:r w:rsidR="0012682B" w:rsidRPr="000C193D">
        <w:rPr>
          <w:rFonts w:asciiTheme="minorHAnsi" w:hAnsiTheme="minorHAnsi" w:cs="Calibri"/>
          <w:bCs/>
          <w:sz w:val="22"/>
          <w:szCs w:val="22"/>
          <w:lang w:val="en-US"/>
        </w:rPr>
        <w:t xml:space="preserve">the proposed </w:t>
      </w:r>
      <w:r w:rsidR="00A32B23" w:rsidRPr="000C193D">
        <w:rPr>
          <w:rFonts w:asciiTheme="minorHAnsi" w:hAnsiTheme="minorHAnsi" w:cs="Calibri"/>
          <w:bCs/>
          <w:sz w:val="22"/>
          <w:szCs w:val="22"/>
          <w:lang w:val="en-US"/>
        </w:rPr>
        <w:t>above-mentioned</w:t>
      </w:r>
      <w:r w:rsidR="0012682B" w:rsidRPr="000C193D">
        <w:rPr>
          <w:rFonts w:asciiTheme="minorHAnsi" w:hAnsiTheme="minorHAnsi" w:cs="Calibri"/>
          <w:bCs/>
          <w:sz w:val="22"/>
          <w:szCs w:val="22"/>
          <w:lang w:val="en-US"/>
        </w:rPr>
        <w:t xml:space="preserve"> </w:t>
      </w:r>
      <w:r w:rsidR="0092563D" w:rsidRPr="000C193D">
        <w:rPr>
          <w:rFonts w:asciiTheme="minorHAnsi" w:hAnsiTheme="minorHAnsi" w:cs="Calibri"/>
          <w:bCs/>
          <w:sz w:val="22"/>
          <w:szCs w:val="22"/>
          <w:lang w:val="en-US"/>
        </w:rPr>
        <w:t>rules should be applicable to counterparties entering into non</w:t>
      </w:r>
      <w:r w:rsidRPr="000C193D">
        <w:rPr>
          <w:rFonts w:asciiTheme="minorHAnsi" w:hAnsiTheme="minorHAnsi" w:cs="Calibri"/>
          <w:bCs/>
          <w:sz w:val="22"/>
          <w:szCs w:val="22"/>
          <w:lang w:val="en-US"/>
        </w:rPr>
        <w:t>-</w:t>
      </w:r>
      <w:r w:rsidR="0092563D" w:rsidRPr="000C193D">
        <w:rPr>
          <w:rFonts w:asciiTheme="minorHAnsi" w:hAnsiTheme="minorHAnsi" w:cs="Calibri"/>
          <w:bCs/>
          <w:sz w:val="22"/>
          <w:szCs w:val="22"/>
          <w:lang w:val="en-US"/>
        </w:rPr>
        <w:t xml:space="preserve">cleared derivative transactions.  </w:t>
      </w:r>
    </w:p>
    <w:p w14:paraId="60354C53" w14:textId="77777777" w:rsidR="003F0E00" w:rsidRPr="000C193D" w:rsidRDefault="003F0E00" w:rsidP="00997751">
      <w:pPr>
        <w:jc w:val="both"/>
        <w:rPr>
          <w:rFonts w:asciiTheme="minorHAnsi" w:hAnsiTheme="minorHAnsi" w:cs="Calibri"/>
          <w:bCs/>
          <w:sz w:val="22"/>
          <w:szCs w:val="22"/>
          <w:lang w:val="en-US"/>
        </w:rPr>
      </w:pPr>
    </w:p>
    <w:p w14:paraId="77BDE7DD" w14:textId="77777777" w:rsidR="00B90B21" w:rsidRPr="000C193D" w:rsidRDefault="00DD3A44" w:rsidP="00893A55">
      <w:pPr>
        <w:pStyle w:val="ListParagraph"/>
        <w:numPr>
          <w:ilvl w:val="0"/>
          <w:numId w:val="1"/>
        </w:numPr>
        <w:spacing w:after="0" w:line="240" w:lineRule="auto"/>
        <w:contextualSpacing w:val="0"/>
        <w:jc w:val="both"/>
        <w:rPr>
          <w:rFonts w:asciiTheme="minorHAnsi" w:hAnsiTheme="minorHAnsi" w:cs="Calibri"/>
          <w:bCs/>
          <w:u w:val="single"/>
        </w:rPr>
      </w:pPr>
      <w:r w:rsidRPr="000C193D">
        <w:rPr>
          <w:rFonts w:asciiTheme="minorHAnsi" w:hAnsiTheme="minorHAnsi" w:cs="Calibri"/>
          <w:bCs/>
          <w:u w:val="single"/>
        </w:rPr>
        <w:t>Post capital or hold assets</w:t>
      </w:r>
    </w:p>
    <w:p w14:paraId="096E7852" w14:textId="77777777" w:rsidR="00893A55" w:rsidRDefault="00893A55" w:rsidP="00893A55">
      <w:pPr>
        <w:jc w:val="both"/>
        <w:rPr>
          <w:rFonts w:asciiTheme="minorHAnsi" w:hAnsiTheme="minorHAnsi" w:cs="Calibri"/>
          <w:bCs/>
          <w:sz w:val="22"/>
          <w:szCs w:val="22"/>
          <w:lang w:val="en-US"/>
        </w:rPr>
      </w:pPr>
    </w:p>
    <w:p w14:paraId="4B74EFB6" w14:textId="77777777" w:rsidR="00645513" w:rsidRPr="000C193D" w:rsidRDefault="00645513" w:rsidP="00893A55">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According to Recital 3, a counterparty shall have the choice either to post / collect (initial) margins or hold own capital if the amount of initial margin is below the threshold.</w:t>
      </w:r>
    </w:p>
    <w:p w14:paraId="601CFEA5" w14:textId="77777777" w:rsidR="005E4560" w:rsidRPr="000C193D" w:rsidRDefault="005E4560" w:rsidP="00893A55">
      <w:pPr>
        <w:jc w:val="both"/>
        <w:rPr>
          <w:rFonts w:asciiTheme="minorHAnsi" w:hAnsiTheme="minorHAnsi" w:cs="Calibri"/>
          <w:bCs/>
          <w:sz w:val="22"/>
          <w:szCs w:val="22"/>
          <w:lang w:val="en-US"/>
        </w:rPr>
      </w:pPr>
    </w:p>
    <w:p w14:paraId="5361DE80" w14:textId="77777777" w:rsidR="005E4560" w:rsidRPr="000C193D" w:rsidRDefault="001D256B" w:rsidP="00893A55">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UCITS i</w:t>
      </w:r>
      <w:r w:rsidR="00645513" w:rsidRPr="000C193D">
        <w:rPr>
          <w:rFonts w:asciiTheme="minorHAnsi" w:hAnsiTheme="minorHAnsi" w:cs="Calibri"/>
          <w:bCs/>
          <w:sz w:val="22"/>
          <w:szCs w:val="22"/>
          <w:lang w:val="en-US"/>
        </w:rPr>
        <w:t xml:space="preserve">nvestment </w:t>
      </w:r>
      <w:r w:rsidRPr="000C193D">
        <w:rPr>
          <w:rFonts w:asciiTheme="minorHAnsi" w:hAnsiTheme="minorHAnsi" w:cs="Calibri"/>
          <w:bCs/>
          <w:sz w:val="22"/>
          <w:szCs w:val="22"/>
          <w:lang w:val="en-US"/>
        </w:rPr>
        <w:t>f</w:t>
      </w:r>
      <w:r w:rsidR="00645513" w:rsidRPr="000C193D">
        <w:rPr>
          <w:rFonts w:asciiTheme="minorHAnsi" w:hAnsiTheme="minorHAnsi" w:cs="Calibri"/>
          <w:bCs/>
          <w:sz w:val="22"/>
          <w:szCs w:val="22"/>
          <w:lang w:val="en-US"/>
        </w:rPr>
        <w:t>unds are subject to the cover rule (cf. Art. 51 para. 3 of Directive 2009/65/EC as well as CESR consultation 10-108</w:t>
      </w:r>
      <w:r w:rsidR="002D3423" w:rsidRPr="000C193D">
        <w:rPr>
          <w:rFonts w:asciiTheme="minorHAnsi" w:hAnsiTheme="minorHAnsi" w:cs="Calibri"/>
          <w:bCs/>
          <w:sz w:val="22"/>
          <w:szCs w:val="22"/>
          <w:lang w:val="en-US"/>
        </w:rPr>
        <w:t>,</w:t>
      </w:r>
      <w:r w:rsidR="002D3423" w:rsidRPr="000C193D">
        <w:rPr>
          <w:rFonts w:asciiTheme="minorHAnsi" w:hAnsiTheme="minorHAnsi"/>
        </w:rPr>
        <w:t xml:space="preserve"> </w:t>
      </w:r>
      <w:r w:rsidR="002D3423" w:rsidRPr="000C193D">
        <w:rPr>
          <w:rFonts w:asciiTheme="minorHAnsi" w:hAnsiTheme="minorHAnsi" w:cs="Calibri"/>
          <w:bCs/>
          <w:sz w:val="22"/>
          <w:szCs w:val="22"/>
          <w:lang w:val="en-US"/>
        </w:rPr>
        <w:t>Box 28</w:t>
      </w:r>
      <w:r w:rsidR="00645513" w:rsidRPr="000C193D">
        <w:rPr>
          <w:rFonts w:asciiTheme="minorHAnsi" w:hAnsiTheme="minorHAnsi" w:cs="Calibri"/>
          <w:bCs/>
          <w:sz w:val="22"/>
          <w:szCs w:val="22"/>
          <w:lang w:val="en-US"/>
        </w:rPr>
        <w:t xml:space="preserve">). That means, they are only allowed to enter into derivatives which can be fulfilled with the assets of the investment fund. </w:t>
      </w:r>
    </w:p>
    <w:p w14:paraId="6CA1B72E" w14:textId="77777777" w:rsidR="005E4560" w:rsidRPr="000C193D" w:rsidRDefault="005E4560" w:rsidP="00893A55">
      <w:pPr>
        <w:jc w:val="both"/>
        <w:rPr>
          <w:rFonts w:asciiTheme="minorHAnsi" w:hAnsiTheme="minorHAnsi" w:cs="Calibri"/>
          <w:bCs/>
          <w:sz w:val="22"/>
          <w:szCs w:val="22"/>
          <w:lang w:val="en-US"/>
        </w:rPr>
      </w:pPr>
    </w:p>
    <w:p w14:paraId="12FD4205" w14:textId="77777777" w:rsidR="00645513" w:rsidRPr="000C193D" w:rsidRDefault="00645513" w:rsidP="00893A55">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In order to avoid any misinterpretation, the ESAs should clarify in Recital 3 that in case of investment funds</w:t>
      </w:r>
      <w:r w:rsidR="002339C0" w:rsidRPr="000C193D">
        <w:rPr>
          <w:rFonts w:asciiTheme="minorHAnsi" w:hAnsiTheme="minorHAnsi" w:cs="Calibri"/>
          <w:bCs/>
          <w:sz w:val="22"/>
          <w:szCs w:val="22"/>
          <w:lang w:val="en-US"/>
        </w:rPr>
        <w:t>, be they UCITS or FIAs</w:t>
      </w:r>
      <w:r w:rsidRPr="000C193D">
        <w:rPr>
          <w:rFonts w:asciiTheme="minorHAnsi" w:hAnsiTheme="minorHAnsi" w:cs="Calibri"/>
          <w:bCs/>
          <w:sz w:val="22"/>
          <w:szCs w:val="22"/>
          <w:lang w:val="en-US"/>
        </w:rPr>
        <w:t>, own capital</w:t>
      </w:r>
      <w:r w:rsidR="002339C0" w:rsidRPr="000C193D">
        <w:rPr>
          <w:rFonts w:asciiTheme="minorHAnsi" w:hAnsiTheme="minorHAnsi" w:cs="Calibri"/>
          <w:bCs/>
          <w:sz w:val="22"/>
          <w:szCs w:val="22"/>
          <w:lang w:val="en-US"/>
        </w:rPr>
        <w:t xml:space="preserve"> is represent</w:t>
      </w:r>
      <w:r w:rsidR="002D3423" w:rsidRPr="000C193D">
        <w:rPr>
          <w:rFonts w:asciiTheme="minorHAnsi" w:hAnsiTheme="minorHAnsi" w:cs="Calibri"/>
          <w:bCs/>
          <w:sz w:val="22"/>
          <w:szCs w:val="22"/>
          <w:lang w:val="en-US"/>
        </w:rPr>
        <w:t>e</w:t>
      </w:r>
      <w:r w:rsidR="002339C0" w:rsidRPr="000C193D">
        <w:rPr>
          <w:rFonts w:asciiTheme="minorHAnsi" w:hAnsiTheme="minorHAnsi" w:cs="Calibri"/>
          <w:bCs/>
          <w:sz w:val="22"/>
          <w:szCs w:val="22"/>
          <w:lang w:val="en-US"/>
        </w:rPr>
        <w:t>d by the NAV of the fund</w:t>
      </w:r>
      <w:r w:rsidRPr="000C193D">
        <w:rPr>
          <w:rFonts w:asciiTheme="minorHAnsi" w:hAnsiTheme="minorHAnsi" w:cs="Calibri"/>
          <w:bCs/>
          <w:sz w:val="22"/>
          <w:szCs w:val="22"/>
          <w:lang w:val="en-US"/>
        </w:rPr>
        <w:t xml:space="preserve">. </w:t>
      </w:r>
    </w:p>
    <w:p w14:paraId="106B933B" w14:textId="77777777" w:rsidR="003F0E00" w:rsidRPr="000C193D" w:rsidRDefault="003F0E00" w:rsidP="00893A55">
      <w:pPr>
        <w:jc w:val="both"/>
        <w:rPr>
          <w:rFonts w:asciiTheme="minorHAnsi" w:hAnsiTheme="minorHAnsi" w:cs="Arial"/>
          <w:sz w:val="22"/>
          <w:szCs w:val="22"/>
        </w:rPr>
      </w:pPr>
    </w:p>
    <w:p w14:paraId="09FBEA45" w14:textId="77777777" w:rsidR="00B90B21" w:rsidRPr="000C193D" w:rsidRDefault="000B360C" w:rsidP="00893A55">
      <w:pPr>
        <w:pStyle w:val="ListParagraph"/>
        <w:numPr>
          <w:ilvl w:val="0"/>
          <w:numId w:val="1"/>
        </w:numPr>
        <w:spacing w:after="0" w:line="240" w:lineRule="auto"/>
        <w:contextualSpacing w:val="0"/>
        <w:jc w:val="both"/>
        <w:rPr>
          <w:rFonts w:asciiTheme="minorHAnsi" w:hAnsiTheme="minorHAnsi" w:cs="Arial"/>
          <w:u w:val="single"/>
        </w:rPr>
      </w:pPr>
      <w:r w:rsidRPr="000C193D">
        <w:rPr>
          <w:rFonts w:asciiTheme="minorHAnsi" w:hAnsiTheme="minorHAnsi" w:cs="Arial"/>
          <w:u w:val="single"/>
        </w:rPr>
        <w:t>Conflict in diversification rules</w:t>
      </w:r>
    </w:p>
    <w:p w14:paraId="20571683" w14:textId="77777777" w:rsidR="003F0E00" w:rsidRPr="000C193D" w:rsidRDefault="003F0E00" w:rsidP="00893A55">
      <w:pPr>
        <w:jc w:val="both"/>
        <w:rPr>
          <w:rFonts w:asciiTheme="minorHAnsi" w:hAnsiTheme="minorHAnsi" w:cs="Calibri"/>
          <w:bCs/>
          <w:sz w:val="22"/>
          <w:szCs w:val="22"/>
          <w:lang w:val="en-US"/>
        </w:rPr>
      </w:pPr>
    </w:p>
    <w:p w14:paraId="480750F8" w14:textId="77777777" w:rsidR="000B360C" w:rsidRPr="000C193D" w:rsidRDefault="00770B41" w:rsidP="00893A55">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There </w:t>
      </w:r>
      <w:r w:rsidR="00CE1D7F" w:rsidRPr="000C193D">
        <w:rPr>
          <w:rFonts w:asciiTheme="minorHAnsi" w:hAnsiTheme="minorHAnsi" w:cs="Calibri"/>
          <w:bCs/>
          <w:sz w:val="22"/>
          <w:szCs w:val="22"/>
          <w:lang w:val="en-US"/>
        </w:rPr>
        <w:t xml:space="preserve">are </w:t>
      </w:r>
      <w:r w:rsidRPr="000C193D">
        <w:rPr>
          <w:rFonts w:asciiTheme="minorHAnsi" w:hAnsiTheme="minorHAnsi" w:cs="Calibri"/>
          <w:bCs/>
          <w:sz w:val="22"/>
          <w:szCs w:val="22"/>
          <w:lang w:val="en-US"/>
        </w:rPr>
        <w:t xml:space="preserve">some contradiction between </w:t>
      </w:r>
      <w:r w:rsidR="00CE1D7F" w:rsidRPr="000C193D">
        <w:rPr>
          <w:rFonts w:asciiTheme="minorHAnsi" w:hAnsiTheme="minorHAnsi" w:cs="Calibri"/>
          <w:bCs/>
          <w:sz w:val="22"/>
          <w:szCs w:val="22"/>
          <w:lang w:val="en-US"/>
        </w:rPr>
        <w:t>diversification</w:t>
      </w:r>
      <w:r w:rsidRPr="000C193D">
        <w:rPr>
          <w:rFonts w:asciiTheme="minorHAnsi" w:hAnsiTheme="minorHAnsi" w:cs="Calibri"/>
          <w:bCs/>
          <w:sz w:val="22"/>
          <w:szCs w:val="22"/>
          <w:lang w:val="en-US"/>
        </w:rPr>
        <w:t xml:space="preserve"> limits resulting from the application of article 7 LEC of the RTS (pages 38-39) and the concentration limits resulting from </w:t>
      </w:r>
      <w:r w:rsidR="00844DA6" w:rsidRPr="000C193D">
        <w:rPr>
          <w:rFonts w:asciiTheme="minorHAnsi" w:hAnsiTheme="minorHAnsi" w:cs="Calibri"/>
          <w:bCs/>
          <w:sz w:val="22"/>
          <w:szCs w:val="22"/>
          <w:lang w:val="en-US"/>
        </w:rPr>
        <w:t xml:space="preserve">the </w:t>
      </w:r>
      <w:r w:rsidRPr="000C193D">
        <w:rPr>
          <w:rFonts w:asciiTheme="minorHAnsi" w:hAnsiTheme="minorHAnsi" w:cs="Calibri"/>
          <w:bCs/>
          <w:sz w:val="22"/>
          <w:szCs w:val="22"/>
          <w:lang w:val="en-US"/>
        </w:rPr>
        <w:t xml:space="preserve">ESMA Guidelines on ETFs and other UCITS issues. </w:t>
      </w:r>
    </w:p>
    <w:p w14:paraId="5BBA0878" w14:textId="77777777" w:rsidR="00844DA6" w:rsidRPr="000C193D" w:rsidRDefault="00844DA6" w:rsidP="00997751">
      <w:pPr>
        <w:jc w:val="both"/>
        <w:rPr>
          <w:rFonts w:asciiTheme="minorHAnsi" w:hAnsiTheme="minorHAnsi" w:cs="Calibri"/>
          <w:bCs/>
          <w:sz w:val="22"/>
          <w:szCs w:val="22"/>
          <w:lang w:val="en-US"/>
        </w:rPr>
      </w:pPr>
    </w:p>
    <w:p w14:paraId="0AE3BD49" w14:textId="1198F0DD" w:rsidR="000B360C" w:rsidRPr="000C193D" w:rsidRDefault="00CD57C1"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The proposed regulation refers to the total amount of the collateral when computing the diversification ratio. It is inconsistent to consider that there is a risk on the collateral of small amount that could be mitigated with a diversification rule; it is </w:t>
      </w:r>
      <w:r w:rsidR="00A32B23" w:rsidRPr="000C193D">
        <w:rPr>
          <w:rFonts w:asciiTheme="minorHAnsi" w:hAnsiTheme="minorHAnsi" w:cs="Calibri"/>
          <w:bCs/>
          <w:sz w:val="22"/>
          <w:szCs w:val="22"/>
          <w:lang w:val="en-US"/>
        </w:rPr>
        <w:t>not workable</w:t>
      </w:r>
      <w:r w:rsidRPr="000C193D">
        <w:rPr>
          <w:rFonts w:asciiTheme="minorHAnsi" w:hAnsiTheme="minorHAnsi" w:cs="Calibri"/>
          <w:bCs/>
          <w:sz w:val="22"/>
          <w:szCs w:val="22"/>
          <w:lang w:val="en-US"/>
        </w:rPr>
        <w:t xml:space="preserve"> to ask counterparties to split small amounts of collateral on several issues for even smaller amounts, uneasy to manage and costly to transfer.</w:t>
      </w:r>
    </w:p>
    <w:p w14:paraId="5DE15D41" w14:textId="77777777" w:rsidR="00CD57C1" w:rsidRPr="000C193D" w:rsidRDefault="00CD57C1" w:rsidP="00997751">
      <w:pPr>
        <w:jc w:val="both"/>
        <w:rPr>
          <w:rFonts w:asciiTheme="minorHAnsi" w:hAnsiTheme="minorHAnsi" w:cs="Calibri"/>
          <w:bCs/>
          <w:sz w:val="22"/>
          <w:szCs w:val="22"/>
          <w:lang w:val="en-US"/>
        </w:rPr>
      </w:pPr>
    </w:p>
    <w:p w14:paraId="29C3683F" w14:textId="77777777" w:rsidR="000B360C" w:rsidRPr="000C193D" w:rsidRDefault="000B360C"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The </w:t>
      </w:r>
      <w:r w:rsidR="00770B41" w:rsidRPr="000C193D">
        <w:rPr>
          <w:rFonts w:asciiTheme="minorHAnsi" w:hAnsiTheme="minorHAnsi" w:cs="Calibri"/>
          <w:bCs/>
          <w:sz w:val="22"/>
          <w:szCs w:val="22"/>
          <w:lang w:val="en-US"/>
        </w:rPr>
        <w:t xml:space="preserve">harmonization within each </w:t>
      </w:r>
      <w:r w:rsidR="00844DA6" w:rsidRPr="000C193D">
        <w:rPr>
          <w:rFonts w:asciiTheme="minorHAnsi" w:hAnsiTheme="minorHAnsi" w:cs="Calibri"/>
          <w:bCs/>
          <w:sz w:val="22"/>
          <w:szCs w:val="22"/>
          <w:lang w:val="en-US"/>
        </w:rPr>
        <w:t xml:space="preserve">Member State </w:t>
      </w:r>
      <w:r w:rsidR="00770B41" w:rsidRPr="000C193D">
        <w:rPr>
          <w:rFonts w:asciiTheme="minorHAnsi" w:hAnsiTheme="minorHAnsi" w:cs="Calibri"/>
          <w:bCs/>
          <w:sz w:val="22"/>
          <w:szCs w:val="22"/>
          <w:lang w:val="en-US"/>
        </w:rPr>
        <w:t>as regards those concentration limits</w:t>
      </w:r>
      <w:r w:rsidRPr="000C193D">
        <w:rPr>
          <w:rFonts w:asciiTheme="minorHAnsi" w:hAnsiTheme="minorHAnsi" w:cs="Calibri"/>
          <w:bCs/>
          <w:sz w:val="22"/>
          <w:szCs w:val="22"/>
          <w:lang w:val="en-US"/>
        </w:rPr>
        <w:t xml:space="preserve"> in UCITS implementation and in EMIR is </w:t>
      </w:r>
      <w:r w:rsidR="00844DA6" w:rsidRPr="000C193D">
        <w:rPr>
          <w:rFonts w:asciiTheme="minorHAnsi" w:hAnsiTheme="minorHAnsi" w:cs="Calibri"/>
          <w:bCs/>
          <w:sz w:val="22"/>
          <w:szCs w:val="22"/>
          <w:lang w:val="en-US"/>
        </w:rPr>
        <w:t xml:space="preserve">a necessary pre-requisite </w:t>
      </w:r>
      <w:r w:rsidRPr="000C193D">
        <w:rPr>
          <w:rFonts w:asciiTheme="minorHAnsi" w:hAnsiTheme="minorHAnsi" w:cs="Calibri"/>
          <w:bCs/>
          <w:sz w:val="22"/>
          <w:szCs w:val="22"/>
          <w:lang w:val="en-US"/>
        </w:rPr>
        <w:t xml:space="preserve">to improve legal certainty, liquidity </w:t>
      </w:r>
      <w:r w:rsidR="00844DA6" w:rsidRPr="000C193D">
        <w:rPr>
          <w:rFonts w:asciiTheme="minorHAnsi" w:hAnsiTheme="minorHAnsi" w:cs="Calibri"/>
          <w:bCs/>
          <w:sz w:val="22"/>
          <w:szCs w:val="22"/>
          <w:lang w:val="en-US"/>
        </w:rPr>
        <w:t>as well as the</w:t>
      </w:r>
      <w:r w:rsidR="00A96472" w:rsidRPr="000C193D">
        <w:rPr>
          <w:rFonts w:asciiTheme="minorHAnsi" w:hAnsiTheme="minorHAnsi" w:cs="Calibri"/>
          <w:bCs/>
          <w:sz w:val="22"/>
          <w:szCs w:val="22"/>
          <w:lang w:val="en-US"/>
        </w:rPr>
        <w:t xml:space="preserve"> level playing field</w:t>
      </w:r>
      <w:r w:rsidRPr="000C193D">
        <w:rPr>
          <w:rFonts w:asciiTheme="minorHAnsi" w:hAnsiTheme="minorHAnsi" w:cs="Calibri"/>
          <w:bCs/>
          <w:sz w:val="22"/>
          <w:szCs w:val="22"/>
          <w:lang w:val="en-US"/>
        </w:rPr>
        <w:t xml:space="preserve"> between market players.</w:t>
      </w:r>
      <w:r w:rsidR="00CD57C1" w:rsidRPr="000C193D">
        <w:rPr>
          <w:rFonts w:asciiTheme="minorHAnsi" w:hAnsiTheme="minorHAnsi" w:cs="Calibri"/>
          <w:bCs/>
          <w:sz w:val="22"/>
          <w:szCs w:val="22"/>
          <w:lang w:val="en-US"/>
        </w:rPr>
        <w:t xml:space="preserve"> </w:t>
      </w:r>
    </w:p>
    <w:p w14:paraId="4883065D" w14:textId="77777777" w:rsidR="00EE1A88" w:rsidRPr="000C193D" w:rsidRDefault="00EE1A88" w:rsidP="00997751">
      <w:pPr>
        <w:jc w:val="both"/>
        <w:rPr>
          <w:rFonts w:asciiTheme="minorHAnsi" w:hAnsiTheme="minorHAnsi" w:cs="Calibri"/>
          <w:bCs/>
          <w:sz w:val="22"/>
          <w:szCs w:val="22"/>
          <w:lang w:val="en-US"/>
        </w:rPr>
      </w:pPr>
    </w:p>
    <w:p w14:paraId="6597F094" w14:textId="77777777" w:rsidR="00EE1A88" w:rsidRPr="000C193D" w:rsidRDefault="00EE1A88" w:rsidP="00EE1A88">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If concentration rules were to apply, we strongly suggest that there should be a realistic threshold under which they should not, simply because it is not workable to ask for a split over different issuers of collateral on smaller amounts than 100 million-, they should be coherent with existing requirements. </w:t>
      </w:r>
    </w:p>
    <w:p w14:paraId="2E7C37C7" w14:textId="77777777" w:rsidR="00EE1A88" w:rsidRPr="000C193D" w:rsidRDefault="00EE1A88" w:rsidP="00997751">
      <w:pPr>
        <w:jc w:val="both"/>
        <w:rPr>
          <w:rFonts w:asciiTheme="minorHAnsi" w:hAnsiTheme="minorHAnsi" w:cs="Calibri"/>
          <w:bCs/>
          <w:sz w:val="22"/>
          <w:szCs w:val="22"/>
          <w:lang w:val="en-US"/>
        </w:rPr>
      </w:pPr>
    </w:p>
    <w:p w14:paraId="6E749EAA" w14:textId="77777777" w:rsidR="00EE1A88" w:rsidRPr="000C193D" w:rsidRDefault="00EE1A88" w:rsidP="00893A55">
      <w:pPr>
        <w:pStyle w:val="ListParagraph"/>
        <w:numPr>
          <w:ilvl w:val="0"/>
          <w:numId w:val="1"/>
        </w:numPr>
        <w:spacing w:after="0" w:line="240" w:lineRule="auto"/>
        <w:contextualSpacing w:val="0"/>
        <w:jc w:val="both"/>
        <w:rPr>
          <w:rFonts w:asciiTheme="minorHAnsi" w:hAnsiTheme="minorHAnsi" w:cs="Arial"/>
          <w:u w:val="single"/>
        </w:rPr>
      </w:pPr>
      <w:r w:rsidRPr="000C193D">
        <w:rPr>
          <w:rFonts w:asciiTheme="minorHAnsi" w:hAnsiTheme="minorHAnsi" w:cs="Arial"/>
          <w:u w:val="single"/>
        </w:rPr>
        <w:t>Harmonized approach to IM calculation</w:t>
      </w:r>
    </w:p>
    <w:p w14:paraId="0AF7C3A4" w14:textId="77777777" w:rsidR="00E71388" w:rsidRPr="000C193D" w:rsidRDefault="00E71388" w:rsidP="00893A55">
      <w:pPr>
        <w:jc w:val="both"/>
        <w:rPr>
          <w:rFonts w:asciiTheme="minorHAnsi" w:hAnsiTheme="minorHAnsi" w:cs="Calibri"/>
          <w:bCs/>
          <w:sz w:val="22"/>
          <w:szCs w:val="22"/>
          <w:lang w:val="en-US"/>
        </w:rPr>
      </w:pPr>
    </w:p>
    <w:p w14:paraId="5E1922FF" w14:textId="77777777" w:rsidR="00E71388" w:rsidRPr="000C193D" w:rsidRDefault="00844DA6"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lastRenderedPageBreak/>
        <w:t xml:space="preserve">From an </w:t>
      </w:r>
      <w:r w:rsidR="004A1E41" w:rsidRPr="000C193D">
        <w:rPr>
          <w:rFonts w:asciiTheme="minorHAnsi" w:hAnsiTheme="minorHAnsi" w:cs="Calibri"/>
          <w:bCs/>
          <w:sz w:val="22"/>
          <w:szCs w:val="22"/>
          <w:lang w:val="en-US"/>
        </w:rPr>
        <w:t>asset managers</w:t>
      </w:r>
      <w:r w:rsidRPr="000C193D">
        <w:rPr>
          <w:rFonts w:asciiTheme="minorHAnsi" w:hAnsiTheme="minorHAnsi" w:cs="Calibri"/>
          <w:bCs/>
          <w:sz w:val="22"/>
          <w:szCs w:val="22"/>
          <w:lang w:val="en-US"/>
        </w:rPr>
        <w:t>’ viewpoint</w:t>
      </w:r>
      <w:r w:rsidR="004A1E41" w:rsidRPr="000C193D">
        <w:rPr>
          <w:rFonts w:asciiTheme="minorHAnsi" w:hAnsiTheme="minorHAnsi" w:cs="Calibri"/>
          <w:bCs/>
          <w:sz w:val="22"/>
          <w:szCs w:val="22"/>
          <w:lang w:val="en-US"/>
        </w:rPr>
        <w:t xml:space="preserve">, we believe that a standardized margin schedule should be the preferred approach as UCITS’ regulations require that they set their own valuation process (in accordance with article 51 of the </w:t>
      </w:r>
      <w:r w:rsidRPr="000C193D">
        <w:rPr>
          <w:rFonts w:asciiTheme="minorHAnsi" w:hAnsiTheme="minorHAnsi" w:cs="Calibri"/>
          <w:bCs/>
          <w:sz w:val="22"/>
          <w:szCs w:val="22"/>
          <w:lang w:val="en-US"/>
        </w:rPr>
        <w:t xml:space="preserve">UCITS </w:t>
      </w:r>
      <w:r w:rsidR="004A1E41" w:rsidRPr="000C193D">
        <w:rPr>
          <w:rFonts w:asciiTheme="minorHAnsi" w:hAnsiTheme="minorHAnsi" w:cs="Calibri"/>
          <w:bCs/>
          <w:sz w:val="22"/>
          <w:szCs w:val="22"/>
          <w:lang w:val="en-US"/>
        </w:rPr>
        <w:t>Directive), which must be independent and not rely on its counterparty’s valuation.</w:t>
      </w:r>
    </w:p>
    <w:p w14:paraId="0560883A" w14:textId="77777777" w:rsidR="00DF1A11" w:rsidRPr="000C193D" w:rsidRDefault="00DF1A11" w:rsidP="00997751">
      <w:pPr>
        <w:jc w:val="both"/>
        <w:rPr>
          <w:rFonts w:asciiTheme="minorHAnsi" w:hAnsiTheme="minorHAnsi" w:cs="Calibri"/>
          <w:bCs/>
          <w:sz w:val="22"/>
          <w:szCs w:val="22"/>
          <w:lang w:val="en-US"/>
        </w:rPr>
      </w:pPr>
    </w:p>
    <w:p w14:paraId="6356C8A6" w14:textId="77777777" w:rsidR="00E71388" w:rsidRPr="000C193D" w:rsidRDefault="004A1E41"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A standardized margin schedule used by both parties would also lessen the risk of disputes as compared to quantitative portfolio models developed by counterparties.</w:t>
      </w:r>
    </w:p>
    <w:p w14:paraId="135C6F42" w14:textId="77777777" w:rsidR="00CD57C1" w:rsidRPr="000C193D" w:rsidRDefault="00CD57C1" w:rsidP="00997751">
      <w:pPr>
        <w:jc w:val="both"/>
        <w:rPr>
          <w:rFonts w:asciiTheme="minorHAnsi" w:hAnsiTheme="minorHAnsi" w:cs="Calibri"/>
          <w:bCs/>
          <w:sz w:val="22"/>
          <w:szCs w:val="22"/>
          <w:lang w:val="en-US"/>
        </w:rPr>
      </w:pPr>
    </w:p>
    <w:p w14:paraId="5C25007B" w14:textId="77777777" w:rsidR="00FB4F31" w:rsidRPr="000C193D" w:rsidRDefault="00FB4F31" w:rsidP="00997751">
      <w:pPr>
        <w:jc w:val="both"/>
        <w:rPr>
          <w:rFonts w:asciiTheme="minorHAnsi" w:hAnsiTheme="minorHAnsi" w:cs="Calibri"/>
          <w:bCs/>
          <w:sz w:val="22"/>
          <w:szCs w:val="22"/>
          <w:lang w:val="en-US"/>
        </w:rPr>
      </w:pPr>
    </w:p>
    <w:p w14:paraId="12904FCB" w14:textId="77777777" w:rsidR="00FB4F31" w:rsidRPr="000C193D" w:rsidRDefault="00FB4F31" w:rsidP="00997751">
      <w:pPr>
        <w:ind w:left="360"/>
        <w:jc w:val="both"/>
        <w:rPr>
          <w:rFonts w:asciiTheme="minorHAnsi" w:hAnsiTheme="minorHAnsi" w:cs="Calibri"/>
          <w:bCs/>
          <w:sz w:val="22"/>
          <w:szCs w:val="22"/>
          <w:lang w:val="en-US"/>
        </w:rPr>
      </w:pPr>
    </w:p>
    <w:p w14:paraId="4551E1CF" w14:textId="77777777" w:rsidR="00B90B21" w:rsidRPr="000C193D" w:rsidRDefault="004F51BA" w:rsidP="00EE1A88">
      <w:pPr>
        <w:pStyle w:val="ListParagraph"/>
        <w:numPr>
          <w:ilvl w:val="0"/>
          <w:numId w:val="1"/>
        </w:numPr>
        <w:jc w:val="both"/>
        <w:rPr>
          <w:rFonts w:asciiTheme="minorHAnsi" w:hAnsiTheme="minorHAnsi" w:cs="Calibri"/>
          <w:bCs/>
          <w:u w:val="single"/>
        </w:rPr>
      </w:pPr>
      <w:r w:rsidRPr="000C193D">
        <w:rPr>
          <w:rFonts w:asciiTheme="minorHAnsi" w:hAnsiTheme="minorHAnsi" w:cs="Calibri"/>
          <w:bCs/>
          <w:u w:val="single"/>
        </w:rPr>
        <w:t>Different MTA for IM and VM</w:t>
      </w:r>
    </w:p>
    <w:p w14:paraId="71508B7A" w14:textId="77777777" w:rsidR="004F51BA" w:rsidRPr="000C193D" w:rsidRDefault="00FB4F31"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The proposed regulation suggests a Minimum Transfer Amount (MTA) of 500 000 €. This amount includes the net variation of IM and VM exchanged between 2 counterparties. </w:t>
      </w:r>
    </w:p>
    <w:p w14:paraId="3A03B9E3" w14:textId="77777777" w:rsidR="004F51BA" w:rsidRPr="000C193D" w:rsidRDefault="004F51BA" w:rsidP="00997751">
      <w:pPr>
        <w:jc w:val="both"/>
        <w:rPr>
          <w:rFonts w:asciiTheme="minorHAnsi" w:hAnsiTheme="minorHAnsi" w:cs="Calibri"/>
          <w:bCs/>
          <w:sz w:val="22"/>
          <w:szCs w:val="22"/>
          <w:lang w:val="en-US"/>
        </w:rPr>
      </w:pPr>
    </w:p>
    <w:p w14:paraId="3BFF08F7" w14:textId="77777777" w:rsidR="00FB4F31" w:rsidRPr="000C193D" w:rsidRDefault="004F51BA"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Many EFAMA members are </w:t>
      </w:r>
      <w:r w:rsidR="00FB4F31" w:rsidRPr="000C193D">
        <w:rPr>
          <w:rFonts w:asciiTheme="minorHAnsi" w:hAnsiTheme="minorHAnsi" w:cs="Calibri"/>
          <w:bCs/>
          <w:sz w:val="22"/>
          <w:szCs w:val="22"/>
          <w:lang w:val="en-US"/>
        </w:rPr>
        <w:t>monitor</w:t>
      </w:r>
      <w:r w:rsidRPr="000C193D">
        <w:rPr>
          <w:rFonts w:asciiTheme="minorHAnsi" w:hAnsiTheme="minorHAnsi" w:cs="Calibri"/>
          <w:bCs/>
          <w:sz w:val="22"/>
          <w:szCs w:val="22"/>
          <w:lang w:val="en-US"/>
        </w:rPr>
        <w:t>ing</w:t>
      </w:r>
      <w:r w:rsidR="00FB4F31" w:rsidRPr="000C193D">
        <w:rPr>
          <w:rFonts w:asciiTheme="minorHAnsi" w:hAnsiTheme="minorHAnsi" w:cs="Calibri"/>
          <w:bCs/>
          <w:sz w:val="22"/>
          <w:szCs w:val="22"/>
          <w:lang w:val="en-US"/>
        </w:rPr>
        <w:t xml:space="preserve"> IM and VM separately and we would prefer to have two MTAs</w:t>
      </w:r>
      <w:r w:rsidR="00EE1A88" w:rsidRPr="000C193D">
        <w:rPr>
          <w:rFonts w:asciiTheme="minorHAnsi" w:hAnsiTheme="minorHAnsi" w:cs="Calibri"/>
          <w:bCs/>
          <w:sz w:val="22"/>
          <w:szCs w:val="22"/>
          <w:lang w:val="en-US"/>
        </w:rPr>
        <w:t xml:space="preserve"> of 500</w:t>
      </w:r>
      <w:r w:rsidR="00512C5A" w:rsidRPr="000C193D">
        <w:rPr>
          <w:rFonts w:asciiTheme="minorHAnsi" w:hAnsiTheme="minorHAnsi" w:cs="Calibri"/>
          <w:bCs/>
          <w:sz w:val="22"/>
          <w:szCs w:val="22"/>
          <w:lang w:val="en-US"/>
        </w:rPr>
        <w:t>.</w:t>
      </w:r>
      <w:r w:rsidR="00EE1A88" w:rsidRPr="000C193D">
        <w:rPr>
          <w:rFonts w:asciiTheme="minorHAnsi" w:hAnsiTheme="minorHAnsi" w:cs="Calibri"/>
          <w:bCs/>
          <w:sz w:val="22"/>
          <w:szCs w:val="22"/>
          <w:lang w:val="en-US"/>
        </w:rPr>
        <w:t>000</w:t>
      </w:r>
      <w:proofErr w:type="gramStart"/>
      <w:r w:rsidR="00512C5A" w:rsidRPr="000C193D">
        <w:rPr>
          <w:rFonts w:asciiTheme="minorHAnsi" w:hAnsiTheme="minorHAnsi" w:cs="Calibri"/>
          <w:bCs/>
          <w:sz w:val="22"/>
          <w:szCs w:val="22"/>
          <w:lang w:val="en-US"/>
        </w:rPr>
        <w:t>,00</w:t>
      </w:r>
      <w:proofErr w:type="gramEnd"/>
      <w:r w:rsidR="00EE1A88" w:rsidRPr="000C193D">
        <w:rPr>
          <w:rFonts w:asciiTheme="minorHAnsi" w:hAnsiTheme="minorHAnsi" w:cs="Calibri"/>
          <w:bCs/>
          <w:sz w:val="22"/>
          <w:szCs w:val="22"/>
          <w:lang w:val="en-US"/>
        </w:rPr>
        <w:t>€ each</w:t>
      </w:r>
      <w:r w:rsidR="00FB4F31" w:rsidRPr="000C193D">
        <w:rPr>
          <w:rFonts w:asciiTheme="minorHAnsi" w:hAnsiTheme="minorHAnsi" w:cs="Calibri"/>
          <w:bCs/>
          <w:sz w:val="22"/>
          <w:szCs w:val="22"/>
          <w:lang w:val="en-US"/>
        </w:rPr>
        <w:t xml:space="preserve">. </w:t>
      </w:r>
    </w:p>
    <w:p w14:paraId="4207BADB" w14:textId="77777777" w:rsidR="00FB4F31" w:rsidRPr="000C193D" w:rsidRDefault="00FB4F31" w:rsidP="00997751">
      <w:pPr>
        <w:jc w:val="both"/>
        <w:rPr>
          <w:rFonts w:asciiTheme="minorHAnsi" w:hAnsiTheme="minorHAnsi" w:cs="Calibri"/>
          <w:bCs/>
          <w:sz w:val="22"/>
          <w:szCs w:val="22"/>
        </w:rPr>
      </w:pPr>
    </w:p>
    <w:p w14:paraId="3D983634" w14:textId="77777777" w:rsidR="00FB4F31" w:rsidRPr="000C193D" w:rsidRDefault="00FB4F31" w:rsidP="00997751">
      <w:pPr>
        <w:jc w:val="both"/>
        <w:rPr>
          <w:rFonts w:asciiTheme="minorHAnsi" w:hAnsiTheme="minorHAnsi" w:cs="Calibri"/>
          <w:bCs/>
          <w:sz w:val="22"/>
          <w:szCs w:val="22"/>
        </w:rPr>
      </w:pPr>
    </w:p>
    <w:p w14:paraId="0A635A76" w14:textId="77777777" w:rsidR="0092563D" w:rsidRPr="000C193D" w:rsidRDefault="0092563D" w:rsidP="00997751">
      <w:pPr>
        <w:pBdr>
          <w:top w:val="single" w:sz="4" w:space="1" w:color="auto"/>
          <w:left w:val="single" w:sz="4" w:space="4" w:color="auto"/>
          <w:bottom w:val="single" w:sz="4" w:space="1" w:color="auto"/>
          <w:right w:val="single" w:sz="4" w:space="4" w:color="auto"/>
        </w:pBdr>
        <w:jc w:val="both"/>
        <w:rPr>
          <w:rFonts w:asciiTheme="minorHAnsi" w:hAnsiTheme="minorHAnsi" w:cs="Calibri"/>
          <w:bCs/>
          <w:sz w:val="22"/>
          <w:szCs w:val="22"/>
          <w:lang w:val="en-US"/>
        </w:rPr>
      </w:pPr>
      <w:r w:rsidRPr="000C193D">
        <w:rPr>
          <w:rFonts w:asciiTheme="minorHAnsi" w:hAnsiTheme="minorHAnsi" w:cs="Calibri"/>
          <w:bCs/>
          <w:sz w:val="22"/>
          <w:szCs w:val="22"/>
          <w:lang w:val="en-US"/>
        </w:rPr>
        <w:t>Question 3</w:t>
      </w:r>
      <w:r w:rsidR="001B712D" w:rsidRPr="000C193D">
        <w:rPr>
          <w:rFonts w:asciiTheme="minorHAnsi" w:hAnsiTheme="minorHAnsi" w:cs="Calibri"/>
          <w:bCs/>
          <w:sz w:val="22"/>
          <w:szCs w:val="22"/>
          <w:lang w:val="en-US"/>
        </w:rPr>
        <w:t xml:space="preserve">. Does the proposal adequately address the risks and concerns of the counterparties to derivative in cover pools or should the requirement be further tightened? Are the requirement, such as the use of CRR instead of a UCITS definition of covered bonds, necessary ones to address the risks adequately? Is the </w:t>
      </w:r>
      <w:r w:rsidR="0059471E" w:rsidRPr="000C193D">
        <w:rPr>
          <w:rFonts w:asciiTheme="minorHAnsi" w:hAnsiTheme="minorHAnsi" w:cs="Calibri"/>
          <w:bCs/>
          <w:sz w:val="22"/>
          <w:szCs w:val="22"/>
          <w:lang w:val="en-US"/>
        </w:rPr>
        <w:t>market</w:t>
      </w:r>
      <w:r w:rsidR="001B712D" w:rsidRPr="000C193D">
        <w:rPr>
          <w:rFonts w:asciiTheme="minorHAnsi" w:hAnsiTheme="minorHAnsi" w:cs="Calibri"/>
          <w:bCs/>
          <w:sz w:val="22"/>
          <w:szCs w:val="22"/>
          <w:lang w:val="en-US"/>
        </w:rPr>
        <w:t xml:space="preserve">-based solution as outlined in the cost-benefit analysis section, e.g. where a third party would post the collateral on covered bonds which </w:t>
      </w:r>
      <w:r w:rsidR="0059471E" w:rsidRPr="000C193D">
        <w:rPr>
          <w:rFonts w:asciiTheme="minorHAnsi" w:hAnsiTheme="minorHAnsi" w:cs="Calibri"/>
          <w:bCs/>
          <w:sz w:val="22"/>
          <w:szCs w:val="22"/>
          <w:lang w:val="en-US"/>
        </w:rPr>
        <w:t>for</w:t>
      </w:r>
      <w:r w:rsidR="001B712D" w:rsidRPr="000C193D">
        <w:rPr>
          <w:rFonts w:asciiTheme="minorHAnsi" w:hAnsiTheme="minorHAnsi" w:cs="Calibri"/>
          <w:bCs/>
          <w:sz w:val="22"/>
          <w:szCs w:val="22"/>
          <w:lang w:val="en-US"/>
        </w:rPr>
        <w:t xml:space="preserve"> not meet the </w:t>
      </w:r>
      <w:r w:rsidR="0059471E" w:rsidRPr="000C193D">
        <w:rPr>
          <w:rFonts w:asciiTheme="minorHAnsi" w:hAnsiTheme="minorHAnsi" w:cs="Calibri"/>
          <w:bCs/>
          <w:sz w:val="22"/>
          <w:szCs w:val="22"/>
          <w:lang w:val="en-US"/>
        </w:rPr>
        <w:t>conditions</w:t>
      </w:r>
      <w:r w:rsidR="001B712D" w:rsidRPr="000C193D">
        <w:rPr>
          <w:rFonts w:asciiTheme="minorHAnsi" w:hAnsiTheme="minorHAnsi" w:cs="Calibri"/>
          <w:bCs/>
          <w:sz w:val="22"/>
          <w:szCs w:val="22"/>
          <w:lang w:val="en-US"/>
        </w:rPr>
        <w:t xml:space="preserve"> mentioned in the standards?</w:t>
      </w:r>
    </w:p>
    <w:p w14:paraId="20920B21" w14:textId="77777777" w:rsidR="0059471E" w:rsidRPr="000C193D" w:rsidRDefault="0059471E" w:rsidP="00997751">
      <w:pPr>
        <w:jc w:val="both"/>
        <w:rPr>
          <w:rFonts w:asciiTheme="minorHAnsi" w:hAnsiTheme="minorHAnsi" w:cs="Calibri"/>
          <w:bCs/>
          <w:sz w:val="22"/>
          <w:szCs w:val="22"/>
          <w:lang w:val="en-US"/>
        </w:rPr>
      </w:pPr>
    </w:p>
    <w:p w14:paraId="1DC1B58D" w14:textId="77777777" w:rsidR="003F0E00" w:rsidRPr="000C193D" w:rsidRDefault="003F0E00"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EFAMA has no comment.</w:t>
      </w:r>
    </w:p>
    <w:p w14:paraId="2B5E9D6B" w14:textId="77777777" w:rsidR="0092563D" w:rsidRPr="000C193D" w:rsidRDefault="0092563D" w:rsidP="00997751">
      <w:pPr>
        <w:jc w:val="both"/>
        <w:rPr>
          <w:rFonts w:asciiTheme="minorHAnsi" w:hAnsiTheme="minorHAnsi" w:cs="Calibri"/>
          <w:bCs/>
          <w:sz w:val="22"/>
          <w:szCs w:val="22"/>
          <w:lang w:val="en-US"/>
        </w:rPr>
      </w:pPr>
    </w:p>
    <w:p w14:paraId="67C9D860" w14:textId="77777777" w:rsidR="003F0E00" w:rsidRPr="000C193D" w:rsidRDefault="003F0E00" w:rsidP="00997751">
      <w:pPr>
        <w:jc w:val="both"/>
        <w:rPr>
          <w:rFonts w:asciiTheme="minorHAnsi" w:hAnsiTheme="minorHAnsi" w:cs="Calibri"/>
          <w:bCs/>
          <w:sz w:val="22"/>
          <w:szCs w:val="22"/>
          <w:lang w:val="en-US"/>
        </w:rPr>
      </w:pPr>
    </w:p>
    <w:p w14:paraId="457ED828" w14:textId="77777777" w:rsidR="0092563D" w:rsidRPr="000C193D" w:rsidRDefault="0092563D" w:rsidP="00997751">
      <w:pPr>
        <w:pBdr>
          <w:top w:val="single" w:sz="4" w:space="1" w:color="auto"/>
          <w:left w:val="single" w:sz="4" w:space="4" w:color="auto"/>
          <w:bottom w:val="single" w:sz="4" w:space="1" w:color="auto"/>
          <w:right w:val="single" w:sz="4" w:space="4" w:color="auto"/>
        </w:pBdr>
        <w:jc w:val="both"/>
        <w:rPr>
          <w:rFonts w:asciiTheme="minorHAnsi" w:hAnsiTheme="minorHAnsi" w:cs="Calibri"/>
          <w:bCs/>
          <w:sz w:val="22"/>
          <w:szCs w:val="22"/>
          <w:lang w:val="en-US"/>
        </w:rPr>
      </w:pPr>
      <w:r w:rsidRPr="000C193D">
        <w:rPr>
          <w:rFonts w:asciiTheme="minorHAnsi" w:hAnsiTheme="minorHAnsi" w:cs="Calibri"/>
          <w:bCs/>
          <w:sz w:val="22"/>
          <w:szCs w:val="22"/>
          <w:lang w:val="en-US"/>
        </w:rPr>
        <w:t>Question 4</w:t>
      </w:r>
      <w:r w:rsidR="0059471E" w:rsidRPr="000C193D">
        <w:rPr>
          <w:rFonts w:asciiTheme="minorHAnsi" w:hAnsiTheme="minorHAnsi" w:cs="Calibri"/>
          <w:bCs/>
          <w:sz w:val="22"/>
          <w:szCs w:val="22"/>
          <w:lang w:val="en-US"/>
        </w:rPr>
        <w:t xml:space="preserve">. In respect of the use of a counterparty IRB model, are </w:t>
      </w:r>
      <w:proofErr w:type="gramStart"/>
      <w:r w:rsidR="0059471E" w:rsidRPr="000C193D">
        <w:rPr>
          <w:rFonts w:asciiTheme="minorHAnsi" w:hAnsiTheme="minorHAnsi" w:cs="Calibri"/>
          <w:bCs/>
          <w:sz w:val="22"/>
          <w:szCs w:val="22"/>
          <w:lang w:val="en-US"/>
        </w:rPr>
        <w:t>the counterparties</w:t>
      </w:r>
      <w:proofErr w:type="gramEnd"/>
      <w:r w:rsidR="0059471E" w:rsidRPr="000C193D">
        <w:rPr>
          <w:rFonts w:asciiTheme="minorHAnsi" w:hAnsiTheme="minorHAnsi" w:cs="Calibri"/>
          <w:bCs/>
          <w:sz w:val="22"/>
          <w:szCs w:val="22"/>
          <w:lang w:val="en-US"/>
        </w:rPr>
        <w:t xml:space="preserve"> confident that they will be able to access sufficient information to ensure appropriate transparency and to allow them to demonstrate adequate understanding to their supervisory authority?</w:t>
      </w:r>
    </w:p>
    <w:p w14:paraId="297DA5B2" w14:textId="77777777" w:rsidR="00893A55" w:rsidRDefault="00893A55" w:rsidP="00997751">
      <w:pPr>
        <w:jc w:val="both"/>
        <w:rPr>
          <w:rFonts w:asciiTheme="minorHAnsi" w:hAnsiTheme="minorHAnsi" w:cs="Calibri"/>
          <w:bCs/>
          <w:sz w:val="22"/>
          <w:szCs w:val="22"/>
          <w:lang w:val="en-US"/>
        </w:rPr>
      </w:pPr>
    </w:p>
    <w:p w14:paraId="195E31D8" w14:textId="77777777" w:rsidR="004C33DD" w:rsidRPr="000C193D" w:rsidRDefault="004C33DD"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We approve the requirement that banks communicate on the models that they use and the data that they take into account when running these models. From the perspective of the asset managers, our responsibility towards our clients includes the verification of the prices of the financial instruments that we use and the level of collateral is within the scope of our controls. </w:t>
      </w:r>
    </w:p>
    <w:p w14:paraId="4DAAEB15" w14:textId="77777777" w:rsidR="004C33DD" w:rsidRPr="000C193D" w:rsidRDefault="004C33DD" w:rsidP="00997751">
      <w:pPr>
        <w:jc w:val="both"/>
        <w:rPr>
          <w:rFonts w:asciiTheme="minorHAnsi" w:hAnsiTheme="minorHAnsi" w:cs="Calibri"/>
          <w:bCs/>
          <w:sz w:val="22"/>
          <w:szCs w:val="22"/>
          <w:lang w:val="en-US"/>
        </w:rPr>
      </w:pPr>
    </w:p>
    <w:p w14:paraId="310966A3" w14:textId="77777777" w:rsidR="00EE1A88" w:rsidRPr="000C193D" w:rsidRDefault="00CE1D7F" w:rsidP="00EE1A88">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For both the IRB model (eligible collateral and haircut) and the internal model of Initial Margin calculation</w:t>
      </w:r>
      <w:r w:rsidR="004F51BA" w:rsidRPr="000C193D">
        <w:rPr>
          <w:rFonts w:asciiTheme="minorHAnsi" w:hAnsiTheme="minorHAnsi" w:cs="Calibri"/>
          <w:bCs/>
          <w:sz w:val="22"/>
          <w:szCs w:val="22"/>
          <w:lang w:val="en-US"/>
        </w:rPr>
        <w:t>,</w:t>
      </w:r>
      <w:r w:rsidRPr="000C193D">
        <w:rPr>
          <w:rFonts w:asciiTheme="minorHAnsi" w:hAnsiTheme="minorHAnsi" w:cs="Calibri"/>
          <w:bCs/>
          <w:sz w:val="22"/>
          <w:szCs w:val="22"/>
          <w:lang w:val="en-US"/>
        </w:rPr>
        <w:t xml:space="preserve"> small and medium size player will be exposed to non-transparent models. </w:t>
      </w:r>
      <w:r w:rsidR="00EE1A88" w:rsidRPr="000C193D">
        <w:rPr>
          <w:rFonts w:asciiTheme="minorHAnsi" w:hAnsiTheme="minorHAnsi" w:cs="Calibri"/>
          <w:bCs/>
          <w:sz w:val="22"/>
          <w:szCs w:val="22"/>
          <w:lang w:val="en-US"/>
        </w:rPr>
        <w:t>As we fear that it might be difficult to receive the necessary information, we would consider as a good leverage that the client be recognized the possibility to seize the competent authority if he cannot obtain satisfactory explanations;</w:t>
      </w:r>
    </w:p>
    <w:p w14:paraId="50B3452B" w14:textId="77777777" w:rsidR="00DF1A11" w:rsidRPr="000C193D" w:rsidRDefault="00DF1A11" w:rsidP="00997751">
      <w:pPr>
        <w:jc w:val="both"/>
        <w:rPr>
          <w:rFonts w:asciiTheme="minorHAnsi" w:hAnsiTheme="minorHAnsi" w:cs="Calibri"/>
          <w:bCs/>
          <w:sz w:val="22"/>
          <w:szCs w:val="22"/>
          <w:lang w:val="en-US"/>
        </w:rPr>
      </w:pPr>
    </w:p>
    <w:p w14:paraId="0871672E" w14:textId="77777777" w:rsidR="003C1B57" w:rsidRPr="000C193D" w:rsidRDefault="00CE1D7F"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In order to avoid such comparative disadvantage </w:t>
      </w:r>
      <w:r w:rsidR="00844DA6" w:rsidRPr="000C193D">
        <w:rPr>
          <w:rFonts w:asciiTheme="minorHAnsi" w:hAnsiTheme="minorHAnsi" w:cs="Calibri"/>
          <w:bCs/>
          <w:sz w:val="22"/>
          <w:szCs w:val="22"/>
          <w:lang w:val="en-US"/>
        </w:rPr>
        <w:t>for</w:t>
      </w:r>
      <w:r w:rsidRPr="000C193D">
        <w:rPr>
          <w:rFonts w:asciiTheme="minorHAnsi" w:hAnsiTheme="minorHAnsi" w:cs="Calibri"/>
          <w:bCs/>
          <w:sz w:val="22"/>
          <w:szCs w:val="22"/>
          <w:lang w:val="en-US"/>
        </w:rPr>
        <w:t xml:space="preserve"> </w:t>
      </w:r>
      <w:r w:rsidR="00844DA6" w:rsidRPr="000C193D">
        <w:rPr>
          <w:rFonts w:asciiTheme="minorHAnsi" w:hAnsiTheme="minorHAnsi" w:cs="Calibri"/>
          <w:bCs/>
          <w:sz w:val="22"/>
          <w:szCs w:val="22"/>
          <w:lang w:val="en-US"/>
        </w:rPr>
        <w:t>a</w:t>
      </w:r>
      <w:r w:rsidRPr="000C193D">
        <w:rPr>
          <w:rFonts w:asciiTheme="minorHAnsi" w:hAnsiTheme="minorHAnsi" w:cs="Calibri"/>
          <w:bCs/>
          <w:sz w:val="22"/>
          <w:szCs w:val="22"/>
          <w:lang w:val="en-US"/>
        </w:rPr>
        <w:t xml:space="preserve">sset </w:t>
      </w:r>
      <w:r w:rsidR="00844DA6" w:rsidRPr="000C193D">
        <w:rPr>
          <w:rFonts w:asciiTheme="minorHAnsi" w:hAnsiTheme="minorHAnsi" w:cs="Calibri"/>
          <w:bCs/>
          <w:sz w:val="22"/>
          <w:szCs w:val="22"/>
          <w:lang w:val="en-US"/>
        </w:rPr>
        <w:t>m</w:t>
      </w:r>
      <w:r w:rsidRPr="000C193D">
        <w:rPr>
          <w:rFonts w:asciiTheme="minorHAnsi" w:hAnsiTheme="minorHAnsi" w:cs="Calibri"/>
          <w:bCs/>
          <w:sz w:val="22"/>
          <w:szCs w:val="22"/>
          <w:lang w:val="en-US"/>
        </w:rPr>
        <w:t>anager</w:t>
      </w:r>
      <w:r w:rsidR="00844DA6" w:rsidRPr="000C193D">
        <w:rPr>
          <w:rFonts w:asciiTheme="minorHAnsi" w:hAnsiTheme="minorHAnsi" w:cs="Calibri"/>
          <w:bCs/>
          <w:sz w:val="22"/>
          <w:szCs w:val="22"/>
          <w:lang w:val="en-US"/>
        </w:rPr>
        <w:t>s,</w:t>
      </w:r>
      <w:r w:rsidRPr="000C193D">
        <w:rPr>
          <w:rFonts w:asciiTheme="minorHAnsi" w:hAnsiTheme="minorHAnsi" w:cs="Calibri"/>
          <w:bCs/>
          <w:sz w:val="22"/>
          <w:szCs w:val="22"/>
          <w:lang w:val="en-US"/>
        </w:rPr>
        <w:t xml:space="preserve"> some tools may be proposed</w:t>
      </w:r>
      <w:r w:rsidR="00663B5A" w:rsidRPr="000C193D">
        <w:rPr>
          <w:rFonts w:asciiTheme="minorHAnsi" w:hAnsiTheme="minorHAnsi" w:cs="Calibri"/>
          <w:bCs/>
          <w:sz w:val="22"/>
          <w:szCs w:val="22"/>
          <w:lang w:val="en-US"/>
        </w:rPr>
        <w:t>:</w:t>
      </w:r>
    </w:p>
    <w:p w14:paraId="018FFA0D" w14:textId="77777777" w:rsidR="00844DA6" w:rsidRPr="000C193D" w:rsidRDefault="00844DA6" w:rsidP="00997751">
      <w:pPr>
        <w:jc w:val="both"/>
        <w:rPr>
          <w:rFonts w:asciiTheme="minorHAnsi" w:hAnsiTheme="minorHAnsi" w:cs="Calibri"/>
          <w:bCs/>
          <w:sz w:val="22"/>
          <w:szCs w:val="22"/>
          <w:lang w:val="en-US"/>
        </w:rPr>
      </w:pPr>
    </w:p>
    <w:p w14:paraId="0B7869E4" w14:textId="00008994" w:rsidR="00E71388" w:rsidRPr="00893A55" w:rsidRDefault="004F51BA" w:rsidP="00893A55">
      <w:pPr>
        <w:pStyle w:val="ListParagraph"/>
        <w:numPr>
          <w:ilvl w:val="0"/>
          <w:numId w:val="14"/>
        </w:numPr>
        <w:spacing w:after="120" w:line="240" w:lineRule="auto"/>
        <w:ind w:left="714" w:hanging="357"/>
        <w:contextualSpacing w:val="0"/>
        <w:jc w:val="both"/>
        <w:rPr>
          <w:rFonts w:asciiTheme="minorHAnsi" w:hAnsiTheme="minorHAnsi" w:cs="Calibri"/>
          <w:bCs/>
        </w:rPr>
      </w:pPr>
      <w:r w:rsidRPr="00893A55">
        <w:rPr>
          <w:rFonts w:asciiTheme="minorHAnsi" w:hAnsiTheme="minorHAnsi" w:cs="Calibri"/>
          <w:bCs/>
        </w:rPr>
        <w:t>ca</w:t>
      </w:r>
      <w:r w:rsidR="00663B5A" w:rsidRPr="00893A55">
        <w:rPr>
          <w:rFonts w:asciiTheme="minorHAnsi" w:hAnsiTheme="minorHAnsi" w:cs="Calibri"/>
          <w:bCs/>
        </w:rPr>
        <w:t>p</w:t>
      </w:r>
      <w:r w:rsidRPr="00893A55">
        <w:rPr>
          <w:rFonts w:asciiTheme="minorHAnsi" w:hAnsiTheme="minorHAnsi" w:cs="Calibri"/>
          <w:bCs/>
        </w:rPr>
        <w:t xml:space="preserve">ping </w:t>
      </w:r>
      <w:r w:rsidR="00CE1D7F" w:rsidRPr="00893A55">
        <w:rPr>
          <w:rFonts w:asciiTheme="minorHAnsi" w:hAnsiTheme="minorHAnsi" w:cs="Calibri"/>
          <w:bCs/>
        </w:rPr>
        <w:t>the difference between the internal model and the standard model;</w:t>
      </w:r>
    </w:p>
    <w:p w14:paraId="258306E7" w14:textId="2072AE33" w:rsidR="00E71388" w:rsidRPr="00893A55" w:rsidRDefault="004F51BA" w:rsidP="00893A55">
      <w:pPr>
        <w:pStyle w:val="ListParagraph"/>
        <w:numPr>
          <w:ilvl w:val="0"/>
          <w:numId w:val="14"/>
        </w:numPr>
        <w:spacing w:after="120" w:line="240" w:lineRule="auto"/>
        <w:ind w:left="714" w:hanging="357"/>
        <w:contextualSpacing w:val="0"/>
        <w:jc w:val="both"/>
        <w:rPr>
          <w:rFonts w:asciiTheme="minorHAnsi" w:hAnsiTheme="minorHAnsi" w:cs="Calibri"/>
          <w:bCs/>
        </w:rPr>
      </w:pPr>
      <w:r w:rsidRPr="00893A55">
        <w:rPr>
          <w:rFonts w:asciiTheme="minorHAnsi" w:hAnsiTheme="minorHAnsi" w:cs="Calibri"/>
          <w:bCs/>
        </w:rPr>
        <w:t xml:space="preserve">entrusting </w:t>
      </w:r>
      <w:r w:rsidR="00CE1D7F" w:rsidRPr="00893A55">
        <w:rPr>
          <w:rFonts w:asciiTheme="minorHAnsi" w:hAnsiTheme="minorHAnsi" w:cs="Calibri"/>
          <w:bCs/>
        </w:rPr>
        <w:t>a third party for the calculation with a commit</w:t>
      </w:r>
      <w:r w:rsidR="00893A55">
        <w:rPr>
          <w:rFonts w:asciiTheme="minorHAnsi" w:hAnsiTheme="minorHAnsi" w:cs="Calibri"/>
          <w:bCs/>
        </w:rPr>
        <w:t>ment to stability of the model;</w:t>
      </w:r>
    </w:p>
    <w:p w14:paraId="2EAC9E4E" w14:textId="1763781F" w:rsidR="00E71388" w:rsidRPr="00893A55" w:rsidRDefault="004F51BA" w:rsidP="00893A55">
      <w:pPr>
        <w:pStyle w:val="ListParagraph"/>
        <w:numPr>
          <w:ilvl w:val="0"/>
          <w:numId w:val="14"/>
        </w:numPr>
        <w:spacing w:after="120" w:line="240" w:lineRule="auto"/>
        <w:ind w:left="714" w:hanging="357"/>
        <w:contextualSpacing w:val="0"/>
        <w:jc w:val="both"/>
        <w:rPr>
          <w:rFonts w:asciiTheme="minorHAnsi" w:hAnsiTheme="minorHAnsi" w:cs="Calibri"/>
          <w:bCs/>
        </w:rPr>
      </w:pPr>
      <w:r w:rsidRPr="00893A55">
        <w:rPr>
          <w:rFonts w:asciiTheme="minorHAnsi" w:hAnsiTheme="minorHAnsi" w:cs="Calibri"/>
          <w:bCs/>
        </w:rPr>
        <w:lastRenderedPageBreak/>
        <w:t xml:space="preserve">facilitating </w:t>
      </w:r>
      <w:r w:rsidR="00DF1A11" w:rsidRPr="00893A55">
        <w:rPr>
          <w:rFonts w:asciiTheme="minorHAnsi" w:hAnsiTheme="minorHAnsi" w:cs="Calibri"/>
          <w:bCs/>
        </w:rPr>
        <w:t xml:space="preserve">the use of </w:t>
      </w:r>
      <w:r w:rsidR="00CE1D7F" w:rsidRPr="00893A55">
        <w:rPr>
          <w:rFonts w:asciiTheme="minorHAnsi" w:hAnsiTheme="minorHAnsi" w:cs="Calibri"/>
          <w:bCs/>
        </w:rPr>
        <w:t xml:space="preserve">specialized models issued by professional provider such as </w:t>
      </w:r>
      <w:r w:rsidR="00EE1A88" w:rsidRPr="00893A55">
        <w:rPr>
          <w:rFonts w:asciiTheme="minorHAnsi" w:hAnsiTheme="minorHAnsi" w:cs="Calibri"/>
          <w:bCs/>
        </w:rPr>
        <w:t xml:space="preserve">Rating </w:t>
      </w:r>
      <w:r w:rsidR="00CE1D7F" w:rsidRPr="00893A55">
        <w:rPr>
          <w:rFonts w:asciiTheme="minorHAnsi" w:hAnsiTheme="minorHAnsi" w:cs="Calibri"/>
          <w:bCs/>
        </w:rPr>
        <w:t>Agencies used for securities ratings</w:t>
      </w:r>
      <w:r w:rsidR="004C33DD" w:rsidRPr="00893A55">
        <w:rPr>
          <w:rFonts w:asciiTheme="minorHAnsi" w:hAnsiTheme="minorHAnsi" w:cs="Calibri"/>
          <w:bCs/>
        </w:rPr>
        <w:t xml:space="preserve"> and suggest they should be as often as possible public data</w:t>
      </w:r>
      <w:r w:rsidR="00EE1A88" w:rsidRPr="00893A55">
        <w:rPr>
          <w:rFonts w:asciiTheme="minorHAnsi" w:hAnsiTheme="minorHAnsi" w:cs="Calibri"/>
          <w:bCs/>
        </w:rPr>
        <w:t>;</w:t>
      </w:r>
      <w:r w:rsidR="004C33DD" w:rsidRPr="00893A55">
        <w:rPr>
          <w:rFonts w:asciiTheme="minorHAnsi" w:hAnsiTheme="minorHAnsi" w:cs="Calibri"/>
          <w:bCs/>
        </w:rPr>
        <w:t xml:space="preserve"> </w:t>
      </w:r>
    </w:p>
    <w:p w14:paraId="2F41D205" w14:textId="40D14596" w:rsidR="00E71388" w:rsidRPr="00893A55" w:rsidRDefault="004F51BA" w:rsidP="00893A55">
      <w:pPr>
        <w:pStyle w:val="ListParagraph"/>
        <w:numPr>
          <w:ilvl w:val="0"/>
          <w:numId w:val="14"/>
        </w:numPr>
        <w:spacing w:after="120" w:line="240" w:lineRule="auto"/>
        <w:ind w:left="714" w:hanging="357"/>
        <w:contextualSpacing w:val="0"/>
        <w:jc w:val="both"/>
        <w:rPr>
          <w:rFonts w:asciiTheme="minorHAnsi" w:hAnsiTheme="minorHAnsi" w:cs="Calibri"/>
          <w:bCs/>
        </w:rPr>
      </w:pPr>
      <w:r w:rsidRPr="00893A55">
        <w:rPr>
          <w:rFonts w:asciiTheme="minorHAnsi" w:hAnsiTheme="minorHAnsi" w:cs="Calibri"/>
          <w:bCs/>
        </w:rPr>
        <w:t xml:space="preserve">excluding some </w:t>
      </w:r>
      <w:r w:rsidR="00CE1D7F" w:rsidRPr="00893A55">
        <w:rPr>
          <w:rFonts w:asciiTheme="minorHAnsi" w:hAnsiTheme="minorHAnsi" w:cs="Calibri"/>
          <w:bCs/>
        </w:rPr>
        <w:t xml:space="preserve">OECD </w:t>
      </w:r>
      <w:r w:rsidRPr="00893A55">
        <w:rPr>
          <w:rFonts w:asciiTheme="minorHAnsi" w:hAnsiTheme="minorHAnsi" w:cs="Calibri"/>
          <w:bCs/>
        </w:rPr>
        <w:t xml:space="preserve">government debts </w:t>
      </w:r>
      <w:r w:rsidR="00CE1D7F" w:rsidRPr="00893A55">
        <w:rPr>
          <w:rFonts w:asciiTheme="minorHAnsi" w:hAnsiTheme="minorHAnsi" w:cs="Calibri"/>
          <w:bCs/>
        </w:rPr>
        <w:t xml:space="preserve">from eligibility rating </w:t>
      </w:r>
      <w:r w:rsidR="00EE1A88" w:rsidRPr="00893A55">
        <w:rPr>
          <w:rFonts w:asciiTheme="minorHAnsi" w:hAnsiTheme="minorHAnsi" w:cs="Calibri"/>
          <w:bCs/>
        </w:rPr>
        <w:t xml:space="preserve">requirements </w:t>
      </w:r>
      <w:r w:rsidR="00CE1D7F" w:rsidRPr="00893A55">
        <w:rPr>
          <w:rFonts w:asciiTheme="minorHAnsi" w:hAnsiTheme="minorHAnsi" w:cs="Calibri"/>
          <w:bCs/>
        </w:rPr>
        <w:t>to avoid the cliff risk criteria;</w:t>
      </w:r>
    </w:p>
    <w:p w14:paraId="0B22C414" w14:textId="6A614F94" w:rsidR="00E71388" w:rsidRPr="00893A55" w:rsidRDefault="00844DA6" w:rsidP="00893A55">
      <w:pPr>
        <w:pStyle w:val="ListParagraph"/>
        <w:numPr>
          <w:ilvl w:val="0"/>
          <w:numId w:val="14"/>
        </w:numPr>
        <w:spacing w:after="120" w:line="240" w:lineRule="auto"/>
        <w:ind w:left="714" w:hanging="357"/>
        <w:contextualSpacing w:val="0"/>
        <w:jc w:val="both"/>
        <w:rPr>
          <w:rFonts w:asciiTheme="minorHAnsi" w:hAnsiTheme="minorHAnsi" w:cs="Calibri"/>
          <w:bCs/>
        </w:rPr>
      </w:pPr>
      <w:proofErr w:type="gramStart"/>
      <w:r w:rsidRPr="00893A55">
        <w:rPr>
          <w:rFonts w:asciiTheme="minorHAnsi" w:hAnsiTheme="minorHAnsi" w:cs="Calibri"/>
          <w:bCs/>
        </w:rPr>
        <w:t>a</w:t>
      </w:r>
      <w:r w:rsidR="00CE1D7F" w:rsidRPr="00893A55">
        <w:rPr>
          <w:rFonts w:asciiTheme="minorHAnsi" w:hAnsiTheme="minorHAnsi" w:cs="Calibri"/>
          <w:bCs/>
        </w:rPr>
        <w:t>s</w:t>
      </w:r>
      <w:proofErr w:type="gramEnd"/>
      <w:r w:rsidR="00CE1D7F" w:rsidRPr="00893A55">
        <w:rPr>
          <w:rFonts w:asciiTheme="minorHAnsi" w:hAnsiTheme="minorHAnsi" w:cs="Calibri"/>
          <w:bCs/>
        </w:rPr>
        <w:t xml:space="preserve"> regard</w:t>
      </w:r>
      <w:r w:rsidRPr="00893A55">
        <w:rPr>
          <w:rFonts w:asciiTheme="minorHAnsi" w:hAnsiTheme="minorHAnsi" w:cs="Calibri"/>
          <w:bCs/>
        </w:rPr>
        <w:t>s the</w:t>
      </w:r>
      <w:r w:rsidR="00893A55">
        <w:rPr>
          <w:rFonts w:asciiTheme="minorHAnsi" w:hAnsiTheme="minorHAnsi" w:cs="Calibri"/>
          <w:bCs/>
        </w:rPr>
        <w:t xml:space="preserve"> </w:t>
      </w:r>
      <w:r w:rsidR="00CE1D7F" w:rsidRPr="00893A55">
        <w:rPr>
          <w:rFonts w:asciiTheme="minorHAnsi" w:hAnsiTheme="minorHAnsi" w:cs="Calibri"/>
          <w:bCs/>
        </w:rPr>
        <w:t xml:space="preserve">Initial Margin calculation, </w:t>
      </w:r>
      <w:r w:rsidR="00DF1A11" w:rsidRPr="00893A55">
        <w:rPr>
          <w:rFonts w:asciiTheme="minorHAnsi" w:hAnsiTheme="minorHAnsi" w:cs="Calibri"/>
          <w:bCs/>
        </w:rPr>
        <w:t xml:space="preserve">to </w:t>
      </w:r>
      <w:r w:rsidR="00CE1D7F" w:rsidRPr="00893A55">
        <w:rPr>
          <w:rFonts w:asciiTheme="minorHAnsi" w:hAnsiTheme="minorHAnsi" w:cs="Calibri"/>
          <w:bCs/>
        </w:rPr>
        <w:t>require Banks to leave the choice for the client and for each transaction between internal model and standard</w:t>
      </w:r>
      <w:r w:rsidR="00DF1A11" w:rsidRPr="00893A55">
        <w:rPr>
          <w:rFonts w:asciiTheme="minorHAnsi" w:hAnsiTheme="minorHAnsi" w:cs="Calibri"/>
          <w:bCs/>
        </w:rPr>
        <w:t>.</w:t>
      </w:r>
    </w:p>
    <w:p w14:paraId="4FC8DC37" w14:textId="11AEAD29" w:rsidR="00893A55" w:rsidRDefault="00893A55">
      <w:pPr>
        <w:rPr>
          <w:rFonts w:asciiTheme="minorHAnsi" w:hAnsiTheme="minorHAnsi" w:cs="Calibri"/>
          <w:bCs/>
          <w:sz w:val="22"/>
          <w:szCs w:val="22"/>
          <w:lang w:val="en-US"/>
        </w:rPr>
      </w:pPr>
      <w:r>
        <w:rPr>
          <w:rFonts w:asciiTheme="minorHAnsi" w:hAnsiTheme="minorHAnsi" w:cs="Calibri"/>
          <w:bCs/>
          <w:sz w:val="22"/>
          <w:szCs w:val="22"/>
          <w:lang w:val="en-US"/>
        </w:rPr>
        <w:br w:type="page"/>
      </w:r>
    </w:p>
    <w:p w14:paraId="2E01AF4B" w14:textId="77777777" w:rsidR="00893A55" w:rsidRPr="000C193D" w:rsidRDefault="00893A55" w:rsidP="00997751">
      <w:pPr>
        <w:jc w:val="both"/>
        <w:rPr>
          <w:rFonts w:asciiTheme="minorHAnsi" w:hAnsiTheme="minorHAnsi" w:cs="Calibri"/>
          <w:bCs/>
          <w:sz w:val="22"/>
          <w:szCs w:val="22"/>
          <w:lang w:val="en-US"/>
        </w:rPr>
      </w:pPr>
    </w:p>
    <w:p w14:paraId="2508E061" w14:textId="77777777" w:rsidR="0092563D" w:rsidRPr="000C193D" w:rsidRDefault="0092563D" w:rsidP="00997751">
      <w:pPr>
        <w:pBdr>
          <w:top w:val="single" w:sz="4" w:space="1" w:color="auto"/>
          <w:left w:val="single" w:sz="4" w:space="4" w:color="auto"/>
          <w:bottom w:val="single" w:sz="4" w:space="1" w:color="auto"/>
          <w:right w:val="single" w:sz="4" w:space="4" w:color="auto"/>
        </w:pBd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Question 5: How would the introduction of concentration limits impact the management of collateral (please provide if possible quantitative information)? Are there arguments for exempting specific securities from concentration limits and how could negative effects be mitigated? </w:t>
      </w:r>
    </w:p>
    <w:p w14:paraId="6094B8E3" w14:textId="77777777" w:rsidR="0059471E" w:rsidRPr="000C193D" w:rsidRDefault="0092563D" w:rsidP="00997751">
      <w:pPr>
        <w:pBdr>
          <w:top w:val="single" w:sz="4" w:space="1" w:color="auto"/>
          <w:left w:val="single" w:sz="4" w:space="4" w:color="auto"/>
          <w:bottom w:val="single" w:sz="4" w:space="1" w:color="auto"/>
          <w:right w:val="single" w:sz="4" w:space="4" w:color="auto"/>
        </w:pBdr>
        <w:jc w:val="both"/>
        <w:rPr>
          <w:rFonts w:asciiTheme="minorHAnsi" w:hAnsiTheme="minorHAnsi" w:cs="Calibri"/>
          <w:bCs/>
          <w:sz w:val="22"/>
          <w:szCs w:val="22"/>
          <w:lang w:val="en-US"/>
        </w:rPr>
      </w:pPr>
      <w:r w:rsidRPr="000C193D">
        <w:rPr>
          <w:rFonts w:asciiTheme="minorHAnsi" w:hAnsiTheme="minorHAnsi" w:cs="Calibri"/>
          <w:bCs/>
          <w:sz w:val="22"/>
          <w:szCs w:val="22"/>
          <w:lang w:val="en-US"/>
        </w:rPr>
        <w:t>What are the pros and cons of exempting securities issued by the governments or central banks of the same jurisdiction? Should proportionality requirements be introduced, if yes, how should these be calibrated to prevent liquidation issues under stressed market conditions?</w:t>
      </w:r>
    </w:p>
    <w:p w14:paraId="4485B987" w14:textId="77777777" w:rsidR="00577B04" w:rsidRPr="000C193D" w:rsidRDefault="00577B04" w:rsidP="00997751">
      <w:pPr>
        <w:jc w:val="both"/>
        <w:rPr>
          <w:rFonts w:asciiTheme="minorHAnsi" w:hAnsiTheme="minorHAnsi" w:cs="Calibri"/>
          <w:bCs/>
          <w:sz w:val="22"/>
          <w:szCs w:val="22"/>
        </w:rPr>
      </w:pPr>
    </w:p>
    <w:p w14:paraId="592B3A72" w14:textId="77777777" w:rsidR="007C6334" w:rsidRPr="000C193D" w:rsidRDefault="007C6334" w:rsidP="00997751">
      <w:pPr>
        <w:jc w:val="both"/>
        <w:rPr>
          <w:rFonts w:asciiTheme="minorHAnsi" w:hAnsiTheme="minorHAnsi" w:cs="Calibri"/>
          <w:bCs/>
          <w:sz w:val="22"/>
          <w:szCs w:val="22"/>
          <w:lang w:val="en-US"/>
        </w:rPr>
      </w:pPr>
      <w:r w:rsidRPr="000C193D">
        <w:rPr>
          <w:rFonts w:asciiTheme="minorHAnsi" w:hAnsiTheme="minorHAnsi" w:cs="Calibri"/>
          <w:bCs/>
          <w:sz w:val="22"/>
          <w:szCs w:val="22"/>
        </w:rPr>
        <w:t xml:space="preserve">As a general comment, we are convinced that concentration limits are not the first and most important </w:t>
      </w:r>
      <w:r w:rsidR="00844DA6" w:rsidRPr="000C193D">
        <w:rPr>
          <w:rFonts w:asciiTheme="minorHAnsi" w:hAnsiTheme="minorHAnsi" w:cs="Calibri"/>
          <w:bCs/>
          <w:sz w:val="22"/>
          <w:szCs w:val="22"/>
        </w:rPr>
        <w:t xml:space="preserve">element </w:t>
      </w:r>
      <w:r w:rsidRPr="000C193D">
        <w:rPr>
          <w:rFonts w:asciiTheme="minorHAnsi" w:hAnsiTheme="minorHAnsi" w:cs="Calibri"/>
          <w:bCs/>
          <w:sz w:val="22"/>
          <w:szCs w:val="22"/>
        </w:rPr>
        <w:t xml:space="preserve">to take into account. The relevant order </w:t>
      </w:r>
      <w:r w:rsidR="00844DA6" w:rsidRPr="000C193D">
        <w:rPr>
          <w:rFonts w:asciiTheme="minorHAnsi" w:hAnsiTheme="minorHAnsi" w:cs="Calibri"/>
          <w:bCs/>
          <w:sz w:val="22"/>
          <w:szCs w:val="22"/>
        </w:rPr>
        <w:t xml:space="preserve">of priority </w:t>
      </w:r>
      <w:r w:rsidRPr="000C193D">
        <w:rPr>
          <w:rFonts w:asciiTheme="minorHAnsi" w:hAnsiTheme="minorHAnsi" w:cs="Calibri"/>
          <w:bCs/>
          <w:sz w:val="22"/>
          <w:szCs w:val="22"/>
        </w:rPr>
        <w:t xml:space="preserve">should be </w:t>
      </w:r>
      <w:r w:rsidR="00844DA6" w:rsidRPr="000C193D">
        <w:rPr>
          <w:rFonts w:asciiTheme="minorHAnsi" w:hAnsiTheme="minorHAnsi" w:cs="Calibri"/>
          <w:bCs/>
          <w:sz w:val="22"/>
          <w:szCs w:val="22"/>
        </w:rPr>
        <w:t xml:space="preserve">the following: </w:t>
      </w:r>
      <w:r w:rsidRPr="000C193D">
        <w:rPr>
          <w:rFonts w:asciiTheme="minorHAnsi" w:hAnsiTheme="minorHAnsi" w:cs="Calibri"/>
          <w:bCs/>
          <w:sz w:val="22"/>
          <w:szCs w:val="22"/>
        </w:rPr>
        <w:t>(</w:t>
      </w:r>
      <w:proofErr w:type="spellStart"/>
      <w:r w:rsidRPr="000C193D">
        <w:rPr>
          <w:rFonts w:asciiTheme="minorHAnsi" w:hAnsiTheme="minorHAnsi" w:cs="Calibri"/>
          <w:bCs/>
          <w:sz w:val="22"/>
          <w:szCs w:val="22"/>
        </w:rPr>
        <w:t>i</w:t>
      </w:r>
      <w:proofErr w:type="spellEnd"/>
      <w:r w:rsidRPr="000C193D">
        <w:rPr>
          <w:rFonts w:asciiTheme="minorHAnsi" w:hAnsiTheme="minorHAnsi" w:cs="Calibri"/>
          <w:bCs/>
          <w:sz w:val="22"/>
          <w:szCs w:val="22"/>
        </w:rPr>
        <w:t>) the analysis of the counterparty’s risk; (ii) the capacity to liquidate the collateral (its liquidity) and (iii) the diversification and possible concentration constraints.</w:t>
      </w:r>
    </w:p>
    <w:p w14:paraId="1B5233D8" w14:textId="77777777" w:rsidR="007C6334" w:rsidRPr="000C193D" w:rsidRDefault="007C6334" w:rsidP="00997751">
      <w:pPr>
        <w:jc w:val="both"/>
        <w:rPr>
          <w:rFonts w:asciiTheme="minorHAnsi" w:hAnsiTheme="minorHAnsi" w:cs="Calibri"/>
          <w:bCs/>
          <w:sz w:val="22"/>
          <w:szCs w:val="22"/>
          <w:lang w:val="en-US"/>
        </w:rPr>
      </w:pPr>
    </w:p>
    <w:p w14:paraId="3B9BB33F" w14:textId="62D2967E" w:rsidR="00B90B21" w:rsidRPr="000C193D" w:rsidRDefault="00893A55" w:rsidP="00997751">
      <w:pPr>
        <w:pStyle w:val="ListParagraph"/>
        <w:numPr>
          <w:ilvl w:val="0"/>
          <w:numId w:val="3"/>
        </w:numPr>
        <w:jc w:val="both"/>
        <w:rPr>
          <w:rFonts w:asciiTheme="minorHAnsi" w:hAnsiTheme="minorHAnsi" w:cs="Calibri"/>
          <w:bCs/>
        </w:rPr>
      </w:pPr>
      <w:r>
        <w:rPr>
          <w:rFonts w:asciiTheme="minorHAnsi" w:hAnsiTheme="minorHAnsi" w:cs="Calibri"/>
          <w:bCs/>
        </w:rPr>
        <w:t>Risk management perspective</w:t>
      </w:r>
    </w:p>
    <w:p w14:paraId="5F384031" w14:textId="0BB62F46" w:rsidR="00844DA6" w:rsidRDefault="008D083D" w:rsidP="00893A55">
      <w:pPr>
        <w:ind w:left="425"/>
        <w:jc w:val="both"/>
        <w:rPr>
          <w:rFonts w:asciiTheme="minorHAnsi" w:hAnsiTheme="minorHAnsi" w:cs="Calibri"/>
          <w:bCs/>
          <w:sz w:val="22"/>
          <w:szCs w:val="22"/>
          <w:lang w:val="en-US"/>
        </w:rPr>
      </w:pPr>
      <w:r w:rsidRPr="000C193D">
        <w:rPr>
          <w:rFonts w:asciiTheme="minorHAnsi" w:hAnsiTheme="minorHAnsi" w:cs="Calibri"/>
          <w:bCs/>
          <w:sz w:val="22"/>
          <w:szCs w:val="22"/>
          <w:lang w:val="en-US"/>
        </w:rPr>
        <w:t>From a risk management perspective</w:t>
      </w:r>
      <w:r w:rsidR="00A32B23">
        <w:rPr>
          <w:rFonts w:asciiTheme="minorHAnsi" w:hAnsiTheme="minorHAnsi" w:cs="Calibri"/>
          <w:bCs/>
          <w:sz w:val="22"/>
          <w:szCs w:val="22"/>
          <w:lang w:val="en-US"/>
        </w:rPr>
        <w:t>,</w:t>
      </w:r>
      <w:r w:rsidRPr="000C193D">
        <w:rPr>
          <w:rFonts w:asciiTheme="minorHAnsi" w:hAnsiTheme="minorHAnsi" w:cs="Calibri"/>
          <w:bCs/>
          <w:sz w:val="22"/>
          <w:szCs w:val="22"/>
          <w:lang w:val="en-US"/>
        </w:rPr>
        <w:t xml:space="preserve"> and as far as funds and asset managers are concerned</w:t>
      </w:r>
      <w:r w:rsidR="000A3C7D" w:rsidRPr="000C193D">
        <w:rPr>
          <w:rFonts w:asciiTheme="minorHAnsi" w:hAnsiTheme="minorHAnsi" w:cs="Calibri"/>
          <w:bCs/>
          <w:sz w:val="22"/>
          <w:szCs w:val="22"/>
          <w:lang w:val="en-US"/>
        </w:rPr>
        <w:t>, some elements must be highlighted:</w:t>
      </w:r>
    </w:p>
    <w:p w14:paraId="6B90C1EA" w14:textId="77777777" w:rsidR="00893A55" w:rsidRPr="000C193D" w:rsidRDefault="00893A55" w:rsidP="00893A55">
      <w:pPr>
        <w:ind w:left="709" w:hanging="283"/>
        <w:jc w:val="both"/>
        <w:rPr>
          <w:rFonts w:asciiTheme="minorHAnsi" w:hAnsiTheme="minorHAnsi" w:cs="Calibri"/>
          <w:bCs/>
          <w:sz w:val="22"/>
          <w:szCs w:val="22"/>
          <w:lang w:val="en-US"/>
        </w:rPr>
      </w:pPr>
    </w:p>
    <w:p w14:paraId="1A04A2BE" w14:textId="77777777" w:rsidR="00893A55" w:rsidRDefault="000A3C7D" w:rsidP="00893A55">
      <w:pPr>
        <w:pStyle w:val="ListParagraph"/>
        <w:numPr>
          <w:ilvl w:val="0"/>
          <w:numId w:val="15"/>
        </w:numPr>
        <w:spacing w:after="120" w:line="240" w:lineRule="auto"/>
        <w:ind w:left="1145" w:hanging="357"/>
        <w:contextualSpacing w:val="0"/>
        <w:jc w:val="both"/>
        <w:rPr>
          <w:rFonts w:asciiTheme="minorHAnsi" w:hAnsiTheme="minorHAnsi" w:cs="Calibri"/>
          <w:bCs/>
        </w:rPr>
      </w:pPr>
      <w:r w:rsidRPr="00893A55">
        <w:rPr>
          <w:rFonts w:asciiTheme="minorHAnsi" w:hAnsiTheme="minorHAnsi" w:cs="Calibri"/>
          <w:bCs/>
          <w:u w:val="single"/>
        </w:rPr>
        <w:t>From a quantitative perspective</w:t>
      </w:r>
      <w:r w:rsidRPr="00893A55">
        <w:rPr>
          <w:rFonts w:asciiTheme="minorHAnsi" w:hAnsiTheme="minorHAnsi" w:cs="Calibri"/>
          <w:bCs/>
        </w:rPr>
        <w:t>, initial and variation margins represent a minor portion of the as</w:t>
      </w:r>
      <w:r w:rsidR="004C33DD" w:rsidRPr="00893A55">
        <w:rPr>
          <w:rFonts w:asciiTheme="minorHAnsi" w:hAnsiTheme="minorHAnsi" w:cs="Calibri"/>
          <w:bCs/>
        </w:rPr>
        <w:t>s</w:t>
      </w:r>
      <w:r w:rsidRPr="00893A55">
        <w:rPr>
          <w:rFonts w:asciiTheme="minorHAnsi" w:hAnsiTheme="minorHAnsi" w:cs="Calibri"/>
          <w:bCs/>
        </w:rPr>
        <w:t>ets and are already subject to diversification requirements</w:t>
      </w:r>
      <w:r w:rsidR="00844DA6" w:rsidRPr="00893A55">
        <w:rPr>
          <w:rFonts w:asciiTheme="minorHAnsi" w:hAnsiTheme="minorHAnsi" w:cs="Calibri"/>
          <w:bCs/>
        </w:rPr>
        <w:t xml:space="preserve">. </w:t>
      </w:r>
      <w:r w:rsidRPr="00893A55">
        <w:rPr>
          <w:rFonts w:asciiTheme="minorHAnsi" w:hAnsiTheme="minorHAnsi" w:cs="Calibri"/>
          <w:bCs/>
        </w:rPr>
        <w:t>The investmen</w:t>
      </w:r>
      <w:r w:rsidR="004C33DD" w:rsidRPr="00893A55">
        <w:rPr>
          <w:rFonts w:asciiTheme="minorHAnsi" w:hAnsiTheme="minorHAnsi" w:cs="Calibri"/>
          <w:bCs/>
        </w:rPr>
        <w:t>t</w:t>
      </w:r>
      <w:r w:rsidRPr="00893A55">
        <w:rPr>
          <w:rFonts w:asciiTheme="minorHAnsi" w:hAnsiTheme="minorHAnsi" w:cs="Calibri"/>
          <w:bCs/>
        </w:rPr>
        <w:t xml:space="preserve"> process emphasizes a risk mitigation component that aims at spreading the risk across many counterparties to the OTC transaction; </w:t>
      </w:r>
    </w:p>
    <w:p w14:paraId="0C037C82" w14:textId="3EE4237F" w:rsidR="003F0E00" w:rsidRPr="00893A55" w:rsidRDefault="000A3C7D" w:rsidP="00893A55">
      <w:pPr>
        <w:pStyle w:val="ListParagraph"/>
        <w:numPr>
          <w:ilvl w:val="0"/>
          <w:numId w:val="15"/>
        </w:numPr>
        <w:spacing w:after="0" w:line="240" w:lineRule="auto"/>
        <w:ind w:left="1145" w:hanging="357"/>
        <w:contextualSpacing w:val="0"/>
        <w:jc w:val="both"/>
        <w:rPr>
          <w:rFonts w:asciiTheme="minorHAnsi" w:hAnsiTheme="minorHAnsi" w:cs="Calibri"/>
          <w:bCs/>
        </w:rPr>
      </w:pPr>
      <w:r w:rsidRPr="00893A55">
        <w:rPr>
          <w:rFonts w:asciiTheme="minorHAnsi" w:hAnsiTheme="minorHAnsi" w:cs="Calibri"/>
          <w:bCs/>
          <w:u w:val="single"/>
        </w:rPr>
        <w:t>From a qualitative perspective</w:t>
      </w:r>
      <w:r w:rsidRPr="00893A55">
        <w:rPr>
          <w:rFonts w:asciiTheme="minorHAnsi" w:hAnsiTheme="minorHAnsi" w:cs="Calibri"/>
          <w:bCs/>
        </w:rPr>
        <w:t>, the selection of the different counterparties is governed by clear criteria and principles applied in the selection of counterparties with credit quality.</w:t>
      </w:r>
    </w:p>
    <w:p w14:paraId="7CCC3F7F" w14:textId="77777777" w:rsidR="00844DA6" w:rsidRPr="000C193D" w:rsidRDefault="00844DA6" w:rsidP="00893A55">
      <w:pPr>
        <w:ind w:left="993"/>
        <w:jc w:val="both"/>
        <w:rPr>
          <w:rFonts w:asciiTheme="minorHAnsi" w:hAnsiTheme="minorHAnsi" w:cs="Calibri"/>
          <w:bCs/>
          <w:sz w:val="22"/>
          <w:szCs w:val="22"/>
          <w:lang w:val="en-US"/>
        </w:rPr>
      </w:pPr>
    </w:p>
    <w:p w14:paraId="42ACD4C9" w14:textId="77777777" w:rsidR="00501692" w:rsidRPr="000C193D" w:rsidRDefault="00844DA6" w:rsidP="00893A55">
      <w:pPr>
        <w:ind w:left="426"/>
        <w:jc w:val="both"/>
        <w:rPr>
          <w:rFonts w:asciiTheme="minorHAnsi" w:hAnsiTheme="minorHAnsi" w:cs="Calibri"/>
          <w:bCs/>
          <w:sz w:val="22"/>
          <w:szCs w:val="22"/>
        </w:rPr>
      </w:pPr>
      <w:r w:rsidRPr="000C193D">
        <w:rPr>
          <w:rFonts w:asciiTheme="minorHAnsi" w:hAnsiTheme="minorHAnsi" w:cs="Calibri"/>
          <w:bCs/>
          <w:sz w:val="22"/>
          <w:szCs w:val="22"/>
          <w:lang w:val="en-US"/>
        </w:rPr>
        <w:t xml:space="preserve">Those </w:t>
      </w:r>
      <w:r w:rsidR="000A3C7D" w:rsidRPr="000C193D">
        <w:rPr>
          <w:rFonts w:asciiTheme="minorHAnsi" w:hAnsiTheme="minorHAnsi" w:cs="Calibri"/>
          <w:bCs/>
          <w:sz w:val="22"/>
          <w:szCs w:val="22"/>
          <w:lang w:val="en-US"/>
        </w:rPr>
        <w:t xml:space="preserve">two dimensions should be considered jointly when assessing </w:t>
      </w:r>
      <w:r w:rsidR="005C5DC9" w:rsidRPr="000C193D">
        <w:rPr>
          <w:rFonts w:asciiTheme="minorHAnsi" w:hAnsiTheme="minorHAnsi" w:cs="Calibri"/>
          <w:bCs/>
          <w:sz w:val="22"/>
          <w:szCs w:val="22"/>
          <w:lang w:val="en-US"/>
        </w:rPr>
        <w:t xml:space="preserve">counterparties and risk management. </w:t>
      </w:r>
      <w:r w:rsidR="00EE1A88" w:rsidRPr="000C193D">
        <w:rPr>
          <w:rFonts w:asciiTheme="minorHAnsi" w:hAnsiTheme="minorHAnsi" w:cs="Calibri"/>
          <w:bCs/>
          <w:sz w:val="22"/>
          <w:szCs w:val="22"/>
          <w:lang w:val="en-US"/>
        </w:rPr>
        <w:t xml:space="preserve">For </w:t>
      </w:r>
      <w:r w:rsidR="005C5DC9" w:rsidRPr="000C193D">
        <w:rPr>
          <w:rFonts w:asciiTheme="minorHAnsi" w:hAnsiTheme="minorHAnsi" w:cs="Calibri"/>
          <w:bCs/>
          <w:sz w:val="22"/>
          <w:szCs w:val="22"/>
          <w:lang w:val="en-US"/>
        </w:rPr>
        <w:t>a fund or an asset manager, there are already risk management measurement tools and processes</w:t>
      </w:r>
      <w:r w:rsidRPr="000C193D">
        <w:rPr>
          <w:rFonts w:asciiTheme="minorHAnsi" w:hAnsiTheme="minorHAnsi" w:cs="Calibri"/>
          <w:bCs/>
          <w:sz w:val="22"/>
          <w:szCs w:val="22"/>
          <w:lang w:val="en-US"/>
        </w:rPr>
        <w:t xml:space="preserve"> in place</w:t>
      </w:r>
      <w:r w:rsidR="005C5DC9" w:rsidRPr="000C193D">
        <w:rPr>
          <w:rFonts w:asciiTheme="minorHAnsi" w:hAnsiTheme="minorHAnsi" w:cs="Calibri"/>
          <w:bCs/>
          <w:sz w:val="22"/>
          <w:szCs w:val="22"/>
          <w:lang w:val="en-US"/>
        </w:rPr>
        <w:t xml:space="preserve">. Adding new processes or requirements without considering the existing ones might create conflict between the requirements, reducing their efficiency </w:t>
      </w:r>
      <w:r w:rsidRPr="000C193D">
        <w:rPr>
          <w:rFonts w:asciiTheme="minorHAnsi" w:hAnsiTheme="minorHAnsi" w:cs="Calibri"/>
          <w:bCs/>
          <w:sz w:val="22"/>
          <w:szCs w:val="22"/>
          <w:lang w:val="en-US"/>
        </w:rPr>
        <w:t xml:space="preserve">and </w:t>
      </w:r>
      <w:r w:rsidR="005C5DC9" w:rsidRPr="000C193D">
        <w:rPr>
          <w:rFonts w:asciiTheme="minorHAnsi" w:hAnsiTheme="minorHAnsi" w:cs="Calibri"/>
          <w:bCs/>
          <w:sz w:val="22"/>
          <w:szCs w:val="22"/>
          <w:lang w:val="en-US"/>
        </w:rPr>
        <w:t>increasing legal uncertainty.</w:t>
      </w:r>
      <w:r w:rsidR="00501692" w:rsidRPr="000C193D">
        <w:rPr>
          <w:rFonts w:asciiTheme="minorHAnsi" w:hAnsiTheme="minorHAnsi" w:cs="Calibri"/>
          <w:bCs/>
          <w:sz w:val="22"/>
          <w:szCs w:val="22"/>
        </w:rPr>
        <w:t xml:space="preserve"> </w:t>
      </w:r>
    </w:p>
    <w:p w14:paraId="7B6C015A" w14:textId="77777777" w:rsidR="00501692" w:rsidRPr="000C193D" w:rsidRDefault="00501692" w:rsidP="00501692">
      <w:pPr>
        <w:ind w:left="426"/>
        <w:jc w:val="both"/>
        <w:rPr>
          <w:rFonts w:asciiTheme="minorHAnsi" w:hAnsiTheme="minorHAnsi" w:cs="Calibri"/>
          <w:bCs/>
          <w:sz w:val="22"/>
          <w:szCs w:val="22"/>
        </w:rPr>
      </w:pPr>
    </w:p>
    <w:p w14:paraId="797CCDD5" w14:textId="77777777" w:rsidR="00501692" w:rsidRPr="000C193D" w:rsidRDefault="00501692" w:rsidP="00501692">
      <w:pPr>
        <w:ind w:left="426"/>
        <w:jc w:val="both"/>
        <w:rPr>
          <w:rFonts w:asciiTheme="minorHAnsi" w:hAnsiTheme="minorHAnsi" w:cs="Calibri"/>
          <w:bCs/>
          <w:sz w:val="22"/>
          <w:szCs w:val="22"/>
        </w:rPr>
      </w:pPr>
      <w:r w:rsidRPr="000C193D">
        <w:rPr>
          <w:rFonts w:asciiTheme="minorHAnsi" w:hAnsiTheme="minorHAnsi" w:cs="Calibri"/>
          <w:bCs/>
          <w:sz w:val="22"/>
          <w:szCs w:val="22"/>
        </w:rPr>
        <w:t xml:space="preserve">When it is allowed under the RTS to fulfil Initial Margin requirements in cash, the default risk of the counterparty is just replaced by the default risk of the bank who maintains the account the initial margin is booked to (typically a counterparty to other OTC derivatives). </w:t>
      </w:r>
    </w:p>
    <w:p w14:paraId="43F15333" w14:textId="77777777" w:rsidR="00501692" w:rsidRPr="000C193D" w:rsidRDefault="00501692" w:rsidP="00501692">
      <w:pPr>
        <w:ind w:left="426"/>
        <w:jc w:val="both"/>
        <w:rPr>
          <w:rFonts w:asciiTheme="minorHAnsi" w:hAnsiTheme="minorHAnsi" w:cs="Calibri"/>
          <w:bCs/>
          <w:sz w:val="22"/>
          <w:szCs w:val="22"/>
        </w:rPr>
      </w:pPr>
    </w:p>
    <w:p w14:paraId="1C1197E2" w14:textId="77777777" w:rsidR="00501692" w:rsidRPr="000C193D" w:rsidRDefault="00501692" w:rsidP="00501692">
      <w:pPr>
        <w:ind w:left="426"/>
        <w:jc w:val="both"/>
        <w:rPr>
          <w:rFonts w:asciiTheme="minorHAnsi" w:hAnsiTheme="minorHAnsi" w:cs="Calibri"/>
          <w:bCs/>
          <w:sz w:val="22"/>
          <w:szCs w:val="22"/>
        </w:rPr>
      </w:pPr>
      <w:r w:rsidRPr="000C193D">
        <w:rPr>
          <w:rFonts w:asciiTheme="minorHAnsi" w:hAnsiTheme="minorHAnsi" w:cs="Calibri"/>
          <w:bCs/>
          <w:sz w:val="22"/>
          <w:szCs w:val="22"/>
        </w:rPr>
        <w:t>While it is not sure whether the default of the counterparty of a non-cleared OTC derivative leads to a loss at all (subject to market conditions), the insolvency of the bank, maintaining the account to which the initial margin (cash) received is booked, leads to losses for sure.</w:t>
      </w:r>
    </w:p>
    <w:p w14:paraId="69FC7019" w14:textId="77777777" w:rsidR="000A3C7D" w:rsidRPr="000C193D" w:rsidRDefault="000A3C7D" w:rsidP="00893A55">
      <w:pPr>
        <w:ind w:left="360"/>
        <w:jc w:val="both"/>
        <w:rPr>
          <w:rFonts w:asciiTheme="minorHAnsi" w:hAnsiTheme="minorHAnsi" w:cs="Calibri"/>
          <w:bCs/>
          <w:sz w:val="22"/>
          <w:szCs w:val="22"/>
          <w:lang w:val="en-US"/>
        </w:rPr>
      </w:pPr>
    </w:p>
    <w:p w14:paraId="1465555D" w14:textId="77777777" w:rsidR="008D083D" w:rsidRPr="000C193D" w:rsidRDefault="008D083D" w:rsidP="00893A55">
      <w:pPr>
        <w:ind w:left="360"/>
        <w:jc w:val="both"/>
        <w:rPr>
          <w:rFonts w:asciiTheme="minorHAnsi" w:hAnsiTheme="minorHAnsi" w:cs="Calibri"/>
          <w:bCs/>
          <w:sz w:val="22"/>
          <w:szCs w:val="22"/>
        </w:rPr>
      </w:pPr>
    </w:p>
    <w:p w14:paraId="0E8881F1" w14:textId="77777777" w:rsidR="00B90B21" w:rsidRPr="000C193D" w:rsidRDefault="00123B1B" w:rsidP="00997751">
      <w:pPr>
        <w:pStyle w:val="ListParagraph"/>
        <w:numPr>
          <w:ilvl w:val="0"/>
          <w:numId w:val="3"/>
        </w:numPr>
        <w:jc w:val="both"/>
        <w:rPr>
          <w:rFonts w:asciiTheme="minorHAnsi" w:hAnsiTheme="minorHAnsi" w:cs="Calibri"/>
          <w:bCs/>
        </w:rPr>
      </w:pPr>
      <w:r w:rsidRPr="000C193D">
        <w:rPr>
          <w:rFonts w:asciiTheme="minorHAnsi" w:hAnsiTheme="minorHAnsi" w:cs="Calibri"/>
          <w:bCs/>
        </w:rPr>
        <w:t>Concentration and liquidity</w:t>
      </w:r>
    </w:p>
    <w:p w14:paraId="25EDB406" w14:textId="77777777" w:rsidR="00123B1B" w:rsidRPr="000C193D" w:rsidRDefault="0092563D" w:rsidP="00997751">
      <w:pPr>
        <w:jc w:val="both"/>
        <w:rPr>
          <w:rFonts w:asciiTheme="minorHAnsi" w:hAnsiTheme="minorHAnsi" w:cs="Calibri"/>
          <w:bCs/>
          <w:sz w:val="22"/>
          <w:szCs w:val="22"/>
        </w:rPr>
      </w:pPr>
      <w:r w:rsidRPr="000C193D">
        <w:rPr>
          <w:rFonts w:asciiTheme="minorHAnsi" w:hAnsiTheme="minorHAnsi" w:cs="Calibri"/>
          <w:bCs/>
          <w:sz w:val="22"/>
          <w:szCs w:val="22"/>
        </w:rPr>
        <w:lastRenderedPageBreak/>
        <w:t xml:space="preserve">As collateral is taken in order to reduce counterparty risk, we are convinced that </w:t>
      </w:r>
      <w:r w:rsidR="00123B1B" w:rsidRPr="000C193D">
        <w:rPr>
          <w:rFonts w:asciiTheme="minorHAnsi" w:hAnsiTheme="minorHAnsi" w:cs="Calibri"/>
          <w:bCs/>
          <w:sz w:val="22"/>
          <w:szCs w:val="22"/>
        </w:rPr>
        <w:t xml:space="preserve">the first </w:t>
      </w:r>
      <w:r w:rsidR="00E87BC0" w:rsidRPr="000C193D">
        <w:rPr>
          <w:rFonts w:asciiTheme="minorHAnsi" w:hAnsiTheme="minorHAnsi" w:cs="Calibri"/>
          <w:bCs/>
          <w:sz w:val="22"/>
          <w:szCs w:val="22"/>
        </w:rPr>
        <w:t>criterion to control counterparty risk is</w:t>
      </w:r>
      <w:r w:rsidR="00123B1B" w:rsidRPr="000C193D">
        <w:rPr>
          <w:rFonts w:asciiTheme="minorHAnsi" w:hAnsiTheme="minorHAnsi" w:cs="Calibri"/>
          <w:bCs/>
          <w:sz w:val="22"/>
          <w:szCs w:val="22"/>
        </w:rPr>
        <w:t xml:space="preserve"> a thorough </w:t>
      </w:r>
      <w:r w:rsidRPr="000C193D">
        <w:rPr>
          <w:rFonts w:asciiTheme="minorHAnsi" w:hAnsiTheme="minorHAnsi" w:cs="Calibri"/>
          <w:bCs/>
          <w:sz w:val="22"/>
          <w:szCs w:val="22"/>
        </w:rPr>
        <w:t xml:space="preserve">credit quality </w:t>
      </w:r>
      <w:r w:rsidR="00123B1B" w:rsidRPr="000C193D">
        <w:rPr>
          <w:rFonts w:asciiTheme="minorHAnsi" w:hAnsiTheme="minorHAnsi" w:cs="Calibri"/>
          <w:bCs/>
          <w:sz w:val="22"/>
          <w:szCs w:val="22"/>
        </w:rPr>
        <w:t xml:space="preserve">analysis of the counterparty. </w:t>
      </w:r>
    </w:p>
    <w:p w14:paraId="2B2009DF" w14:textId="77777777" w:rsidR="00123B1B" w:rsidRPr="000C193D" w:rsidRDefault="00123B1B" w:rsidP="00997751">
      <w:pPr>
        <w:jc w:val="both"/>
        <w:rPr>
          <w:rFonts w:asciiTheme="minorHAnsi" w:hAnsiTheme="minorHAnsi" w:cs="Calibri"/>
          <w:bCs/>
          <w:sz w:val="22"/>
          <w:szCs w:val="22"/>
        </w:rPr>
      </w:pPr>
    </w:p>
    <w:p w14:paraId="0F6529F6" w14:textId="33492797" w:rsidR="005957EE" w:rsidRPr="000C193D" w:rsidRDefault="00123B1B"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Secondly, the </w:t>
      </w:r>
      <w:r w:rsidR="0092563D" w:rsidRPr="000C193D">
        <w:rPr>
          <w:rFonts w:asciiTheme="minorHAnsi" w:hAnsiTheme="minorHAnsi" w:cs="Calibri"/>
          <w:bCs/>
          <w:sz w:val="22"/>
          <w:szCs w:val="22"/>
        </w:rPr>
        <w:t xml:space="preserve">liquidity of the collateral </w:t>
      </w:r>
      <w:r w:rsidRPr="000C193D">
        <w:rPr>
          <w:rFonts w:asciiTheme="minorHAnsi" w:hAnsiTheme="minorHAnsi" w:cs="Calibri"/>
          <w:bCs/>
          <w:sz w:val="22"/>
          <w:szCs w:val="22"/>
        </w:rPr>
        <w:t>is also an extremely important element</w:t>
      </w:r>
      <w:r w:rsidR="005957EE" w:rsidRPr="000C193D">
        <w:rPr>
          <w:rFonts w:asciiTheme="minorHAnsi" w:hAnsiTheme="minorHAnsi" w:cs="Calibri"/>
          <w:bCs/>
          <w:sz w:val="22"/>
          <w:szCs w:val="22"/>
        </w:rPr>
        <w:t>.</w:t>
      </w:r>
      <w:r w:rsidR="00893A55">
        <w:rPr>
          <w:rFonts w:asciiTheme="minorHAnsi" w:hAnsiTheme="minorHAnsi" w:cs="Calibri"/>
          <w:bCs/>
          <w:sz w:val="22"/>
          <w:szCs w:val="22"/>
        </w:rPr>
        <w:t xml:space="preserve"> </w:t>
      </w:r>
      <w:r w:rsidR="005957EE" w:rsidRPr="000C193D">
        <w:rPr>
          <w:rFonts w:asciiTheme="minorHAnsi" w:hAnsiTheme="minorHAnsi" w:cs="Calibri"/>
          <w:bCs/>
          <w:sz w:val="22"/>
          <w:szCs w:val="22"/>
        </w:rPr>
        <w:t xml:space="preserve">The list of eligible collateral should be large, diversified and include funds. </w:t>
      </w:r>
    </w:p>
    <w:p w14:paraId="370780EF" w14:textId="77777777" w:rsidR="005957EE" w:rsidRPr="000C193D" w:rsidRDefault="005957EE"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The larger the list is the lesser the risk for </w:t>
      </w:r>
      <w:proofErr w:type="spellStart"/>
      <w:r w:rsidR="00485C69" w:rsidRPr="000C193D">
        <w:rPr>
          <w:rFonts w:asciiTheme="minorHAnsi" w:hAnsiTheme="minorHAnsi" w:cs="Calibri"/>
          <w:bCs/>
          <w:sz w:val="22"/>
          <w:szCs w:val="22"/>
        </w:rPr>
        <w:t>procyclicality</w:t>
      </w:r>
      <w:proofErr w:type="spellEnd"/>
      <w:r w:rsidRPr="000C193D">
        <w:rPr>
          <w:rFonts w:asciiTheme="minorHAnsi" w:hAnsiTheme="minorHAnsi" w:cs="Calibri"/>
          <w:bCs/>
          <w:sz w:val="22"/>
          <w:szCs w:val="22"/>
        </w:rPr>
        <w:t xml:space="preserve"> and collateral squeeze. The trouble with a large list of eligible collateral is that it may include assets of lesser quality.</w:t>
      </w:r>
      <w:r w:rsidR="00EE1A88" w:rsidRPr="000C193D">
        <w:rPr>
          <w:rFonts w:asciiTheme="minorHAnsi" w:hAnsiTheme="minorHAnsi" w:cs="Calibri"/>
          <w:bCs/>
          <w:sz w:val="22"/>
          <w:szCs w:val="22"/>
        </w:rPr>
        <w:t xml:space="preserve"> The solution lies </w:t>
      </w:r>
      <w:r w:rsidR="00597A88" w:rsidRPr="000C193D">
        <w:rPr>
          <w:rFonts w:asciiTheme="minorHAnsi" w:hAnsiTheme="minorHAnsi" w:cs="Calibri"/>
          <w:bCs/>
          <w:sz w:val="22"/>
          <w:szCs w:val="22"/>
        </w:rPr>
        <w:t xml:space="preserve">also </w:t>
      </w:r>
      <w:r w:rsidR="00EE1A88" w:rsidRPr="000C193D">
        <w:rPr>
          <w:rFonts w:asciiTheme="minorHAnsi" w:hAnsiTheme="minorHAnsi" w:cs="Calibri"/>
          <w:bCs/>
          <w:sz w:val="22"/>
          <w:szCs w:val="22"/>
        </w:rPr>
        <w:t>in appropriate haircut.</w:t>
      </w:r>
      <w:r w:rsidRPr="000C193D">
        <w:rPr>
          <w:rFonts w:asciiTheme="minorHAnsi" w:hAnsiTheme="minorHAnsi" w:cs="Calibri"/>
          <w:bCs/>
          <w:sz w:val="22"/>
          <w:szCs w:val="22"/>
        </w:rPr>
        <w:t xml:space="preserve"> </w:t>
      </w:r>
    </w:p>
    <w:p w14:paraId="35EA1E00" w14:textId="77777777" w:rsidR="005957EE" w:rsidRPr="000C193D" w:rsidRDefault="005957EE" w:rsidP="00997751">
      <w:pPr>
        <w:jc w:val="both"/>
        <w:rPr>
          <w:rFonts w:asciiTheme="minorHAnsi" w:hAnsiTheme="minorHAnsi" w:cs="Calibri"/>
          <w:bCs/>
          <w:sz w:val="22"/>
          <w:szCs w:val="22"/>
        </w:rPr>
      </w:pPr>
    </w:p>
    <w:p w14:paraId="718DC348" w14:textId="77777777" w:rsidR="005957EE" w:rsidRPr="000C193D" w:rsidRDefault="005957EE" w:rsidP="00997751">
      <w:pPr>
        <w:jc w:val="both"/>
        <w:rPr>
          <w:rFonts w:asciiTheme="minorHAnsi" w:hAnsiTheme="minorHAnsi" w:cs="Calibri"/>
          <w:bCs/>
          <w:sz w:val="22"/>
          <w:szCs w:val="22"/>
        </w:rPr>
      </w:pPr>
      <w:r w:rsidRPr="000C193D">
        <w:rPr>
          <w:rFonts w:asciiTheme="minorHAnsi" w:hAnsiTheme="minorHAnsi" w:cs="Calibri"/>
          <w:bCs/>
          <w:sz w:val="22"/>
          <w:szCs w:val="22"/>
        </w:rPr>
        <w:t>It is a fact that large cap stocks are among the most liquid assets in any circumstances and that government bonds are usually very actively trade</w:t>
      </w:r>
      <w:r w:rsidR="00485C69" w:rsidRPr="000C193D">
        <w:rPr>
          <w:rFonts w:asciiTheme="minorHAnsi" w:hAnsiTheme="minorHAnsi" w:cs="Calibri"/>
          <w:bCs/>
          <w:sz w:val="22"/>
          <w:szCs w:val="22"/>
        </w:rPr>
        <w:t>d</w:t>
      </w:r>
      <w:r w:rsidRPr="000C193D">
        <w:rPr>
          <w:rFonts w:asciiTheme="minorHAnsi" w:hAnsiTheme="minorHAnsi" w:cs="Calibri"/>
          <w:bCs/>
          <w:sz w:val="22"/>
          <w:szCs w:val="22"/>
        </w:rPr>
        <w:t xml:space="preserve"> as well. But the recent experience has shown that </w:t>
      </w:r>
      <w:r w:rsidR="007C6334" w:rsidRPr="000C193D">
        <w:rPr>
          <w:rFonts w:asciiTheme="minorHAnsi" w:hAnsiTheme="minorHAnsi" w:cs="Calibri"/>
          <w:bCs/>
          <w:sz w:val="22"/>
          <w:szCs w:val="22"/>
        </w:rPr>
        <w:t>government debts</w:t>
      </w:r>
      <w:r w:rsidRPr="000C193D">
        <w:rPr>
          <w:rFonts w:asciiTheme="minorHAnsi" w:hAnsiTheme="minorHAnsi" w:cs="Calibri"/>
          <w:bCs/>
          <w:sz w:val="22"/>
          <w:szCs w:val="22"/>
        </w:rPr>
        <w:t xml:space="preserve"> might become totally illiquid overnight. Liquidity</w:t>
      </w:r>
      <w:r w:rsidR="00AB5F0A" w:rsidRPr="000C193D">
        <w:rPr>
          <w:rFonts w:asciiTheme="minorHAnsi" w:hAnsiTheme="minorHAnsi" w:cs="Calibri"/>
          <w:bCs/>
          <w:sz w:val="22"/>
          <w:szCs w:val="22"/>
        </w:rPr>
        <w:t xml:space="preserve"> assessment</w:t>
      </w:r>
      <w:r w:rsidRPr="000C193D">
        <w:rPr>
          <w:rFonts w:asciiTheme="minorHAnsi" w:hAnsiTheme="minorHAnsi" w:cs="Calibri"/>
          <w:bCs/>
          <w:sz w:val="22"/>
          <w:szCs w:val="22"/>
        </w:rPr>
        <w:t xml:space="preserve"> should include the possibility to use securities lending and Repo markets to gain it. </w:t>
      </w:r>
    </w:p>
    <w:p w14:paraId="6689A6D4" w14:textId="77777777" w:rsidR="005957EE" w:rsidRPr="000C193D" w:rsidRDefault="005957EE" w:rsidP="00997751">
      <w:pPr>
        <w:jc w:val="both"/>
        <w:rPr>
          <w:rFonts w:asciiTheme="minorHAnsi" w:hAnsiTheme="minorHAnsi" w:cs="Calibri"/>
          <w:bCs/>
          <w:sz w:val="22"/>
          <w:szCs w:val="22"/>
        </w:rPr>
      </w:pPr>
    </w:p>
    <w:p w14:paraId="49D1EEA7" w14:textId="335D0CED" w:rsidR="005957EE" w:rsidRPr="000C193D" w:rsidRDefault="005957EE"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We also feel that in certain cases – e.g. G7 government debt – haircuts are a more appropriate measure given the quality of that debt.  We also feel there should be a </w:t>
      </w:r>
      <w:r w:rsidRPr="000C193D">
        <w:rPr>
          <w:rFonts w:asciiTheme="minorHAnsi" w:hAnsiTheme="minorHAnsi" w:cs="Calibri"/>
          <w:bCs/>
          <w:i/>
          <w:iCs/>
          <w:sz w:val="22"/>
          <w:szCs w:val="22"/>
        </w:rPr>
        <w:t>de</w:t>
      </w:r>
      <w:r w:rsidR="00663B5A" w:rsidRPr="000C193D">
        <w:rPr>
          <w:rFonts w:asciiTheme="minorHAnsi" w:hAnsiTheme="minorHAnsi" w:cs="Calibri"/>
          <w:bCs/>
          <w:i/>
          <w:iCs/>
          <w:sz w:val="22"/>
          <w:szCs w:val="22"/>
        </w:rPr>
        <w:t>-</w:t>
      </w:r>
      <w:proofErr w:type="spellStart"/>
      <w:r w:rsidRPr="000C193D">
        <w:rPr>
          <w:rFonts w:asciiTheme="minorHAnsi" w:hAnsiTheme="minorHAnsi" w:cs="Calibri"/>
          <w:bCs/>
          <w:i/>
          <w:iCs/>
          <w:sz w:val="22"/>
          <w:szCs w:val="22"/>
        </w:rPr>
        <w:t>minimis</w:t>
      </w:r>
      <w:proofErr w:type="spellEnd"/>
      <w:r w:rsidRPr="000C193D">
        <w:rPr>
          <w:rFonts w:asciiTheme="minorHAnsi" w:hAnsiTheme="minorHAnsi" w:cs="Calibri"/>
          <w:bCs/>
          <w:sz w:val="22"/>
          <w:szCs w:val="22"/>
        </w:rPr>
        <w:t xml:space="preserve"> cut-off for concentration limits at </w:t>
      </w:r>
      <w:r w:rsidR="00EE1A88" w:rsidRPr="000C193D">
        <w:rPr>
          <w:rFonts w:asciiTheme="minorHAnsi" w:hAnsiTheme="minorHAnsi" w:cs="Calibri"/>
          <w:bCs/>
          <w:sz w:val="22"/>
          <w:szCs w:val="22"/>
        </w:rPr>
        <w:t xml:space="preserve">100 million €. Beside the reduction of operational cost and difficulties in splitting small amounts of collateral over several issuers, the </w:t>
      </w:r>
      <w:r w:rsidR="00EE1A88" w:rsidRPr="00AA5F4F">
        <w:rPr>
          <w:rFonts w:asciiTheme="minorHAnsi" w:hAnsiTheme="minorHAnsi" w:cs="Calibri"/>
          <w:bCs/>
          <w:i/>
          <w:sz w:val="22"/>
          <w:szCs w:val="22"/>
        </w:rPr>
        <w:t>de</w:t>
      </w:r>
      <w:r w:rsidR="00A32B23">
        <w:rPr>
          <w:rFonts w:asciiTheme="minorHAnsi" w:hAnsiTheme="minorHAnsi" w:cs="Calibri"/>
          <w:bCs/>
          <w:i/>
          <w:sz w:val="22"/>
          <w:szCs w:val="22"/>
        </w:rPr>
        <w:t>-</w:t>
      </w:r>
      <w:proofErr w:type="spellStart"/>
      <w:r w:rsidR="00EE1A88" w:rsidRPr="00AA5F4F">
        <w:rPr>
          <w:rFonts w:asciiTheme="minorHAnsi" w:hAnsiTheme="minorHAnsi" w:cs="Calibri"/>
          <w:bCs/>
          <w:i/>
          <w:sz w:val="22"/>
          <w:szCs w:val="22"/>
        </w:rPr>
        <w:t>minimis</w:t>
      </w:r>
      <w:proofErr w:type="spellEnd"/>
      <w:r w:rsidR="00EE1A88" w:rsidRPr="000C193D">
        <w:rPr>
          <w:rFonts w:asciiTheme="minorHAnsi" w:hAnsiTheme="minorHAnsi" w:cs="Calibri"/>
          <w:bCs/>
          <w:sz w:val="22"/>
          <w:szCs w:val="22"/>
        </w:rPr>
        <w:t xml:space="preserve"> rule applying on the diversification ration of collateral will not introduce any systemic risk.</w:t>
      </w:r>
    </w:p>
    <w:p w14:paraId="1C842134" w14:textId="77777777" w:rsidR="00123B1B" w:rsidRPr="000C193D" w:rsidRDefault="00123B1B" w:rsidP="00997751">
      <w:pPr>
        <w:jc w:val="both"/>
        <w:rPr>
          <w:rFonts w:asciiTheme="minorHAnsi" w:hAnsiTheme="minorHAnsi" w:cs="Calibri"/>
          <w:bCs/>
          <w:sz w:val="22"/>
          <w:szCs w:val="22"/>
        </w:rPr>
      </w:pPr>
    </w:p>
    <w:p w14:paraId="13FA78BF" w14:textId="77777777" w:rsidR="0097610F" w:rsidRPr="000C193D" w:rsidRDefault="0092563D"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We would like to </w:t>
      </w:r>
      <w:r w:rsidR="00123B1B" w:rsidRPr="000C193D">
        <w:rPr>
          <w:rFonts w:asciiTheme="minorHAnsi" w:hAnsiTheme="minorHAnsi" w:cs="Calibri"/>
          <w:bCs/>
          <w:sz w:val="22"/>
          <w:szCs w:val="22"/>
        </w:rPr>
        <w:t xml:space="preserve">insist on the crucial need to maintain the capability to deliver eligible collateral in the most efficient manner for both the collateral </w:t>
      </w:r>
      <w:r w:rsidR="0097610F" w:rsidRPr="000C193D">
        <w:rPr>
          <w:rFonts w:asciiTheme="minorHAnsi" w:hAnsiTheme="minorHAnsi" w:cs="Calibri"/>
          <w:bCs/>
          <w:sz w:val="22"/>
          <w:szCs w:val="22"/>
        </w:rPr>
        <w:t xml:space="preserve">giver </w:t>
      </w:r>
      <w:r w:rsidR="00123B1B" w:rsidRPr="000C193D">
        <w:rPr>
          <w:rFonts w:asciiTheme="minorHAnsi" w:hAnsiTheme="minorHAnsi" w:cs="Calibri"/>
          <w:bCs/>
          <w:sz w:val="22"/>
          <w:szCs w:val="22"/>
        </w:rPr>
        <w:t xml:space="preserve">and collateral </w:t>
      </w:r>
      <w:r w:rsidR="0097610F" w:rsidRPr="000C193D">
        <w:rPr>
          <w:rFonts w:asciiTheme="minorHAnsi" w:hAnsiTheme="minorHAnsi" w:cs="Calibri"/>
          <w:bCs/>
          <w:sz w:val="22"/>
          <w:szCs w:val="22"/>
        </w:rPr>
        <w:t>taker.</w:t>
      </w:r>
    </w:p>
    <w:p w14:paraId="0AF6FB5A" w14:textId="77777777" w:rsidR="0097610F" w:rsidRPr="000C193D" w:rsidRDefault="0097610F" w:rsidP="00997751">
      <w:pPr>
        <w:jc w:val="both"/>
        <w:rPr>
          <w:rFonts w:asciiTheme="minorHAnsi" w:hAnsiTheme="minorHAnsi" w:cs="Calibri"/>
          <w:bCs/>
          <w:sz w:val="22"/>
          <w:szCs w:val="22"/>
        </w:rPr>
      </w:pPr>
    </w:p>
    <w:p w14:paraId="40155581" w14:textId="77777777" w:rsidR="00485C69" w:rsidRPr="000C193D" w:rsidRDefault="0097610F"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Indeed, </w:t>
      </w:r>
      <w:r w:rsidR="00485C69" w:rsidRPr="000C193D">
        <w:rPr>
          <w:rFonts w:asciiTheme="minorHAnsi" w:hAnsiTheme="minorHAnsi" w:cs="Calibri"/>
          <w:bCs/>
          <w:sz w:val="22"/>
          <w:szCs w:val="22"/>
        </w:rPr>
        <w:t xml:space="preserve">a </w:t>
      </w:r>
      <w:r w:rsidRPr="000C193D">
        <w:rPr>
          <w:rFonts w:asciiTheme="minorHAnsi" w:hAnsiTheme="minorHAnsi" w:cs="Calibri"/>
          <w:bCs/>
          <w:sz w:val="22"/>
          <w:szCs w:val="22"/>
        </w:rPr>
        <w:t xml:space="preserve">bad calibration of eligible criteria </w:t>
      </w:r>
      <w:r w:rsidR="0092563D" w:rsidRPr="000C193D">
        <w:rPr>
          <w:rFonts w:asciiTheme="minorHAnsi" w:hAnsiTheme="minorHAnsi" w:cs="Calibri"/>
          <w:bCs/>
          <w:sz w:val="22"/>
          <w:szCs w:val="22"/>
        </w:rPr>
        <w:t xml:space="preserve">would raise the following </w:t>
      </w:r>
      <w:r w:rsidR="00485C69" w:rsidRPr="000C193D">
        <w:rPr>
          <w:rFonts w:asciiTheme="minorHAnsi" w:hAnsiTheme="minorHAnsi" w:cs="Calibri"/>
          <w:bCs/>
          <w:sz w:val="22"/>
          <w:szCs w:val="22"/>
        </w:rPr>
        <w:t>difficulties</w:t>
      </w:r>
      <w:r w:rsidR="0092563D" w:rsidRPr="000C193D">
        <w:rPr>
          <w:rFonts w:asciiTheme="minorHAnsi" w:hAnsiTheme="minorHAnsi" w:cs="Calibri"/>
          <w:bCs/>
          <w:sz w:val="22"/>
          <w:szCs w:val="22"/>
        </w:rPr>
        <w:t>:</w:t>
      </w:r>
    </w:p>
    <w:p w14:paraId="0D7E1D58" w14:textId="18808E3F" w:rsidR="0097610F" w:rsidRPr="000C193D" w:rsidRDefault="0097610F" w:rsidP="00997751">
      <w:pPr>
        <w:jc w:val="both"/>
        <w:rPr>
          <w:rFonts w:asciiTheme="minorHAnsi" w:hAnsiTheme="minorHAnsi" w:cs="Calibri"/>
          <w:bCs/>
          <w:sz w:val="22"/>
          <w:szCs w:val="22"/>
        </w:rPr>
      </w:pPr>
    </w:p>
    <w:p w14:paraId="3A386687" w14:textId="52E197DA" w:rsidR="00B90B21" w:rsidRPr="000C193D" w:rsidRDefault="0092563D" w:rsidP="00893A55">
      <w:pPr>
        <w:pStyle w:val="ListParagraph"/>
        <w:numPr>
          <w:ilvl w:val="0"/>
          <w:numId w:val="2"/>
        </w:numPr>
        <w:spacing w:after="120" w:line="240" w:lineRule="auto"/>
        <w:ind w:left="714" w:hanging="357"/>
        <w:contextualSpacing w:val="0"/>
        <w:jc w:val="both"/>
        <w:rPr>
          <w:rFonts w:asciiTheme="minorHAnsi" w:hAnsiTheme="minorHAnsi" w:cs="Calibri"/>
          <w:bCs/>
        </w:rPr>
      </w:pPr>
      <w:proofErr w:type="gramStart"/>
      <w:r w:rsidRPr="000C193D">
        <w:rPr>
          <w:rFonts w:asciiTheme="minorHAnsi" w:hAnsiTheme="minorHAnsi" w:cs="Calibri"/>
          <w:bCs/>
        </w:rPr>
        <w:t>a</w:t>
      </w:r>
      <w:proofErr w:type="gramEnd"/>
      <w:r w:rsidRPr="000C193D">
        <w:rPr>
          <w:rFonts w:asciiTheme="minorHAnsi" w:hAnsiTheme="minorHAnsi" w:cs="Calibri"/>
          <w:bCs/>
        </w:rPr>
        <w:t xml:space="preserve"> counterparty would not be compelled to refuse good quality collateral because of the breach of the limit by issuer. As explained above, what is </w:t>
      </w:r>
      <w:r w:rsidR="00485C69" w:rsidRPr="000C193D">
        <w:rPr>
          <w:rFonts w:asciiTheme="minorHAnsi" w:hAnsiTheme="minorHAnsi" w:cs="Calibri"/>
          <w:bCs/>
        </w:rPr>
        <w:t xml:space="preserve">essential </w:t>
      </w:r>
      <w:r w:rsidRPr="000C193D">
        <w:rPr>
          <w:rFonts w:asciiTheme="minorHAnsi" w:hAnsiTheme="minorHAnsi" w:cs="Calibri"/>
          <w:bCs/>
        </w:rPr>
        <w:t xml:space="preserve">in our view </w:t>
      </w:r>
      <w:r w:rsidR="00485C69" w:rsidRPr="000C193D">
        <w:rPr>
          <w:rFonts w:asciiTheme="minorHAnsi" w:hAnsiTheme="minorHAnsi" w:cs="Calibri"/>
          <w:bCs/>
        </w:rPr>
        <w:t xml:space="preserve">in order to mitigate a counterparty risk </w:t>
      </w:r>
      <w:r w:rsidRPr="000C193D">
        <w:rPr>
          <w:rFonts w:asciiTheme="minorHAnsi" w:hAnsiTheme="minorHAnsi" w:cs="Calibri"/>
          <w:bCs/>
        </w:rPr>
        <w:t>is the quality of collateral, not its diversification</w:t>
      </w:r>
      <w:r w:rsidR="00893A55">
        <w:rPr>
          <w:rFonts w:asciiTheme="minorHAnsi" w:hAnsiTheme="minorHAnsi" w:cs="Calibri"/>
          <w:bCs/>
        </w:rPr>
        <w:t>;</w:t>
      </w:r>
    </w:p>
    <w:p w14:paraId="20C20D4E" w14:textId="081EE649" w:rsidR="00B90B21" w:rsidRPr="000C193D" w:rsidRDefault="00893A55" w:rsidP="00893A55">
      <w:pPr>
        <w:pStyle w:val="ListParagraph"/>
        <w:numPr>
          <w:ilvl w:val="0"/>
          <w:numId w:val="2"/>
        </w:numPr>
        <w:spacing w:after="120" w:line="240" w:lineRule="auto"/>
        <w:ind w:left="714" w:hanging="357"/>
        <w:contextualSpacing w:val="0"/>
        <w:jc w:val="both"/>
        <w:rPr>
          <w:rFonts w:asciiTheme="minorHAnsi" w:hAnsiTheme="minorHAnsi" w:cs="Calibri"/>
          <w:bCs/>
        </w:rPr>
      </w:pPr>
      <w:r>
        <w:rPr>
          <w:rFonts w:asciiTheme="minorHAnsi" w:hAnsiTheme="minorHAnsi" w:cs="Calibri"/>
          <w:bCs/>
        </w:rPr>
        <w:t>i</w:t>
      </w:r>
      <w:r w:rsidR="0092563D" w:rsidRPr="000C193D">
        <w:rPr>
          <w:rFonts w:asciiTheme="minorHAnsi" w:hAnsiTheme="minorHAnsi" w:cs="Calibri"/>
          <w:bCs/>
        </w:rPr>
        <w:t>t should also be underlined that the constraints resulting from collateral diversification obligations may significantly increase the complexity linked to collateral management and therefore the costs of such collateral managemen</w:t>
      </w:r>
      <w:r>
        <w:rPr>
          <w:rFonts w:asciiTheme="minorHAnsi" w:hAnsiTheme="minorHAnsi" w:cs="Calibri"/>
          <w:bCs/>
        </w:rPr>
        <w:t>t;</w:t>
      </w:r>
    </w:p>
    <w:p w14:paraId="4F852F05" w14:textId="35B9EBCA" w:rsidR="00B90B21" w:rsidRPr="000C193D" w:rsidRDefault="00893A55" w:rsidP="00893A55">
      <w:pPr>
        <w:pStyle w:val="ListParagraph"/>
        <w:numPr>
          <w:ilvl w:val="0"/>
          <w:numId w:val="2"/>
        </w:numPr>
        <w:spacing w:after="120" w:line="240" w:lineRule="auto"/>
        <w:ind w:left="714" w:hanging="357"/>
        <w:contextualSpacing w:val="0"/>
        <w:jc w:val="both"/>
        <w:rPr>
          <w:rFonts w:asciiTheme="minorHAnsi" w:hAnsiTheme="minorHAnsi" w:cs="Calibri"/>
          <w:bCs/>
        </w:rPr>
      </w:pPr>
      <w:proofErr w:type="gramStart"/>
      <w:r>
        <w:rPr>
          <w:rFonts w:asciiTheme="minorHAnsi" w:hAnsiTheme="minorHAnsi" w:cs="Calibri"/>
          <w:bCs/>
        </w:rPr>
        <w:t>t</w:t>
      </w:r>
      <w:r w:rsidR="0092563D" w:rsidRPr="000C193D">
        <w:rPr>
          <w:rFonts w:asciiTheme="minorHAnsi" w:hAnsiTheme="minorHAnsi" w:cs="Calibri"/>
          <w:bCs/>
        </w:rPr>
        <w:t>his</w:t>
      </w:r>
      <w:proofErr w:type="gramEnd"/>
      <w:r w:rsidR="0092563D" w:rsidRPr="000C193D">
        <w:rPr>
          <w:rFonts w:asciiTheme="minorHAnsi" w:hAnsiTheme="minorHAnsi" w:cs="Calibri"/>
          <w:bCs/>
        </w:rPr>
        <w:t xml:space="preserve"> cost increase could finally have a negative impact for investors. For that reason, we would be of the opinion that securities issued by the governments or central banks should be exempted from concentration limits</w:t>
      </w:r>
      <w:r>
        <w:rPr>
          <w:rFonts w:asciiTheme="minorHAnsi" w:hAnsiTheme="minorHAnsi" w:cs="Calibri"/>
          <w:bCs/>
        </w:rPr>
        <w:t>;</w:t>
      </w:r>
    </w:p>
    <w:p w14:paraId="4369A9CF" w14:textId="22E12FC6" w:rsidR="00B90B21" w:rsidRPr="000C193D" w:rsidRDefault="00893A55" w:rsidP="00893A55">
      <w:pPr>
        <w:pStyle w:val="ListParagraph"/>
        <w:numPr>
          <w:ilvl w:val="0"/>
          <w:numId w:val="2"/>
        </w:numPr>
        <w:spacing w:after="120" w:line="240" w:lineRule="auto"/>
        <w:ind w:left="714" w:hanging="357"/>
        <w:contextualSpacing w:val="0"/>
        <w:jc w:val="both"/>
        <w:rPr>
          <w:rFonts w:asciiTheme="minorHAnsi" w:hAnsiTheme="minorHAnsi" w:cs="Calibri"/>
          <w:bCs/>
        </w:rPr>
      </w:pPr>
      <w:proofErr w:type="gramStart"/>
      <w:r>
        <w:rPr>
          <w:rFonts w:asciiTheme="minorHAnsi" w:hAnsiTheme="minorHAnsi" w:cs="Calibri"/>
          <w:bCs/>
        </w:rPr>
        <w:t>t</w:t>
      </w:r>
      <w:r w:rsidR="002A06F3" w:rsidRPr="000C193D">
        <w:rPr>
          <w:rFonts w:asciiTheme="minorHAnsi" w:hAnsiTheme="minorHAnsi" w:cs="Calibri"/>
          <w:bCs/>
        </w:rPr>
        <w:t>he</w:t>
      </w:r>
      <w:proofErr w:type="gramEnd"/>
      <w:r w:rsidR="002A06F3" w:rsidRPr="000C193D">
        <w:rPr>
          <w:rFonts w:asciiTheme="minorHAnsi" w:hAnsiTheme="minorHAnsi" w:cs="Calibri"/>
          <w:bCs/>
        </w:rPr>
        <w:t xml:space="preserve"> ESAs should bear in mind that some banks are only willing to accept a small variety of security collateral (e.g. just German and French government bonds) as well as cash. Typically, in such cases, banks focus on the same kinds of eligible collateral</w:t>
      </w:r>
      <w:r w:rsidR="0092563D" w:rsidRPr="000C193D">
        <w:rPr>
          <w:rFonts w:asciiTheme="minorHAnsi" w:hAnsiTheme="minorHAnsi" w:cs="Calibri"/>
          <w:bCs/>
        </w:rPr>
        <w:t>.</w:t>
      </w:r>
    </w:p>
    <w:p w14:paraId="47A43F9E" w14:textId="77777777" w:rsidR="002A06F3" w:rsidRPr="000C193D" w:rsidRDefault="002A06F3" w:rsidP="00997751">
      <w:pPr>
        <w:jc w:val="both"/>
        <w:rPr>
          <w:rFonts w:asciiTheme="minorHAnsi" w:hAnsiTheme="minorHAnsi" w:cs="Calibri"/>
          <w:bCs/>
          <w:sz w:val="22"/>
          <w:szCs w:val="22"/>
        </w:rPr>
      </w:pPr>
      <w:r w:rsidRPr="000C193D">
        <w:rPr>
          <w:rFonts w:asciiTheme="minorHAnsi" w:hAnsiTheme="minorHAnsi" w:cs="Calibri"/>
          <w:bCs/>
          <w:sz w:val="22"/>
          <w:szCs w:val="22"/>
        </w:rPr>
        <w:t>Since EMIR came into force, we see an increased demand for liquidity and expect a further increase:</w:t>
      </w:r>
    </w:p>
    <w:p w14:paraId="03296CF0" w14:textId="77777777" w:rsidR="00485C69" w:rsidRPr="000C193D" w:rsidRDefault="00485C69" w:rsidP="00997751">
      <w:pPr>
        <w:jc w:val="both"/>
        <w:rPr>
          <w:rFonts w:asciiTheme="minorHAnsi" w:hAnsiTheme="minorHAnsi" w:cs="Calibri"/>
          <w:bCs/>
          <w:sz w:val="22"/>
          <w:szCs w:val="22"/>
        </w:rPr>
      </w:pPr>
    </w:p>
    <w:p w14:paraId="6744F32D" w14:textId="12014BD7" w:rsidR="00B90B21" w:rsidRPr="000C193D" w:rsidRDefault="00893A55" w:rsidP="00893A55">
      <w:pPr>
        <w:pStyle w:val="ListParagraph"/>
        <w:numPr>
          <w:ilvl w:val="0"/>
          <w:numId w:val="2"/>
        </w:numPr>
        <w:spacing w:after="120" w:line="240" w:lineRule="auto"/>
        <w:ind w:left="714" w:hanging="357"/>
        <w:contextualSpacing w:val="0"/>
        <w:jc w:val="both"/>
        <w:rPr>
          <w:rFonts w:asciiTheme="minorHAnsi" w:hAnsiTheme="minorHAnsi" w:cs="Calibri"/>
          <w:bCs/>
        </w:rPr>
      </w:pPr>
      <w:proofErr w:type="gramStart"/>
      <w:r>
        <w:rPr>
          <w:rFonts w:asciiTheme="minorHAnsi" w:hAnsiTheme="minorHAnsi" w:cs="Calibri"/>
          <w:bCs/>
        </w:rPr>
        <w:t>a</w:t>
      </w:r>
      <w:r w:rsidR="002A06F3" w:rsidRPr="000C193D">
        <w:rPr>
          <w:rFonts w:asciiTheme="minorHAnsi" w:hAnsiTheme="minorHAnsi" w:cs="Calibri"/>
          <w:bCs/>
        </w:rPr>
        <w:t>ccording</w:t>
      </w:r>
      <w:proofErr w:type="gramEnd"/>
      <w:r w:rsidR="002A06F3" w:rsidRPr="000C193D">
        <w:rPr>
          <w:rFonts w:asciiTheme="minorHAnsi" w:hAnsiTheme="minorHAnsi" w:cs="Calibri"/>
          <w:bCs/>
        </w:rPr>
        <w:t xml:space="preserve"> to Art. 11 para</w:t>
      </w:r>
      <w:r w:rsidR="00A32B23">
        <w:rPr>
          <w:rFonts w:asciiTheme="minorHAnsi" w:hAnsiTheme="minorHAnsi" w:cs="Calibri"/>
          <w:bCs/>
        </w:rPr>
        <w:t xml:space="preserve">graph </w:t>
      </w:r>
      <w:r w:rsidR="002A06F3" w:rsidRPr="000C193D">
        <w:rPr>
          <w:rFonts w:asciiTheme="minorHAnsi" w:hAnsiTheme="minorHAnsi" w:cs="Calibri"/>
          <w:bCs/>
        </w:rPr>
        <w:t xml:space="preserve">3 EMIR, it is necessary to collateralize </w:t>
      </w:r>
      <w:r w:rsidR="00485C69" w:rsidRPr="000C193D">
        <w:rPr>
          <w:rFonts w:asciiTheme="minorHAnsi" w:hAnsiTheme="minorHAnsi" w:cs="Calibri"/>
          <w:bCs/>
        </w:rPr>
        <w:t xml:space="preserve">non-cleared </w:t>
      </w:r>
      <w:r w:rsidR="002A06F3" w:rsidRPr="000C193D">
        <w:rPr>
          <w:rFonts w:asciiTheme="minorHAnsi" w:hAnsiTheme="minorHAnsi" w:cs="Calibri"/>
          <w:bCs/>
        </w:rPr>
        <w:t>OTC derivatives (if no eligible securities collateral is available, a cash collateral contribution is required). In case of cleared OTC-Derivatives, Variation Margin can only be provided in Cash</w:t>
      </w:r>
      <w:r>
        <w:rPr>
          <w:rFonts w:asciiTheme="minorHAnsi" w:hAnsiTheme="minorHAnsi" w:cs="Calibri"/>
          <w:bCs/>
        </w:rPr>
        <w:t>;</w:t>
      </w:r>
    </w:p>
    <w:p w14:paraId="5B31E3D5" w14:textId="356DFD20" w:rsidR="00B90B21" w:rsidRPr="000C193D" w:rsidRDefault="00893A55" w:rsidP="00893A55">
      <w:pPr>
        <w:pStyle w:val="ListParagraph"/>
        <w:numPr>
          <w:ilvl w:val="0"/>
          <w:numId w:val="2"/>
        </w:numPr>
        <w:spacing w:after="120" w:line="240" w:lineRule="auto"/>
        <w:ind w:left="714" w:hanging="357"/>
        <w:contextualSpacing w:val="0"/>
        <w:jc w:val="both"/>
        <w:rPr>
          <w:rFonts w:asciiTheme="minorHAnsi" w:hAnsiTheme="minorHAnsi" w:cs="Calibri"/>
          <w:bCs/>
        </w:rPr>
      </w:pPr>
      <w:proofErr w:type="gramStart"/>
      <w:r>
        <w:rPr>
          <w:rFonts w:asciiTheme="minorHAnsi" w:hAnsiTheme="minorHAnsi" w:cs="Calibri"/>
          <w:bCs/>
        </w:rPr>
        <w:t>i</w:t>
      </w:r>
      <w:r w:rsidR="002A06F3" w:rsidRPr="000C193D">
        <w:rPr>
          <w:rFonts w:asciiTheme="minorHAnsi" w:hAnsiTheme="minorHAnsi" w:cs="Calibri"/>
          <w:bCs/>
        </w:rPr>
        <w:t>f</w:t>
      </w:r>
      <w:proofErr w:type="gramEnd"/>
      <w:r w:rsidR="002A06F3" w:rsidRPr="000C193D">
        <w:rPr>
          <w:rFonts w:asciiTheme="minorHAnsi" w:hAnsiTheme="minorHAnsi" w:cs="Calibri"/>
          <w:bCs/>
        </w:rPr>
        <w:t xml:space="preserve"> the RTS oblige Financial Counterparties to consider Initial Margins for </w:t>
      </w:r>
      <w:r w:rsidR="00485C69" w:rsidRPr="000C193D">
        <w:rPr>
          <w:rFonts w:asciiTheme="minorHAnsi" w:hAnsiTheme="minorHAnsi" w:cs="Calibri"/>
          <w:bCs/>
        </w:rPr>
        <w:t xml:space="preserve">non-cleared </w:t>
      </w:r>
      <w:r w:rsidR="002A06F3" w:rsidRPr="000C193D">
        <w:rPr>
          <w:rFonts w:asciiTheme="minorHAnsi" w:hAnsiTheme="minorHAnsi" w:cs="Calibri"/>
          <w:bCs/>
        </w:rPr>
        <w:t xml:space="preserve">OTC derivatives, legal uncertainty regarding the numerous kinds of insolvency laws and property laws (they are different from country to country) and the required legal opinions but also the </w:t>
      </w:r>
      <w:r w:rsidR="002A06F3" w:rsidRPr="000C193D">
        <w:rPr>
          <w:rFonts w:asciiTheme="minorHAnsi" w:hAnsiTheme="minorHAnsi" w:cs="Calibri"/>
          <w:bCs/>
        </w:rPr>
        <w:lastRenderedPageBreak/>
        <w:t>obligation specified under Art. 1 SEG para</w:t>
      </w:r>
      <w:r w:rsidR="00A32B23">
        <w:rPr>
          <w:rFonts w:asciiTheme="minorHAnsi" w:hAnsiTheme="minorHAnsi" w:cs="Calibri"/>
          <w:bCs/>
        </w:rPr>
        <w:t xml:space="preserve">graph </w:t>
      </w:r>
      <w:r w:rsidR="002A06F3" w:rsidRPr="000C193D">
        <w:rPr>
          <w:rFonts w:asciiTheme="minorHAnsi" w:hAnsiTheme="minorHAnsi" w:cs="Calibri"/>
          <w:bCs/>
        </w:rPr>
        <w:t xml:space="preserve">2 of the Draft RTS will set an incentive for banks only to accept cash collateral as Initial Margin for </w:t>
      </w:r>
      <w:r w:rsidR="00485C69" w:rsidRPr="000C193D">
        <w:rPr>
          <w:rFonts w:asciiTheme="minorHAnsi" w:hAnsiTheme="minorHAnsi" w:cs="Calibri"/>
          <w:bCs/>
        </w:rPr>
        <w:t xml:space="preserve">non-cleared </w:t>
      </w:r>
      <w:r w:rsidR="002A06F3" w:rsidRPr="000C193D">
        <w:rPr>
          <w:rFonts w:asciiTheme="minorHAnsi" w:hAnsiTheme="minorHAnsi" w:cs="Calibri"/>
          <w:bCs/>
        </w:rPr>
        <w:t>OTC derivatives</w:t>
      </w:r>
      <w:r>
        <w:rPr>
          <w:rFonts w:asciiTheme="minorHAnsi" w:hAnsiTheme="minorHAnsi" w:cs="Calibri"/>
          <w:bCs/>
        </w:rPr>
        <w:t>;</w:t>
      </w:r>
    </w:p>
    <w:p w14:paraId="23FE5519" w14:textId="7683DB6C" w:rsidR="00B90B21" w:rsidRPr="000C193D" w:rsidRDefault="00893A55" w:rsidP="00893A55">
      <w:pPr>
        <w:pStyle w:val="ListParagraph"/>
        <w:numPr>
          <w:ilvl w:val="0"/>
          <w:numId w:val="2"/>
        </w:numPr>
        <w:spacing w:after="120" w:line="240" w:lineRule="auto"/>
        <w:ind w:left="714" w:hanging="357"/>
        <w:contextualSpacing w:val="0"/>
        <w:jc w:val="both"/>
        <w:rPr>
          <w:rFonts w:asciiTheme="minorHAnsi" w:hAnsiTheme="minorHAnsi" w:cs="Calibri"/>
          <w:bCs/>
        </w:rPr>
      </w:pPr>
      <w:proofErr w:type="gramStart"/>
      <w:r>
        <w:rPr>
          <w:rFonts w:asciiTheme="minorHAnsi" w:hAnsiTheme="minorHAnsi" w:cs="Calibri"/>
          <w:bCs/>
        </w:rPr>
        <w:t>t</w:t>
      </w:r>
      <w:r w:rsidR="002A06F3" w:rsidRPr="000C193D">
        <w:rPr>
          <w:rFonts w:asciiTheme="minorHAnsi" w:hAnsiTheme="minorHAnsi" w:cs="Calibri"/>
          <w:bCs/>
        </w:rPr>
        <w:t>he</w:t>
      </w:r>
      <w:proofErr w:type="gramEnd"/>
      <w:r w:rsidR="002A06F3" w:rsidRPr="000C193D">
        <w:rPr>
          <w:rFonts w:asciiTheme="minorHAnsi" w:hAnsiTheme="minorHAnsi" w:cs="Calibri"/>
          <w:bCs/>
        </w:rPr>
        <w:t xml:space="preserve"> clearing obligation under </w:t>
      </w:r>
      <w:proofErr w:type="spellStart"/>
      <w:r w:rsidR="002A06F3" w:rsidRPr="000C193D">
        <w:rPr>
          <w:rFonts w:asciiTheme="minorHAnsi" w:hAnsiTheme="minorHAnsi" w:cs="Calibri"/>
          <w:bCs/>
        </w:rPr>
        <w:t>MiFIR</w:t>
      </w:r>
      <w:proofErr w:type="spellEnd"/>
      <w:r w:rsidR="002A06F3" w:rsidRPr="000C193D">
        <w:rPr>
          <w:rFonts w:asciiTheme="minorHAnsi" w:hAnsiTheme="minorHAnsi" w:cs="Calibri"/>
          <w:bCs/>
        </w:rPr>
        <w:t xml:space="preserve"> as well as Art. 30 para</w:t>
      </w:r>
      <w:r w:rsidR="00A32B23">
        <w:rPr>
          <w:rFonts w:asciiTheme="minorHAnsi" w:hAnsiTheme="minorHAnsi" w:cs="Calibri"/>
          <w:bCs/>
        </w:rPr>
        <w:t>graph</w:t>
      </w:r>
      <w:r w:rsidR="002A06F3" w:rsidRPr="000C193D">
        <w:rPr>
          <w:rFonts w:asciiTheme="minorHAnsi" w:hAnsiTheme="minorHAnsi" w:cs="Calibri"/>
          <w:bCs/>
        </w:rPr>
        <w:t xml:space="preserve"> 1 </w:t>
      </w:r>
      <w:proofErr w:type="spellStart"/>
      <w:r w:rsidR="002A06F3" w:rsidRPr="000C193D">
        <w:rPr>
          <w:rFonts w:asciiTheme="minorHAnsi" w:hAnsiTheme="minorHAnsi" w:cs="Calibri"/>
          <w:bCs/>
        </w:rPr>
        <w:t>MiFIR</w:t>
      </w:r>
      <w:proofErr w:type="spellEnd"/>
      <w:r w:rsidR="002A06F3" w:rsidRPr="000C193D">
        <w:rPr>
          <w:rFonts w:asciiTheme="minorHAnsi" w:hAnsiTheme="minorHAnsi" w:cs="Calibri"/>
          <w:bCs/>
        </w:rPr>
        <w:t xml:space="preserve"> will lead to the circumstance that market participants who access ETD (Exchanged Traded Derivative) either by becoming client of a clearing member or agreeing on indirect clearing arrangements will have to post Variation Margin in cash.</w:t>
      </w:r>
    </w:p>
    <w:p w14:paraId="6F135714" w14:textId="77777777" w:rsidR="002A06F3" w:rsidRPr="000C193D" w:rsidRDefault="002A06F3" w:rsidP="00997751">
      <w:pPr>
        <w:jc w:val="both"/>
        <w:rPr>
          <w:rFonts w:asciiTheme="minorHAnsi" w:hAnsiTheme="minorHAnsi" w:cs="Calibri"/>
          <w:bCs/>
          <w:sz w:val="22"/>
          <w:szCs w:val="22"/>
          <w:lang w:val="en-US"/>
        </w:rPr>
      </w:pPr>
    </w:p>
    <w:p w14:paraId="5400808B" w14:textId="5176E045" w:rsidR="00C92757" w:rsidRPr="000C193D" w:rsidRDefault="00C92757" w:rsidP="00997751">
      <w:pPr>
        <w:jc w:val="both"/>
        <w:rPr>
          <w:rFonts w:asciiTheme="minorHAnsi" w:hAnsiTheme="minorHAnsi" w:cs="Calibri"/>
          <w:bCs/>
          <w:sz w:val="22"/>
          <w:szCs w:val="22"/>
        </w:rPr>
      </w:pPr>
      <w:r w:rsidRPr="000C193D">
        <w:rPr>
          <w:rFonts w:asciiTheme="minorHAnsi" w:hAnsiTheme="minorHAnsi" w:cs="Calibri"/>
          <w:bCs/>
          <w:sz w:val="22"/>
          <w:szCs w:val="22"/>
        </w:rPr>
        <w:t>Thirdly</w:t>
      </w:r>
      <w:r w:rsidR="00170FED">
        <w:rPr>
          <w:rFonts w:asciiTheme="minorHAnsi" w:hAnsiTheme="minorHAnsi" w:cs="Calibri"/>
          <w:bCs/>
          <w:sz w:val="22"/>
          <w:szCs w:val="22"/>
        </w:rPr>
        <w:t>,</w:t>
      </w:r>
      <w:r w:rsidRPr="000C193D">
        <w:rPr>
          <w:rFonts w:asciiTheme="minorHAnsi" w:hAnsiTheme="minorHAnsi" w:cs="Calibri"/>
          <w:bCs/>
          <w:sz w:val="22"/>
          <w:szCs w:val="22"/>
        </w:rPr>
        <w:t xml:space="preserve"> then the diversification </w:t>
      </w:r>
      <w:r w:rsidR="00170FED" w:rsidRPr="000C193D">
        <w:rPr>
          <w:rFonts w:asciiTheme="minorHAnsi" w:hAnsiTheme="minorHAnsi" w:cs="Calibri"/>
          <w:bCs/>
          <w:sz w:val="22"/>
          <w:szCs w:val="22"/>
        </w:rPr>
        <w:t>would</w:t>
      </w:r>
      <w:r w:rsidR="00170FED" w:rsidRPr="000C193D">
        <w:rPr>
          <w:rFonts w:asciiTheme="minorHAnsi" w:hAnsiTheme="minorHAnsi" w:cs="Calibri"/>
          <w:bCs/>
          <w:sz w:val="22"/>
          <w:szCs w:val="22"/>
        </w:rPr>
        <w:t xml:space="preserve"> </w:t>
      </w:r>
      <w:r w:rsidRPr="000C193D">
        <w:rPr>
          <w:rFonts w:asciiTheme="minorHAnsi" w:hAnsiTheme="minorHAnsi" w:cs="Calibri"/>
          <w:bCs/>
          <w:sz w:val="22"/>
          <w:szCs w:val="22"/>
        </w:rPr>
        <w:t>be used to provide extra protection.</w:t>
      </w:r>
    </w:p>
    <w:p w14:paraId="48B82ECB" w14:textId="77777777" w:rsidR="002A06F3" w:rsidRPr="000C193D" w:rsidRDefault="002A06F3"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Making concentration limits regarding securities collateral </w:t>
      </w:r>
      <w:r w:rsidR="00C92757" w:rsidRPr="000C193D">
        <w:rPr>
          <w:rFonts w:asciiTheme="minorHAnsi" w:hAnsiTheme="minorHAnsi" w:cs="Calibri"/>
          <w:bCs/>
          <w:sz w:val="22"/>
          <w:szCs w:val="22"/>
        </w:rPr>
        <w:t xml:space="preserve">mandatory </w:t>
      </w:r>
      <w:r w:rsidRPr="000C193D">
        <w:rPr>
          <w:rFonts w:asciiTheme="minorHAnsi" w:hAnsiTheme="minorHAnsi" w:cs="Calibri"/>
          <w:bCs/>
          <w:sz w:val="22"/>
          <w:szCs w:val="22"/>
        </w:rPr>
        <w:t xml:space="preserve">for all </w:t>
      </w:r>
      <w:r w:rsidR="00485C69" w:rsidRPr="000C193D">
        <w:rPr>
          <w:rFonts w:asciiTheme="minorHAnsi" w:hAnsiTheme="minorHAnsi" w:cs="Calibri"/>
          <w:bCs/>
          <w:sz w:val="22"/>
          <w:szCs w:val="22"/>
        </w:rPr>
        <w:t xml:space="preserve">financial counterparties </w:t>
      </w:r>
      <w:r w:rsidRPr="000C193D">
        <w:rPr>
          <w:rFonts w:asciiTheme="minorHAnsi" w:hAnsiTheme="minorHAnsi" w:cs="Calibri"/>
          <w:bCs/>
          <w:sz w:val="22"/>
          <w:szCs w:val="22"/>
        </w:rPr>
        <w:t>will lead to the consequence that UCITS and other regulated investment funds could be forced to provide cash collateral even if</w:t>
      </w:r>
      <w:r w:rsidR="00485C69" w:rsidRPr="000C193D">
        <w:rPr>
          <w:rFonts w:asciiTheme="minorHAnsi" w:hAnsiTheme="minorHAnsi" w:cs="Calibri"/>
          <w:bCs/>
          <w:sz w:val="22"/>
          <w:szCs w:val="22"/>
        </w:rPr>
        <w:t>,</w:t>
      </w:r>
      <w:r w:rsidRPr="000C193D">
        <w:rPr>
          <w:rFonts w:asciiTheme="minorHAnsi" w:hAnsiTheme="minorHAnsi" w:cs="Calibri"/>
          <w:bCs/>
          <w:sz w:val="22"/>
          <w:szCs w:val="22"/>
        </w:rPr>
        <w:t xml:space="preserve"> in general</w:t>
      </w:r>
      <w:r w:rsidR="00485C69" w:rsidRPr="000C193D">
        <w:rPr>
          <w:rFonts w:asciiTheme="minorHAnsi" w:hAnsiTheme="minorHAnsi" w:cs="Calibri"/>
          <w:bCs/>
          <w:sz w:val="22"/>
          <w:szCs w:val="22"/>
        </w:rPr>
        <w:t>,</w:t>
      </w:r>
      <w:r w:rsidRPr="000C193D">
        <w:rPr>
          <w:rFonts w:asciiTheme="minorHAnsi" w:hAnsiTheme="minorHAnsi" w:cs="Calibri"/>
          <w:bCs/>
          <w:sz w:val="22"/>
          <w:szCs w:val="22"/>
        </w:rPr>
        <w:t xml:space="preserve"> eligible securities collateral would be available. </w:t>
      </w:r>
    </w:p>
    <w:p w14:paraId="5CE803AD" w14:textId="77777777" w:rsidR="007040A7" w:rsidRPr="000C193D" w:rsidRDefault="007040A7" w:rsidP="00997751">
      <w:pPr>
        <w:jc w:val="both"/>
        <w:rPr>
          <w:rFonts w:asciiTheme="minorHAnsi" w:hAnsiTheme="minorHAnsi" w:cs="Calibri"/>
          <w:bCs/>
          <w:sz w:val="22"/>
          <w:szCs w:val="22"/>
        </w:rPr>
      </w:pPr>
    </w:p>
    <w:p w14:paraId="4BE1ED32" w14:textId="77777777" w:rsidR="007C6334" w:rsidRPr="000C193D" w:rsidRDefault="007C6334"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For concentration limits, we already expressed our view </w:t>
      </w:r>
      <w:r w:rsidR="00AB5F0A" w:rsidRPr="000C193D">
        <w:rPr>
          <w:rFonts w:asciiTheme="minorHAnsi" w:hAnsiTheme="minorHAnsi" w:cs="Calibri"/>
          <w:bCs/>
          <w:sz w:val="22"/>
          <w:szCs w:val="22"/>
        </w:rPr>
        <w:t>above</w:t>
      </w:r>
      <w:r w:rsidRPr="000C193D">
        <w:rPr>
          <w:rFonts w:asciiTheme="minorHAnsi" w:hAnsiTheme="minorHAnsi" w:cs="Calibri"/>
          <w:bCs/>
          <w:sz w:val="22"/>
          <w:szCs w:val="22"/>
        </w:rPr>
        <w:t xml:space="preserve"> that they should not apply below a threshold of 100 million € in collateral. We also suggest that </w:t>
      </w:r>
      <w:r w:rsidR="00485C69" w:rsidRPr="000C193D">
        <w:rPr>
          <w:rFonts w:asciiTheme="minorHAnsi" w:hAnsiTheme="minorHAnsi" w:cs="Calibri"/>
          <w:bCs/>
          <w:sz w:val="22"/>
          <w:szCs w:val="22"/>
        </w:rPr>
        <w:t xml:space="preserve">for funds (both UCITS and AIFs) </w:t>
      </w:r>
      <w:r w:rsidRPr="000C193D">
        <w:rPr>
          <w:rFonts w:asciiTheme="minorHAnsi" w:hAnsiTheme="minorHAnsi" w:cs="Calibri"/>
          <w:bCs/>
          <w:sz w:val="22"/>
          <w:szCs w:val="22"/>
        </w:rPr>
        <w:t xml:space="preserve">the percentage be computed on the basis of the NAV. </w:t>
      </w:r>
      <w:r w:rsidR="00485C69" w:rsidRPr="000C193D">
        <w:rPr>
          <w:rFonts w:asciiTheme="minorHAnsi" w:hAnsiTheme="minorHAnsi" w:cs="Calibri"/>
          <w:bCs/>
          <w:sz w:val="22"/>
          <w:szCs w:val="22"/>
        </w:rPr>
        <w:t>Even i</w:t>
      </w:r>
      <w:r w:rsidRPr="000C193D">
        <w:rPr>
          <w:rFonts w:asciiTheme="minorHAnsi" w:hAnsiTheme="minorHAnsi" w:cs="Calibri"/>
          <w:bCs/>
          <w:sz w:val="22"/>
          <w:szCs w:val="22"/>
        </w:rPr>
        <w:t xml:space="preserve">f introducing a specific </w:t>
      </w:r>
      <w:r w:rsidR="00485C69" w:rsidRPr="000C193D">
        <w:rPr>
          <w:rFonts w:asciiTheme="minorHAnsi" w:hAnsiTheme="minorHAnsi" w:cs="Calibri"/>
          <w:bCs/>
          <w:sz w:val="22"/>
          <w:szCs w:val="22"/>
        </w:rPr>
        <w:t xml:space="preserve">rule </w:t>
      </w:r>
      <w:r w:rsidRPr="000C193D">
        <w:rPr>
          <w:rFonts w:asciiTheme="minorHAnsi" w:hAnsiTheme="minorHAnsi" w:cs="Calibri"/>
          <w:bCs/>
          <w:sz w:val="22"/>
          <w:szCs w:val="22"/>
        </w:rPr>
        <w:t xml:space="preserve">for funds </w:t>
      </w:r>
      <w:r w:rsidR="00485C69" w:rsidRPr="000C193D">
        <w:rPr>
          <w:rFonts w:asciiTheme="minorHAnsi" w:hAnsiTheme="minorHAnsi" w:cs="Calibri"/>
          <w:bCs/>
          <w:sz w:val="22"/>
          <w:szCs w:val="22"/>
        </w:rPr>
        <w:t xml:space="preserve">may </w:t>
      </w:r>
      <w:r w:rsidRPr="000C193D">
        <w:rPr>
          <w:rFonts w:asciiTheme="minorHAnsi" w:hAnsiTheme="minorHAnsi" w:cs="Calibri"/>
          <w:bCs/>
          <w:sz w:val="22"/>
          <w:szCs w:val="22"/>
        </w:rPr>
        <w:t xml:space="preserve">seem difficult, we strongly think that it is justified. </w:t>
      </w:r>
      <w:r w:rsidR="00AB5F0A" w:rsidRPr="000C193D">
        <w:rPr>
          <w:rFonts w:asciiTheme="minorHAnsi" w:hAnsiTheme="minorHAnsi" w:cs="Calibri"/>
          <w:bCs/>
          <w:sz w:val="22"/>
          <w:szCs w:val="22"/>
        </w:rPr>
        <w:t>As an alternative that would not be specific to funds, w</w:t>
      </w:r>
      <w:r w:rsidRPr="000C193D">
        <w:rPr>
          <w:rFonts w:asciiTheme="minorHAnsi" w:hAnsiTheme="minorHAnsi" w:cs="Calibri"/>
          <w:bCs/>
          <w:sz w:val="22"/>
          <w:szCs w:val="22"/>
        </w:rPr>
        <w:t>e could establish the ratio with reference to the Notional Amount of the derivative contracts and then apply a much lower figure. This reference would be totally consistent with the thresholds for applicability of the IM requirement (from 3000 billion to 8 billion €).</w:t>
      </w:r>
      <w:r w:rsidR="00AB5F0A" w:rsidRPr="000C193D">
        <w:rPr>
          <w:rFonts w:asciiTheme="minorHAnsi" w:hAnsiTheme="minorHAnsi" w:cs="Calibri"/>
          <w:bCs/>
          <w:sz w:val="22"/>
          <w:szCs w:val="22"/>
        </w:rPr>
        <w:t xml:space="preserve"> Furthermore, we ask that funds complying with ESMA guidelines be considered as compliant with EMIR requirements in terms of collateral diversification.</w:t>
      </w:r>
    </w:p>
    <w:p w14:paraId="2C162B6E" w14:textId="77777777" w:rsidR="007040A7" w:rsidRPr="000C193D" w:rsidRDefault="007040A7" w:rsidP="00997751">
      <w:pPr>
        <w:jc w:val="both"/>
        <w:rPr>
          <w:rFonts w:asciiTheme="minorHAnsi" w:hAnsiTheme="minorHAnsi" w:cs="Calibri"/>
          <w:bCs/>
          <w:sz w:val="22"/>
          <w:szCs w:val="22"/>
        </w:rPr>
      </w:pPr>
    </w:p>
    <w:p w14:paraId="698CEA02" w14:textId="77777777" w:rsidR="00B90B21" w:rsidRPr="000C193D" w:rsidRDefault="0097610F" w:rsidP="00170FED">
      <w:pPr>
        <w:pStyle w:val="ListParagraph"/>
        <w:numPr>
          <w:ilvl w:val="0"/>
          <w:numId w:val="3"/>
        </w:numPr>
        <w:spacing w:after="0" w:line="240" w:lineRule="auto"/>
        <w:contextualSpacing w:val="0"/>
        <w:jc w:val="both"/>
        <w:rPr>
          <w:rFonts w:asciiTheme="minorHAnsi" w:hAnsiTheme="minorHAnsi" w:cs="Calibri"/>
          <w:bCs/>
        </w:rPr>
      </w:pPr>
      <w:r w:rsidRPr="000C193D">
        <w:rPr>
          <w:rFonts w:asciiTheme="minorHAnsi" w:hAnsiTheme="minorHAnsi" w:cs="Calibri"/>
          <w:bCs/>
        </w:rPr>
        <w:t>Limited access to collateral following overlapping regulation</w:t>
      </w:r>
    </w:p>
    <w:p w14:paraId="5DFA40C4" w14:textId="77777777" w:rsidR="0097610F" w:rsidRPr="000C193D" w:rsidRDefault="0097610F" w:rsidP="00170FED">
      <w:pPr>
        <w:jc w:val="both"/>
        <w:rPr>
          <w:rFonts w:asciiTheme="minorHAnsi" w:hAnsiTheme="minorHAnsi" w:cs="Calibri"/>
          <w:bCs/>
          <w:sz w:val="22"/>
          <w:szCs w:val="22"/>
        </w:rPr>
      </w:pPr>
    </w:p>
    <w:p w14:paraId="64938A93" w14:textId="77777777" w:rsidR="00CA53DF" w:rsidRPr="000C193D" w:rsidRDefault="0097610F" w:rsidP="00170FED">
      <w:pPr>
        <w:spacing w:after="120"/>
        <w:jc w:val="both"/>
        <w:rPr>
          <w:rFonts w:asciiTheme="minorHAnsi" w:hAnsiTheme="minorHAnsi" w:cs="Calibri"/>
          <w:bCs/>
          <w:sz w:val="22"/>
          <w:szCs w:val="22"/>
        </w:rPr>
      </w:pPr>
      <w:r w:rsidRPr="000C193D">
        <w:rPr>
          <w:rFonts w:asciiTheme="minorHAnsi" w:hAnsiTheme="minorHAnsi" w:cs="Calibri"/>
          <w:bCs/>
          <w:sz w:val="22"/>
          <w:szCs w:val="22"/>
        </w:rPr>
        <w:t>Regulated investment funds already have problems to meet these collateral requirements:</w:t>
      </w:r>
      <w:r w:rsidR="00485C69" w:rsidRPr="000C193D">
        <w:rPr>
          <w:rFonts w:asciiTheme="minorHAnsi" w:hAnsiTheme="minorHAnsi" w:cs="Calibri"/>
          <w:bCs/>
          <w:sz w:val="22"/>
          <w:szCs w:val="22"/>
        </w:rPr>
        <w:t xml:space="preserve"> </w:t>
      </w:r>
    </w:p>
    <w:p w14:paraId="0B380E69" w14:textId="501DD71A" w:rsidR="00CA53DF" w:rsidRPr="000C193D" w:rsidRDefault="00485C69" w:rsidP="00170FED">
      <w:pPr>
        <w:pStyle w:val="ListParagraph"/>
        <w:numPr>
          <w:ilvl w:val="0"/>
          <w:numId w:val="2"/>
        </w:numPr>
        <w:spacing w:after="120" w:line="240" w:lineRule="auto"/>
        <w:contextualSpacing w:val="0"/>
        <w:jc w:val="both"/>
        <w:rPr>
          <w:rFonts w:asciiTheme="minorHAnsi" w:hAnsiTheme="minorHAnsi" w:cs="Calibri"/>
          <w:bCs/>
        </w:rPr>
      </w:pPr>
      <w:r w:rsidRPr="000C193D">
        <w:rPr>
          <w:rFonts w:asciiTheme="minorHAnsi" w:hAnsiTheme="minorHAnsi" w:cs="Calibri"/>
          <w:bCs/>
        </w:rPr>
        <w:t>i</w:t>
      </w:r>
      <w:r w:rsidR="0097610F" w:rsidRPr="000C193D">
        <w:rPr>
          <w:rFonts w:asciiTheme="minorHAnsi" w:hAnsiTheme="minorHAnsi" w:cs="Calibri"/>
          <w:bCs/>
        </w:rPr>
        <w:t>t is only possible to post securities collateral from the assets being part of the investment fund</w:t>
      </w:r>
      <w:r w:rsidR="00170FED">
        <w:rPr>
          <w:rFonts w:asciiTheme="minorHAnsi" w:hAnsiTheme="minorHAnsi" w:cs="Calibri"/>
          <w:bCs/>
        </w:rPr>
        <w:t>;</w:t>
      </w:r>
      <w:r w:rsidR="0097610F" w:rsidRPr="000C193D">
        <w:rPr>
          <w:rFonts w:asciiTheme="minorHAnsi" w:hAnsiTheme="minorHAnsi" w:cs="Calibri"/>
          <w:bCs/>
        </w:rPr>
        <w:t xml:space="preserve"> </w:t>
      </w:r>
    </w:p>
    <w:p w14:paraId="008D7FEE" w14:textId="443459C1" w:rsidR="00CA53DF" w:rsidRPr="000C193D" w:rsidRDefault="00170FED" w:rsidP="00170FED">
      <w:pPr>
        <w:pStyle w:val="ListParagraph"/>
        <w:numPr>
          <w:ilvl w:val="0"/>
          <w:numId w:val="2"/>
        </w:numPr>
        <w:spacing w:after="120" w:line="240" w:lineRule="auto"/>
        <w:contextualSpacing w:val="0"/>
        <w:jc w:val="both"/>
        <w:rPr>
          <w:rFonts w:asciiTheme="minorHAnsi" w:hAnsiTheme="minorHAnsi" w:cs="Calibri"/>
          <w:bCs/>
        </w:rPr>
      </w:pPr>
      <w:proofErr w:type="gramStart"/>
      <w:r>
        <w:rPr>
          <w:rFonts w:asciiTheme="minorHAnsi" w:hAnsiTheme="minorHAnsi" w:cs="Calibri"/>
          <w:bCs/>
        </w:rPr>
        <w:t>i</w:t>
      </w:r>
      <w:r w:rsidR="0097610F" w:rsidRPr="000C193D">
        <w:rPr>
          <w:rFonts w:asciiTheme="minorHAnsi" w:hAnsiTheme="minorHAnsi" w:cs="Calibri"/>
          <w:bCs/>
        </w:rPr>
        <w:t>f</w:t>
      </w:r>
      <w:proofErr w:type="gramEnd"/>
      <w:r w:rsidR="0097610F" w:rsidRPr="000C193D">
        <w:rPr>
          <w:rFonts w:asciiTheme="minorHAnsi" w:hAnsiTheme="minorHAnsi" w:cs="Calibri"/>
          <w:bCs/>
        </w:rPr>
        <w:t xml:space="preserve"> no securities</w:t>
      </w:r>
      <w:r w:rsidR="00CA53DF" w:rsidRPr="000C193D">
        <w:rPr>
          <w:rFonts w:asciiTheme="minorHAnsi" w:hAnsiTheme="minorHAnsi" w:cs="Calibri"/>
          <w:bCs/>
        </w:rPr>
        <w:t xml:space="preserve"> </w:t>
      </w:r>
      <w:r w:rsidR="0097610F" w:rsidRPr="000C193D">
        <w:rPr>
          <w:rFonts w:asciiTheme="minorHAnsi" w:hAnsiTheme="minorHAnsi" w:cs="Calibri"/>
          <w:bCs/>
        </w:rPr>
        <w:t>eligible as collateral are part of the investment fund, only cash collateral contributions are possible.</w:t>
      </w:r>
      <w:r w:rsidR="00485C69" w:rsidRPr="000C193D">
        <w:rPr>
          <w:rFonts w:asciiTheme="minorHAnsi" w:hAnsiTheme="minorHAnsi" w:cs="Calibri"/>
          <w:bCs/>
        </w:rPr>
        <w:t xml:space="preserve"> </w:t>
      </w:r>
    </w:p>
    <w:p w14:paraId="4F718043" w14:textId="38758DE1" w:rsidR="00B90B21" w:rsidRDefault="0097610F" w:rsidP="00997751">
      <w:pPr>
        <w:jc w:val="both"/>
        <w:rPr>
          <w:rFonts w:asciiTheme="minorHAnsi" w:hAnsiTheme="minorHAnsi" w:cs="Calibri"/>
          <w:bCs/>
          <w:sz w:val="22"/>
          <w:szCs w:val="22"/>
        </w:rPr>
      </w:pPr>
      <w:r w:rsidRPr="000C193D">
        <w:rPr>
          <w:rFonts w:asciiTheme="minorHAnsi" w:hAnsiTheme="minorHAnsi" w:cs="Calibri"/>
          <w:bCs/>
          <w:sz w:val="22"/>
          <w:szCs w:val="22"/>
        </w:rPr>
        <w:t>According to Art. 51 para</w:t>
      </w:r>
      <w:r w:rsidR="00A32B23">
        <w:rPr>
          <w:rFonts w:asciiTheme="minorHAnsi" w:hAnsiTheme="minorHAnsi" w:cs="Calibri"/>
          <w:bCs/>
          <w:sz w:val="22"/>
          <w:szCs w:val="22"/>
        </w:rPr>
        <w:t>graph</w:t>
      </w:r>
      <w:r w:rsidRPr="000C193D">
        <w:rPr>
          <w:rFonts w:asciiTheme="minorHAnsi" w:hAnsiTheme="minorHAnsi" w:cs="Calibri"/>
          <w:bCs/>
          <w:sz w:val="22"/>
          <w:szCs w:val="22"/>
        </w:rPr>
        <w:t xml:space="preserve"> 2 of Directive 2009/65/EC, Member States have authorized UCITS funds to agree on efficient portfolio management techniques. </w:t>
      </w:r>
    </w:p>
    <w:p w14:paraId="27640BE5" w14:textId="77777777" w:rsidR="00170FED" w:rsidRPr="000C193D" w:rsidRDefault="00170FED" w:rsidP="00997751">
      <w:pPr>
        <w:jc w:val="both"/>
        <w:rPr>
          <w:rFonts w:asciiTheme="minorHAnsi" w:hAnsiTheme="minorHAnsi" w:cs="Calibri"/>
          <w:bCs/>
          <w:sz w:val="22"/>
          <w:szCs w:val="22"/>
        </w:rPr>
      </w:pPr>
    </w:p>
    <w:p w14:paraId="50526A06" w14:textId="77777777" w:rsidR="0097610F" w:rsidRPr="000C193D" w:rsidRDefault="0097610F"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Nevertheless, in most Member States, regulated investment funds are not allowed to borrow securities which they could use in order to provide eligible collateral to their counterparty (cf. recital 13 of Directive 2007/16/EC); but even if they were allowed to, according to paragraph 42 and 43 </w:t>
      </w:r>
      <w:proofErr w:type="spellStart"/>
      <w:r w:rsidRPr="000C193D">
        <w:rPr>
          <w:rFonts w:asciiTheme="minorHAnsi" w:hAnsiTheme="minorHAnsi" w:cs="Calibri"/>
          <w:bCs/>
          <w:sz w:val="22"/>
          <w:szCs w:val="22"/>
        </w:rPr>
        <w:t>i</w:t>
      </w:r>
      <w:proofErr w:type="spellEnd"/>
      <w:r w:rsidRPr="000C193D">
        <w:rPr>
          <w:rFonts w:asciiTheme="minorHAnsi" w:hAnsiTheme="minorHAnsi" w:cs="Calibri"/>
          <w:bCs/>
          <w:sz w:val="22"/>
          <w:szCs w:val="22"/>
        </w:rPr>
        <w:t>) of ESMA’s Guidelines on ETFs and other UCITS issues (ESMA/2012/ 832EN), implemented in all Member States, at least UCITS would not be allowed to use the borrowed security for posting eligible security collateral.</w:t>
      </w:r>
    </w:p>
    <w:p w14:paraId="04BA4BC3" w14:textId="77777777" w:rsidR="005512D9" w:rsidRPr="000C193D" w:rsidRDefault="005512D9" w:rsidP="00997751">
      <w:pPr>
        <w:jc w:val="both"/>
        <w:rPr>
          <w:rFonts w:asciiTheme="minorHAnsi" w:hAnsiTheme="minorHAnsi" w:cs="Calibri"/>
          <w:bCs/>
          <w:sz w:val="22"/>
          <w:szCs w:val="22"/>
        </w:rPr>
      </w:pPr>
    </w:p>
    <w:p w14:paraId="79F93AAC" w14:textId="77777777" w:rsidR="007D2465" w:rsidRPr="000C193D" w:rsidRDefault="0097610F" w:rsidP="00170FED">
      <w:pPr>
        <w:jc w:val="both"/>
        <w:rPr>
          <w:rFonts w:asciiTheme="minorHAnsi" w:hAnsiTheme="minorHAnsi" w:cs="Calibri"/>
          <w:bCs/>
          <w:sz w:val="22"/>
          <w:szCs w:val="22"/>
        </w:rPr>
      </w:pPr>
      <w:r w:rsidRPr="000C193D">
        <w:rPr>
          <w:rFonts w:asciiTheme="minorHAnsi" w:hAnsiTheme="minorHAnsi" w:cs="Calibri"/>
          <w:bCs/>
          <w:sz w:val="22"/>
          <w:szCs w:val="22"/>
        </w:rPr>
        <w:t xml:space="preserve">With the implementation of ESMA’s Guidelines on ETFs and other UCITS issues into national law, regulated investment funds, such as UCITS, furthermore lost their ability to access liquidity via repurchase agreements. According to paragraph 42 and 43 j) of </w:t>
      </w:r>
      <w:r w:rsidR="007D2465" w:rsidRPr="000C193D">
        <w:rPr>
          <w:rFonts w:asciiTheme="minorHAnsi" w:hAnsiTheme="minorHAnsi" w:cs="Calibri"/>
          <w:bCs/>
          <w:sz w:val="22"/>
          <w:szCs w:val="22"/>
        </w:rPr>
        <w:t>those guidelines</w:t>
      </w:r>
      <w:r w:rsidR="00FB41BF" w:rsidRPr="000C193D">
        <w:rPr>
          <w:rFonts w:asciiTheme="minorHAnsi" w:hAnsiTheme="minorHAnsi" w:cs="Calibri"/>
          <w:bCs/>
          <w:sz w:val="22"/>
          <w:szCs w:val="22"/>
        </w:rPr>
        <w:t xml:space="preserve"> </w:t>
      </w:r>
      <w:r w:rsidRPr="000C193D">
        <w:rPr>
          <w:rFonts w:asciiTheme="minorHAnsi" w:hAnsiTheme="minorHAnsi" w:cs="Calibri"/>
          <w:bCs/>
          <w:sz w:val="22"/>
          <w:szCs w:val="22"/>
        </w:rPr>
        <w:t>(it especially is not allowed to use the purchase price received under a repurchase agreement for posting cash collateral or for buying eligible securities collateral</w:t>
      </w:r>
      <w:r w:rsidR="007D2465" w:rsidRPr="000C193D">
        <w:rPr>
          <w:rFonts w:asciiTheme="minorHAnsi" w:hAnsiTheme="minorHAnsi" w:cs="Calibri"/>
          <w:bCs/>
          <w:sz w:val="22"/>
          <w:szCs w:val="22"/>
        </w:rPr>
        <w:t>:</w:t>
      </w:r>
    </w:p>
    <w:p w14:paraId="694CD995" w14:textId="77777777" w:rsidR="0097610F" w:rsidRPr="000C193D" w:rsidRDefault="0097610F" w:rsidP="00170FED">
      <w:pPr>
        <w:jc w:val="both"/>
        <w:rPr>
          <w:rFonts w:asciiTheme="minorHAnsi" w:hAnsiTheme="minorHAnsi" w:cs="Calibri"/>
          <w:bCs/>
          <w:sz w:val="22"/>
          <w:szCs w:val="22"/>
        </w:rPr>
      </w:pPr>
    </w:p>
    <w:p w14:paraId="44442822" w14:textId="141D62D0" w:rsidR="00B90B21" w:rsidRPr="000C193D" w:rsidRDefault="00170FED" w:rsidP="00170FED">
      <w:pPr>
        <w:pStyle w:val="ListParagraph"/>
        <w:numPr>
          <w:ilvl w:val="0"/>
          <w:numId w:val="2"/>
        </w:numPr>
        <w:spacing w:after="120" w:line="240" w:lineRule="auto"/>
        <w:contextualSpacing w:val="0"/>
        <w:jc w:val="both"/>
        <w:rPr>
          <w:rFonts w:asciiTheme="minorHAnsi" w:hAnsiTheme="minorHAnsi" w:cs="Calibri"/>
          <w:bCs/>
        </w:rPr>
      </w:pPr>
      <w:r>
        <w:rPr>
          <w:rFonts w:asciiTheme="minorHAnsi" w:hAnsiTheme="minorHAnsi" w:cs="Calibri"/>
          <w:bCs/>
        </w:rPr>
        <w:lastRenderedPageBreak/>
        <w:t>l</w:t>
      </w:r>
      <w:r w:rsidR="0097610F" w:rsidRPr="000C193D">
        <w:rPr>
          <w:rFonts w:asciiTheme="minorHAnsi" w:hAnsiTheme="minorHAnsi" w:cs="Calibri"/>
          <w:bCs/>
        </w:rPr>
        <w:t xml:space="preserve">oans as source for liquidity (and cash collateral contributions) are limited by 10 per cent of the investment funds assets </w:t>
      </w:r>
      <w:r w:rsidR="005512D9" w:rsidRPr="000C193D">
        <w:rPr>
          <w:rFonts w:asciiTheme="minorHAnsi" w:hAnsiTheme="minorHAnsi" w:cs="Calibri"/>
          <w:bCs/>
        </w:rPr>
        <w:t xml:space="preserve">and for a 3 months maximum time </w:t>
      </w:r>
      <w:r w:rsidR="0097610F" w:rsidRPr="000C193D">
        <w:rPr>
          <w:rFonts w:asciiTheme="minorHAnsi" w:hAnsiTheme="minorHAnsi" w:cs="Calibri"/>
          <w:bCs/>
        </w:rPr>
        <w:t>(A</w:t>
      </w:r>
      <w:r>
        <w:rPr>
          <w:rFonts w:asciiTheme="minorHAnsi" w:hAnsiTheme="minorHAnsi" w:cs="Calibri"/>
          <w:bCs/>
        </w:rPr>
        <w:t>rt. 83 of Directive 2009/65/EC);</w:t>
      </w:r>
    </w:p>
    <w:p w14:paraId="05C475A0" w14:textId="7B4201E1" w:rsidR="00B90B21" w:rsidRPr="000C193D" w:rsidRDefault="00170FED" w:rsidP="00170FED">
      <w:pPr>
        <w:pStyle w:val="ListParagraph"/>
        <w:numPr>
          <w:ilvl w:val="0"/>
          <w:numId w:val="2"/>
        </w:numPr>
        <w:spacing w:after="0" w:line="240" w:lineRule="auto"/>
        <w:ind w:left="714" w:hanging="357"/>
        <w:contextualSpacing w:val="0"/>
        <w:jc w:val="both"/>
        <w:rPr>
          <w:rFonts w:asciiTheme="minorHAnsi" w:hAnsiTheme="minorHAnsi" w:cs="Calibri"/>
          <w:bCs/>
        </w:rPr>
      </w:pPr>
      <w:proofErr w:type="gramStart"/>
      <w:r>
        <w:rPr>
          <w:rFonts w:asciiTheme="minorHAnsi" w:hAnsiTheme="minorHAnsi" w:cs="Calibri"/>
          <w:bCs/>
        </w:rPr>
        <w:t>t</w:t>
      </w:r>
      <w:r w:rsidR="0097610F" w:rsidRPr="000C193D">
        <w:rPr>
          <w:rFonts w:asciiTheme="minorHAnsi" w:hAnsiTheme="minorHAnsi" w:cs="Calibri"/>
          <w:bCs/>
        </w:rPr>
        <w:t>he</w:t>
      </w:r>
      <w:proofErr w:type="gramEnd"/>
      <w:r w:rsidR="0097610F" w:rsidRPr="000C193D">
        <w:rPr>
          <w:rFonts w:asciiTheme="minorHAnsi" w:hAnsiTheme="minorHAnsi" w:cs="Calibri"/>
          <w:bCs/>
        </w:rPr>
        <w:t xml:space="preserve"> asset manager is obliged to invest and any remaining liquidity or liquidity gained via loans (please see above) is primarily required to </w:t>
      </w:r>
      <w:r w:rsidR="00A32B23" w:rsidRPr="000C193D">
        <w:rPr>
          <w:rFonts w:asciiTheme="minorHAnsi" w:hAnsiTheme="minorHAnsi" w:cs="Calibri"/>
          <w:bCs/>
        </w:rPr>
        <w:t>fulfill</w:t>
      </w:r>
      <w:r w:rsidR="0097610F" w:rsidRPr="000C193D">
        <w:rPr>
          <w:rFonts w:asciiTheme="minorHAnsi" w:hAnsiTheme="minorHAnsi" w:cs="Calibri"/>
          <w:bCs/>
        </w:rPr>
        <w:t xml:space="preserve"> redemption requests of the investment fund.</w:t>
      </w:r>
      <w:r>
        <w:rPr>
          <w:rFonts w:asciiTheme="minorHAnsi" w:hAnsiTheme="minorHAnsi" w:cs="Calibri"/>
          <w:bCs/>
        </w:rPr>
        <w:t xml:space="preserve"> </w:t>
      </w:r>
    </w:p>
    <w:p w14:paraId="5CE1235C" w14:textId="77777777" w:rsidR="005512D9" w:rsidRPr="000C193D" w:rsidRDefault="005512D9" w:rsidP="00170FED">
      <w:pPr>
        <w:jc w:val="both"/>
        <w:rPr>
          <w:rFonts w:asciiTheme="minorHAnsi" w:hAnsiTheme="minorHAnsi" w:cs="Calibri"/>
          <w:bCs/>
          <w:sz w:val="22"/>
          <w:szCs w:val="22"/>
        </w:rPr>
      </w:pPr>
    </w:p>
    <w:p w14:paraId="44166F04" w14:textId="77777777" w:rsidR="0097610F" w:rsidRDefault="0097610F" w:rsidP="00170FED">
      <w:pPr>
        <w:jc w:val="both"/>
        <w:rPr>
          <w:rFonts w:asciiTheme="minorHAnsi" w:hAnsiTheme="minorHAnsi" w:cs="Calibri"/>
          <w:bCs/>
          <w:sz w:val="22"/>
          <w:szCs w:val="22"/>
        </w:rPr>
      </w:pPr>
      <w:r w:rsidRPr="000C193D">
        <w:rPr>
          <w:rFonts w:asciiTheme="minorHAnsi" w:hAnsiTheme="minorHAnsi" w:cs="Calibri"/>
          <w:bCs/>
          <w:sz w:val="22"/>
          <w:szCs w:val="22"/>
        </w:rPr>
        <w:t xml:space="preserve">As explained, new regulations lead to an intensive increase of liquidity demand. At the same time ESMA’s Guidelines </w:t>
      </w:r>
      <w:r w:rsidR="00997751" w:rsidRPr="000C193D">
        <w:rPr>
          <w:rFonts w:asciiTheme="minorHAnsi" w:hAnsiTheme="minorHAnsi" w:cs="Calibri"/>
          <w:bCs/>
          <w:sz w:val="22"/>
          <w:szCs w:val="22"/>
        </w:rPr>
        <w:t xml:space="preserve">on ETFs and other UCITS issues </w:t>
      </w:r>
      <w:r w:rsidRPr="000C193D">
        <w:rPr>
          <w:rFonts w:asciiTheme="minorHAnsi" w:hAnsiTheme="minorHAnsi" w:cs="Calibri"/>
          <w:bCs/>
          <w:sz w:val="22"/>
          <w:szCs w:val="22"/>
        </w:rPr>
        <w:t>especially limit UCITS’ ability to gain liquidity by closing the UCITS’ main source of liquidity. This overlapping regulation makes it more and more difficult to hedge existing market risks, which was not the G</w:t>
      </w:r>
      <w:r w:rsidR="007D2465" w:rsidRPr="000C193D">
        <w:rPr>
          <w:rFonts w:asciiTheme="minorHAnsi" w:hAnsiTheme="minorHAnsi" w:cs="Calibri"/>
          <w:bCs/>
          <w:sz w:val="22"/>
          <w:szCs w:val="22"/>
        </w:rPr>
        <w:t>-</w:t>
      </w:r>
      <w:r w:rsidRPr="000C193D">
        <w:rPr>
          <w:rFonts w:asciiTheme="minorHAnsi" w:hAnsiTheme="minorHAnsi" w:cs="Calibri"/>
          <w:bCs/>
          <w:sz w:val="22"/>
          <w:szCs w:val="22"/>
        </w:rPr>
        <w:t>20’s goal</w:t>
      </w:r>
      <w:r w:rsidR="00B42D36" w:rsidRPr="000C193D">
        <w:rPr>
          <w:rStyle w:val="FootnoteReference"/>
          <w:rFonts w:asciiTheme="minorHAnsi" w:hAnsiTheme="minorHAnsi" w:cs="Calibri"/>
          <w:bCs/>
          <w:sz w:val="22"/>
          <w:szCs w:val="22"/>
        </w:rPr>
        <w:footnoteReference w:id="2"/>
      </w:r>
      <w:r w:rsidRPr="000C193D">
        <w:rPr>
          <w:rFonts w:asciiTheme="minorHAnsi" w:hAnsiTheme="minorHAnsi" w:cs="Calibri"/>
          <w:bCs/>
          <w:sz w:val="22"/>
          <w:szCs w:val="22"/>
        </w:rPr>
        <w:t>.</w:t>
      </w:r>
    </w:p>
    <w:p w14:paraId="45327631" w14:textId="32B97B4E" w:rsidR="007D2465" w:rsidRPr="000C193D" w:rsidRDefault="0097610F" w:rsidP="00997751">
      <w:pPr>
        <w:jc w:val="both"/>
        <w:rPr>
          <w:rFonts w:asciiTheme="minorHAnsi" w:hAnsiTheme="minorHAnsi" w:cs="Calibri"/>
          <w:bCs/>
          <w:sz w:val="22"/>
          <w:szCs w:val="22"/>
        </w:rPr>
      </w:pPr>
      <w:r w:rsidRPr="000C193D">
        <w:rPr>
          <w:rFonts w:asciiTheme="minorHAnsi" w:hAnsiTheme="minorHAnsi" w:cs="Calibri"/>
          <w:bCs/>
          <w:sz w:val="22"/>
          <w:szCs w:val="22"/>
        </w:rPr>
        <w:t>According to Art. 5 para</w:t>
      </w:r>
      <w:r w:rsidR="00A32B23">
        <w:rPr>
          <w:rFonts w:asciiTheme="minorHAnsi" w:hAnsiTheme="minorHAnsi" w:cs="Calibri"/>
          <w:bCs/>
          <w:sz w:val="22"/>
          <w:szCs w:val="22"/>
        </w:rPr>
        <w:t>graph</w:t>
      </w:r>
      <w:r w:rsidRPr="000C193D">
        <w:rPr>
          <w:rFonts w:asciiTheme="minorHAnsi" w:hAnsiTheme="minorHAnsi" w:cs="Calibri"/>
          <w:bCs/>
          <w:sz w:val="22"/>
          <w:szCs w:val="22"/>
        </w:rPr>
        <w:t xml:space="preserve"> 3 LEC of the Draft RTS </w:t>
      </w:r>
      <w:r w:rsidR="007D2465" w:rsidRPr="000C193D">
        <w:rPr>
          <w:rFonts w:asciiTheme="minorHAnsi" w:hAnsiTheme="minorHAnsi" w:cs="Calibri"/>
          <w:bCs/>
          <w:sz w:val="22"/>
          <w:szCs w:val="22"/>
        </w:rPr>
        <w:t xml:space="preserve">the </w:t>
      </w:r>
      <w:r w:rsidRPr="000C193D">
        <w:rPr>
          <w:rFonts w:asciiTheme="minorHAnsi" w:hAnsiTheme="minorHAnsi" w:cs="Calibri"/>
          <w:bCs/>
          <w:sz w:val="22"/>
          <w:szCs w:val="22"/>
        </w:rPr>
        <w:t xml:space="preserve">ESAs’ </w:t>
      </w:r>
      <w:r w:rsidR="007D2465" w:rsidRPr="000C193D">
        <w:rPr>
          <w:rFonts w:asciiTheme="minorHAnsi" w:hAnsiTheme="minorHAnsi" w:cs="Calibri"/>
          <w:bCs/>
          <w:sz w:val="22"/>
          <w:szCs w:val="22"/>
        </w:rPr>
        <w:t xml:space="preserve">are of the </w:t>
      </w:r>
      <w:r w:rsidRPr="000C193D">
        <w:rPr>
          <w:rFonts w:asciiTheme="minorHAnsi" w:hAnsiTheme="minorHAnsi" w:cs="Calibri"/>
          <w:bCs/>
          <w:sz w:val="22"/>
          <w:szCs w:val="22"/>
        </w:rPr>
        <w:t xml:space="preserve">opinion that UCITS </w:t>
      </w:r>
      <w:r w:rsidR="00AB5F0A" w:rsidRPr="000C193D">
        <w:rPr>
          <w:rFonts w:asciiTheme="minorHAnsi" w:hAnsiTheme="minorHAnsi" w:cs="Calibri"/>
          <w:bCs/>
          <w:sz w:val="22"/>
          <w:szCs w:val="22"/>
        </w:rPr>
        <w:t>are</w:t>
      </w:r>
      <w:r w:rsidRPr="000C193D">
        <w:rPr>
          <w:rFonts w:asciiTheme="minorHAnsi" w:hAnsiTheme="minorHAnsi" w:cs="Calibri"/>
          <w:bCs/>
          <w:sz w:val="22"/>
          <w:szCs w:val="22"/>
        </w:rPr>
        <w:t xml:space="preserve"> able to use derivatives for hedging permitted investments</w:t>
      </w:r>
      <w:r w:rsidR="00AB5F0A" w:rsidRPr="000C193D">
        <w:rPr>
          <w:rFonts w:asciiTheme="minorHAnsi" w:hAnsiTheme="minorHAnsi" w:cs="Calibri"/>
          <w:bCs/>
          <w:sz w:val="22"/>
          <w:szCs w:val="22"/>
        </w:rPr>
        <w:t xml:space="preserve"> without losing their eligibility as collateral</w:t>
      </w:r>
      <w:r w:rsidRPr="000C193D">
        <w:rPr>
          <w:rFonts w:asciiTheme="minorHAnsi" w:hAnsiTheme="minorHAnsi" w:cs="Calibri"/>
          <w:bCs/>
          <w:sz w:val="22"/>
          <w:szCs w:val="22"/>
        </w:rPr>
        <w:t xml:space="preserve">. </w:t>
      </w:r>
    </w:p>
    <w:p w14:paraId="3BED1F13" w14:textId="77777777" w:rsidR="007D2465" w:rsidRPr="000C193D" w:rsidRDefault="007D2465" w:rsidP="00997751">
      <w:pPr>
        <w:jc w:val="both"/>
        <w:rPr>
          <w:rFonts w:asciiTheme="minorHAnsi" w:hAnsiTheme="minorHAnsi" w:cs="Calibri"/>
          <w:bCs/>
          <w:sz w:val="22"/>
          <w:szCs w:val="22"/>
        </w:rPr>
      </w:pPr>
    </w:p>
    <w:p w14:paraId="12CDFD9D" w14:textId="77777777" w:rsidR="0097610F" w:rsidRPr="000C193D" w:rsidRDefault="0097610F"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As it has never been the </w:t>
      </w:r>
      <w:r w:rsidR="007D2465" w:rsidRPr="000C193D">
        <w:rPr>
          <w:rFonts w:asciiTheme="minorHAnsi" w:hAnsiTheme="minorHAnsi" w:cs="Calibri"/>
          <w:bCs/>
          <w:sz w:val="22"/>
          <w:szCs w:val="22"/>
        </w:rPr>
        <w:t xml:space="preserve">intention </w:t>
      </w:r>
      <w:r w:rsidRPr="000C193D">
        <w:rPr>
          <w:rFonts w:asciiTheme="minorHAnsi" w:hAnsiTheme="minorHAnsi" w:cs="Calibri"/>
          <w:bCs/>
          <w:sz w:val="22"/>
          <w:szCs w:val="22"/>
        </w:rPr>
        <w:t xml:space="preserve">of </w:t>
      </w:r>
      <w:r w:rsidR="007D2465" w:rsidRPr="000C193D">
        <w:rPr>
          <w:rFonts w:asciiTheme="minorHAnsi" w:hAnsiTheme="minorHAnsi" w:cs="Calibri"/>
          <w:bCs/>
          <w:sz w:val="22"/>
          <w:szCs w:val="22"/>
        </w:rPr>
        <w:t xml:space="preserve">the </w:t>
      </w:r>
      <w:r w:rsidRPr="000C193D">
        <w:rPr>
          <w:rFonts w:asciiTheme="minorHAnsi" w:hAnsiTheme="minorHAnsi" w:cs="Calibri"/>
          <w:bCs/>
          <w:sz w:val="22"/>
          <w:szCs w:val="22"/>
        </w:rPr>
        <w:t>G-20 to limit the market participants</w:t>
      </w:r>
      <w:r w:rsidR="007040A7" w:rsidRPr="000C193D">
        <w:rPr>
          <w:rFonts w:asciiTheme="minorHAnsi" w:hAnsiTheme="minorHAnsi" w:cs="Calibri"/>
          <w:bCs/>
          <w:sz w:val="22"/>
          <w:szCs w:val="22"/>
        </w:rPr>
        <w:t>’</w:t>
      </w:r>
      <w:r w:rsidRPr="000C193D">
        <w:rPr>
          <w:rFonts w:asciiTheme="minorHAnsi" w:hAnsiTheme="minorHAnsi" w:cs="Calibri"/>
          <w:bCs/>
          <w:sz w:val="22"/>
          <w:szCs w:val="22"/>
        </w:rPr>
        <w:t xml:space="preserve"> ability to hedge existing market risks, we </w:t>
      </w:r>
      <w:r w:rsidR="007D2465" w:rsidRPr="000C193D">
        <w:rPr>
          <w:rFonts w:asciiTheme="minorHAnsi" w:hAnsiTheme="minorHAnsi" w:cs="Calibri"/>
          <w:bCs/>
          <w:sz w:val="22"/>
          <w:szCs w:val="22"/>
        </w:rPr>
        <w:t xml:space="preserve">wish to </w:t>
      </w:r>
      <w:r w:rsidRPr="000C193D">
        <w:rPr>
          <w:rFonts w:asciiTheme="minorHAnsi" w:hAnsiTheme="minorHAnsi" w:cs="Calibri"/>
          <w:bCs/>
          <w:sz w:val="22"/>
          <w:szCs w:val="22"/>
        </w:rPr>
        <w:t>stress that it is one of the most important issues to solve the problems created by the aforementioned Guidelines of ESMA.</w:t>
      </w:r>
    </w:p>
    <w:p w14:paraId="719B3392" w14:textId="77777777" w:rsidR="000569C5" w:rsidRPr="000C193D" w:rsidRDefault="000569C5" w:rsidP="00997751">
      <w:pPr>
        <w:jc w:val="both"/>
        <w:rPr>
          <w:rFonts w:asciiTheme="minorHAnsi" w:hAnsiTheme="minorHAnsi" w:cs="Calibri"/>
          <w:bCs/>
          <w:sz w:val="22"/>
          <w:szCs w:val="22"/>
        </w:rPr>
      </w:pPr>
    </w:p>
    <w:p w14:paraId="6A165D99" w14:textId="77777777" w:rsidR="00597A88" w:rsidRPr="000C193D" w:rsidRDefault="00597A88" w:rsidP="00997751">
      <w:pPr>
        <w:jc w:val="both"/>
        <w:rPr>
          <w:rFonts w:asciiTheme="minorHAnsi" w:hAnsiTheme="minorHAnsi" w:cs="Calibri"/>
          <w:bCs/>
          <w:sz w:val="22"/>
          <w:szCs w:val="22"/>
        </w:rPr>
      </w:pPr>
      <w:r w:rsidRPr="000C193D">
        <w:rPr>
          <w:rFonts w:asciiTheme="minorHAnsi" w:hAnsiTheme="minorHAnsi" w:cs="Calibri"/>
          <w:bCs/>
          <w:sz w:val="22"/>
          <w:szCs w:val="22"/>
        </w:rPr>
        <w:t>For the reasons given above, negative effects following the implementation of collateral concentration limits by all financial counterparties could be mitigated either by amending ESMAs Guidelines (Article 43 j and more precisely Q6j on the Q&amp;A) or considering a provision in the RTS that all financial counterparties (or at least UCITS) shall be allowed to use the purchase price gained under a repurchase agreement for making Initial or Variation Margin contributions.</w:t>
      </w:r>
    </w:p>
    <w:p w14:paraId="7D984EF2" w14:textId="77777777" w:rsidR="00597A88" w:rsidRPr="000C193D" w:rsidRDefault="00597A88" w:rsidP="00997751">
      <w:pPr>
        <w:jc w:val="both"/>
        <w:rPr>
          <w:rFonts w:asciiTheme="minorHAnsi" w:hAnsiTheme="minorHAnsi" w:cs="Calibri"/>
          <w:bCs/>
          <w:sz w:val="22"/>
          <w:szCs w:val="22"/>
        </w:rPr>
      </w:pPr>
    </w:p>
    <w:p w14:paraId="5719A1E8" w14:textId="77777777" w:rsidR="00B90B21" w:rsidRPr="000C193D" w:rsidRDefault="005957EE" w:rsidP="00997751">
      <w:pPr>
        <w:pStyle w:val="ListParagraph"/>
        <w:numPr>
          <w:ilvl w:val="0"/>
          <w:numId w:val="3"/>
        </w:numPr>
        <w:jc w:val="both"/>
        <w:rPr>
          <w:rFonts w:asciiTheme="minorHAnsi" w:hAnsiTheme="minorHAnsi" w:cs="Calibri"/>
          <w:bCs/>
        </w:rPr>
      </w:pPr>
      <w:r w:rsidRPr="000C193D">
        <w:rPr>
          <w:rFonts w:asciiTheme="minorHAnsi" w:hAnsiTheme="minorHAnsi" w:cs="Calibri"/>
          <w:bCs/>
          <w:lang w:val="en-GB"/>
        </w:rPr>
        <w:t>Shares composing main indices should not be capped at 40%.</w:t>
      </w:r>
    </w:p>
    <w:p w14:paraId="0D653533" w14:textId="77777777" w:rsidR="005957EE" w:rsidRPr="000C193D" w:rsidRDefault="005957EE" w:rsidP="00170FED">
      <w:pPr>
        <w:spacing w:after="120"/>
        <w:jc w:val="both"/>
        <w:rPr>
          <w:rFonts w:asciiTheme="minorHAnsi" w:hAnsiTheme="minorHAnsi" w:cs="Calibri"/>
          <w:bCs/>
          <w:sz w:val="22"/>
          <w:szCs w:val="22"/>
        </w:rPr>
      </w:pPr>
      <w:r w:rsidRPr="000C193D">
        <w:rPr>
          <w:rFonts w:asciiTheme="minorHAnsi" w:hAnsiTheme="minorHAnsi" w:cs="Calibri"/>
          <w:bCs/>
          <w:sz w:val="22"/>
          <w:szCs w:val="22"/>
        </w:rPr>
        <w:t>We do not</w:t>
      </w:r>
      <w:r w:rsidR="000569C5" w:rsidRPr="000C193D">
        <w:rPr>
          <w:rFonts w:asciiTheme="minorHAnsi" w:hAnsiTheme="minorHAnsi" w:cs="Calibri"/>
          <w:bCs/>
          <w:sz w:val="22"/>
          <w:szCs w:val="22"/>
        </w:rPr>
        <w:t xml:space="preserve"> share the idea to include shares of components of the main indices in the 40% limit that is suggested for convertible, shares and other instruments</w:t>
      </w:r>
      <w:r w:rsidR="007D2465" w:rsidRPr="000C193D">
        <w:rPr>
          <w:rFonts w:asciiTheme="minorHAnsi" w:hAnsiTheme="minorHAnsi" w:cs="Calibri"/>
          <w:bCs/>
          <w:sz w:val="22"/>
          <w:szCs w:val="22"/>
        </w:rPr>
        <w:t xml:space="preserve"> for the following reasons:</w:t>
      </w:r>
      <w:r w:rsidR="000569C5" w:rsidRPr="000C193D">
        <w:rPr>
          <w:rFonts w:asciiTheme="minorHAnsi" w:hAnsiTheme="minorHAnsi" w:cs="Calibri"/>
          <w:bCs/>
          <w:sz w:val="22"/>
          <w:szCs w:val="22"/>
        </w:rPr>
        <w:t xml:space="preserve"> </w:t>
      </w:r>
    </w:p>
    <w:p w14:paraId="7EB698ED" w14:textId="77777777" w:rsidR="00CA53DF" w:rsidRPr="000C193D" w:rsidRDefault="000569C5" w:rsidP="00170FED">
      <w:pPr>
        <w:pStyle w:val="ListParagraph"/>
        <w:numPr>
          <w:ilvl w:val="0"/>
          <w:numId w:val="2"/>
        </w:numPr>
        <w:spacing w:after="120" w:line="240" w:lineRule="auto"/>
        <w:contextualSpacing w:val="0"/>
        <w:jc w:val="both"/>
        <w:rPr>
          <w:rFonts w:asciiTheme="minorHAnsi" w:hAnsiTheme="minorHAnsi" w:cs="Calibri"/>
          <w:bCs/>
        </w:rPr>
      </w:pPr>
      <w:r w:rsidRPr="000C193D">
        <w:rPr>
          <w:rFonts w:asciiTheme="minorHAnsi" w:hAnsiTheme="minorHAnsi" w:cs="Calibri"/>
          <w:bCs/>
        </w:rPr>
        <w:t>this proposal is not consistent with the fact that shares are highly liquid and remain one of the few actively traded instruments in periods of stress, probably because of the diversity of types of shareholders</w:t>
      </w:r>
      <w:r w:rsidR="00CA53DF" w:rsidRPr="000C193D">
        <w:rPr>
          <w:rFonts w:asciiTheme="minorHAnsi" w:hAnsiTheme="minorHAnsi" w:cs="Calibri"/>
          <w:bCs/>
        </w:rPr>
        <w:t xml:space="preserve">, </w:t>
      </w:r>
    </w:p>
    <w:p w14:paraId="3E15AD2A" w14:textId="77777777" w:rsidR="000569C5" w:rsidRPr="000C193D" w:rsidRDefault="000569C5" w:rsidP="00170FED">
      <w:pPr>
        <w:pStyle w:val="ListParagraph"/>
        <w:numPr>
          <w:ilvl w:val="0"/>
          <w:numId w:val="2"/>
        </w:numPr>
        <w:spacing w:after="120" w:line="240" w:lineRule="auto"/>
        <w:contextualSpacing w:val="0"/>
        <w:jc w:val="both"/>
        <w:rPr>
          <w:rFonts w:asciiTheme="minorHAnsi" w:hAnsiTheme="minorHAnsi"/>
        </w:rPr>
      </w:pPr>
      <w:proofErr w:type="gramStart"/>
      <w:r w:rsidRPr="000C193D">
        <w:rPr>
          <w:rFonts w:asciiTheme="minorHAnsi" w:hAnsiTheme="minorHAnsi"/>
        </w:rPr>
        <w:t>this</w:t>
      </w:r>
      <w:proofErr w:type="gramEnd"/>
      <w:r w:rsidRPr="000C193D">
        <w:rPr>
          <w:rFonts w:asciiTheme="minorHAnsi" w:hAnsiTheme="minorHAnsi"/>
        </w:rPr>
        <w:t xml:space="preserve"> limitation would profoundly alter the investment strategy of many funds that are required to invest exclusively or to a very large proportion </w:t>
      </w:r>
      <w:r w:rsidR="007D2465" w:rsidRPr="000C193D">
        <w:rPr>
          <w:rFonts w:asciiTheme="minorHAnsi" w:hAnsiTheme="minorHAnsi"/>
        </w:rPr>
        <w:t xml:space="preserve">of their assets invested </w:t>
      </w:r>
      <w:r w:rsidRPr="000C193D">
        <w:rPr>
          <w:rFonts w:asciiTheme="minorHAnsi" w:hAnsiTheme="minorHAnsi"/>
        </w:rPr>
        <w:t>in shares</w:t>
      </w:r>
      <w:r w:rsidR="00FB41BF" w:rsidRPr="000C193D">
        <w:rPr>
          <w:rFonts w:asciiTheme="minorHAnsi" w:hAnsiTheme="minorHAnsi"/>
        </w:rPr>
        <w:t>.</w:t>
      </w:r>
      <w:r w:rsidR="00FB41BF" w:rsidRPr="000C193D">
        <w:rPr>
          <w:rStyle w:val="FootnoteReference"/>
          <w:rFonts w:asciiTheme="minorHAnsi" w:hAnsiTheme="minorHAnsi" w:cs="Calibri"/>
          <w:bCs/>
        </w:rPr>
        <w:footnoteReference w:id="3"/>
      </w:r>
      <w:r w:rsidRPr="000C193D">
        <w:rPr>
          <w:rFonts w:asciiTheme="minorHAnsi" w:hAnsiTheme="minorHAnsi"/>
        </w:rPr>
        <w:t xml:space="preserve"> They might be prevented to use derivative contracts and dramatically reduce the investment universe of their holders. This is particularly true if</w:t>
      </w:r>
      <w:r w:rsidR="00634E1C" w:rsidRPr="000C193D">
        <w:rPr>
          <w:rFonts w:asciiTheme="minorHAnsi" w:hAnsiTheme="minorHAnsi"/>
        </w:rPr>
        <w:t>,</w:t>
      </w:r>
      <w:r w:rsidRPr="000C193D">
        <w:rPr>
          <w:rFonts w:asciiTheme="minorHAnsi" w:hAnsiTheme="minorHAnsi"/>
        </w:rPr>
        <w:t xml:space="preserve"> </w:t>
      </w:r>
      <w:r w:rsidR="00634E1C" w:rsidRPr="000C193D">
        <w:rPr>
          <w:rFonts w:asciiTheme="minorHAnsi" w:hAnsiTheme="minorHAnsi"/>
        </w:rPr>
        <w:t xml:space="preserve">for funds, </w:t>
      </w:r>
      <w:r w:rsidRPr="000C193D">
        <w:rPr>
          <w:rFonts w:asciiTheme="minorHAnsi" w:hAnsiTheme="minorHAnsi"/>
        </w:rPr>
        <w:t xml:space="preserve">the 40% ratio </w:t>
      </w:r>
      <w:r w:rsidR="00634E1C" w:rsidRPr="000C193D">
        <w:rPr>
          <w:rFonts w:asciiTheme="minorHAnsi" w:hAnsiTheme="minorHAnsi"/>
        </w:rPr>
        <w:t xml:space="preserve">was </w:t>
      </w:r>
      <w:r w:rsidRPr="000C193D">
        <w:rPr>
          <w:rFonts w:asciiTheme="minorHAnsi" w:hAnsiTheme="minorHAnsi"/>
        </w:rPr>
        <w:t>computed on the basis of total collateral and not</w:t>
      </w:r>
      <w:r w:rsidR="00634E1C" w:rsidRPr="000C193D">
        <w:rPr>
          <w:rFonts w:asciiTheme="minorHAnsi" w:hAnsiTheme="minorHAnsi"/>
        </w:rPr>
        <w:t xml:space="preserve"> on the basis of the</w:t>
      </w:r>
      <w:r w:rsidRPr="000C193D">
        <w:rPr>
          <w:rFonts w:asciiTheme="minorHAnsi" w:hAnsiTheme="minorHAnsi"/>
        </w:rPr>
        <w:t xml:space="preserve"> NAV.</w:t>
      </w:r>
    </w:p>
    <w:p w14:paraId="60A101D7" w14:textId="77777777" w:rsidR="007C6334" w:rsidRPr="000C193D" w:rsidRDefault="007C6334" w:rsidP="00997751">
      <w:pPr>
        <w:jc w:val="both"/>
        <w:rPr>
          <w:rFonts w:asciiTheme="minorHAnsi" w:hAnsiTheme="minorHAnsi" w:cs="Calibri"/>
          <w:bCs/>
          <w:sz w:val="22"/>
          <w:szCs w:val="22"/>
        </w:rPr>
      </w:pPr>
    </w:p>
    <w:p w14:paraId="1BD0904A" w14:textId="77777777" w:rsidR="0092563D" w:rsidRPr="000C193D" w:rsidRDefault="0092563D" w:rsidP="00997751">
      <w:pPr>
        <w:jc w:val="both"/>
        <w:rPr>
          <w:rFonts w:asciiTheme="minorHAnsi" w:hAnsiTheme="minorHAnsi" w:cs="Calibri"/>
          <w:bCs/>
          <w:sz w:val="22"/>
          <w:szCs w:val="22"/>
          <w:lang w:val="en-US"/>
        </w:rPr>
      </w:pPr>
    </w:p>
    <w:p w14:paraId="2B3C320A" w14:textId="77777777" w:rsidR="0092563D" w:rsidRPr="000C193D" w:rsidRDefault="00E86404" w:rsidP="00997751">
      <w:pPr>
        <w:pBdr>
          <w:top w:val="single" w:sz="4" w:space="1" w:color="auto"/>
          <w:left w:val="single" w:sz="4" w:space="4" w:color="auto"/>
          <w:bottom w:val="single" w:sz="4" w:space="1" w:color="auto"/>
          <w:right w:val="single" w:sz="4" w:space="4" w:color="auto"/>
        </w:pBd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Question 6. How will market participants be able to ensure the fulfilment of all the conditions for the reuse of initial margins as required in the BCBS-IOSCO framework? Can the respondents identify which </w:t>
      </w:r>
      <w:r w:rsidRPr="000C193D">
        <w:rPr>
          <w:rFonts w:asciiTheme="minorHAnsi" w:hAnsiTheme="minorHAnsi" w:cs="Calibri"/>
          <w:bCs/>
          <w:sz w:val="22"/>
          <w:szCs w:val="22"/>
          <w:lang w:val="en-US"/>
        </w:rPr>
        <w:lastRenderedPageBreak/>
        <w:t>companies in the EU would require reuse or re-hypothecation of collateral as an essential component of their business models?</w:t>
      </w:r>
    </w:p>
    <w:p w14:paraId="3F58643A" w14:textId="77777777" w:rsidR="00E86404" w:rsidRPr="000C193D" w:rsidRDefault="00E86404" w:rsidP="00997751">
      <w:pPr>
        <w:jc w:val="both"/>
        <w:rPr>
          <w:rFonts w:asciiTheme="minorHAnsi" w:hAnsiTheme="minorHAnsi" w:cs="Calibri"/>
          <w:bCs/>
          <w:sz w:val="22"/>
          <w:szCs w:val="22"/>
          <w:lang w:val="en-US"/>
        </w:rPr>
      </w:pPr>
    </w:p>
    <w:p w14:paraId="3D09E08F" w14:textId="77777777" w:rsidR="00C92757" w:rsidRPr="000C193D" w:rsidRDefault="00C92757" w:rsidP="00997751">
      <w:pPr>
        <w:jc w:val="both"/>
        <w:rPr>
          <w:rFonts w:asciiTheme="minorHAnsi" w:hAnsiTheme="minorHAnsi" w:cs="Calibri"/>
          <w:bCs/>
          <w:sz w:val="22"/>
          <w:szCs w:val="22"/>
          <w:lang w:val="en-US"/>
        </w:rPr>
      </w:pPr>
      <w:r w:rsidRPr="000C193D">
        <w:rPr>
          <w:rFonts w:asciiTheme="minorHAnsi" w:hAnsiTheme="minorHAnsi" w:cs="Calibri"/>
          <w:bCs/>
          <w:sz w:val="22"/>
          <w:szCs w:val="22"/>
          <w:lang w:val="en-US"/>
        </w:rPr>
        <w:t xml:space="preserve">EFAMA’s view is that BCBS/IOSCO principles have taken a prudent and pragmatic approach when authorizing </w:t>
      </w:r>
      <w:r w:rsidR="00634E1C" w:rsidRPr="000C193D">
        <w:rPr>
          <w:rFonts w:asciiTheme="minorHAnsi" w:hAnsiTheme="minorHAnsi" w:cs="Calibri"/>
          <w:bCs/>
          <w:sz w:val="22"/>
          <w:szCs w:val="22"/>
          <w:lang w:val="en-US"/>
        </w:rPr>
        <w:t>under strict limitations</w:t>
      </w:r>
      <w:r w:rsidR="00997751" w:rsidRPr="000C193D">
        <w:rPr>
          <w:rFonts w:asciiTheme="minorHAnsi" w:hAnsiTheme="minorHAnsi" w:cs="Calibri"/>
          <w:bCs/>
          <w:sz w:val="22"/>
          <w:szCs w:val="22"/>
          <w:lang w:val="en-US"/>
        </w:rPr>
        <w:t xml:space="preserve"> </w:t>
      </w:r>
      <w:r w:rsidRPr="000C193D">
        <w:rPr>
          <w:rFonts w:asciiTheme="minorHAnsi" w:hAnsiTheme="minorHAnsi" w:cs="Calibri"/>
          <w:bCs/>
          <w:sz w:val="22"/>
          <w:szCs w:val="22"/>
          <w:lang w:val="en-US"/>
        </w:rPr>
        <w:t>the possibility to re-use or re</w:t>
      </w:r>
      <w:r w:rsidR="00634E1C" w:rsidRPr="000C193D">
        <w:rPr>
          <w:rFonts w:asciiTheme="minorHAnsi" w:hAnsiTheme="minorHAnsi" w:cs="Calibri"/>
          <w:bCs/>
          <w:sz w:val="22"/>
          <w:szCs w:val="22"/>
          <w:lang w:val="en-US"/>
        </w:rPr>
        <w:t>-</w:t>
      </w:r>
      <w:r w:rsidRPr="000C193D">
        <w:rPr>
          <w:rFonts w:asciiTheme="minorHAnsi" w:hAnsiTheme="minorHAnsi" w:cs="Calibri"/>
          <w:bCs/>
          <w:sz w:val="22"/>
          <w:szCs w:val="22"/>
          <w:lang w:val="en-US"/>
        </w:rPr>
        <w:t xml:space="preserve">hypothecate received collateral. We think that there is no reason </w:t>
      </w:r>
      <w:r w:rsidR="00136A25" w:rsidRPr="000C193D">
        <w:rPr>
          <w:rFonts w:asciiTheme="minorHAnsi" w:hAnsiTheme="minorHAnsi" w:cs="Calibri"/>
          <w:bCs/>
          <w:sz w:val="22"/>
          <w:szCs w:val="22"/>
          <w:lang w:val="en-US"/>
        </w:rPr>
        <w:t xml:space="preserve">for the ESAs </w:t>
      </w:r>
      <w:r w:rsidRPr="000C193D">
        <w:rPr>
          <w:rFonts w:asciiTheme="minorHAnsi" w:hAnsiTheme="minorHAnsi" w:cs="Calibri"/>
          <w:bCs/>
          <w:sz w:val="22"/>
          <w:szCs w:val="22"/>
          <w:lang w:val="en-US"/>
        </w:rPr>
        <w:t xml:space="preserve">not to follow these principles. </w:t>
      </w:r>
    </w:p>
    <w:p w14:paraId="3EF89F79" w14:textId="77777777" w:rsidR="00C92757" w:rsidRPr="000C193D" w:rsidRDefault="00C92757" w:rsidP="00997751">
      <w:pPr>
        <w:jc w:val="both"/>
        <w:rPr>
          <w:rFonts w:asciiTheme="minorHAnsi" w:hAnsiTheme="minorHAnsi" w:cs="Calibri"/>
          <w:bCs/>
          <w:sz w:val="22"/>
          <w:szCs w:val="22"/>
          <w:lang w:val="en-US"/>
        </w:rPr>
      </w:pPr>
    </w:p>
    <w:p w14:paraId="630AB068" w14:textId="77777777" w:rsidR="00CA53DF" w:rsidRDefault="00C92757" w:rsidP="00170FED">
      <w:pPr>
        <w:jc w:val="both"/>
        <w:rPr>
          <w:rFonts w:asciiTheme="minorHAnsi" w:hAnsiTheme="minorHAnsi" w:cs="Calibri"/>
          <w:bCs/>
          <w:sz w:val="22"/>
          <w:szCs w:val="22"/>
        </w:rPr>
      </w:pPr>
      <w:r w:rsidRPr="000C193D">
        <w:rPr>
          <w:rFonts w:asciiTheme="minorHAnsi" w:hAnsiTheme="minorHAnsi" w:cs="Calibri"/>
          <w:bCs/>
          <w:sz w:val="22"/>
          <w:szCs w:val="22"/>
          <w:lang w:val="en-US"/>
        </w:rPr>
        <w:t xml:space="preserve">OTC derivatives are traded between professionals. </w:t>
      </w:r>
      <w:r w:rsidR="00FB41BF" w:rsidRPr="000C193D">
        <w:rPr>
          <w:rFonts w:asciiTheme="minorHAnsi" w:hAnsiTheme="minorHAnsi" w:cs="Calibri"/>
          <w:bCs/>
          <w:sz w:val="22"/>
          <w:szCs w:val="22"/>
          <w:lang w:val="en-US"/>
        </w:rPr>
        <w:t xml:space="preserve">There </w:t>
      </w:r>
      <w:r w:rsidRPr="000C193D">
        <w:rPr>
          <w:rFonts w:asciiTheme="minorHAnsi" w:hAnsiTheme="minorHAnsi" w:cs="Calibri"/>
          <w:bCs/>
          <w:sz w:val="22"/>
          <w:szCs w:val="22"/>
          <w:lang w:val="en-US"/>
        </w:rPr>
        <w:t>are many arguments that limit the re-use to a very few cases when professionals willfully agree</w:t>
      </w:r>
      <w:r w:rsidR="00FB41BF" w:rsidRPr="000C193D">
        <w:rPr>
          <w:rFonts w:asciiTheme="minorHAnsi" w:hAnsiTheme="minorHAnsi" w:cs="Calibri"/>
          <w:bCs/>
          <w:sz w:val="22"/>
          <w:szCs w:val="22"/>
        </w:rPr>
        <w:t xml:space="preserve"> to this regime:</w:t>
      </w:r>
    </w:p>
    <w:p w14:paraId="173612F4" w14:textId="77777777" w:rsidR="00170FED" w:rsidRPr="000C193D" w:rsidRDefault="00170FED" w:rsidP="00170FED">
      <w:pPr>
        <w:jc w:val="both"/>
        <w:rPr>
          <w:rFonts w:asciiTheme="minorHAnsi" w:hAnsiTheme="minorHAnsi" w:cs="Calibri"/>
          <w:bCs/>
          <w:sz w:val="22"/>
          <w:szCs w:val="22"/>
        </w:rPr>
      </w:pPr>
    </w:p>
    <w:p w14:paraId="2C1E829D" w14:textId="0645852B" w:rsidR="00CA53DF" w:rsidRPr="000C193D" w:rsidRDefault="00170FED" w:rsidP="00170FED">
      <w:pPr>
        <w:pStyle w:val="ListParagraph"/>
        <w:numPr>
          <w:ilvl w:val="0"/>
          <w:numId w:val="2"/>
        </w:numPr>
        <w:spacing w:after="120" w:line="240" w:lineRule="auto"/>
        <w:contextualSpacing w:val="0"/>
        <w:jc w:val="both"/>
        <w:rPr>
          <w:rFonts w:asciiTheme="minorHAnsi" w:hAnsiTheme="minorHAnsi" w:cs="Calibri"/>
          <w:bCs/>
        </w:rPr>
      </w:pPr>
      <w:r>
        <w:rPr>
          <w:rFonts w:asciiTheme="minorHAnsi" w:hAnsiTheme="minorHAnsi" w:cs="Calibri"/>
          <w:bCs/>
        </w:rPr>
        <w:t>t</w:t>
      </w:r>
      <w:r w:rsidR="00CA53DF" w:rsidRPr="000C193D">
        <w:rPr>
          <w:rFonts w:asciiTheme="minorHAnsi" w:hAnsiTheme="minorHAnsi" w:cs="Calibri"/>
          <w:bCs/>
        </w:rPr>
        <w:t xml:space="preserve">he required prior explicit approval by the poster of the collateral (transaction by transaction), </w:t>
      </w:r>
    </w:p>
    <w:p w14:paraId="29858C0A" w14:textId="77777777" w:rsidR="00CA53DF" w:rsidRPr="000C193D" w:rsidRDefault="00CA53DF" w:rsidP="00170FED">
      <w:pPr>
        <w:pStyle w:val="ListParagraph"/>
        <w:numPr>
          <w:ilvl w:val="0"/>
          <w:numId w:val="2"/>
        </w:numPr>
        <w:spacing w:after="120" w:line="240" w:lineRule="auto"/>
        <w:contextualSpacing w:val="0"/>
        <w:jc w:val="both"/>
        <w:rPr>
          <w:rFonts w:asciiTheme="minorHAnsi" w:hAnsiTheme="minorHAnsi" w:cs="Calibri"/>
          <w:bCs/>
        </w:rPr>
      </w:pPr>
      <w:r w:rsidRPr="000C193D">
        <w:rPr>
          <w:rFonts w:asciiTheme="minorHAnsi" w:hAnsiTheme="minorHAnsi" w:cs="Calibri"/>
          <w:bCs/>
        </w:rPr>
        <w:t xml:space="preserve">the fact that it can check that the re-use is made in conjunction with a further transaction aiming at managing the risk initially taken from the fund and not to take further exposure, </w:t>
      </w:r>
    </w:p>
    <w:p w14:paraId="035A2EA8" w14:textId="77777777" w:rsidR="00CA53DF" w:rsidRPr="000C193D" w:rsidRDefault="00CA53DF" w:rsidP="00170FED">
      <w:pPr>
        <w:pStyle w:val="ListParagraph"/>
        <w:numPr>
          <w:ilvl w:val="0"/>
          <w:numId w:val="2"/>
        </w:numPr>
        <w:spacing w:after="120" w:line="240" w:lineRule="auto"/>
        <w:contextualSpacing w:val="0"/>
        <w:jc w:val="both"/>
        <w:rPr>
          <w:rFonts w:asciiTheme="minorHAnsi" w:hAnsiTheme="minorHAnsi" w:cs="Calibri"/>
          <w:bCs/>
        </w:rPr>
      </w:pPr>
      <w:proofErr w:type="gramStart"/>
      <w:r w:rsidRPr="000C193D">
        <w:rPr>
          <w:rFonts w:asciiTheme="minorHAnsi" w:hAnsiTheme="minorHAnsi" w:cs="Calibri"/>
          <w:bCs/>
        </w:rPr>
        <w:t>the</w:t>
      </w:r>
      <w:proofErr w:type="gramEnd"/>
      <w:r w:rsidRPr="000C193D">
        <w:rPr>
          <w:rFonts w:asciiTheme="minorHAnsi" w:hAnsiTheme="minorHAnsi" w:cs="Calibri"/>
          <w:bCs/>
        </w:rPr>
        <w:t xml:space="preserve"> possibility to earmark the collateral</w:t>
      </w:r>
      <w:r w:rsidR="00C92757" w:rsidRPr="000C193D">
        <w:rPr>
          <w:rFonts w:asciiTheme="minorHAnsi" w:hAnsiTheme="minorHAnsi" w:cs="Calibri"/>
          <w:bCs/>
        </w:rPr>
        <w:t xml:space="preserve">. </w:t>
      </w:r>
    </w:p>
    <w:p w14:paraId="35BCA066" w14:textId="77777777" w:rsidR="00C92757" w:rsidRPr="000C193D" w:rsidRDefault="00C92757"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If a counterparty agrees that the re-use of collateral will be positive and made for the benefit of its clients, re-use should </w:t>
      </w:r>
      <w:r w:rsidR="00634E1C" w:rsidRPr="000C193D">
        <w:rPr>
          <w:rFonts w:asciiTheme="minorHAnsi" w:hAnsiTheme="minorHAnsi" w:cs="Calibri"/>
          <w:bCs/>
          <w:sz w:val="22"/>
          <w:szCs w:val="22"/>
        </w:rPr>
        <w:t xml:space="preserve">be </w:t>
      </w:r>
      <w:r w:rsidRPr="000C193D">
        <w:rPr>
          <w:rFonts w:asciiTheme="minorHAnsi" w:hAnsiTheme="minorHAnsi" w:cs="Calibri"/>
          <w:bCs/>
          <w:sz w:val="22"/>
          <w:szCs w:val="22"/>
        </w:rPr>
        <w:t>allowed and duly reported for information to shareholders.</w:t>
      </w:r>
    </w:p>
    <w:p w14:paraId="206239D4" w14:textId="3A5A00C0" w:rsidR="00C92757" w:rsidRPr="000C193D" w:rsidRDefault="00C92757" w:rsidP="00997751">
      <w:pPr>
        <w:jc w:val="both"/>
        <w:rPr>
          <w:rFonts w:asciiTheme="minorHAnsi" w:hAnsiTheme="minorHAnsi" w:cs="Calibri"/>
          <w:bCs/>
          <w:sz w:val="22"/>
          <w:szCs w:val="22"/>
          <w:lang w:val="en-US"/>
        </w:rPr>
      </w:pPr>
    </w:p>
    <w:p w14:paraId="73514C82" w14:textId="77777777" w:rsidR="00C92757" w:rsidRPr="000C193D" w:rsidRDefault="00C92757" w:rsidP="00997751">
      <w:pPr>
        <w:jc w:val="both"/>
        <w:rPr>
          <w:rFonts w:asciiTheme="minorHAnsi" w:hAnsiTheme="minorHAnsi" w:cs="Calibri"/>
          <w:bCs/>
          <w:sz w:val="22"/>
          <w:szCs w:val="22"/>
          <w:lang w:val="en-US"/>
        </w:rPr>
      </w:pPr>
      <w:r w:rsidRPr="000C193D">
        <w:rPr>
          <w:rFonts w:asciiTheme="minorHAnsi" w:hAnsiTheme="minorHAnsi" w:cs="Calibri"/>
          <w:bCs/>
          <w:sz w:val="22"/>
          <w:szCs w:val="22"/>
        </w:rPr>
        <w:t xml:space="preserve">However, </w:t>
      </w:r>
      <w:r w:rsidR="00634E1C" w:rsidRPr="000C193D">
        <w:rPr>
          <w:rFonts w:asciiTheme="minorHAnsi" w:hAnsiTheme="minorHAnsi" w:cs="Calibri"/>
          <w:bCs/>
          <w:sz w:val="22"/>
          <w:szCs w:val="22"/>
        </w:rPr>
        <w:t>one should note</w:t>
      </w:r>
      <w:r w:rsidRPr="000C193D">
        <w:rPr>
          <w:rFonts w:asciiTheme="minorHAnsi" w:hAnsiTheme="minorHAnsi" w:cs="Calibri"/>
          <w:bCs/>
          <w:sz w:val="22"/>
          <w:szCs w:val="22"/>
        </w:rPr>
        <w:t xml:space="preserve"> that there is c</w:t>
      </w:r>
      <w:r w:rsidR="002A28A5" w:rsidRPr="000C193D">
        <w:rPr>
          <w:rFonts w:asciiTheme="minorHAnsi" w:hAnsiTheme="minorHAnsi" w:cs="Calibri"/>
          <w:bCs/>
          <w:sz w:val="22"/>
          <w:szCs w:val="22"/>
        </w:rPr>
        <w:t xml:space="preserve">urrently </w:t>
      </w:r>
      <w:r w:rsidRPr="000C193D">
        <w:rPr>
          <w:rFonts w:asciiTheme="minorHAnsi" w:hAnsiTheme="minorHAnsi" w:cs="Calibri"/>
          <w:bCs/>
          <w:sz w:val="22"/>
          <w:szCs w:val="22"/>
        </w:rPr>
        <w:t xml:space="preserve">an important discrepancy between IOSCO and ESMA’s views at </w:t>
      </w:r>
      <w:r w:rsidR="002A28A5" w:rsidRPr="000C193D">
        <w:rPr>
          <w:rFonts w:asciiTheme="minorHAnsi" w:hAnsiTheme="minorHAnsi" w:cs="Calibri"/>
          <w:bCs/>
          <w:sz w:val="22"/>
          <w:szCs w:val="22"/>
        </w:rPr>
        <w:t>it is prohibited for regulated investment funds, such as UCITS, to re-hypothecate, re-pledge or otherwise re-use collateral received.</w:t>
      </w:r>
      <w:r w:rsidRPr="000C193D">
        <w:rPr>
          <w:rFonts w:asciiTheme="minorHAnsi" w:hAnsiTheme="minorHAnsi" w:cs="Calibri"/>
          <w:bCs/>
          <w:sz w:val="22"/>
          <w:szCs w:val="22"/>
          <w:lang w:val="en-US"/>
        </w:rPr>
        <w:t xml:space="preserve"> The prohibition or authorization of re-use should not be </w:t>
      </w:r>
      <w:r w:rsidR="00501692" w:rsidRPr="000C193D">
        <w:rPr>
          <w:rFonts w:asciiTheme="minorHAnsi" w:hAnsiTheme="minorHAnsi" w:cs="Calibri"/>
          <w:bCs/>
          <w:sz w:val="22"/>
          <w:szCs w:val="22"/>
          <w:lang w:val="en-US"/>
        </w:rPr>
        <w:t xml:space="preserve">decided </w:t>
      </w:r>
      <w:r w:rsidRPr="000C193D">
        <w:rPr>
          <w:rFonts w:asciiTheme="minorHAnsi" w:hAnsiTheme="minorHAnsi" w:cs="Calibri"/>
          <w:bCs/>
          <w:sz w:val="22"/>
          <w:szCs w:val="22"/>
          <w:lang w:val="en-US"/>
        </w:rPr>
        <w:t>on a regulatory level and should rather be agreed on case by case basis within a bilateral agreement.</w:t>
      </w:r>
    </w:p>
    <w:p w14:paraId="10F116E8" w14:textId="77777777" w:rsidR="002A28A5" w:rsidRPr="000C193D" w:rsidRDefault="002A28A5" w:rsidP="00997751">
      <w:pPr>
        <w:jc w:val="both"/>
        <w:rPr>
          <w:rFonts w:asciiTheme="minorHAnsi" w:hAnsiTheme="minorHAnsi" w:cs="Calibri"/>
          <w:bCs/>
          <w:sz w:val="22"/>
          <w:szCs w:val="22"/>
        </w:rPr>
      </w:pPr>
    </w:p>
    <w:p w14:paraId="0C08898B" w14:textId="65E7220F" w:rsidR="002A28A5" w:rsidRPr="000C193D" w:rsidRDefault="00597A88" w:rsidP="00997751">
      <w:pPr>
        <w:jc w:val="both"/>
        <w:rPr>
          <w:rFonts w:asciiTheme="minorHAnsi" w:hAnsiTheme="minorHAnsi" w:cs="Calibri"/>
          <w:bCs/>
          <w:sz w:val="22"/>
          <w:szCs w:val="22"/>
        </w:rPr>
      </w:pPr>
      <w:r w:rsidRPr="000C193D">
        <w:rPr>
          <w:rFonts w:asciiTheme="minorHAnsi" w:hAnsiTheme="minorHAnsi" w:cs="Calibri"/>
          <w:bCs/>
          <w:sz w:val="22"/>
          <w:szCs w:val="22"/>
          <w:lang w:val="en-US"/>
        </w:rPr>
        <w:t>As written in our reply to question 5, w</w:t>
      </w:r>
      <w:proofErr w:type="spellStart"/>
      <w:r w:rsidR="002A28A5" w:rsidRPr="000C193D">
        <w:rPr>
          <w:rFonts w:asciiTheme="minorHAnsi" w:hAnsiTheme="minorHAnsi" w:cs="Calibri"/>
          <w:bCs/>
          <w:sz w:val="22"/>
          <w:szCs w:val="22"/>
        </w:rPr>
        <w:t>hen</w:t>
      </w:r>
      <w:proofErr w:type="spellEnd"/>
      <w:r w:rsidR="002A28A5" w:rsidRPr="000C193D">
        <w:rPr>
          <w:rFonts w:asciiTheme="minorHAnsi" w:hAnsiTheme="minorHAnsi" w:cs="Calibri"/>
          <w:bCs/>
          <w:sz w:val="22"/>
          <w:szCs w:val="22"/>
        </w:rPr>
        <w:t xml:space="preserve"> it is allowed under the RTS to </w:t>
      </w:r>
      <w:r w:rsidR="00C92757" w:rsidRPr="000C193D">
        <w:rPr>
          <w:rFonts w:asciiTheme="minorHAnsi" w:hAnsiTheme="minorHAnsi" w:cs="Calibri"/>
          <w:bCs/>
          <w:sz w:val="22"/>
          <w:szCs w:val="22"/>
        </w:rPr>
        <w:t>fulfil</w:t>
      </w:r>
      <w:r w:rsidR="002A28A5" w:rsidRPr="000C193D">
        <w:rPr>
          <w:rFonts w:asciiTheme="minorHAnsi" w:hAnsiTheme="minorHAnsi" w:cs="Calibri"/>
          <w:bCs/>
          <w:sz w:val="22"/>
          <w:szCs w:val="22"/>
        </w:rPr>
        <w:t xml:space="preserve"> Initial Margin requirements in cash, the default risk of the counterparty is just replaced by the default risk of the bank who maintains the account the initial margin is booked to (typically a counterparty to other OTC derivatives). </w:t>
      </w:r>
    </w:p>
    <w:p w14:paraId="3E914302" w14:textId="77777777" w:rsidR="002A28A5" w:rsidRPr="000C193D" w:rsidRDefault="002A28A5" w:rsidP="00997751">
      <w:pPr>
        <w:jc w:val="both"/>
        <w:rPr>
          <w:rFonts w:asciiTheme="minorHAnsi" w:hAnsiTheme="minorHAnsi" w:cs="Calibri"/>
          <w:bCs/>
          <w:sz w:val="22"/>
          <w:szCs w:val="22"/>
        </w:rPr>
      </w:pPr>
    </w:p>
    <w:p w14:paraId="65C46F54" w14:textId="6F1279E1" w:rsidR="002A28A5" w:rsidRPr="000C193D" w:rsidRDefault="002A28A5" w:rsidP="00997751">
      <w:pPr>
        <w:jc w:val="both"/>
        <w:rPr>
          <w:rFonts w:asciiTheme="minorHAnsi" w:hAnsiTheme="minorHAnsi" w:cs="Calibri"/>
          <w:bCs/>
          <w:sz w:val="22"/>
          <w:szCs w:val="22"/>
        </w:rPr>
      </w:pPr>
      <w:r w:rsidRPr="000C193D">
        <w:rPr>
          <w:rFonts w:asciiTheme="minorHAnsi" w:hAnsiTheme="minorHAnsi" w:cs="Calibri"/>
          <w:bCs/>
          <w:sz w:val="22"/>
          <w:szCs w:val="22"/>
        </w:rPr>
        <w:t xml:space="preserve">While it is not sure whether the default of the counterparty of a </w:t>
      </w:r>
      <w:r w:rsidR="00634E1C" w:rsidRPr="000C193D">
        <w:rPr>
          <w:rFonts w:asciiTheme="minorHAnsi" w:hAnsiTheme="minorHAnsi" w:cs="Calibri"/>
          <w:bCs/>
          <w:sz w:val="22"/>
          <w:szCs w:val="22"/>
        </w:rPr>
        <w:t xml:space="preserve">non-cleared </w:t>
      </w:r>
      <w:r w:rsidRPr="000C193D">
        <w:rPr>
          <w:rFonts w:asciiTheme="minorHAnsi" w:hAnsiTheme="minorHAnsi" w:cs="Calibri"/>
          <w:bCs/>
          <w:sz w:val="22"/>
          <w:szCs w:val="22"/>
        </w:rPr>
        <w:t xml:space="preserve">OTC derivative leads to a loss at all (subject to market conditions), the insolvency of the bank, maintaining the account to which the initial margin (cash) received is booked, leads </w:t>
      </w:r>
      <w:r w:rsidR="00597A88" w:rsidRPr="000C193D">
        <w:rPr>
          <w:rFonts w:asciiTheme="minorHAnsi" w:hAnsiTheme="minorHAnsi" w:cs="Calibri"/>
          <w:bCs/>
          <w:sz w:val="22"/>
          <w:szCs w:val="22"/>
        </w:rPr>
        <w:t xml:space="preserve">necessarily </w:t>
      </w:r>
      <w:r w:rsidRPr="000C193D">
        <w:rPr>
          <w:rFonts w:asciiTheme="minorHAnsi" w:hAnsiTheme="minorHAnsi" w:cs="Calibri"/>
          <w:bCs/>
          <w:sz w:val="22"/>
          <w:szCs w:val="22"/>
        </w:rPr>
        <w:t>to losses</w:t>
      </w:r>
      <w:r w:rsidR="004E673B" w:rsidRPr="000C193D">
        <w:rPr>
          <w:rFonts w:asciiTheme="minorHAnsi" w:hAnsiTheme="minorHAnsi" w:cs="Calibri"/>
          <w:bCs/>
          <w:sz w:val="22"/>
          <w:szCs w:val="22"/>
        </w:rPr>
        <w:t xml:space="preserve"> for the non-defaulting counterparties.</w:t>
      </w:r>
    </w:p>
    <w:p w14:paraId="3BEFCDEC" w14:textId="77777777" w:rsidR="002A28A5" w:rsidRDefault="002A28A5" w:rsidP="00997751">
      <w:pPr>
        <w:jc w:val="both"/>
        <w:rPr>
          <w:rFonts w:asciiTheme="minorHAnsi" w:hAnsiTheme="minorHAnsi" w:cs="Calibri"/>
          <w:bCs/>
          <w:sz w:val="22"/>
          <w:szCs w:val="22"/>
          <w:lang w:val="en-US"/>
        </w:rPr>
      </w:pPr>
    </w:p>
    <w:p w14:paraId="5C04A662" w14:textId="77777777" w:rsidR="00170FED" w:rsidRDefault="00170FED" w:rsidP="00997751">
      <w:pPr>
        <w:jc w:val="both"/>
        <w:rPr>
          <w:rFonts w:asciiTheme="minorHAnsi" w:hAnsiTheme="minorHAnsi" w:cs="Calibri"/>
          <w:bCs/>
          <w:sz w:val="22"/>
          <w:szCs w:val="22"/>
          <w:lang w:val="en-US"/>
        </w:rPr>
      </w:pPr>
    </w:p>
    <w:p w14:paraId="539AF7B8" w14:textId="42E76897" w:rsidR="00170FED" w:rsidRPr="00170FED" w:rsidRDefault="00170FED" w:rsidP="00170FED">
      <w:pPr>
        <w:jc w:val="center"/>
        <w:rPr>
          <w:rFonts w:asciiTheme="minorHAnsi" w:hAnsiTheme="minorHAnsi" w:cs="Calibri"/>
          <w:bCs/>
          <w:sz w:val="28"/>
          <w:szCs w:val="22"/>
          <w:lang w:val="en-US"/>
        </w:rPr>
      </w:pPr>
      <w:r w:rsidRPr="00170FED">
        <w:rPr>
          <w:rFonts w:asciiTheme="minorHAnsi" w:hAnsiTheme="minorHAnsi" w:cs="Calibri"/>
          <w:bCs/>
          <w:sz w:val="28"/>
          <w:szCs w:val="22"/>
          <w:lang w:val="en-US"/>
        </w:rPr>
        <w:t>*</w:t>
      </w:r>
      <w:r>
        <w:rPr>
          <w:rFonts w:asciiTheme="minorHAnsi" w:hAnsiTheme="minorHAnsi" w:cs="Calibri"/>
          <w:bCs/>
          <w:sz w:val="28"/>
          <w:szCs w:val="22"/>
          <w:lang w:val="en-US"/>
        </w:rPr>
        <w:t xml:space="preserve"> </w:t>
      </w:r>
      <w:r w:rsidRPr="00170FED">
        <w:rPr>
          <w:rFonts w:asciiTheme="minorHAnsi" w:hAnsiTheme="minorHAnsi" w:cs="Calibri"/>
          <w:bCs/>
          <w:sz w:val="28"/>
          <w:szCs w:val="22"/>
          <w:lang w:val="en-US"/>
        </w:rPr>
        <w:t>*</w:t>
      </w:r>
      <w:r>
        <w:rPr>
          <w:rFonts w:asciiTheme="minorHAnsi" w:hAnsiTheme="minorHAnsi" w:cs="Calibri"/>
          <w:bCs/>
          <w:sz w:val="28"/>
          <w:szCs w:val="22"/>
          <w:lang w:val="en-US"/>
        </w:rPr>
        <w:t xml:space="preserve"> </w:t>
      </w:r>
      <w:r w:rsidRPr="00170FED">
        <w:rPr>
          <w:rFonts w:asciiTheme="minorHAnsi" w:hAnsiTheme="minorHAnsi" w:cs="Calibri"/>
          <w:bCs/>
          <w:sz w:val="28"/>
          <w:szCs w:val="22"/>
          <w:lang w:val="en-US"/>
        </w:rPr>
        <w:t>*</w:t>
      </w:r>
      <w:r>
        <w:rPr>
          <w:rFonts w:asciiTheme="minorHAnsi" w:hAnsiTheme="minorHAnsi" w:cs="Calibri"/>
          <w:bCs/>
          <w:sz w:val="28"/>
          <w:szCs w:val="22"/>
          <w:lang w:val="en-US"/>
        </w:rPr>
        <w:t xml:space="preserve"> </w:t>
      </w:r>
    </w:p>
    <w:p w14:paraId="396FD33F" w14:textId="77777777" w:rsidR="00170FED" w:rsidRDefault="00170FED" w:rsidP="00997751">
      <w:pPr>
        <w:jc w:val="both"/>
        <w:rPr>
          <w:rFonts w:asciiTheme="minorHAnsi" w:hAnsiTheme="minorHAnsi" w:cs="Calibri"/>
          <w:bCs/>
          <w:sz w:val="22"/>
          <w:szCs w:val="22"/>
          <w:lang w:val="en-US"/>
        </w:rPr>
      </w:pPr>
    </w:p>
    <w:p w14:paraId="1207E2F8" w14:textId="77777777" w:rsidR="00170FED" w:rsidRPr="000C193D" w:rsidRDefault="00170FED" w:rsidP="00997751">
      <w:pPr>
        <w:jc w:val="both"/>
        <w:rPr>
          <w:rFonts w:asciiTheme="minorHAnsi" w:hAnsiTheme="minorHAnsi" w:cs="Calibri"/>
          <w:bCs/>
          <w:sz w:val="22"/>
          <w:szCs w:val="22"/>
          <w:lang w:val="en-US"/>
        </w:rPr>
      </w:pPr>
    </w:p>
    <w:p w14:paraId="79BB997E" w14:textId="77777777" w:rsidR="000569C5" w:rsidRDefault="000569C5" w:rsidP="00997751">
      <w:pPr>
        <w:jc w:val="both"/>
        <w:rPr>
          <w:rFonts w:asciiTheme="minorHAnsi" w:hAnsiTheme="minorHAnsi" w:cs="Calibri"/>
          <w:bCs/>
          <w:sz w:val="22"/>
          <w:szCs w:val="22"/>
          <w:lang w:val="en-US"/>
        </w:rPr>
      </w:pPr>
    </w:p>
    <w:p w14:paraId="34126F81" w14:textId="272C803F" w:rsidR="00170FED" w:rsidRDefault="00170FED" w:rsidP="00997751">
      <w:pPr>
        <w:jc w:val="both"/>
        <w:rPr>
          <w:rFonts w:asciiTheme="minorHAnsi" w:hAnsiTheme="minorHAnsi" w:cs="Calibri"/>
          <w:bCs/>
          <w:sz w:val="22"/>
          <w:szCs w:val="22"/>
          <w:lang w:val="en-US"/>
        </w:rPr>
      </w:pPr>
      <w:r>
        <w:rPr>
          <w:rFonts w:asciiTheme="minorHAnsi" w:hAnsiTheme="minorHAnsi" w:cs="Calibri"/>
          <w:bCs/>
          <w:sz w:val="22"/>
          <w:szCs w:val="22"/>
          <w:lang w:val="en-US"/>
        </w:rPr>
        <w:t>Peter De Proft</w:t>
      </w:r>
    </w:p>
    <w:p w14:paraId="0AF65521" w14:textId="7140BFA2" w:rsidR="00170FED" w:rsidRDefault="00170FED" w:rsidP="00997751">
      <w:pPr>
        <w:jc w:val="both"/>
        <w:rPr>
          <w:rFonts w:asciiTheme="minorHAnsi" w:hAnsiTheme="minorHAnsi" w:cs="Calibri"/>
          <w:bCs/>
          <w:sz w:val="22"/>
          <w:szCs w:val="22"/>
          <w:lang w:val="en-US"/>
        </w:rPr>
      </w:pPr>
      <w:r>
        <w:rPr>
          <w:rFonts w:asciiTheme="minorHAnsi" w:hAnsiTheme="minorHAnsi" w:cs="Calibri"/>
          <w:bCs/>
          <w:sz w:val="22"/>
          <w:szCs w:val="22"/>
          <w:lang w:val="en-US"/>
        </w:rPr>
        <w:t>Director General</w:t>
      </w:r>
    </w:p>
    <w:p w14:paraId="424C7A22" w14:textId="77777777" w:rsidR="00170FED" w:rsidRDefault="00170FED" w:rsidP="00997751">
      <w:pPr>
        <w:jc w:val="both"/>
        <w:rPr>
          <w:rFonts w:asciiTheme="minorHAnsi" w:hAnsiTheme="minorHAnsi" w:cs="Calibri"/>
          <w:bCs/>
          <w:sz w:val="22"/>
          <w:szCs w:val="22"/>
          <w:lang w:val="en-US"/>
        </w:rPr>
      </w:pPr>
    </w:p>
    <w:p w14:paraId="32DAA42D" w14:textId="77777777" w:rsidR="001D787F" w:rsidRDefault="001D787F" w:rsidP="00997751">
      <w:pPr>
        <w:jc w:val="both"/>
        <w:rPr>
          <w:rFonts w:asciiTheme="minorHAnsi" w:hAnsiTheme="minorHAnsi" w:cs="Calibri"/>
          <w:bCs/>
          <w:sz w:val="22"/>
          <w:szCs w:val="22"/>
          <w:lang w:val="en-US"/>
        </w:rPr>
      </w:pPr>
      <w:bookmarkStart w:id="0" w:name="_GoBack"/>
      <w:bookmarkEnd w:id="0"/>
    </w:p>
    <w:p w14:paraId="08D91A82" w14:textId="5CDE105D" w:rsidR="001D787F" w:rsidRDefault="001D787F" w:rsidP="00997751">
      <w:pPr>
        <w:jc w:val="both"/>
        <w:rPr>
          <w:rFonts w:asciiTheme="minorHAnsi" w:hAnsiTheme="minorHAnsi" w:cs="Calibri"/>
          <w:bCs/>
          <w:sz w:val="22"/>
          <w:szCs w:val="22"/>
          <w:lang w:val="en-US"/>
        </w:rPr>
      </w:pPr>
      <w:r>
        <w:rPr>
          <w:rFonts w:asciiTheme="minorHAnsi" w:hAnsiTheme="minorHAnsi" w:cs="Calibri"/>
          <w:bCs/>
          <w:sz w:val="22"/>
          <w:szCs w:val="22"/>
          <w:lang w:val="en-US"/>
        </w:rPr>
        <w:t>Brussels, 14 July 2014</w:t>
      </w:r>
    </w:p>
    <w:p w14:paraId="0BDA9DA2" w14:textId="4E26A8AF" w:rsidR="001D787F" w:rsidRPr="001D787F" w:rsidRDefault="001D787F" w:rsidP="001D787F">
      <w:pPr>
        <w:spacing w:before="120"/>
        <w:jc w:val="both"/>
        <w:rPr>
          <w:rFonts w:asciiTheme="minorHAnsi" w:hAnsiTheme="minorHAnsi" w:cs="Calibri"/>
          <w:bCs/>
          <w:sz w:val="16"/>
          <w:szCs w:val="16"/>
          <w:lang w:val="en-US"/>
        </w:rPr>
      </w:pPr>
      <w:r w:rsidRPr="001D787F">
        <w:rPr>
          <w:rFonts w:asciiTheme="minorHAnsi" w:hAnsiTheme="minorHAnsi" w:cs="Calibri"/>
          <w:bCs/>
          <w:sz w:val="16"/>
          <w:szCs w:val="16"/>
          <w:lang w:val="en-US"/>
        </w:rPr>
        <w:t>[14-4047]</w:t>
      </w:r>
    </w:p>
    <w:sectPr w:rsidR="001D787F" w:rsidRPr="001D787F" w:rsidSect="005E0A55">
      <w:headerReference w:type="default" r:id="rId9"/>
      <w:footerReference w:type="even"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A420F" w14:textId="77777777" w:rsidR="00645FDD" w:rsidRDefault="00645FDD">
      <w:r>
        <w:separator/>
      </w:r>
    </w:p>
  </w:endnote>
  <w:endnote w:type="continuationSeparator" w:id="0">
    <w:p w14:paraId="5EDC205E" w14:textId="77777777" w:rsidR="00645FDD" w:rsidRDefault="0064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43F63" w14:textId="77777777" w:rsidR="00485C69" w:rsidRDefault="001729CE" w:rsidP="0066130A">
    <w:pPr>
      <w:pStyle w:val="Footer"/>
      <w:framePr w:wrap="around" w:vAnchor="text" w:hAnchor="margin" w:xAlign="right" w:y="1"/>
      <w:rPr>
        <w:rStyle w:val="PageNumber"/>
      </w:rPr>
    </w:pPr>
    <w:r>
      <w:rPr>
        <w:rStyle w:val="PageNumber"/>
      </w:rPr>
      <w:fldChar w:fldCharType="begin"/>
    </w:r>
    <w:r w:rsidR="00485C69">
      <w:rPr>
        <w:rStyle w:val="PageNumber"/>
      </w:rPr>
      <w:instrText xml:space="preserve">PAGE  </w:instrText>
    </w:r>
    <w:r>
      <w:rPr>
        <w:rStyle w:val="PageNumber"/>
      </w:rPr>
      <w:fldChar w:fldCharType="end"/>
    </w:r>
  </w:p>
  <w:p w14:paraId="0970AFCE" w14:textId="77777777" w:rsidR="00485C69" w:rsidRDefault="00485C69" w:rsidP="006613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D3A24" w14:textId="77777777" w:rsidR="00485C69" w:rsidRPr="00E96696" w:rsidRDefault="00485C69" w:rsidP="00A81749">
    <w:pPr>
      <w:ind w:right="-285"/>
      <w:rPr>
        <w:noProof/>
        <w:color w:val="0000FF"/>
        <w:sz w:val="18"/>
        <w:szCs w:val="20"/>
        <w:lang w:val="fr-BE"/>
      </w:rPr>
    </w:pPr>
    <w:r w:rsidRPr="00E96696">
      <w:rPr>
        <w:rFonts w:ascii="Calibri" w:hAnsi="Calibri" w:cs="Tahoma"/>
        <w:noProof/>
        <w:color w:val="0000FF"/>
        <w:sz w:val="18"/>
        <w:szCs w:val="20"/>
        <w:lang w:val="fr-BE"/>
      </w:rPr>
      <w:t>rue Montoyer 47, B-1000 Bruxelles</w:t>
    </w:r>
  </w:p>
  <w:p w14:paraId="3B2C338C" w14:textId="77777777" w:rsidR="00485C69" w:rsidRPr="001D787F" w:rsidRDefault="00485C69" w:rsidP="007E3226">
    <w:pPr>
      <w:pBdr>
        <w:top w:val="single" w:sz="4" w:space="1" w:color="0000FF"/>
      </w:pBdr>
      <w:tabs>
        <w:tab w:val="center" w:pos="4153"/>
        <w:tab w:val="right" w:pos="8306"/>
      </w:tabs>
      <w:spacing w:before="60"/>
      <w:ind w:right="-285"/>
      <w:rPr>
        <w:sz w:val="18"/>
        <w:szCs w:val="20"/>
      </w:rPr>
    </w:pPr>
    <w:r w:rsidRPr="007E3226">
      <w:rPr>
        <w:rFonts w:ascii="Calibri" w:hAnsi="Calibri"/>
        <w:color w:val="0000FF"/>
        <w:sz w:val="18"/>
        <w:szCs w:val="20"/>
      </w:rPr>
      <w:sym w:font="Wingdings" w:char="0028"/>
    </w:r>
    <w:r w:rsidRPr="001D787F">
      <w:rPr>
        <w:rFonts w:ascii="Calibri" w:hAnsi="Calibri"/>
        <w:color w:val="0000FF"/>
        <w:sz w:val="18"/>
        <w:szCs w:val="20"/>
      </w:rPr>
      <w:t xml:space="preserve"> +32 2 513 39 69  </w:t>
    </w:r>
    <w:r w:rsidRPr="007E3226">
      <w:rPr>
        <w:rFonts w:ascii="Calibri" w:hAnsi="Calibri"/>
        <w:color w:val="0000FF"/>
        <w:sz w:val="18"/>
        <w:szCs w:val="20"/>
        <w:lang w:val="fr-BE"/>
      </w:rPr>
      <w:sym w:font="Symbol" w:char="00B7"/>
    </w:r>
    <w:r w:rsidRPr="001D787F">
      <w:rPr>
        <w:rFonts w:ascii="Calibri" w:hAnsi="Calibri"/>
        <w:color w:val="0000FF"/>
        <w:sz w:val="18"/>
        <w:szCs w:val="20"/>
      </w:rPr>
      <w:t xml:space="preserve">  Fax +32 2 513 26 43  </w:t>
    </w:r>
    <w:r w:rsidRPr="007E3226">
      <w:rPr>
        <w:rFonts w:ascii="Calibri" w:hAnsi="Calibri"/>
        <w:color w:val="0000FF"/>
        <w:sz w:val="18"/>
        <w:szCs w:val="20"/>
        <w:lang w:val="fr-BE"/>
      </w:rPr>
      <w:sym w:font="Symbol" w:char="00B7"/>
    </w:r>
    <w:r w:rsidRPr="001D787F">
      <w:rPr>
        <w:rFonts w:ascii="Calibri" w:hAnsi="Calibri"/>
        <w:color w:val="0000FF"/>
        <w:sz w:val="18"/>
        <w:szCs w:val="20"/>
      </w:rPr>
      <w:t xml:space="preserve">  e-</w:t>
    </w:r>
    <w:proofErr w:type="gramStart"/>
    <w:r w:rsidRPr="001D787F">
      <w:rPr>
        <w:rFonts w:ascii="Calibri" w:hAnsi="Calibri"/>
        <w:color w:val="0000FF"/>
        <w:sz w:val="18"/>
        <w:szCs w:val="20"/>
      </w:rPr>
      <w:t>mail :</w:t>
    </w:r>
    <w:proofErr w:type="gramEnd"/>
    <w:r w:rsidRPr="001D787F">
      <w:rPr>
        <w:rFonts w:ascii="Calibri" w:hAnsi="Calibri"/>
        <w:color w:val="0000FF"/>
        <w:sz w:val="18"/>
        <w:szCs w:val="20"/>
      </w:rPr>
      <w:t xml:space="preserve"> </w:t>
    </w:r>
    <w:hyperlink r:id="rId1" w:history="1">
      <w:r w:rsidRPr="001D787F">
        <w:rPr>
          <w:rFonts w:ascii="Calibri" w:hAnsi="Calibri"/>
          <w:color w:val="0000FF"/>
          <w:sz w:val="18"/>
          <w:szCs w:val="20"/>
          <w:u w:val="single"/>
        </w:rPr>
        <w:t>info@efama.org</w:t>
      </w:r>
    </w:hyperlink>
    <w:r w:rsidRPr="001D787F">
      <w:rPr>
        <w:rFonts w:ascii="Calibri" w:hAnsi="Calibri"/>
        <w:color w:val="0000FF"/>
        <w:sz w:val="18"/>
        <w:szCs w:val="20"/>
      </w:rPr>
      <w:t xml:space="preserve">  </w:t>
    </w:r>
    <w:r w:rsidRPr="007E3226">
      <w:rPr>
        <w:rFonts w:ascii="Calibri" w:hAnsi="Calibri"/>
        <w:color w:val="0000FF"/>
        <w:sz w:val="18"/>
        <w:szCs w:val="20"/>
        <w:lang w:val="fr-BE"/>
      </w:rPr>
      <w:sym w:font="Symbol" w:char="00B7"/>
    </w:r>
    <w:r w:rsidRPr="001D787F">
      <w:rPr>
        <w:rFonts w:ascii="Calibri" w:hAnsi="Calibri"/>
        <w:color w:val="0000FF"/>
        <w:sz w:val="18"/>
        <w:szCs w:val="20"/>
      </w:rPr>
      <w:t xml:space="preserve">  </w:t>
    </w:r>
    <w:hyperlink r:id="rId2" w:history="1">
      <w:r w:rsidRPr="001D787F">
        <w:rPr>
          <w:rFonts w:ascii="Calibri" w:hAnsi="Calibri"/>
          <w:color w:val="0000FF"/>
          <w:sz w:val="18"/>
          <w:szCs w:val="20"/>
          <w:u w:val="single"/>
        </w:rPr>
        <w:t>www.efama.org</w:t>
      </w:r>
    </w:hyperlink>
    <w:r w:rsidRPr="001D787F">
      <w:rPr>
        <w:rFonts w:ascii="Calibri" w:hAnsi="Calibri"/>
        <w:color w:val="0000FF"/>
        <w:sz w:val="18"/>
        <w:szCs w:val="20"/>
      </w:rPr>
      <w:t xml:space="preserve"> </w:t>
    </w:r>
    <w:r w:rsidRPr="001D787F">
      <w:rPr>
        <w:rFonts w:ascii="Calibri" w:hAnsi="Calibri"/>
        <w:color w:val="0000FF"/>
        <w:sz w:val="18"/>
        <w:szCs w:val="20"/>
      </w:rPr>
      <w:tab/>
    </w:r>
    <w:r w:rsidRPr="007E3226">
      <w:rPr>
        <w:rFonts w:ascii="Calibri" w:hAnsi="Calibri"/>
        <w:color w:val="0000FF"/>
        <w:sz w:val="18"/>
        <w:szCs w:val="20"/>
        <w:lang w:val="fr-BE"/>
      </w:rPr>
      <w:sym w:font="Symbol" w:char="00B7"/>
    </w:r>
    <w:r w:rsidRPr="001D787F">
      <w:rPr>
        <w:rFonts w:ascii="Calibri" w:hAnsi="Calibri"/>
        <w:color w:val="0000FF"/>
        <w:sz w:val="18"/>
        <w:szCs w:val="20"/>
      </w:rPr>
      <w:t xml:space="preserve">  VAT Nr BE 0446.651.445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C70E8" w14:textId="77777777" w:rsidR="00645FDD" w:rsidRDefault="00645FDD">
      <w:r>
        <w:separator/>
      </w:r>
    </w:p>
  </w:footnote>
  <w:footnote w:type="continuationSeparator" w:id="0">
    <w:p w14:paraId="4E28C7C3" w14:textId="77777777" w:rsidR="00645FDD" w:rsidRDefault="00645FDD">
      <w:r>
        <w:continuationSeparator/>
      </w:r>
    </w:p>
  </w:footnote>
  <w:footnote w:id="1">
    <w:p w14:paraId="0A0A8BE8" w14:textId="7A5021DA" w:rsidR="00C73305" w:rsidRPr="001D787F" w:rsidRDefault="00C73305" w:rsidP="00AA5F4F">
      <w:pPr>
        <w:pStyle w:val="FootnoteText"/>
        <w:rPr>
          <w:rFonts w:asciiTheme="minorHAnsi" w:hAnsiTheme="minorHAnsi"/>
          <w:lang w:val="en-US"/>
        </w:rPr>
      </w:pPr>
      <w:r>
        <w:rPr>
          <w:rStyle w:val="FootnoteReference"/>
        </w:rPr>
        <w:footnoteRef/>
      </w:r>
      <w:r>
        <w:t xml:space="preserve"> </w:t>
      </w:r>
      <w:r w:rsidRPr="001D787F">
        <w:rPr>
          <w:rFonts w:asciiTheme="minorHAnsi" w:hAnsiTheme="minorHAnsi"/>
        </w:rPr>
        <w:t xml:space="preserve">Please see also CESR consultation </w:t>
      </w:r>
      <w:r w:rsidR="00AA5F4F" w:rsidRPr="001D787F">
        <w:rPr>
          <w:rFonts w:asciiTheme="minorHAnsi" w:hAnsiTheme="minorHAnsi"/>
        </w:rPr>
        <w:t>n°</w:t>
      </w:r>
      <w:r w:rsidRPr="001D787F">
        <w:rPr>
          <w:rFonts w:asciiTheme="minorHAnsi" w:hAnsiTheme="minorHAnsi"/>
        </w:rPr>
        <w:t>10-108</w:t>
      </w:r>
      <w:r w:rsidR="002E7333">
        <w:rPr>
          <w:rFonts w:asciiTheme="minorHAnsi" w:hAnsiTheme="minorHAnsi"/>
        </w:rPr>
        <w:t xml:space="preserve"> </w:t>
      </w:r>
      <w:r w:rsidR="00AA5F4F" w:rsidRPr="001D787F">
        <w:rPr>
          <w:rFonts w:asciiTheme="minorHAnsi" w:hAnsiTheme="minorHAnsi"/>
        </w:rPr>
        <w:t>on Risk Measurement and the Calculation of Global Exposure and Counterparty Risk for UCITS</w:t>
      </w:r>
      <w:r w:rsidRPr="001D787F">
        <w:rPr>
          <w:rFonts w:asciiTheme="minorHAnsi" w:hAnsiTheme="minorHAnsi"/>
        </w:rPr>
        <w:t>, Box 28</w:t>
      </w:r>
    </w:p>
  </w:footnote>
  <w:footnote w:id="2">
    <w:p w14:paraId="51A5EF57" w14:textId="57AD10A2" w:rsidR="00B42D36" w:rsidRPr="001D787F" w:rsidRDefault="00B42D36">
      <w:pPr>
        <w:pStyle w:val="FootnoteText"/>
        <w:rPr>
          <w:rFonts w:asciiTheme="minorHAnsi" w:hAnsiTheme="minorHAnsi"/>
        </w:rPr>
      </w:pPr>
      <w:r w:rsidRPr="001D787F">
        <w:rPr>
          <w:rStyle w:val="FootnoteReference"/>
          <w:rFonts w:asciiTheme="minorHAnsi" w:hAnsiTheme="minorHAnsi"/>
        </w:rPr>
        <w:footnoteRef/>
      </w:r>
      <w:r w:rsidRPr="001D787F">
        <w:rPr>
          <w:rFonts w:asciiTheme="minorHAnsi" w:hAnsiTheme="minorHAnsi"/>
        </w:rPr>
        <w:t xml:space="preserve"> . (cf.  G20, Cannes summit final declaration, </w:t>
      </w:r>
      <w:proofErr w:type="spellStart"/>
      <w:r w:rsidRPr="001D787F">
        <w:rPr>
          <w:rFonts w:asciiTheme="minorHAnsi" w:hAnsiTheme="minorHAnsi"/>
        </w:rPr>
        <w:t>para.</w:t>
      </w:r>
      <w:r w:rsidR="00A32B23" w:rsidRPr="001D787F">
        <w:rPr>
          <w:rFonts w:asciiTheme="minorHAnsi" w:hAnsiTheme="minorHAnsi"/>
        </w:rPr>
        <w:t>graph</w:t>
      </w:r>
      <w:proofErr w:type="spellEnd"/>
      <w:r w:rsidR="00A32B23" w:rsidRPr="001D787F">
        <w:rPr>
          <w:rFonts w:asciiTheme="minorHAnsi" w:hAnsiTheme="minorHAnsi"/>
        </w:rPr>
        <w:t xml:space="preserve"> </w:t>
      </w:r>
      <w:r w:rsidRPr="001D787F">
        <w:rPr>
          <w:rFonts w:asciiTheme="minorHAnsi" w:hAnsiTheme="minorHAnsi"/>
        </w:rPr>
        <w:t>24</w:t>
      </w:r>
      <w:r w:rsidR="00FB41BF" w:rsidRPr="001D787F">
        <w:rPr>
          <w:rFonts w:asciiTheme="minorHAnsi" w:hAnsiTheme="minorHAnsi"/>
        </w:rPr>
        <w:t xml:space="preserve"> - https://www.g20.org/sites/default/files/g20_resources/library/Declaration_eng_Cannes.pdf </w:t>
      </w:r>
      <w:r w:rsidRPr="001D787F">
        <w:rPr>
          <w:rFonts w:asciiTheme="minorHAnsi" w:hAnsiTheme="minorHAnsi"/>
        </w:rPr>
        <w:t>)</w:t>
      </w:r>
    </w:p>
  </w:footnote>
  <w:footnote w:id="3">
    <w:p w14:paraId="65DBAEF3" w14:textId="29DB98EC" w:rsidR="00FB41BF" w:rsidRPr="001D787F" w:rsidRDefault="00FB41BF">
      <w:pPr>
        <w:pStyle w:val="FootnoteText"/>
        <w:rPr>
          <w:lang w:val="en-US"/>
        </w:rPr>
      </w:pPr>
      <w:r w:rsidRPr="001D787F">
        <w:rPr>
          <w:rStyle w:val="FootnoteReference"/>
          <w:rFonts w:asciiTheme="minorHAnsi" w:hAnsiTheme="minorHAnsi"/>
        </w:rPr>
        <w:footnoteRef/>
      </w:r>
      <w:r w:rsidRPr="001D787F">
        <w:rPr>
          <w:rFonts w:asciiTheme="minorHAnsi" w:hAnsiTheme="minorHAnsi"/>
        </w:rPr>
        <w:t xml:space="preserve"> </w:t>
      </w:r>
      <w:r w:rsidR="00A32B23" w:rsidRPr="001D787F">
        <w:rPr>
          <w:rFonts w:asciiTheme="minorHAnsi" w:hAnsiTheme="minorHAnsi" w:cs="Calibri"/>
          <w:bCs/>
        </w:rPr>
        <w:t>For example, h</w:t>
      </w:r>
      <w:r w:rsidRPr="001D787F">
        <w:rPr>
          <w:rFonts w:asciiTheme="minorHAnsi" w:hAnsiTheme="minorHAnsi" w:cs="Calibri"/>
          <w:bCs/>
        </w:rPr>
        <w:t>undreds of PEA funds in France have to show a minimum investment of 75% in eligible shares</w:t>
      </w:r>
      <w:r w:rsidRPr="001D787F">
        <w:rPr>
          <w:rStyle w:val="CommentReference"/>
          <w:rFonts w:asciiTheme="minorHAnsi" w:hAnsiTheme="minorHAnsi"/>
          <w:sz w:val="20"/>
          <w:szCs w:val="20"/>
        </w:rPr>
        <w:t/>
      </w:r>
      <w:r w:rsidR="00170FED">
        <w:rPr>
          <w:rFonts w:asciiTheme="minorHAnsi" w:hAnsiTheme="minorHAnsi" w:cs="Calibri"/>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14528"/>
      <w:docPartObj>
        <w:docPartGallery w:val="Page Numbers (Top of Page)"/>
        <w:docPartUnique/>
      </w:docPartObj>
    </w:sdtPr>
    <w:sdtEndPr>
      <w:rPr>
        <w:rFonts w:asciiTheme="minorHAnsi" w:hAnsiTheme="minorHAnsi"/>
        <w:noProof/>
        <w:sz w:val="20"/>
      </w:rPr>
    </w:sdtEndPr>
    <w:sdtContent>
      <w:p w14:paraId="46272EAD" w14:textId="77777777" w:rsidR="00997751" w:rsidRPr="00997751" w:rsidRDefault="001729CE">
        <w:pPr>
          <w:pStyle w:val="Header"/>
          <w:jc w:val="right"/>
          <w:rPr>
            <w:rFonts w:asciiTheme="minorHAnsi" w:hAnsiTheme="minorHAnsi"/>
            <w:sz w:val="20"/>
          </w:rPr>
        </w:pPr>
        <w:r w:rsidRPr="00997751">
          <w:rPr>
            <w:rFonts w:asciiTheme="minorHAnsi" w:hAnsiTheme="minorHAnsi"/>
            <w:sz w:val="20"/>
          </w:rPr>
          <w:fldChar w:fldCharType="begin"/>
        </w:r>
        <w:r w:rsidR="00997751" w:rsidRPr="00997751">
          <w:rPr>
            <w:rFonts w:asciiTheme="minorHAnsi" w:hAnsiTheme="minorHAnsi"/>
            <w:sz w:val="20"/>
          </w:rPr>
          <w:instrText xml:space="preserve"> PAGE   \* MERGEFORMAT </w:instrText>
        </w:r>
        <w:r w:rsidRPr="00997751">
          <w:rPr>
            <w:rFonts w:asciiTheme="minorHAnsi" w:hAnsiTheme="minorHAnsi"/>
            <w:sz w:val="20"/>
          </w:rPr>
          <w:fldChar w:fldCharType="separate"/>
        </w:r>
        <w:r w:rsidR="00170FED">
          <w:rPr>
            <w:rFonts w:asciiTheme="minorHAnsi" w:hAnsiTheme="minorHAnsi"/>
            <w:noProof/>
            <w:sz w:val="20"/>
          </w:rPr>
          <w:t>2</w:t>
        </w:r>
        <w:r w:rsidRPr="00997751">
          <w:rPr>
            <w:rFonts w:asciiTheme="minorHAnsi" w:hAnsiTheme="minorHAnsi"/>
            <w:noProof/>
            <w:sz w:val="20"/>
          </w:rPr>
          <w:fldChar w:fldCharType="end"/>
        </w:r>
      </w:p>
    </w:sdtContent>
  </w:sdt>
  <w:p w14:paraId="68367664" w14:textId="36FDDE84" w:rsidR="00997751" w:rsidRDefault="001D787F" w:rsidP="00997751">
    <w:pPr>
      <w:pStyle w:val="Header"/>
      <w:pBdr>
        <w:bottom w:val="single" w:sz="4" w:space="0" w:color="auto"/>
      </w:pBdr>
      <w:jc w:val="right"/>
    </w:pPr>
    <w:r>
      <w:rPr>
        <w:rFonts w:ascii="Calibri" w:hAnsi="Calibri" w:cs="Calibri"/>
        <w:noProof/>
        <w:sz w:val="18"/>
        <w:szCs w:val="18"/>
      </w:rPr>
      <w:fldChar w:fldCharType="begin"/>
    </w:r>
    <w:r>
      <w:rPr>
        <w:rFonts w:ascii="Calibri" w:hAnsi="Calibri" w:cs="Calibri"/>
        <w:noProof/>
        <w:sz w:val="18"/>
        <w:szCs w:val="18"/>
      </w:rPr>
      <w:instrText xml:space="preserve"> FILENAME   \* MERGEFORMAT </w:instrText>
    </w:r>
    <w:r>
      <w:rPr>
        <w:rFonts w:ascii="Calibri" w:hAnsi="Calibri" w:cs="Calibri"/>
        <w:noProof/>
        <w:sz w:val="18"/>
        <w:szCs w:val="18"/>
      </w:rPr>
      <w:fldChar w:fldCharType="separate"/>
    </w:r>
    <w:r w:rsidR="00893A55">
      <w:rPr>
        <w:rFonts w:ascii="Calibri" w:hAnsi="Calibri" w:cs="Calibri"/>
        <w:noProof/>
        <w:sz w:val="18"/>
        <w:szCs w:val="18"/>
      </w:rPr>
      <w:t>14-4047_ESAs Consultation_Risk-Mitigation Techniques_non-centrally cleared OTC Derivative contracts_EFAMA Reply</w:t>
    </w:r>
    <w:r>
      <w:rPr>
        <w:rFonts w:ascii="Calibri" w:hAnsi="Calibri" w:cs="Calibri"/>
        <w:noProof/>
        <w:sz w:val="18"/>
        <w:szCs w:val="18"/>
      </w:rPr>
      <w:fldChar w:fldCharType="end"/>
    </w:r>
  </w:p>
  <w:p w14:paraId="0C68C87A" w14:textId="77777777" w:rsidR="00997751" w:rsidRPr="00997751" w:rsidRDefault="00997751" w:rsidP="00997751">
    <w:pPr>
      <w:pStyle w:val="Header"/>
      <w:rPr>
        <w:rFonts w:asciiTheme="minorHAnsi" w:hAnsiTheme="minorHAnsi"/>
        <w:sz w:val="20"/>
      </w:rPr>
    </w:pPr>
  </w:p>
  <w:p w14:paraId="2ADFA43F" w14:textId="587E2497" w:rsidR="00485C69" w:rsidRPr="00997751" w:rsidRDefault="00485C69">
    <w:pPr>
      <w:pStyle w:val="Header"/>
      <w:rPr>
        <w:rFonts w:asciiTheme="minorHAnsi" w:hAnsiTheme="minorHAns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FA4E" w14:textId="297D5585" w:rsidR="00485C69" w:rsidRDefault="00485C69">
    <w:pPr>
      <w:pStyle w:val="Header"/>
      <w:rPr>
        <w:sz w:val="18"/>
        <w:szCs w:val="18"/>
      </w:rPr>
    </w:pPr>
    <w:r w:rsidRPr="00BA5C5D">
      <w:rPr>
        <w:sz w:val="18"/>
        <w:szCs w:val="18"/>
      </w:rPr>
      <w:object w:dxaOrig="2966" w:dyaOrig="1656" w14:anchorId="4B36A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62.4pt" o:ole="">
          <v:imagedata r:id="rId1" o:title=""/>
        </v:shape>
        <o:OLEObject Type="Embed" ProgID="DellImageExpertImage" ShapeID="_x0000_i1025" DrawAspect="Content" ObjectID="_1466855352" r:id="rId2"/>
      </w:object>
    </w:r>
  </w:p>
  <w:p w14:paraId="1C384819" w14:textId="77777777" w:rsidR="00485C69" w:rsidRDefault="00485C69" w:rsidP="002F0B2B">
    <w:pPr>
      <w:pStyle w:val="Header"/>
      <w:tabs>
        <w:tab w:val="clear" w:pos="4153"/>
        <w:tab w:val="clear" w:pos="8306"/>
        <w:tab w:val="left" w:pos="7320"/>
      </w:tabs>
      <w:rPr>
        <w:sz w:val="18"/>
        <w:szCs w:val="18"/>
      </w:rPr>
    </w:pPr>
  </w:p>
  <w:p w14:paraId="36329EAE" w14:textId="77777777" w:rsidR="00485C69" w:rsidRDefault="00485C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6E02"/>
    <w:multiLevelType w:val="hybridMultilevel"/>
    <w:tmpl w:val="41106B44"/>
    <w:lvl w:ilvl="0" w:tplc="6AD83A6A">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1A54FD1"/>
    <w:multiLevelType w:val="hybridMultilevel"/>
    <w:tmpl w:val="35E296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310D2"/>
    <w:multiLevelType w:val="hybridMultilevel"/>
    <w:tmpl w:val="DF624E1E"/>
    <w:lvl w:ilvl="0" w:tplc="080C0011">
      <w:start w:val="1"/>
      <w:numFmt w:val="decimal"/>
      <w:lvlText w:val="%1)"/>
      <w:lvlJc w:val="left"/>
      <w:pPr>
        <w:ind w:left="360" w:hanging="360"/>
      </w:pPr>
      <w:rPr>
        <w:rFonts w:hint="default"/>
      </w:rPr>
    </w:lvl>
    <w:lvl w:ilvl="1" w:tplc="6AD83A6A">
      <w:start w:val="1"/>
      <w:numFmt w:val="bullet"/>
      <w:lvlText w:val=""/>
      <w:lvlJc w:val="left"/>
      <w:pPr>
        <w:ind w:left="1080" w:hanging="360"/>
      </w:pPr>
      <w:rPr>
        <w:rFonts w:ascii="Symbol" w:hAnsi="Symbol" w:hint="default"/>
        <w:color w:val="auto"/>
      </w:r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09DB37D9"/>
    <w:multiLevelType w:val="hybridMultilevel"/>
    <w:tmpl w:val="23E44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E25A8E"/>
    <w:multiLevelType w:val="hybridMultilevel"/>
    <w:tmpl w:val="D42AD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E05416"/>
    <w:multiLevelType w:val="hybridMultilevel"/>
    <w:tmpl w:val="2B04A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73C7C"/>
    <w:multiLevelType w:val="hybridMultilevel"/>
    <w:tmpl w:val="AE36BF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4337C"/>
    <w:multiLevelType w:val="hybridMultilevel"/>
    <w:tmpl w:val="8EBA0E18"/>
    <w:lvl w:ilvl="0" w:tplc="6AD83A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D2456A"/>
    <w:multiLevelType w:val="hybridMultilevel"/>
    <w:tmpl w:val="671C0A52"/>
    <w:lvl w:ilvl="0" w:tplc="63681198">
      <w:start w:val="8"/>
      <w:numFmt w:val="bullet"/>
      <w:lvlText w:val="-"/>
      <w:lvlJc w:val="left"/>
      <w:pPr>
        <w:ind w:left="720" w:hanging="360"/>
      </w:pPr>
      <w:rPr>
        <w:rFonts w:ascii="Verdana" w:eastAsia="Times New Roman" w:hAnsi="Verdan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F9427A0"/>
    <w:multiLevelType w:val="multilevel"/>
    <w:tmpl w:val="B87ACA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FDF6C87"/>
    <w:multiLevelType w:val="hybridMultilevel"/>
    <w:tmpl w:val="73E23066"/>
    <w:lvl w:ilvl="0" w:tplc="3CAC231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8"/>
  </w:num>
  <w:num w:numId="5">
    <w:abstractNumId w:val="2"/>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6"/>
  </w:num>
  <w:num w:numId="14">
    <w:abstractNumId w:val="7"/>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3F"/>
    <w:rsid w:val="0000068E"/>
    <w:rsid w:val="00001DD5"/>
    <w:rsid w:val="000112B5"/>
    <w:rsid w:val="000171C0"/>
    <w:rsid w:val="00020729"/>
    <w:rsid w:val="00023A91"/>
    <w:rsid w:val="000241E1"/>
    <w:rsid w:val="00024AF7"/>
    <w:rsid w:val="00026280"/>
    <w:rsid w:val="00031274"/>
    <w:rsid w:val="0003339B"/>
    <w:rsid w:val="00042BA9"/>
    <w:rsid w:val="00045080"/>
    <w:rsid w:val="00050A23"/>
    <w:rsid w:val="0005283A"/>
    <w:rsid w:val="00053783"/>
    <w:rsid w:val="000569C5"/>
    <w:rsid w:val="000739C9"/>
    <w:rsid w:val="00076A49"/>
    <w:rsid w:val="000827C7"/>
    <w:rsid w:val="00091C1F"/>
    <w:rsid w:val="00091ECB"/>
    <w:rsid w:val="000A3C7D"/>
    <w:rsid w:val="000A400D"/>
    <w:rsid w:val="000A694A"/>
    <w:rsid w:val="000A79F7"/>
    <w:rsid w:val="000B360C"/>
    <w:rsid w:val="000B79E4"/>
    <w:rsid w:val="000C1052"/>
    <w:rsid w:val="000C193D"/>
    <w:rsid w:val="000C5145"/>
    <w:rsid w:val="000D6F4B"/>
    <w:rsid w:val="000E0924"/>
    <w:rsid w:val="000F23C0"/>
    <w:rsid w:val="000F3A2F"/>
    <w:rsid w:val="001059B5"/>
    <w:rsid w:val="00116298"/>
    <w:rsid w:val="00123B1B"/>
    <w:rsid w:val="0012486C"/>
    <w:rsid w:val="0012601C"/>
    <w:rsid w:val="001260BF"/>
    <w:rsid w:val="0012682B"/>
    <w:rsid w:val="00132021"/>
    <w:rsid w:val="00132207"/>
    <w:rsid w:val="00132746"/>
    <w:rsid w:val="00134954"/>
    <w:rsid w:val="00136A25"/>
    <w:rsid w:val="0014026F"/>
    <w:rsid w:val="00140AA8"/>
    <w:rsid w:val="0015199D"/>
    <w:rsid w:val="00153595"/>
    <w:rsid w:val="001547EE"/>
    <w:rsid w:val="00163DFA"/>
    <w:rsid w:val="0017096C"/>
    <w:rsid w:val="00170FED"/>
    <w:rsid w:val="001717F0"/>
    <w:rsid w:val="001729CE"/>
    <w:rsid w:val="00173660"/>
    <w:rsid w:val="001762E8"/>
    <w:rsid w:val="0019357A"/>
    <w:rsid w:val="001A30F8"/>
    <w:rsid w:val="001A555A"/>
    <w:rsid w:val="001B2595"/>
    <w:rsid w:val="001B2BB6"/>
    <w:rsid w:val="001B3BA1"/>
    <w:rsid w:val="001B3D98"/>
    <w:rsid w:val="001B712D"/>
    <w:rsid w:val="001C5138"/>
    <w:rsid w:val="001D256B"/>
    <w:rsid w:val="001D677E"/>
    <w:rsid w:val="001D787F"/>
    <w:rsid w:val="001E6395"/>
    <w:rsid w:val="001E769D"/>
    <w:rsid w:val="001F144F"/>
    <w:rsid w:val="001F3826"/>
    <w:rsid w:val="001F7EAF"/>
    <w:rsid w:val="002029AE"/>
    <w:rsid w:val="002105CB"/>
    <w:rsid w:val="0021126B"/>
    <w:rsid w:val="002138D7"/>
    <w:rsid w:val="00221E8D"/>
    <w:rsid w:val="00221F6C"/>
    <w:rsid w:val="002339C0"/>
    <w:rsid w:val="00240294"/>
    <w:rsid w:val="0024187F"/>
    <w:rsid w:val="0024198A"/>
    <w:rsid w:val="0024709F"/>
    <w:rsid w:val="00261721"/>
    <w:rsid w:val="00264FE9"/>
    <w:rsid w:val="002717D3"/>
    <w:rsid w:val="00283EB9"/>
    <w:rsid w:val="0029090E"/>
    <w:rsid w:val="00291F46"/>
    <w:rsid w:val="002A06F3"/>
    <w:rsid w:val="002A28A5"/>
    <w:rsid w:val="002A401B"/>
    <w:rsid w:val="002A70E9"/>
    <w:rsid w:val="002B5A2F"/>
    <w:rsid w:val="002C1651"/>
    <w:rsid w:val="002C6E4A"/>
    <w:rsid w:val="002D3423"/>
    <w:rsid w:val="002D3840"/>
    <w:rsid w:val="002E1387"/>
    <w:rsid w:val="002E58DE"/>
    <w:rsid w:val="002E7333"/>
    <w:rsid w:val="002E7CB8"/>
    <w:rsid w:val="002F0B2B"/>
    <w:rsid w:val="002F2B66"/>
    <w:rsid w:val="002F72EC"/>
    <w:rsid w:val="00303692"/>
    <w:rsid w:val="00310AD8"/>
    <w:rsid w:val="00320FDA"/>
    <w:rsid w:val="00321FD4"/>
    <w:rsid w:val="003349EB"/>
    <w:rsid w:val="00335599"/>
    <w:rsid w:val="00337618"/>
    <w:rsid w:val="003377F3"/>
    <w:rsid w:val="00345EE5"/>
    <w:rsid w:val="00347A15"/>
    <w:rsid w:val="00353A3F"/>
    <w:rsid w:val="003658B7"/>
    <w:rsid w:val="00371977"/>
    <w:rsid w:val="0037469F"/>
    <w:rsid w:val="003752C5"/>
    <w:rsid w:val="00381188"/>
    <w:rsid w:val="003817B9"/>
    <w:rsid w:val="003915A1"/>
    <w:rsid w:val="003B318D"/>
    <w:rsid w:val="003B418D"/>
    <w:rsid w:val="003C083F"/>
    <w:rsid w:val="003C1B57"/>
    <w:rsid w:val="003C28F5"/>
    <w:rsid w:val="003C395B"/>
    <w:rsid w:val="003D3CCC"/>
    <w:rsid w:val="003D6007"/>
    <w:rsid w:val="003E6CBC"/>
    <w:rsid w:val="003F0E00"/>
    <w:rsid w:val="003F1F04"/>
    <w:rsid w:val="004036F0"/>
    <w:rsid w:val="00404D55"/>
    <w:rsid w:val="00406305"/>
    <w:rsid w:val="00414E14"/>
    <w:rsid w:val="00420CA9"/>
    <w:rsid w:val="00422EC1"/>
    <w:rsid w:val="00426FAD"/>
    <w:rsid w:val="00434BF9"/>
    <w:rsid w:val="00441A13"/>
    <w:rsid w:val="004742F0"/>
    <w:rsid w:val="00475C94"/>
    <w:rsid w:val="00481E96"/>
    <w:rsid w:val="0048434F"/>
    <w:rsid w:val="00485C69"/>
    <w:rsid w:val="00493223"/>
    <w:rsid w:val="00497988"/>
    <w:rsid w:val="004A0D83"/>
    <w:rsid w:val="004A1A34"/>
    <w:rsid w:val="004A1E41"/>
    <w:rsid w:val="004A5770"/>
    <w:rsid w:val="004A5873"/>
    <w:rsid w:val="004B60E2"/>
    <w:rsid w:val="004C33DD"/>
    <w:rsid w:val="004C5CD0"/>
    <w:rsid w:val="004E673B"/>
    <w:rsid w:val="004E7F2D"/>
    <w:rsid w:val="004F018F"/>
    <w:rsid w:val="004F1125"/>
    <w:rsid w:val="004F4DD8"/>
    <w:rsid w:val="004F51BA"/>
    <w:rsid w:val="004F5DF5"/>
    <w:rsid w:val="004F7E4F"/>
    <w:rsid w:val="00501692"/>
    <w:rsid w:val="00507D66"/>
    <w:rsid w:val="00510502"/>
    <w:rsid w:val="00512C5A"/>
    <w:rsid w:val="00531E37"/>
    <w:rsid w:val="00534DAC"/>
    <w:rsid w:val="0054392E"/>
    <w:rsid w:val="005512D9"/>
    <w:rsid w:val="00554B8E"/>
    <w:rsid w:val="00557E1D"/>
    <w:rsid w:val="00574C47"/>
    <w:rsid w:val="00575EA0"/>
    <w:rsid w:val="00577B04"/>
    <w:rsid w:val="005866A6"/>
    <w:rsid w:val="00591267"/>
    <w:rsid w:val="00591AAE"/>
    <w:rsid w:val="0059471E"/>
    <w:rsid w:val="005957EE"/>
    <w:rsid w:val="00597A88"/>
    <w:rsid w:val="005B1050"/>
    <w:rsid w:val="005C0DE1"/>
    <w:rsid w:val="005C2165"/>
    <w:rsid w:val="005C264F"/>
    <w:rsid w:val="005C5DC9"/>
    <w:rsid w:val="005C616B"/>
    <w:rsid w:val="005D06EE"/>
    <w:rsid w:val="005E0A55"/>
    <w:rsid w:val="005E16F3"/>
    <w:rsid w:val="005E20CA"/>
    <w:rsid w:val="005E4560"/>
    <w:rsid w:val="005E7D2E"/>
    <w:rsid w:val="005F1BE2"/>
    <w:rsid w:val="005F5501"/>
    <w:rsid w:val="00600F22"/>
    <w:rsid w:val="006126F7"/>
    <w:rsid w:val="00615D07"/>
    <w:rsid w:val="0062012F"/>
    <w:rsid w:val="006206D8"/>
    <w:rsid w:val="00631772"/>
    <w:rsid w:val="00632F0F"/>
    <w:rsid w:val="00634E1C"/>
    <w:rsid w:val="00640C48"/>
    <w:rsid w:val="006445C3"/>
    <w:rsid w:val="00645194"/>
    <w:rsid w:val="00645513"/>
    <w:rsid w:val="00645FDD"/>
    <w:rsid w:val="006561C0"/>
    <w:rsid w:val="00656720"/>
    <w:rsid w:val="0066130A"/>
    <w:rsid w:val="00663B5A"/>
    <w:rsid w:val="006727F2"/>
    <w:rsid w:val="00674510"/>
    <w:rsid w:val="006833E2"/>
    <w:rsid w:val="00683CB2"/>
    <w:rsid w:val="00696FA5"/>
    <w:rsid w:val="00697875"/>
    <w:rsid w:val="006D0866"/>
    <w:rsid w:val="006E1496"/>
    <w:rsid w:val="006E1510"/>
    <w:rsid w:val="006E34D2"/>
    <w:rsid w:val="006E3C93"/>
    <w:rsid w:val="006F502C"/>
    <w:rsid w:val="006F62A5"/>
    <w:rsid w:val="00703CC9"/>
    <w:rsid w:val="007040A7"/>
    <w:rsid w:val="007061DF"/>
    <w:rsid w:val="00707725"/>
    <w:rsid w:val="0072619C"/>
    <w:rsid w:val="00727B2E"/>
    <w:rsid w:val="00732DA9"/>
    <w:rsid w:val="00744541"/>
    <w:rsid w:val="00745232"/>
    <w:rsid w:val="00745DE2"/>
    <w:rsid w:val="00751581"/>
    <w:rsid w:val="00753E17"/>
    <w:rsid w:val="0076217D"/>
    <w:rsid w:val="00763AC9"/>
    <w:rsid w:val="00763CF6"/>
    <w:rsid w:val="00764108"/>
    <w:rsid w:val="00765FC8"/>
    <w:rsid w:val="0076696F"/>
    <w:rsid w:val="00770B41"/>
    <w:rsid w:val="00773959"/>
    <w:rsid w:val="0078262D"/>
    <w:rsid w:val="0078677A"/>
    <w:rsid w:val="00787530"/>
    <w:rsid w:val="00790525"/>
    <w:rsid w:val="007A0CC7"/>
    <w:rsid w:val="007C0889"/>
    <w:rsid w:val="007C5FC4"/>
    <w:rsid w:val="007C6334"/>
    <w:rsid w:val="007D2465"/>
    <w:rsid w:val="007D7F35"/>
    <w:rsid w:val="007E3226"/>
    <w:rsid w:val="007E507A"/>
    <w:rsid w:val="007E6681"/>
    <w:rsid w:val="007F52E8"/>
    <w:rsid w:val="007F6BAC"/>
    <w:rsid w:val="00800A6A"/>
    <w:rsid w:val="0080469A"/>
    <w:rsid w:val="00807AE5"/>
    <w:rsid w:val="00807E45"/>
    <w:rsid w:val="0081616A"/>
    <w:rsid w:val="00816D21"/>
    <w:rsid w:val="00844DA6"/>
    <w:rsid w:val="0084764A"/>
    <w:rsid w:val="008505FF"/>
    <w:rsid w:val="00852197"/>
    <w:rsid w:val="0085448E"/>
    <w:rsid w:val="0086106D"/>
    <w:rsid w:val="00864651"/>
    <w:rsid w:val="0087046A"/>
    <w:rsid w:val="008719F3"/>
    <w:rsid w:val="00876030"/>
    <w:rsid w:val="00876EF6"/>
    <w:rsid w:val="00886F1E"/>
    <w:rsid w:val="00893A55"/>
    <w:rsid w:val="00893D69"/>
    <w:rsid w:val="008A1D1B"/>
    <w:rsid w:val="008B3DC5"/>
    <w:rsid w:val="008C66DE"/>
    <w:rsid w:val="008C77D8"/>
    <w:rsid w:val="008D083D"/>
    <w:rsid w:val="008E2A59"/>
    <w:rsid w:val="008F43E0"/>
    <w:rsid w:val="008F798E"/>
    <w:rsid w:val="00901F7C"/>
    <w:rsid w:val="00902F03"/>
    <w:rsid w:val="00920144"/>
    <w:rsid w:val="0092152F"/>
    <w:rsid w:val="009222EB"/>
    <w:rsid w:val="0092563D"/>
    <w:rsid w:val="009259C0"/>
    <w:rsid w:val="00940F03"/>
    <w:rsid w:val="00971280"/>
    <w:rsid w:val="00975E1C"/>
    <w:rsid w:val="0097610F"/>
    <w:rsid w:val="00997751"/>
    <w:rsid w:val="009A12C6"/>
    <w:rsid w:val="009A5C43"/>
    <w:rsid w:val="009A60AA"/>
    <w:rsid w:val="009B47F2"/>
    <w:rsid w:val="009B6A84"/>
    <w:rsid w:val="009C6CED"/>
    <w:rsid w:val="009D38C3"/>
    <w:rsid w:val="009D454C"/>
    <w:rsid w:val="009D7BB1"/>
    <w:rsid w:val="009F1EEF"/>
    <w:rsid w:val="009F258B"/>
    <w:rsid w:val="009F4033"/>
    <w:rsid w:val="00A05760"/>
    <w:rsid w:val="00A12336"/>
    <w:rsid w:val="00A20750"/>
    <w:rsid w:val="00A20C88"/>
    <w:rsid w:val="00A32B23"/>
    <w:rsid w:val="00A4678F"/>
    <w:rsid w:val="00A52B35"/>
    <w:rsid w:val="00A55057"/>
    <w:rsid w:val="00A62DCF"/>
    <w:rsid w:val="00A64DBB"/>
    <w:rsid w:val="00A67EAB"/>
    <w:rsid w:val="00A744EF"/>
    <w:rsid w:val="00A7540C"/>
    <w:rsid w:val="00A777DF"/>
    <w:rsid w:val="00A81749"/>
    <w:rsid w:val="00A84C54"/>
    <w:rsid w:val="00A918F1"/>
    <w:rsid w:val="00A96472"/>
    <w:rsid w:val="00AA159A"/>
    <w:rsid w:val="00AA4D5B"/>
    <w:rsid w:val="00AA5F4F"/>
    <w:rsid w:val="00AA67AF"/>
    <w:rsid w:val="00AB5F0A"/>
    <w:rsid w:val="00AB7566"/>
    <w:rsid w:val="00AC1E9C"/>
    <w:rsid w:val="00AC2F1A"/>
    <w:rsid w:val="00AD198A"/>
    <w:rsid w:val="00AD3C3B"/>
    <w:rsid w:val="00AD727B"/>
    <w:rsid w:val="00AE4441"/>
    <w:rsid w:val="00AF527E"/>
    <w:rsid w:val="00B11ECD"/>
    <w:rsid w:val="00B16590"/>
    <w:rsid w:val="00B169AF"/>
    <w:rsid w:val="00B173D8"/>
    <w:rsid w:val="00B173E2"/>
    <w:rsid w:val="00B278BE"/>
    <w:rsid w:val="00B31A3F"/>
    <w:rsid w:val="00B3260A"/>
    <w:rsid w:val="00B41025"/>
    <w:rsid w:val="00B4115E"/>
    <w:rsid w:val="00B4219D"/>
    <w:rsid w:val="00B42D36"/>
    <w:rsid w:val="00B47875"/>
    <w:rsid w:val="00B53C5D"/>
    <w:rsid w:val="00B54583"/>
    <w:rsid w:val="00B5535C"/>
    <w:rsid w:val="00B666D1"/>
    <w:rsid w:val="00B71047"/>
    <w:rsid w:val="00B74123"/>
    <w:rsid w:val="00B82B05"/>
    <w:rsid w:val="00B90B21"/>
    <w:rsid w:val="00B93A24"/>
    <w:rsid w:val="00B97FD2"/>
    <w:rsid w:val="00BD39F1"/>
    <w:rsid w:val="00C02177"/>
    <w:rsid w:val="00C10301"/>
    <w:rsid w:val="00C10EDB"/>
    <w:rsid w:val="00C23C21"/>
    <w:rsid w:val="00C255D9"/>
    <w:rsid w:val="00C313B9"/>
    <w:rsid w:val="00C31BD1"/>
    <w:rsid w:val="00C40201"/>
    <w:rsid w:val="00C417F0"/>
    <w:rsid w:val="00C42618"/>
    <w:rsid w:val="00C42660"/>
    <w:rsid w:val="00C46D9C"/>
    <w:rsid w:val="00C52BEC"/>
    <w:rsid w:val="00C5387B"/>
    <w:rsid w:val="00C55C95"/>
    <w:rsid w:val="00C57983"/>
    <w:rsid w:val="00C61E43"/>
    <w:rsid w:val="00C620F1"/>
    <w:rsid w:val="00C65C2B"/>
    <w:rsid w:val="00C70711"/>
    <w:rsid w:val="00C73305"/>
    <w:rsid w:val="00C74B7A"/>
    <w:rsid w:val="00C80702"/>
    <w:rsid w:val="00C809B5"/>
    <w:rsid w:val="00C816A6"/>
    <w:rsid w:val="00C823E5"/>
    <w:rsid w:val="00C82D3B"/>
    <w:rsid w:val="00C85771"/>
    <w:rsid w:val="00C87794"/>
    <w:rsid w:val="00C90584"/>
    <w:rsid w:val="00C92757"/>
    <w:rsid w:val="00C964FF"/>
    <w:rsid w:val="00CA19C6"/>
    <w:rsid w:val="00CA3559"/>
    <w:rsid w:val="00CA3813"/>
    <w:rsid w:val="00CA53DF"/>
    <w:rsid w:val="00CA67D8"/>
    <w:rsid w:val="00CA68F6"/>
    <w:rsid w:val="00CB6B73"/>
    <w:rsid w:val="00CB74C5"/>
    <w:rsid w:val="00CD57C1"/>
    <w:rsid w:val="00CE1D7F"/>
    <w:rsid w:val="00CE7B5E"/>
    <w:rsid w:val="00D02805"/>
    <w:rsid w:val="00D101AF"/>
    <w:rsid w:val="00D1557A"/>
    <w:rsid w:val="00D15F7E"/>
    <w:rsid w:val="00D27AEA"/>
    <w:rsid w:val="00D27DB0"/>
    <w:rsid w:val="00D34ECF"/>
    <w:rsid w:val="00D40E45"/>
    <w:rsid w:val="00D427CD"/>
    <w:rsid w:val="00D450A7"/>
    <w:rsid w:val="00D46C7C"/>
    <w:rsid w:val="00D51C0B"/>
    <w:rsid w:val="00D54E42"/>
    <w:rsid w:val="00D609A1"/>
    <w:rsid w:val="00D634AC"/>
    <w:rsid w:val="00D70EF1"/>
    <w:rsid w:val="00D756B7"/>
    <w:rsid w:val="00D90EAC"/>
    <w:rsid w:val="00D91B1E"/>
    <w:rsid w:val="00D965E2"/>
    <w:rsid w:val="00D96FFF"/>
    <w:rsid w:val="00DB1097"/>
    <w:rsid w:val="00DB2100"/>
    <w:rsid w:val="00DB35D8"/>
    <w:rsid w:val="00DB479D"/>
    <w:rsid w:val="00DC796E"/>
    <w:rsid w:val="00DD3A44"/>
    <w:rsid w:val="00DD5816"/>
    <w:rsid w:val="00DF0924"/>
    <w:rsid w:val="00DF1A11"/>
    <w:rsid w:val="00DF57BE"/>
    <w:rsid w:val="00E019CD"/>
    <w:rsid w:val="00E11217"/>
    <w:rsid w:val="00E13C43"/>
    <w:rsid w:val="00E15AF8"/>
    <w:rsid w:val="00E2214F"/>
    <w:rsid w:val="00E30322"/>
    <w:rsid w:val="00E46B83"/>
    <w:rsid w:val="00E50EE3"/>
    <w:rsid w:val="00E5196B"/>
    <w:rsid w:val="00E71388"/>
    <w:rsid w:val="00E74D3C"/>
    <w:rsid w:val="00E86404"/>
    <w:rsid w:val="00E87BC0"/>
    <w:rsid w:val="00E940CD"/>
    <w:rsid w:val="00E96696"/>
    <w:rsid w:val="00EA550F"/>
    <w:rsid w:val="00EA6E56"/>
    <w:rsid w:val="00EB4642"/>
    <w:rsid w:val="00EB5A3E"/>
    <w:rsid w:val="00EB7966"/>
    <w:rsid w:val="00EC7391"/>
    <w:rsid w:val="00EE1A88"/>
    <w:rsid w:val="00EF2DB8"/>
    <w:rsid w:val="00F01490"/>
    <w:rsid w:val="00F071D1"/>
    <w:rsid w:val="00F10F57"/>
    <w:rsid w:val="00F1264C"/>
    <w:rsid w:val="00F1699C"/>
    <w:rsid w:val="00F2033D"/>
    <w:rsid w:val="00F22F16"/>
    <w:rsid w:val="00F24904"/>
    <w:rsid w:val="00F24C46"/>
    <w:rsid w:val="00F36001"/>
    <w:rsid w:val="00F37D2D"/>
    <w:rsid w:val="00F538BD"/>
    <w:rsid w:val="00F53D22"/>
    <w:rsid w:val="00F54D76"/>
    <w:rsid w:val="00F55B32"/>
    <w:rsid w:val="00F67432"/>
    <w:rsid w:val="00F70CD0"/>
    <w:rsid w:val="00F83792"/>
    <w:rsid w:val="00F83B0E"/>
    <w:rsid w:val="00F8510A"/>
    <w:rsid w:val="00F874F9"/>
    <w:rsid w:val="00F87D48"/>
    <w:rsid w:val="00F946D0"/>
    <w:rsid w:val="00F95307"/>
    <w:rsid w:val="00FA44D5"/>
    <w:rsid w:val="00FB41BF"/>
    <w:rsid w:val="00FB4F31"/>
    <w:rsid w:val="00FC45CB"/>
    <w:rsid w:val="00FC6B28"/>
    <w:rsid w:val="00FC71F7"/>
    <w:rsid w:val="00FD06D3"/>
    <w:rsid w:val="00FD193E"/>
    <w:rsid w:val="00FD48AC"/>
    <w:rsid w:val="00FE5BB8"/>
    <w:rsid w:val="00FE72E3"/>
    <w:rsid w:val="00FF474D"/>
  </w:rsids>
  <m:mathPr>
    <m:mathFont m:val="Cambria Math"/>
    <m:brkBin m:val="before"/>
    <m:brkBinSub m:val="--"/>
    <m:smallFrac m:val="0"/>
    <m:dispDef/>
    <m:lMargin m:val="0"/>
    <m:rMargin m:val="0"/>
    <m:defJc m:val="centerGroup"/>
    <m:wrapIndent m:val="1440"/>
    <m:intLim m:val="subSup"/>
    <m:naryLim m:val="undOvr"/>
  </m:mathPr>
  <w:themeFontLang w:val="fr-BE"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8278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75"/>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3286"/>
    <w:rPr>
      <w:color w:val="0000FF"/>
      <w:u w:val="single"/>
    </w:rPr>
  </w:style>
  <w:style w:type="paragraph" w:styleId="NormalWeb">
    <w:name w:val="Normal (Web)"/>
    <w:basedOn w:val="Normal"/>
    <w:uiPriority w:val="99"/>
    <w:rsid w:val="000E5583"/>
    <w:pPr>
      <w:spacing w:before="100" w:beforeAutospacing="1" w:after="100" w:afterAutospacing="1"/>
    </w:pPr>
  </w:style>
  <w:style w:type="paragraph" w:styleId="FootnoteText">
    <w:name w:val="footnote text"/>
    <w:basedOn w:val="Normal"/>
    <w:link w:val="FootnoteTextChar"/>
    <w:uiPriority w:val="99"/>
    <w:rsid w:val="00D252F6"/>
    <w:rPr>
      <w:sz w:val="20"/>
      <w:szCs w:val="20"/>
    </w:rPr>
  </w:style>
  <w:style w:type="character" w:styleId="FootnoteReference">
    <w:name w:val="footnote reference"/>
    <w:uiPriority w:val="99"/>
    <w:rsid w:val="00D252F6"/>
    <w:rPr>
      <w:vertAlign w:val="superscript"/>
    </w:rPr>
  </w:style>
  <w:style w:type="paragraph" w:customStyle="1" w:styleId="Default">
    <w:name w:val="Default"/>
    <w:uiPriority w:val="99"/>
    <w:rsid w:val="003A0F60"/>
    <w:pPr>
      <w:autoSpaceDE w:val="0"/>
      <w:autoSpaceDN w:val="0"/>
      <w:adjustRightInd w:val="0"/>
    </w:pPr>
    <w:rPr>
      <w:rFonts w:ascii="Arial" w:eastAsia="MS Mincho" w:hAnsi="Arial" w:cs="Arial"/>
      <w:color w:val="000000"/>
      <w:sz w:val="24"/>
      <w:szCs w:val="24"/>
      <w:lang w:val="en-GB" w:eastAsia="ja-JP"/>
    </w:rPr>
  </w:style>
  <w:style w:type="paragraph" w:styleId="BalloonText">
    <w:name w:val="Balloon Text"/>
    <w:basedOn w:val="Normal"/>
    <w:semiHidden/>
    <w:rsid w:val="004E39EB"/>
    <w:rPr>
      <w:rFonts w:ascii="Tahoma" w:hAnsi="Tahoma" w:cs="Tahoma"/>
      <w:sz w:val="16"/>
      <w:szCs w:val="16"/>
    </w:rPr>
  </w:style>
  <w:style w:type="table" w:styleId="TableGrid">
    <w:name w:val="Table Grid"/>
    <w:basedOn w:val="TableNormal"/>
    <w:rsid w:val="00B02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02918"/>
    <w:pPr>
      <w:tabs>
        <w:tab w:val="center" w:pos="4153"/>
        <w:tab w:val="right" w:pos="8306"/>
      </w:tabs>
    </w:pPr>
  </w:style>
  <w:style w:type="character" w:customStyle="1" w:styleId="HeaderChar">
    <w:name w:val="Header Char"/>
    <w:link w:val="Header"/>
    <w:uiPriority w:val="99"/>
    <w:rsid w:val="00B02918"/>
    <w:rPr>
      <w:sz w:val="24"/>
      <w:szCs w:val="24"/>
      <w:lang w:val="en-GB" w:eastAsia="en-GB"/>
    </w:rPr>
  </w:style>
  <w:style w:type="character" w:styleId="PageNumber">
    <w:name w:val="page number"/>
    <w:basedOn w:val="DefaultParagraphFont"/>
    <w:rsid w:val="00B02918"/>
  </w:style>
  <w:style w:type="paragraph" w:styleId="Footer">
    <w:name w:val="footer"/>
    <w:basedOn w:val="Normal"/>
    <w:link w:val="FooterChar"/>
    <w:rsid w:val="00B02918"/>
    <w:pPr>
      <w:tabs>
        <w:tab w:val="center" w:pos="4153"/>
        <w:tab w:val="right" w:pos="8306"/>
      </w:tabs>
    </w:pPr>
  </w:style>
  <w:style w:type="character" w:customStyle="1" w:styleId="FooterChar">
    <w:name w:val="Footer Char"/>
    <w:link w:val="Footer"/>
    <w:rsid w:val="00B02918"/>
    <w:rPr>
      <w:sz w:val="24"/>
      <w:szCs w:val="24"/>
      <w:lang w:val="en-GB" w:eastAsia="en-GB"/>
    </w:rPr>
  </w:style>
  <w:style w:type="character" w:styleId="CommentReference">
    <w:name w:val="annotation reference"/>
    <w:rsid w:val="00B02918"/>
    <w:rPr>
      <w:sz w:val="16"/>
      <w:szCs w:val="16"/>
    </w:rPr>
  </w:style>
  <w:style w:type="paragraph" w:styleId="CommentText">
    <w:name w:val="annotation text"/>
    <w:basedOn w:val="Normal"/>
    <w:link w:val="CommentTextChar"/>
    <w:uiPriority w:val="99"/>
    <w:rsid w:val="00B02918"/>
    <w:rPr>
      <w:sz w:val="20"/>
      <w:szCs w:val="20"/>
    </w:rPr>
  </w:style>
  <w:style w:type="character" w:customStyle="1" w:styleId="CommentTextChar">
    <w:name w:val="Comment Text Char"/>
    <w:link w:val="CommentText"/>
    <w:uiPriority w:val="99"/>
    <w:rsid w:val="00B02918"/>
    <w:rPr>
      <w:lang w:val="en-GB" w:eastAsia="en-GB"/>
    </w:rPr>
  </w:style>
  <w:style w:type="paragraph" w:styleId="CommentSubject">
    <w:name w:val="annotation subject"/>
    <w:basedOn w:val="CommentText"/>
    <w:next w:val="CommentText"/>
    <w:link w:val="CommentSubjectChar"/>
    <w:rsid w:val="00B02918"/>
    <w:rPr>
      <w:b/>
      <w:bCs/>
    </w:rPr>
  </w:style>
  <w:style w:type="character" w:customStyle="1" w:styleId="CommentSubjectChar">
    <w:name w:val="Comment Subject Char"/>
    <w:link w:val="CommentSubject"/>
    <w:rsid w:val="00B02918"/>
    <w:rPr>
      <w:b/>
      <w:bCs/>
      <w:lang w:val="en-GB" w:eastAsia="en-GB"/>
    </w:rPr>
  </w:style>
  <w:style w:type="character" w:styleId="FollowedHyperlink">
    <w:name w:val="FollowedHyperlink"/>
    <w:rsid w:val="00F85D90"/>
    <w:rPr>
      <w:color w:val="800080"/>
      <w:u w:val="single"/>
    </w:rPr>
  </w:style>
  <w:style w:type="paragraph" w:styleId="ListParagraph">
    <w:name w:val="List Paragraph"/>
    <w:basedOn w:val="Normal"/>
    <w:uiPriority w:val="99"/>
    <w:qFormat/>
    <w:rsid w:val="00B11ECD"/>
    <w:pPr>
      <w:spacing w:after="200" w:line="276" w:lineRule="auto"/>
      <w:ind w:left="720"/>
      <w:contextualSpacing/>
    </w:pPr>
    <w:rPr>
      <w:rFonts w:ascii="Calibri" w:eastAsia="Calibri" w:hAnsi="Calibri"/>
      <w:sz w:val="22"/>
      <w:szCs w:val="22"/>
      <w:lang w:val="en-US" w:eastAsia="en-US"/>
    </w:rPr>
  </w:style>
  <w:style w:type="character" w:customStyle="1" w:styleId="FootnoteTextChar">
    <w:name w:val="Footnote Text Char"/>
    <w:link w:val="FootnoteText"/>
    <w:uiPriority w:val="99"/>
    <w:rsid w:val="00B11ECD"/>
    <w:rPr>
      <w:lang w:val="en-GB" w:eastAsia="en-GB"/>
    </w:rPr>
  </w:style>
  <w:style w:type="character" w:customStyle="1" w:styleId="smalltext">
    <w:name w:val="smalltext"/>
    <w:basedOn w:val="DefaultParagraphFont"/>
    <w:rsid w:val="00B11ECD"/>
  </w:style>
  <w:style w:type="paragraph" w:styleId="PlainText">
    <w:name w:val="Plain Text"/>
    <w:basedOn w:val="Normal"/>
    <w:link w:val="PlainTextChar"/>
    <w:uiPriority w:val="99"/>
    <w:unhideWhenUsed/>
    <w:rsid w:val="00CE7B5E"/>
    <w:rPr>
      <w:rFonts w:ascii="Consolas" w:eastAsia="Calibri" w:hAnsi="Consolas"/>
      <w:sz w:val="21"/>
      <w:szCs w:val="21"/>
      <w:lang w:eastAsia="en-US"/>
    </w:rPr>
  </w:style>
  <w:style w:type="character" w:customStyle="1" w:styleId="PlainTextChar">
    <w:name w:val="Plain Text Char"/>
    <w:link w:val="PlainText"/>
    <w:uiPriority w:val="99"/>
    <w:rsid w:val="00CE7B5E"/>
    <w:rPr>
      <w:rFonts w:ascii="Consolas" w:eastAsia="Calibri" w:hAnsi="Consolas" w:cs="Times New Roman"/>
      <w:sz w:val="21"/>
      <w:szCs w:val="21"/>
      <w:lang w:eastAsia="en-US"/>
    </w:rPr>
  </w:style>
  <w:style w:type="paragraph" w:customStyle="1" w:styleId="PictetText">
    <w:name w:val="Pictet Text"/>
    <w:link w:val="PictetTextCharChar"/>
    <w:rsid w:val="00901F7C"/>
    <w:pPr>
      <w:spacing w:after="240" w:line="221" w:lineRule="auto"/>
    </w:pPr>
    <w:rPr>
      <w:rFonts w:ascii="Palatino Linotype" w:eastAsia="MS Mincho" w:hAnsi="Palatino Linotype"/>
      <w:sz w:val="21"/>
      <w:lang w:val="en-GB" w:eastAsia="en-US"/>
    </w:rPr>
  </w:style>
  <w:style w:type="character" w:customStyle="1" w:styleId="PictetTextCharChar">
    <w:name w:val="Pictet Text Char Char"/>
    <w:link w:val="PictetText"/>
    <w:rsid w:val="00901F7C"/>
    <w:rPr>
      <w:rFonts w:ascii="Palatino Linotype" w:eastAsia="MS Mincho" w:hAnsi="Palatino Linotype"/>
      <w:sz w:val="21"/>
      <w:lang w:val="en-GB" w:eastAsia="en-US" w:bidi="ar-SA"/>
    </w:rPr>
  </w:style>
  <w:style w:type="character" w:customStyle="1" w:styleId="st">
    <w:name w:val="st"/>
    <w:basedOn w:val="DefaultParagraphFont"/>
    <w:rsid w:val="00AF527E"/>
  </w:style>
  <w:style w:type="character" w:styleId="Emphasis">
    <w:name w:val="Emphasis"/>
    <w:uiPriority w:val="20"/>
    <w:qFormat/>
    <w:rsid w:val="00AF527E"/>
    <w:rPr>
      <w:i/>
      <w:iCs/>
    </w:rPr>
  </w:style>
  <w:style w:type="paragraph" w:styleId="EndnoteText">
    <w:name w:val="endnote text"/>
    <w:basedOn w:val="Normal"/>
    <w:link w:val="EndnoteTextChar"/>
    <w:rsid w:val="00615D07"/>
    <w:rPr>
      <w:sz w:val="20"/>
      <w:szCs w:val="20"/>
    </w:rPr>
  </w:style>
  <w:style w:type="character" w:customStyle="1" w:styleId="EndnoteTextChar">
    <w:name w:val="Endnote Text Char"/>
    <w:basedOn w:val="DefaultParagraphFont"/>
    <w:link w:val="EndnoteText"/>
    <w:rsid w:val="00615D07"/>
    <w:rPr>
      <w:lang w:val="en-GB" w:eastAsia="en-GB"/>
    </w:rPr>
  </w:style>
  <w:style w:type="character" w:styleId="EndnoteReference">
    <w:name w:val="endnote reference"/>
    <w:basedOn w:val="DefaultParagraphFont"/>
    <w:rsid w:val="00615D07"/>
    <w:rPr>
      <w:vertAlign w:val="superscript"/>
    </w:rPr>
  </w:style>
  <w:style w:type="paragraph" w:customStyle="1" w:styleId="Standa1">
    <w:name w:val="Standa1"/>
    <w:uiPriority w:val="99"/>
    <w:rsid w:val="00EB7966"/>
    <w:pPr>
      <w:spacing w:after="200"/>
    </w:pPr>
    <w:rPr>
      <w:rFonts w:ascii="Cambria" w:eastAsia="Cambria" w:hAnsi="Cambria"/>
      <w:sz w:val="24"/>
      <w:szCs w:val="24"/>
      <w:lang w:val="de-DE" w:eastAsia="en-US"/>
    </w:rPr>
  </w:style>
  <w:style w:type="character" w:customStyle="1" w:styleId="FootnoteTextChar1">
    <w:name w:val="Footnote Text Char1"/>
    <w:uiPriority w:val="99"/>
    <w:rsid w:val="00EB7966"/>
    <w:rPr>
      <w:rFonts w:ascii="Times New Roman" w:hAnsi="Times New Roman"/>
    </w:rPr>
  </w:style>
  <w:style w:type="paragraph" w:styleId="Revision">
    <w:name w:val="Revision"/>
    <w:hidden/>
    <w:uiPriority w:val="99"/>
    <w:semiHidden/>
    <w:rsid w:val="00AB7566"/>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4473">
      <w:bodyDiv w:val="1"/>
      <w:marLeft w:val="0"/>
      <w:marRight w:val="0"/>
      <w:marTop w:val="0"/>
      <w:marBottom w:val="0"/>
      <w:divBdr>
        <w:top w:val="none" w:sz="0" w:space="0" w:color="auto"/>
        <w:left w:val="none" w:sz="0" w:space="0" w:color="auto"/>
        <w:bottom w:val="none" w:sz="0" w:space="0" w:color="auto"/>
        <w:right w:val="none" w:sz="0" w:space="0" w:color="auto"/>
      </w:divBdr>
    </w:div>
    <w:div w:id="161748018">
      <w:bodyDiv w:val="1"/>
      <w:marLeft w:val="0"/>
      <w:marRight w:val="0"/>
      <w:marTop w:val="0"/>
      <w:marBottom w:val="0"/>
      <w:divBdr>
        <w:top w:val="none" w:sz="0" w:space="0" w:color="auto"/>
        <w:left w:val="none" w:sz="0" w:space="0" w:color="auto"/>
        <w:bottom w:val="none" w:sz="0" w:space="0" w:color="auto"/>
        <w:right w:val="none" w:sz="0" w:space="0" w:color="auto"/>
      </w:divBdr>
    </w:div>
    <w:div w:id="193664174">
      <w:bodyDiv w:val="1"/>
      <w:marLeft w:val="0"/>
      <w:marRight w:val="0"/>
      <w:marTop w:val="0"/>
      <w:marBottom w:val="0"/>
      <w:divBdr>
        <w:top w:val="none" w:sz="0" w:space="0" w:color="auto"/>
        <w:left w:val="none" w:sz="0" w:space="0" w:color="auto"/>
        <w:bottom w:val="none" w:sz="0" w:space="0" w:color="auto"/>
        <w:right w:val="none" w:sz="0" w:space="0" w:color="auto"/>
      </w:divBdr>
    </w:div>
    <w:div w:id="200944812">
      <w:bodyDiv w:val="1"/>
      <w:marLeft w:val="0"/>
      <w:marRight w:val="0"/>
      <w:marTop w:val="0"/>
      <w:marBottom w:val="0"/>
      <w:divBdr>
        <w:top w:val="none" w:sz="0" w:space="0" w:color="auto"/>
        <w:left w:val="none" w:sz="0" w:space="0" w:color="auto"/>
        <w:bottom w:val="none" w:sz="0" w:space="0" w:color="auto"/>
        <w:right w:val="none" w:sz="0" w:space="0" w:color="auto"/>
      </w:divBdr>
    </w:div>
    <w:div w:id="226457421">
      <w:bodyDiv w:val="1"/>
      <w:marLeft w:val="0"/>
      <w:marRight w:val="0"/>
      <w:marTop w:val="0"/>
      <w:marBottom w:val="0"/>
      <w:divBdr>
        <w:top w:val="none" w:sz="0" w:space="0" w:color="auto"/>
        <w:left w:val="none" w:sz="0" w:space="0" w:color="auto"/>
        <w:bottom w:val="none" w:sz="0" w:space="0" w:color="auto"/>
        <w:right w:val="none" w:sz="0" w:space="0" w:color="auto"/>
      </w:divBdr>
    </w:div>
    <w:div w:id="229074824">
      <w:bodyDiv w:val="1"/>
      <w:marLeft w:val="0"/>
      <w:marRight w:val="0"/>
      <w:marTop w:val="0"/>
      <w:marBottom w:val="0"/>
      <w:divBdr>
        <w:top w:val="none" w:sz="0" w:space="0" w:color="auto"/>
        <w:left w:val="none" w:sz="0" w:space="0" w:color="auto"/>
        <w:bottom w:val="none" w:sz="0" w:space="0" w:color="auto"/>
        <w:right w:val="none" w:sz="0" w:space="0" w:color="auto"/>
      </w:divBdr>
      <w:divsChild>
        <w:div w:id="1325280049">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sChild>
                <w:div w:id="1134248724">
                  <w:marLeft w:val="0"/>
                  <w:marRight w:val="0"/>
                  <w:marTop w:val="0"/>
                  <w:marBottom w:val="0"/>
                  <w:divBdr>
                    <w:top w:val="none" w:sz="0" w:space="0" w:color="auto"/>
                    <w:left w:val="none" w:sz="0" w:space="0" w:color="auto"/>
                    <w:bottom w:val="none" w:sz="0" w:space="0" w:color="auto"/>
                    <w:right w:val="none" w:sz="0" w:space="0" w:color="auto"/>
                  </w:divBdr>
                </w:div>
              </w:divsChild>
            </w:div>
            <w:div w:id="1307583489">
              <w:marLeft w:val="0"/>
              <w:marRight w:val="0"/>
              <w:marTop w:val="0"/>
              <w:marBottom w:val="0"/>
              <w:divBdr>
                <w:top w:val="none" w:sz="0" w:space="0" w:color="auto"/>
                <w:left w:val="none" w:sz="0" w:space="0" w:color="auto"/>
                <w:bottom w:val="none" w:sz="0" w:space="0" w:color="auto"/>
                <w:right w:val="none" w:sz="0" w:space="0" w:color="auto"/>
              </w:divBdr>
              <w:divsChild>
                <w:div w:id="11861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6863">
          <w:marLeft w:val="0"/>
          <w:marRight w:val="0"/>
          <w:marTop w:val="0"/>
          <w:marBottom w:val="0"/>
          <w:divBdr>
            <w:top w:val="none" w:sz="0" w:space="0" w:color="auto"/>
            <w:left w:val="none" w:sz="0" w:space="0" w:color="auto"/>
            <w:bottom w:val="none" w:sz="0" w:space="0" w:color="auto"/>
            <w:right w:val="none" w:sz="0" w:space="0" w:color="auto"/>
          </w:divBdr>
          <w:divsChild>
            <w:div w:id="148523372">
              <w:marLeft w:val="0"/>
              <w:marRight w:val="0"/>
              <w:marTop w:val="0"/>
              <w:marBottom w:val="0"/>
              <w:divBdr>
                <w:top w:val="none" w:sz="0" w:space="0" w:color="auto"/>
                <w:left w:val="none" w:sz="0" w:space="0" w:color="auto"/>
                <w:bottom w:val="none" w:sz="0" w:space="0" w:color="auto"/>
                <w:right w:val="none" w:sz="0" w:space="0" w:color="auto"/>
              </w:divBdr>
              <w:divsChild>
                <w:div w:id="342709177">
                  <w:marLeft w:val="0"/>
                  <w:marRight w:val="0"/>
                  <w:marTop w:val="0"/>
                  <w:marBottom w:val="0"/>
                  <w:divBdr>
                    <w:top w:val="none" w:sz="0" w:space="0" w:color="auto"/>
                    <w:left w:val="none" w:sz="0" w:space="0" w:color="auto"/>
                    <w:bottom w:val="none" w:sz="0" w:space="0" w:color="auto"/>
                    <w:right w:val="none" w:sz="0" w:space="0" w:color="auto"/>
                  </w:divBdr>
                </w:div>
              </w:divsChild>
            </w:div>
            <w:div w:id="2090038781">
              <w:marLeft w:val="0"/>
              <w:marRight w:val="0"/>
              <w:marTop w:val="0"/>
              <w:marBottom w:val="0"/>
              <w:divBdr>
                <w:top w:val="none" w:sz="0" w:space="0" w:color="auto"/>
                <w:left w:val="none" w:sz="0" w:space="0" w:color="auto"/>
                <w:bottom w:val="none" w:sz="0" w:space="0" w:color="auto"/>
                <w:right w:val="none" w:sz="0" w:space="0" w:color="auto"/>
              </w:divBdr>
              <w:divsChild>
                <w:div w:id="12666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4251">
      <w:bodyDiv w:val="1"/>
      <w:marLeft w:val="0"/>
      <w:marRight w:val="0"/>
      <w:marTop w:val="0"/>
      <w:marBottom w:val="0"/>
      <w:divBdr>
        <w:top w:val="none" w:sz="0" w:space="0" w:color="auto"/>
        <w:left w:val="none" w:sz="0" w:space="0" w:color="auto"/>
        <w:bottom w:val="none" w:sz="0" w:space="0" w:color="auto"/>
        <w:right w:val="none" w:sz="0" w:space="0" w:color="auto"/>
      </w:divBdr>
    </w:div>
    <w:div w:id="265191054">
      <w:bodyDiv w:val="1"/>
      <w:marLeft w:val="0"/>
      <w:marRight w:val="0"/>
      <w:marTop w:val="0"/>
      <w:marBottom w:val="0"/>
      <w:divBdr>
        <w:top w:val="none" w:sz="0" w:space="0" w:color="auto"/>
        <w:left w:val="none" w:sz="0" w:space="0" w:color="auto"/>
        <w:bottom w:val="none" w:sz="0" w:space="0" w:color="auto"/>
        <w:right w:val="none" w:sz="0" w:space="0" w:color="auto"/>
      </w:divBdr>
    </w:div>
    <w:div w:id="270630123">
      <w:bodyDiv w:val="1"/>
      <w:marLeft w:val="0"/>
      <w:marRight w:val="0"/>
      <w:marTop w:val="0"/>
      <w:marBottom w:val="0"/>
      <w:divBdr>
        <w:top w:val="none" w:sz="0" w:space="0" w:color="auto"/>
        <w:left w:val="none" w:sz="0" w:space="0" w:color="auto"/>
        <w:bottom w:val="none" w:sz="0" w:space="0" w:color="auto"/>
        <w:right w:val="none" w:sz="0" w:space="0" w:color="auto"/>
      </w:divBdr>
    </w:div>
    <w:div w:id="280697000">
      <w:bodyDiv w:val="1"/>
      <w:marLeft w:val="0"/>
      <w:marRight w:val="0"/>
      <w:marTop w:val="0"/>
      <w:marBottom w:val="0"/>
      <w:divBdr>
        <w:top w:val="none" w:sz="0" w:space="0" w:color="auto"/>
        <w:left w:val="none" w:sz="0" w:space="0" w:color="auto"/>
        <w:bottom w:val="none" w:sz="0" w:space="0" w:color="auto"/>
        <w:right w:val="none" w:sz="0" w:space="0" w:color="auto"/>
      </w:divBdr>
    </w:div>
    <w:div w:id="282613439">
      <w:bodyDiv w:val="1"/>
      <w:marLeft w:val="0"/>
      <w:marRight w:val="0"/>
      <w:marTop w:val="0"/>
      <w:marBottom w:val="0"/>
      <w:divBdr>
        <w:top w:val="none" w:sz="0" w:space="0" w:color="auto"/>
        <w:left w:val="none" w:sz="0" w:space="0" w:color="auto"/>
        <w:bottom w:val="none" w:sz="0" w:space="0" w:color="auto"/>
        <w:right w:val="none" w:sz="0" w:space="0" w:color="auto"/>
      </w:divBdr>
    </w:div>
    <w:div w:id="289630867">
      <w:bodyDiv w:val="1"/>
      <w:marLeft w:val="0"/>
      <w:marRight w:val="0"/>
      <w:marTop w:val="0"/>
      <w:marBottom w:val="0"/>
      <w:divBdr>
        <w:top w:val="none" w:sz="0" w:space="0" w:color="auto"/>
        <w:left w:val="none" w:sz="0" w:space="0" w:color="auto"/>
        <w:bottom w:val="none" w:sz="0" w:space="0" w:color="auto"/>
        <w:right w:val="none" w:sz="0" w:space="0" w:color="auto"/>
      </w:divBdr>
    </w:div>
    <w:div w:id="302275025">
      <w:bodyDiv w:val="1"/>
      <w:marLeft w:val="0"/>
      <w:marRight w:val="0"/>
      <w:marTop w:val="0"/>
      <w:marBottom w:val="0"/>
      <w:divBdr>
        <w:top w:val="none" w:sz="0" w:space="0" w:color="auto"/>
        <w:left w:val="none" w:sz="0" w:space="0" w:color="auto"/>
        <w:bottom w:val="none" w:sz="0" w:space="0" w:color="auto"/>
        <w:right w:val="none" w:sz="0" w:space="0" w:color="auto"/>
      </w:divBdr>
    </w:div>
    <w:div w:id="303582090">
      <w:bodyDiv w:val="1"/>
      <w:marLeft w:val="0"/>
      <w:marRight w:val="0"/>
      <w:marTop w:val="0"/>
      <w:marBottom w:val="0"/>
      <w:divBdr>
        <w:top w:val="none" w:sz="0" w:space="0" w:color="auto"/>
        <w:left w:val="none" w:sz="0" w:space="0" w:color="auto"/>
        <w:bottom w:val="none" w:sz="0" w:space="0" w:color="auto"/>
        <w:right w:val="none" w:sz="0" w:space="0" w:color="auto"/>
      </w:divBdr>
      <w:divsChild>
        <w:div w:id="1426923414">
          <w:marLeft w:val="0"/>
          <w:marRight w:val="0"/>
          <w:marTop w:val="0"/>
          <w:marBottom w:val="0"/>
          <w:divBdr>
            <w:top w:val="none" w:sz="0" w:space="0" w:color="auto"/>
            <w:left w:val="none" w:sz="0" w:space="0" w:color="auto"/>
            <w:bottom w:val="none" w:sz="0" w:space="0" w:color="auto"/>
            <w:right w:val="none" w:sz="0" w:space="0" w:color="auto"/>
          </w:divBdr>
          <w:divsChild>
            <w:div w:id="994723453">
              <w:marLeft w:val="0"/>
              <w:marRight w:val="0"/>
              <w:marTop w:val="0"/>
              <w:marBottom w:val="0"/>
              <w:divBdr>
                <w:top w:val="none" w:sz="0" w:space="0" w:color="auto"/>
                <w:left w:val="none" w:sz="0" w:space="0" w:color="auto"/>
                <w:bottom w:val="none" w:sz="0" w:space="0" w:color="auto"/>
                <w:right w:val="none" w:sz="0" w:space="0" w:color="auto"/>
              </w:divBdr>
              <w:divsChild>
                <w:div w:id="3577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9334">
          <w:marLeft w:val="0"/>
          <w:marRight w:val="0"/>
          <w:marTop w:val="0"/>
          <w:marBottom w:val="0"/>
          <w:divBdr>
            <w:top w:val="none" w:sz="0" w:space="0" w:color="auto"/>
            <w:left w:val="none" w:sz="0" w:space="0" w:color="auto"/>
            <w:bottom w:val="none" w:sz="0" w:space="0" w:color="auto"/>
            <w:right w:val="none" w:sz="0" w:space="0" w:color="auto"/>
          </w:divBdr>
          <w:divsChild>
            <w:div w:id="2081053575">
              <w:marLeft w:val="0"/>
              <w:marRight w:val="0"/>
              <w:marTop w:val="0"/>
              <w:marBottom w:val="0"/>
              <w:divBdr>
                <w:top w:val="none" w:sz="0" w:space="0" w:color="auto"/>
                <w:left w:val="none" w:sz="0" w:space="0" w:color="auto"/>
                <w:bottom w:val="none" w:sz="0" w:space="0" w:color="auto"/>
                <w:right w:val="none" w:sz="0" w:space="0" w:color="auto"/>
              </w:divBdr>
              <w:divsChild>
                <w:div w:id="10766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48578">
      <w:bodyDiv w:val="1"/>
      <w:marLeft w:val="0"/>
      <w:marRight w:val="0"/>
      <w:marTop w:val="0"/>
      <w:marBottom w:val="0"/>
      <w:divBdr>
        <w:top w:val="none" w:sz="0" w:space="0" w:color="auto"/>
        <w:left w:val="none" w:sz="0" w:space="0" w:color="auto"/>
        <w:bottom w:val="none" w:sz="0" w:space="0" w:color="auto"/>
        <w:right w:val="none" w:sz="0" w:space="0" w:color="auto"/>
      </w:divBdr>
      <w:divsChild>
        <w:div w:id="326133064">
          <w:marLeft w:val="0"/>
          <w:marRight w:val="0"/>
          <w:marTop w:val="0"/>
          <w:marBottom w:val="0"/>
          <w:divBdr>
            <w:top w:val="none" w:sz="0" w:space="0" w:color="auto"/>
            <w:left w:val="none" w:sz="0" w:space="0" w:color="auto"/>
            <w:bottom w:val="none" w:sz="0" w:space="0" w:color="auto"/>
            <w:right w:val="none" w:sz="0" w:space="0" w:color="auto"/>
          </w:divBdr>
        </w:div>
      </w:divsChild>
    </w:div>
    <w:div w:id="352265200">
      <w:bodyDiv w:val="1"/>
      <w:marLeft w:val="0"/>
      <w:marRight w:val="0"/>
      <w:marTop w:val="0"/>
      <w:marBottom w:val="0"/>
      <w:divBdr>
        <w:top w:val="none" w:sz="0" w:space="0" w:color="auto"/>
        <w:left w:val="none" w:sz="0" w:space="0" w:color="auto"/>
        <w:bottom w:val="none" w:sz="0" w:space="0" w:color="auto"/>
        <w:right w:val="none" w:sz="0" w:space="0" w:color="auto"/>
      </w:divBdr>
    </w:div>
    <w:div w:id="393234788">
      <w:bodyDiv w:val="1"/>
      <w:marLeft w:val="0"/>
      <w:marRight w:val="0"/>
      <w:marTop w:val="0"/>
      <w:marBottom w:val="0"/>
      <w:divBdr>
        <w:top w:val="none" w:sz="0" w:space="0" w:color="auto"/>
        <w:left w:val="none" w:sz="0" w:space="0" w:color="auto"/>
        <w:bottom w:val="none" w:sz="0" w:space="0" w:color="auto"/>
        <w:right w:val="none" w:sz="0" w:space="0" w:color="auto"/>
      </w:divBdr>
      <w:divsChild>
        <w:div w:id="1632708074">
          <w:marLeft w:val="0"/>
          <w:marRight w:val="0"/>
          <w:marTop w:val="0"/>
          <w:marBottom w:val="0"/>
          <w:divBdr>
            <w:top w:val="none" w:sz="0" w:space="0" w:color="auto"/>
            <w:left w:val="none" w:sz="0" w:space="0" w:color="auto"/>
            <w:bottom w:val="none" w:sz="0" w:space="0" w:color="auto"/>
            <w:right w:val="none" w:sz="0" w:space="0" w:color="auto"/>
          </w:divBdr>
          <w:divsChild>
            <w:div w:id="1595553348">
              <w:marLeft w:val="0"/>
              <w:marRight w:val="0"/>
              <w:marTop w:val="0"/>
              <w:marBottom w:val="0"/>
              <w:divBdr>
                <w:top w:val="none" w:sz="0" w:space="0" w:color="auto"/>
                <w:left w:val="none" w:sz="0" w:space="0" w:color="auto"/>
                <w:bottom w:val="none" w:sz="0" w:space="0" w:color="auto"/>
                <w:right w:val="none" w:sz="0" w:space="0" w:color="auto"/>
              </w:divBdr>
              <w:divsChild>
                <w:div w:id="13273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2302">
          <w:marLeft w:val="0"/>
          <w:marRight w:val="0"/>
          <w:marTop w:val="0"/>
          <w:marBottom w:val="0"/>
          <w:divBdr>
            <w:top w:val="none" w:sz="0" w:space="0" w:color="auto"/>
            <w:left w:val="none" w:sz="0" w:space="0" w:color="auto"/>
            <w:bottom w:val="none" w:sz="0" w:space="0" w:color="auto"/>
            <w:right w:val="none" w:sz="0" w:space="0" w:color="auto"/>
          </w:divBdr>
          <w:divsChild>
            <w:div w:id="480736140">
              <w:marLeft w:val="0"/>
              <w:marRight w:val="0"/>
              <w:marTop w:val="0"/>
              <w:marBottom w:val="0"/>
              <w:divBdr>
                <w:top w:val="none" w:sz="0" w:space="0" w:color="auto"/>
                <w:left w:val="none" w:sz="0" w:space="0" w:color="auto"/>
                <w:bottom w:val="none" w:sz="0" w:space="0" w:color="auto"/>
                <w:right w:val="none" w:sz="0" w:space="0" w:color="auto"/>
              </w:divBdr>
              <w:divsChild>
                <w:div w:id="179053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2663">
      <w:bodyDiv w:val="1"/>
      <w:marLeft w:val="0"/>
      <w:marRight w:val="0"/>
      <w:marTop w:val="0"/>
      <w:marBottom w:val="0"/>
      <w:divBdr>
        <w:top w:val="none" w:sz="0" w:space="0" w:color="auto"/>
        <w:left w:val="none" w:sz="0" w:space="0" w:color="auto"/>
        <w:bottom w:val="none" w:sz="0" w:space="0" w:color="auto"/>
        <w:right w:val="none" w:sz="0" w:space="0" w:color="auto"/>
      </w:divBdr>
    </w:div>
    <w:div w:id="546571048">
      <w:bodyDiv w:val="1"/>
      <w:marLeft w:val="0"/>
      <w:marRight w:val="0"/>
      <w:marTop w:val="0"/>
      <w:marBottom w:val="0"/>
      <w:divBdr>
        <w:top w:val="none" w:sz="0" w:space="0" w:color="auto"/>
        <w:left w:val="none" w:sz="0" w:space="0" w:color="auto"/>
        <w:bottom w:val="none" w:sz="0" w:space="0" w:color="auto"/>
        <w:right w:val="none" w:sz="0" w:space="0" w:color="auto"/>
      </w:divBdr>
      <w:divsChild>
        <w:div w:id="1304193623">
          <w:marLeft w:val="0"/>
          <w:marRight w:val="0"/>
          <w:marTop w:val="0"/>
          <w:marBottom w:val="0"/>
          <w:divBdr>
            <w:top w:val="none" w:sz="0" w:space="0" w:color="auto"/>
            <w:left w:val="none" w:sz="0" w:space="0" w:color="auto"/>
            <w:bottom w:val="none" w:sz="0" w:space="0" w:color="auto"/>
            <w:right w:val="none" w:sz="0" w:space="0" w:color="auto"/>
          </w:divBdr>
          <w:divsChild>
            <w:div w:id="462113349">
              <w:marLeft w:val="0"/>
              <w:marRight w:val="0"/>
              <w:marTop w:val="0"/>
              <w:marBottom w:val="0"/>
              <w:divBdr>
                <w:top w:val="none" w:sz="0" w:space="0" w:color="auto"/>
                <w:left w:val="none" w:sz="0" w:space="0" w:color="auto"/>
                <w:bottom w:val="none" w:sz="0" w:space="0" w:color="auto"/>
                <w:right w:val="none" w:sz="0" w:space="0" w:color="auto"/>
              </w:divBdr>
              <w:divsChild>
                <w:div w:id="398751086">
                  <w:marLeft w:val="0"/>
                  <w:marRight w:val="0"/>
                  <w:marTop w:val="0"/>
                  <w:marBottom w:val="0"/>
                  <w:divBdr>
                    <w:top w:val="none" w:sz="0" w:space="0" w:color="auto"/>
                    <w:left w:val="none" w:sz="0" w:space="0" w:color="auto"/>
                    <w:bottom w:val="none" w:sz="0" w:space="0" w:color="auto"/>
                    <w:right w:val="none" w:sz="0" w:space="0" w:color="auto"/>
                  </w:divBdr>
                  <w:divsChild>
                    <w:div w:id="2633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542">
              <w:marLeft w:val="0"/>
              <w:marRight w:val="0"/>
              <w:marTop w:val="0"/>
              <w:marBottom w:val="0"/>
              <w:divBdr>
                <w:top w:val="none" w:sz="0" w:space="0" w:color="auto"/>
                <w:left w:val="none" w:sz="0" w:space="0" w:color="auto"/>
                <w:bottom w:val="none" w:sz="0" w:space="0" w:color="auto"/>
                <w:right w:val="none" w:sz="0" w:space="0" w:color="auto"/>
              </w:divBdr>
              <w:divsChild>
                <w:div w:id="1567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18253">
      <w:bodyDiv w:val="1"/>
      <w:marLeft w:val="0"/>
      <w:marRight w:val="0"/>
      <w:marTop w:val="0"/>
      <w:marBottom w:val="0"/>
      <w:divBdr>
        <w:top w:val="none" w:sz="0" w:space="0" w:color="auto"/>
        <w:left w:val="none" w:sz="0" w:space="0" w:color="auto"/>
        <w:bottom w:val="none" w:sz="0" w:space="0" w:color="auto"/>
        <w:right w:val="none" w:sz="0" w:space="0" w:color="auto"/>
      </w:divBdr>
    </w:div>
    <w:div w:id="561717331">
      <w:bodyDiv w:val="1"/>
      <w:marLeft w:val="0"/>
      <w:marRight w:val="0"/>
      <w:marTop w:val="0"/>
      <w:marBottom w:val="0"/>
      <w:divBdr>
        <w:top w:val="none" w:sz="0" w:space="0" w:color="auto"/>
        <w:left w:val="none" w:sz="0" w:space="0" w:color="auto"/>
        <w:bottom w:val="none" w:sz="0" w:space="0" w:color="auto"/>
        <w:right w:val="none" w:sz="0" w:space="0" w:color="auto"/>
      </w:divBdr>
    </w:div>
    <w:div w:id="563837574">
      <w:bodyDiv w:val="1"/>
      <w:marLeft w:val="0"/>
      <w:marRight w:val="0"/>
      <w:marTop w:val="0"/>
      <w:marBottom w:val="0"/>
      <w:divBdr>
        <w:top w:val="none" w:sz="0" w:space="0" w:color="auto"/>
        <w:left w:val="none" w:sz="0" w:space="0" w:color="auto"/>
        <w:bottom w:val="none" w:sz="0" w:space="0" w:color="auto"/>
        <w:right w:val="none" w:sz="0" w:space="0" w:color="auto"/>
      </w:divBdr>
    </w:div>
    <w:div w:id="570622511">
      <w:bodyDiv w:val="1"/>
      <w:marLeft w:val="0"/>
      <w:marRight w:val="0"/>
      <w:marTop w:val="0"/>
      <w:marBottom w:val="0"/>
      <w:divBdr>
        <w:top w:val="none" w:sz="0" w:space="0" w:color="auto"/>
        <w:left w:val="none" w:sz="0" w:space="0" w:color="auto"/>
        <w:bottom w:val="none" w:sz="0" w:space="0" w:color="auto"/>
        <w:right w:val="none" w:sz="0" w:space="0" w:color="auto"/>
      </w:divBdr>
    </w:div>
    <w:div w:id="585042677">
      <w:bodyDiv w:val="1"/>
      <w:marLeft w:val="0"/>
      <w:marRight w:val="0"/>
      <w:marTop w:val="0"/>
      <w:marBottom w:val="0"/>
      <w:divBdr>
        <w:top w:val="none" w:sz="0" w:space="0" w:color="auto"/>
        <w:left w:val="none" w:sz="0" w:space="0" w:color="auto"/>
        <w:bottom w:val="none" w:sz="0" w:space="0" w:color="auto"/>
        <w:right w:val="none" w:sz="0" w:space="0" w:color="auto"/>
      </w:divBdr>
    </w:div>
    <w:div w:id="628585880">
      <w:bodyDiv w:val="1"/>
      <w:marLeft w:val="0"/>
      <w:marRight w:val="0"/>
      <w:marTop w:val="0"/>
      <w:marBottom w:val="0"/>
      <w:divBdr>
        <w:top w:val="none" w:sz="0" w:space="0" w:color="auto"/>
        <w:left w:val="none" w:sz="0" w:space="0" w:color="auto"/>
        <w:bottom w:val="none" w:sz="0" w:space="0" w:color="auto"/>
        <w:right w:val="none" w:sz="0" w:space="0" w:color="auto"/>
      </w:divBdr>
    </w:div>
    <w:div w:id="730268402">
      <w:bodyDiv w:val="1"/>
      <w:marLeft w:val="0"/>
      <w:marRight w:val="0"/>
      <w:marTop w:val="0"/>
      <w:marBottom w:val="0"/>
      <w:divBdr>
        <w:top w:val="none" w:sz="0" w:space="0" w:color="auto"/>
        <w:left w:val="none" w:sz="0" w:space="0" w:color="auto"/>
        <w:bottom w:val="none" w:sz="0" w:space="0" w:color="auto"/>
        <w:right w:val="none" w:sz="0" w:space="0" w:color="auto"/>
      </w:divBdr>
    </w:div>
    <w:div w:id="770709856">
      <w:bodyDiv w:val="1"/>
      <w:marLeft w:val="0"/>
      <w:marRight w:val="0"/>
      <w:marTop w:val="0"/>
      <w:marBottom w:val="0"/>
      <w:divBdr>
        <w:top w:val="none" w:sz="0" w:space="0" w:color="auto"/>
        <w:left w:val="none" w:sz="0" w:space="0" w:color="auto"/>
        <w:bottom w:val="none" w:sz="0" w:space="0" w:color="auto"/>
        <w:right w:val="none" w:sz="0" w:space="0" w:color="auto"/>
      </w:divBdr>
      <w:divsChild>
        <w:div w:id="669330883">
          <w:marLeft w:val="0"/>
          <w:marRight w:val="0"/>
          <w:marTop w:val="0"/>
          <w:marBottom w:val="0"/>
          <w:divBdr>
            <w:top w:val="none" w:sz="0" w:space="0" w:color="auto"/>
            <w:left w:val="none" w:sz="0" w:space="0" w:color="auto"/>
            <w:bottom w:val="none" w:sz="0" w:space="0" w:color="auto"/>
            <w:right w:val="none" w:sz="0" w:space="0" w:color="auto"/>
          </w:divBdr>
        </w:div>
      </w:divsChild>
    </w:div>
    <w:div w:id="783424872">
      <w:bodyDiv w:val="1"/>
      <w:marLeft w:val="0"/>
      <w:marRight w:val="0"/>
      <w:marTop w:val="0"/>
      <w:marBottom w:val="0"/>
      <w:divBdr>
        <w:top w:val="none" w:sz="0" w:space="0" w:color="auto"/>
        <w:left w:val="none" w:sz="0" w:space="0" w:color="auto"/>
        <w:bottom w:val="none" w:sz="0" w:space="0" w:color="auto"/>
        <w:right w:val="none" w:sz="0" w:space="0" w:color="auto"/>
      </w:divBdr>
    </w:div>
    <w:div w:id="829830264">
      <w:bodyDiv w:val="1"/>
      <w:marLeft w:val="0"/>
      <w:marRight w:val="0"/>
      <w:marTop w:val="0"/>
      <w:marBottom w:val="0"/>
      <w:divBdr>
        <w:top w:val="none" w:sz="0" w:space="0" w:color="auto"/>
        <w:left w:val="none" w:sz="0" w:space="0" w:color="auto"/>
        <w:bottom w:val="none" w:sz="0" w:space="0" w:color="auto"/>
        <w:right w:val="none" w:sz="0" w:space="0" w:color="auto"/>
      </w:divBdr>
    </w:div>
    <w:div w:id="837502448">
      <w:bodyDiv w:val="1"/>
      <w:marLeft w:val="0"/>
      <w:marRight w:val="0"/>
      <w:marTop w:val="0"/>
      <w:marBottom w:val="0"/>
      <w:divBdr>
        <w:top w:val="none" w:sz="0" w:space="0" w:color="auto"/>
        <w:left w:val="none" w:sz="0" w:space="0" w:color="auto"/>
        <w:bottom w:val="none" w:sz="0" w:space="0" w:color="auto"/>
        <w:right w:val="none" w:sz="0" w:space="0" w:color="auto"/>
      </w:divBdr>
      <w:divsChild>
        <w:div w:id="853765239">
          <w:marLeft w:val="0"/>
          <w:marRight w:val="0"/>
          <w:marTop w:val="0"/>
          <w:marBottom w:val="0"/>
          <w:divBdr>
            <w:top w:val="none" w:sz="0" w:space="0" w:color="auto"/>
            <w:left w:val="none" w:sz="0" w:space="0" w:color="auto"/>
            <w:bottom w:val="none" w:sz="0" w:space="0" w:color="auto"/>
            <w:right w:val="none" w:sz="0" w:space="0" w:color="auto"/>
          </w:divBdr>
          <w:divsChild>
            <w:div w:id="1832140679">
              <w:marLeft w:val="0"/>
              <w:marRight w:val="0"/>
              <w:marTop w:val="0"/>
              <w:marBottom w:val="0"/>
              <w:divBdr>
                <w:top w:val="none" w:sz="0" w:space="0" w:color="auto"/>
                <w:left w:val="none" w:sz="0" w:space="0" w:color="auto"/>
                <w:bottom w:val="none" w:sz="0" w:space="0" w:color="auto"/>
                <w:right w:val="none" w:sz="0" w:space="0" w:color="auto"/>
              </w:divBdr>
              <w:divsChild>
                <w:div w:id="808523393">
                  <w:marLeft w:val="60"/>
                  <w:marRight w:val="0"/>
                  <w:marTop w:val="0"/>
                  <w:marBottom w:val="0"/>
                  <w:divBdr>
                    <w:top w:val="none" w:sz="0" w:space="0" w:color="auto"/>
                    <w:left w:val="none" w:sz="0" w:space="0" w:color="auto"/>
                    <w:bottom w:val="none" w:sz="0" w:space="0" w:color="auto"/>
                    <w:right w:val="none" w:sz="0" w:space="0" w:color="auto"/>
                  </w:divBdr>
                  <w:divsChild>
                    <w:div w:id="1874726877">
                      <w:marLeft w:val="0"/>
                      <w:marRight w:val="0"/>
                      <w:marTop w:val="0"/>
                      <w:marBottom w:val="0"/>
                      <w:divBdr>
                        <w:top w:val="none" w:sz="0" w:space="0" w:color="auto"/>
                        <w:left w:val="none" w:sz="0" w:space="0" w:color="auto"/>
                        <w:bottom w:val="none" w:sz="0" w:space="0" w:color="auto"/>
                        <w:right w:val="none" w:sz="0" w:space="0" w:color="auto"/>
                      </w:divBdr>
                      <w:divsChild>
                        <w:div w:id="1810787078">
                          <w:marLeft w:val="0"/>
                          <w:marRight w:val="0"/>
                          <w:marTop w:val="0"/>
                          <w:marBottom w:val="0"/>
                          <w:divBdr>
                            <w:top w:val="none" w:sz="0" w:space="0" w:color="auto"/>
                            <w:left w:val="none" w:sz="0" w:space="0" w:color="auto"/>
                            <w:bottom w:val="none" w:sz="0" w:space="0" w:color="auto"/>
                            <w:right w:val="none" w:sz="0" w:space="0" w:color="auto"/>
                          </w:divBdr>
                          <w:divsChild>
                            <w:div w:id="781189623">
                              <w:marLeft w:val="0"/>
                              <w:marRight w:val="0"/>
                              <w:marTop w:val="0"/>
                              <w:marBottom w:val="0"/>
                              <w:divBdr>
                                <w:top w:val="none" w:sz="0" w:space="0" w:color="auto"/>
                                <w:left w:val="none" w:sz="0" w:space="0" w:color="auto"/>
                                <w:bottom w:val="none" w:sz="0" w:space="0" w:color="auto"/>
                                <w:right w:val="none" w:sz="0" w:space="0" w:color="auto"/>
                              </w:divBdr>
                              <w:divsChild>
                                <w:div w:id="1728339455">
                                  <w:marLeft w:val="0"/>
                                  <w:marRight w:val="0"/>
                                  <w:marTop w:val="0"/>
                                  <w:marBottom w:val="0"/>
                                  <w:divBdr>
                                    <w:top w:val="none" w:sz="0" w:space="0" w:color="auto"/>
                                    <w:left w:val="none" w:sz="0" w:space="0" w:color="auto"/>
                                    <w:bottom w:val="none" w:sz="0" w:space="0" w:color="auto"/>
                                    <w:right w:val="none" w:sz="0" w:space="0" w:color="auto"/>
                                  </w:divBdr>
                                  <w:divsChild>
                                    <w:div w:id="1844735146">
                                      <w:marLeft w:val="0"/>
                                      <w:marRight w:val="0"/>
                                      <w:marTop w:val="0"/>
                                      <w:marBottom w:val="0"/>
                                      <w:divBdr>
                                        <w:top w:val="none" w:sz="0" w:space="0" w:color="auto"/>
                                        <w:left w:val="none" w:sz="0" w:space="0" w:color="auto"/>
                                        <w:bottom w:val="none" w:sz="0" w:space="0" w:color="auto"/>
                                        <w:right w:val="none" w:sz="0" w:space="0" w:color="auto"/>
                                      </w:divBdr>
                                      <w:divsChild>
                                        <w:div w:id="20499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389615">
      <w:bodyDiv w:val="1"/>
      <w:marLeft w:val="0"/>
      <w:marRight w:val="0"/>
      <w:marTop w:val="0"/>
      <w:marBottom w:val="0"/>
      <w:divBdr>
        <w:top w:val="none" w:sz="0" w:space="0" w:color="auto"/>
        <w:left w:val="none" w:sz="0" w:space="0" w:color="auto"/>
        <w:bottom w:val="none" w:sz="0" w:space="0" w:color="auto"/>
        <w:right w:val="none" w:sz="0" w:space="0" w:color="auto"/>
      </w:divBdr>
    </w:div>
    <w:div w:id="872154968">
      <w:bodyDiv w:val="1"/>
      <w:marLeft w:val="0"/>
      <w:marRight w:val="0"/>
      <w:marTop w:val="0"/>
      <w:marBottom w:val="0"/>
      <w:divBdr>
        <w:top w:val="none" w:sz="0" w:space="0" w:color="auto"/>
        <w:left w:val="none" w:sz="0" w:space="0" w:color="auto"/>
        <w:bottom w:val="none" w:sz="0" w:space="0" w:color="auto"/>
        <w:right w:val="none" w:sz="0" w:space="0" w:color="auto"/>
      </w:divBdr>
      <w:divsChild>
        <w:div w:id="715736476">
          <w:marLeft w:val="0"/>
          <w:marRight w:val="0"/>
          <w:marTop w:val="0"/>
          <w:marBottom w:val="0"/>
          <w:divBdr>
            <w:top w:val="none" w:sz="0" w:space="0" w:color="auto"/>
            <w:left w:val="none" w:sz="0" w:space="0" w:color="auto"/>
            <w:bottom w:val="none" w:sz="0" w:space="0" w:color="auto"/>
            <w:right w:val="none" w:sz="0" w:space="0" w:color="auto"/>
          </w:divBdr>
          <w:divsChild>
            <w:div w:id="2126578612">
              <w:marLeft w:val="0"/>
              <w:marRight w:val="0"/>
              <w:marTop w:val="0"/>
              <w:marBottom w:val="0"/>
              <w:divBdr>
                <w:top w:val="none" w:sz="0" w:space="0" w:color="auto"/>
                <w:left w:val="none" w:sz="0" w:space="0" w:color="auto"/>
                <w:bottom w:val="none" w:sz="0" w:space="0" w:color="auto"/>
                <w:right w:val="none" w:sz="0" w:space="0" w:color="auto"/>
              </w:divBdr>
              <w:divsChild>
                <w:div w:id="30311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243">
          <w:marLeft w:val="0"/>
          <w:marRight w:val="0"/>
          <w:marTop w:val="0"/>
          <w:marBottom w:val="0"/>
          <w:divBdr>
            <w:top w:val="none" w:sz="0" w:space="0" w:color="auto"/>
            <w:left w:val="none" w:sz="0" w:space="0" w:color="auto"/>
            <w:bottom w:val="none" w:sz="0" w:space="0" w:color="auto"/>
            <w:right w:val="none" w:sz="0" w:space="0" w:color="auto"/>
          </w:divBdr>
          <w:divsChild>
            <w:div w:id="1896163929">
              <w:marLeft w:val="0"/>
              <w:marRight w:val="0"/>
              <w:marTop w:val="0"/>
              <w:marBottom w:val="0"/>
              <w:divBdr>
                <w:top w:val="none" w:sz="0" w:space="0" w:color="auto"/>
                <w:left w:val="none" w:sz="0" w:space="0" w:color="auto"/>
                <w:bottom w:val="none" w:sz="0" w:space="0" w:color="auto"/>
                <w:right w:val="none" w:sz="0" w:space="0" w:color="auto"/>
              </w:divBdr>
              <w:divsChild>
                <w:div w:id="21097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858609">
      <w:bodyDiv w:val="1"/>
      <w:marLeft w:val="0"/>
      <w:marRight w:val="0"/>
      <w:marTop w:val="0"/>
      <w:marBottom w:val="0"/>
      <w:divBdr>
        <w:top w:val="none" w:sz="0" w:space="0" w:color="auto"/>
        <w:left w:val="none" w:sz="0" w:space="0" w:color="auto"/>
        <w:bottom w:val="none" w:sz="0" w:space="0" w:color="auto"/>
        <w:right w:val="none" w:sz="0" w:space="0" w:color="auto"/>
      </w:divBdr>
    </w:div>
    <w:div w:id="926235678">
      <w:bodyDiv w:val="1"/>
      <w:marLeft w:val="0"/>
      <w:marRight w:val="0"/>
      <w:marTop w:val="0"/>
      <w:marBottom w:val="0"/>
      <w:divBdr>
        <w:top w:val="none" w:sz="0" w:space="0" w:color="auto"/>
        <w:left w:val="none" w:sz="0" w:space="0" w:color="auto"/>
        <w:bottom w:val="none" w:sz="0" w:space="0" w:color="auto"/>
        <w:right w:val="none" w:sz="0" w:space="0" w:color="auto"/>
      </w:divBdr>
    </w:div>
    <w:div w:id="965552202">
      <w:bodyDiv w:val="1"/>
      <w:marLeft w:val="0"/>
      <w:marRight w:val="0"/>
      <w:marTop w:val="0"/>
      <w:marBottom w:val="0"/>
      <w:divBdr>
        <w:top w:val="none" w:sz="0" w:space="0" w:color="auto"/>
        <w:left w:val="none" w:sz="0" w:space="0" w:color="auto"/>
        <w:bottom w:val="none" w:sz="0" w:space="0" w:color="auto"/>
        <w:right w:val="none" w:sz="0" w:space="0" w:color="auto"/>
      </w:divBdr>
    </w:div>
    <w:div w:id="966853294">
      <w:bodyDiv w:val="1"/>
      <w:marLeft w:val="0"/>
      <w:marRight w:val="0"/>
      <w:marTop w:val="0"/>
      <w:marBottom w:val="0"/>
      <w:divBdr>
        <w:top w:val="none" w:sz="0" w:space="0" w:color="auto"/>
        <w:left w:val="none" w:sz="0" w:space="0" w:color="auto"/>
        <w:bottom w:val="none" w:sz="0" w:space="0" w:color="auto"/>
        <w:right w:val="none" w:sz="0" w:space="0" w:color="auto"/>
      </w:divBdr>
    </w:div>
    <w:div w:id="974991696">
      <w:bodyDiv w:val="1"/>
      <w:marLeft w:val="0"/>
      <w:marRight w:val="0"/>
      <w:marTop w:val="0"/>
      <w:marBottom w:val="0"/>
      <w:divBdr>
        <w:top w:val="none" w:sz="0" w:space="0" w:color="auto"/>
        <w:left w:val="none" w:sz="0" w:space="0" w:color="auto"/>
        <w:bottom w:val="none" w:sz="0" w:space="0" w:color="auto"/>
        <w:right w:val="none" w:sz="0" w:space="0" w:color="auto"/>
      </w:divBdr>
    </w:div>
    <w:div w:id="1017654870">
      <w:bodyDiv w:val="1"/>
      <w:marLeft w:val="0"/>
      <w:marRight w:val="0"/>
      <w:marTop w:val="0"/>
      <w:marBottom w:val="0"/>
      <w:divBdr>
        <w:top w:val="none" w:sz="0" w:space="0" w:color="auto"/>
        <w:left w:val="none" w:sz="0" w:space="0" w:color="auto"/>
        <w:bottom w:val="none" w:sz="0" w:space="0" w:color="auto"/>
        <w:right w:val="none" w:sz="0" w:space="0" w:color="auto"/>
      </w:divBdr>
    </w:div>
    <w:div w:id="1037897966">
      <w:bodyDiv w:val="1"/>
      <w:marLeft w:val="0"/>
      <w:marRight w:val="0"/>
      <w:marTop w:val="0"/>
      <w:marBottom w:val="0"/>
      <w:divBdr>
        <w:top w:val="none" w:sz="0" w:space="0" w:color="auto"/>
        <w:left w:val="none" w:sz="0" w:space="0" w:color="auto"/>
        <w:bottom w:val="none" w:sz="0" w:space="0" w:color="auto"/>
        <w:right w:val="none" w:sz="0" w:space="0" w:color="auto"/>
      </w:divBdr>
      <w:divsChild>
        <w:div w:id="1935168740">
          <w:marLeft w:val="0"/>
          <w:marRight w:val="0"/>
          <w:marTop w:val="0"/>
          <w:marBottom w:val="0"/>
          <w:divBdr>
            <w:top w:val="none" w:sz="0" w:space="0" w:color="auto"/>
            <w:left w:val="none" w:sz="0" w:space="0" w:color="auto"/>
            <w:bottom w:val="none" w:sz="0" w:space="0" w:color="auto"/>
            <w:right w:val="none" w:sz="0" w:space="0" w:color="auto"/>
          </w:divBdr>
        </w:div>
      </w:divsChild>
    </w:div>
    <w:div w:id="1044909912">
      <w:bodyDiv w:val="1"/>
      <w:marLeft w:val="0"/>
      <w:marRight w:val="0"/>
      <w:marTop w:val="0"/>
      <w:marBottom w:val="0"/>
      <w:divBdr>
        <w:top w:val="none" w:sz="0" w:space="0" w:color="auto"/>
        <w:left w:val="none" w:sz="0" w:space="0" w:color="auto"/>
        <w:bottom w:val="none" w:sz="0" w:space="0" w:color="auto"/>
        <w:right w:val="none" w:sz="0" w:space="0" w:color="auto"/>
      </w:divBdr>
      <w:divsChild>
        <w:div w:id="59061538">
          <w:marLeft w:val="0"/>
          <w:marRight w:val="0"/>
          <w:marTop w:val="0"/>
          <w:marBottom w:val="0"/>
          <w:divBdr>
            <w:top w:val="none" w:sz="0" w:space="0" w:color="auto"/>
            <w:left w:val="none" w:sz="0" w:space="0" w:color="auto"/>
            <w:bottom w:val="none" w:sz="0" w:space="0" w:color="auto"/>
            <w:right w:val="none" w:sz="0" w:space="0" w:color="auto"/>
          </w:divBdr>
          <w:divsChild>
            <w:div w:id="726103238">
              <w:marLeft w:val="0"/>
              <w:marRight w:val="0"/>
              <w:marTop w:val="0"/>
              <w:marBottom w:val="0"/>
              <w:divBdr>
                <w:top w:val="none" w:sz="0" w:space="0" w:color="auto"/>
                <w:left w:val="none" w:sz="0" w:space="0" w:color="auto"/>
                <w:bottom w:val="none" w:sz="0" w:space="0" w:color="auto"/>
                <w:right w:val="none" w:sz="0" w:space="0" w:color="auto"/>
              </w:divBdr>
              <w:divsChild>
                <w:div w:id="4935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5434">
          <w:marLeft w:val="0"/>
          <w:marRight w:val="0"/>
          <w:marTop w:val="0"/>
          <w:marBottom w:val="0"/>
          <w:divBdr>
            <w:top w:val="none" w:sz="0" w:space="0" w:color="auto"/>
            <w:left w:val="none" w:sz="0" w:space="0" w:color="auto"/>
            <w:bottom w:val="none" w:sz="0" w:space="0" w:color="auto"/>
            <w:right w:val="none" w:sz="0" w:space="0" w:color="auto"/>
          </w:divBdr>
          <w:divsChild>
            <w:div w:id="1827550384">
              <w:marLeft w:val="0"/>
              <w:marRight w:val="0"/>
              <w:marTop w:val="0"/>
              <w:marBottom w:val="0"/>
              <w:divBdr>
                <w:top w:val="none" w:sz="0" w:space="0" w:color="auto"/>
                <w:left w:val="none" w:sz="0" w:space="0" w:color="auto"/>
                <w:bottom w:val="none" w:sz="0" w:space="0" w:color="auto"/>
                <w:right w:val="none" w:sz="0" w:space="0" w:color="auto"/>
              </w:divBdr>
              <w:divsChild>
                <w:div w:id="17767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84275">
      <w:bodyDiv w:val="1"/>
      <w:marLeft w:val="0"/>
      <w:marRight w:val="0"/>
      <w:marTop w:val="0"/>
      <w:marBottom w:val="0"/>
      <w:divBdr>
        <w:top w:val="none" w:sz="0" w:space="0" w:color="auto"/>
        <w:left w:val="none" w:sz="0" w:space="0" w:color="auto"/>
        <w:bottom w:val="none" w:sz="0" w:space="0" w:color="auto"/>
        <w:right w:val="none" w:sz="0" w:space="0" w:color="auto"/>
      </w:divBdr>
    </w:div>
    <w:div w:id="1067387447">
      <w:bodyDiv w:val="1"/>
      <w:marLeft w:val="0"/>
      <w:marRight w:val="0"/>
      <w:marTop w:val="0"/>
      <w:marBottom w:val="0"/>
      <w:divBdr>
        <w:top w:val="none" w:sz="0" w:space="0" w:color="auto"/>
        <w:left w:val="none" w:sz="0" w:space="0" w:color="auto"/>
        <w:bottom w:val="none" w:sz="0" w:space="0" w:color="auto"/>
        <w:right w:val="none" w:sz="0" w:space="0" w:color="auto"/>
      </w:divBdr>
    </w:div>
    <w:div w:id="1103569938">
      <w:bodyDiv w:val="1"/>
      <w:marLeft w:val="0"/>
      <w:marRight w:val="0"/>
      <w:marTop w:val="0"/>
      <w:marBottom w:val="0"/>
      <w:divBdr>
        <w:top w:val="none" w:sz="0" w:space="0" w:color="auto"/>
        <w:left w:val="none" w:sz="0" w:space="0" w:color="auto"/>
        <w:bottom w:val="none" w:sz="0" w:space="0" w:color="auto"/>
        <w:right w:val="none" w:sz="0" w:space="0" w:color="auto"/>
      </w:divBdr>
    </w:div>
    <w:div w:id="1106535132">
      <w:bodyDiv w:val="1"/>
      <w:marLeft w:val="0"/>
      <w:marRight w:val="0"/>
      <w:marTop w:val="0"/>
      <w:marBottom w:val="0"/>
      <w:divBdr>
        <w:top w:val="none" w:sz="0" w:space="0" w:color="auto"/>
        <w:left w:val="none" w:sz="0" w:space="0" w:color="auto"/>
        <w:bottom w:val="none" w:sz="0" w:space="0" w:color="auto"/>
        <w:right w:val="none" w:sz="0" w:space="0" w:color="auto"/>
      </w:divBdr>
    </w:div>
    <w:div w:id="1122965028">
      <w:bodyDiv w:val="1"/>
      <w:marLeft w:val="0"/>
      <w:marRight w:val="0"/>
      <w:marTop w:val="0"/>
      <w:marBottom w:val="0"/>
      <w:divBdr>
        <w:top w:val="none" w:sz="0" w:space="0" w:color="auto"/>
        <w:left w:val="none" w:sz="0" w:space="0" w:color="auto"/>
        <w:bottom w:val="none" w:sz="0" w:space="0" w:color="auto"/>
        <w:right w:val="none" w:sz="0" w:space="0" w:color="auto"/>
      </w:divBdr>
    </w:div>
    <w:div w:id="1169365378">
      <w:bodyDiv w:val="1"/>
      <w:marLeft w:val="0"/>
      <w:marRight w:val="0"/>
      <w:marTop w:val="0"/>
      <w:marBottom w:val="0"/>
      <w:divBdr>
        <w:top w:val="none" w:sz="0" w:space="0" w:color="auto"/>
        <w:left w:val="none" w:sz="0" w:space="0" w:color="auto"/>
        <w:bottom w:val="none" w:sz="0" w:space="0" w:color="auto"/>
        <w:right w:val="none" w:sz="0" w:space="0" w:color="auto"/>
      </w:divBdr>
      <w:divsChild>
        <w:div w:id="822965114">
          <w:marLeft w:val="0"/>
          <w:marRight w:val="0"/>
          <w:marTop w:val="0"/>
          <w:marBottom w:val="0"/>
          <w:divBdr>
            <w:top w:val="none" w:sz="0" w:space="0" w:color="auto"/>
            <w:left w:val="none" w:sz="0" w:space="0" w:color="auto"/>
            <w:bottom w:val="none" w:sz="0" w:space="0" w:color="auto"/>
            <w:right w:val="none" w:sz="0" w:space="0" w:color="auto"/>
          </w:divBdr>
        </w:div>
      </w:divsChild>
    </w:div>
    <w:div w:id="1176111731">
      <w:bodyDiv w:val="1"/>
      <w:marLeft w:val="0"/>
      <w:marRight w:val="0"/>
      <w:marTop w:val="0"/>
      <w:marBottom w:val="0"/>
      <w:divBdr>
        <w:top w:val="none" w:sz="0" w:space="0" w:color="auto"/>
        <w:left w:val="none" w:sz="0" w:space="0" w:color="auto"/>
        <w:bottom w:val="none" w:sz="0" w:space="0" w:color="auto"/>
        <w:right w:val="none" w:sz="0" w:space="0" w:color="auto"/>
      </w:divBdr>
    </w:div>
    <w:div w:id="1243490995">
      <w:bodyDiv w:val="1"/>
      <w:marLeft w:val="0"/>
      <w:marRight w:val="0"/>
      <w:marTop w:val="0"/>
      <w:marBottom w:val="0"/>
      <w:divBdr>
        <w:top w:val="none" w:sz="0" w:space="0" w:color="auto"/>
        <w:left w:val="none" w:sz="0" w:space="0" w:color="auto"/>
        <w:bottom w:val="none" w:sz="0" w:space="0" w:color="auto"/>
        <w:right w:val="none" w:sz="0" w:space="0" w:color="auto"/>
      </w:divBdr>
    </w:div>
    <w:div w:id="1329938806">
      <w:bodyDiv w:val="1"/>
      <w:marLeft w:val="0"/>
      <w:marRight w:val="0"/>
      <w:marTop w:val="0"/>
      <w:marBottom w:val="0"/>
      <w:divBdr>
        <w:top w:val="none" w:sz="0" w:space="0" w:color="auto"/>
        <w:left w:val="none" w:sz="0" w:space="0" w:color="auto"/>
        <w:bottom w:val="none" w:sz="0" w:space="0" w:color="auto"/>
        <w:right w:val="none" w:sz="0" w:space="0" w:color="auto"/>
      </w:divBdr>
    </w:div>
    <w:div w:id="1352074058">
      <w:bodyDiv w:val="1"/>
      <w:marLeft w:val="0"/>
      <w:marRight w:val="0"/>
      <w:marTop w:val="0"/>
      <w:marBottom w:val="0"/>
      <w:divBdr>
        <w:top w:val="none" w:sz="0" w:space="0" w:color="auto"/>
        <w:left w:val="none" w:sz="0" w:space="0" w:color="auto"/>
        <w:bottom w:val="none" w:sz="0" w:space="0" w:color="auto"/>
        <w:right w:val="none" w:sz="0" w:space="0" w:color="auto"/>
      </w:divBdr>
    </w:div>
    <w:div w:id="1369405291">
      <w:bodyDiv w:val="1"/>
      <w:marLeft w:val="0"/>
      <w:marRight w:val="0"/>
      <w:marTop w:val="0"/>
      <w:marBottom w:val="0"/>
      <w:divBdr>
        <w:top w:val="none" w:sz="0" w:space="0" w:color="auto"/>
        <w:left w:val="none" w:sz="0" w:space="0" w:color="auto"/>
        <w:bottom w:val="none" w:sz="0" w:space="0" w:color="auto"/>
        <w:right w:val="none" w:sz="0" w:space="0" w:color="auto"/>
      </w:divBdr>
      <w:divsChild>
        <w:div w:id="1665932392">
          <w:marLeft w:val="0"/>
          <w:marRight w:val="0"/>
          <w:marTop w:val="0"/>
          <w:marBottom w:val="0"/>
          <w:divBdr>
            <w:top w:val="none" w:sz="0" w:space="0" w:color="auto"/>
            <w:left w:val="none" w:sz="0" w:space="0" w:color="auto"/>
            <w:bottom w:val="none" w:sz="0" w:space="0" w:color="auto"/>
            <w:right w:val="none" w:sz="0" w:space="0" w:color="auto"/>
          </w:divBdr>
        </w:div>
      </w:divsChild>
    </w:div>
    <w:div w:id="1399982424">
      <w:bodyDiv w:val="1"/>
      <w:marLeft w:val="0"/>
      <w:marRight w:val="0"/>
      <w:marTop w:val="0"/>
      <w:marBottom w:val="0"/>
      <w:divBdr>
        <w:top w:val="none" w:sz="0" w:space="0" w:color="auto"/>
        <w:left w:val="none" w:sz="0" w:space="0" w:color="auto"/>
        <w:bottom w:val="none" w:sz="0" w:space="0" w:color="auto"/>
        <w:right w:val="none" w:sz="0" w:space="0" w:color="auto"/>
      </w:divBdr>
    </w:div>
    <w:div w:id="1485196212">
      <w:bodyDiv w:val="1"/>
      <w:marLeft w:val="0"/>
      <w:marRight w:val="0"/>
      <w:marTop w:val="0"/>
      <w:marBottom w:val="0"/>
      <w:divBdr>
        <w:top w:val="none" w:sz="0" w:space="0" w:color="auto"/>
        <w:left w:val="none" w:sz="0" w:space="0" w:color="auto"/>
        <w:bottom w:val="none" w:sz="0" w:space="0" w:color="auto"/>
        <w:right w:val="none" w:sz="0" w:space="0" w:color="auto"/>
      </w:divBdr>
    </w:div>
    <w:div w:id="1558130047">
      <w:bodyDiv w:val="1"/>
      <w:marLeft w:val="0"/>
      <w:marRight w:val="0"/>
      <w:marTop w:val="0"/>
      <w:marBottom w:val="0"/>
      <w:divBdr>
        <w:top w:val="none" w:sz="0" w:space="0" w:color="auto"/>
        <w:left w:val="none" w:sz="0" w:space="0" w:color="auto"/>
        <w:bottom w:val="none" w:sz="0" w:space="0" w:color="auto"/>
        <w:right w:val="none" w:sz="0" w:space="0" w:color="auto"/>
      </w:divBdr>
    </w:div>
    <w:div w:id="1586183812">
      <w:bodyDiv w:val="1"/>
      <w:marLeft w:val="0"/>
      <w:marRight w:val="0"/>
      <w:marTop w:val="0"/>
      <w:marBottom w:val="0"/>
      <w:divBdr>
        <w:top w:val="none" w:sz="0" w:space="0" w:color="auto"/>
        <w:left w:val="none" w:sz="0" w:space="0" w:color="auto"/>
        <w:bottom w:val="none" w:sz="0" w:space="0" w:color="auto"/>
        <w:right w:val="none" w:sz="0" w:space="0" w:color="auto"/>
      </w:divBdr>
    </w:div>
    <w:div w:id="1633949220">
      <w:bodyDiv w:val="1"/>
      <w:marLeft w:val="0"/>
      <w:marRight w:val="0"/>
      <w:marTop w:val="0"/>
      <w:marBottom w:val="0"/>
      <w:divBdr>
        <w:top w:val="none" w:sz="0" w:space="0" w:color="auto"/>
        <w:left w:val="none" w:sz="0" w:space="0" w:color="auto"/>
        <w:bottom w:val="none" w:sz="0" w:space="0" w:color="auto"/>
        <w:right w:val="none" w:sz="0" w:space="0" w:color="auto"/>
      </w:divBdr>
    </w:div>
    <w:div w:id="1644700240">
      <w:bodyDiv w:val="1"/>
      <w:marLeft w:val="0"/>
      <w:marRight w:val="0"/>
      <w:marTop w:val="0"/>
      <w:marBottom w:val="0"/>
      <w:divBdr>
        <w:top w:val="none" w:sz="0" w:space="0" w:color="auto"/>
        <w:left w:val="none" w:sz="0" w:space="0" w:color="auto"/>
        <w:bottom w:val="none" w:sz="0" w:space="0" w:color="auto"/>
        <w:right w:val="none" w:sz="0" w:space="0" w:color="auto"/>
      </w:divBdr>
    </w:div>
    <w:div w:id="1658606241">
      <w:bodyDiv w:val="1"/>
      <w:marLeft w:val="0"/>
      <w:marRight w:val="0"/>
      <w:marTop w:val="0"/>
      <w:marBottom w:val="0"/>
      <w:divBdr>
        <w:top w:val="none" w:sz="0" w:space="0" w:color="auto"/>
        <w:left w:val="none" w:sz="0" w:space="0" w:color="auto"/>
        <w:bottom w:val="none" w:sz="0" w:space="0" w:color="auto"/>
        <w:right w:val="none" w:sz="0" w:space="0" w:color="auto"/>
      </w:divBdr>
    </w:div>
    <w:div w:id="1664241187">
      <w:bodyDiv w:val="1"/>
      <w:marLeft w:val="0"/>
      <w:marRight w:val="0"/>
      <w:marTop w:val="0"/>
      <w:marBottom w:val="0"/>
      <w:divBdr>
        <w:top w:val="none" w:sz="0" w:space="0" w:color="auto"/>
        <w:left w:val="none" w:sz="0" w:space="0" w:color="auto"/>
        <w:bottom w:val="none" w:sz="0" w:space="0" w:color="auto"/>
        <w:right w:val="none" w:sz="0" w:space="0" w:color="auto"/>
      </w:divBdr>
    </w:div>
    <w:div w:id="1668628253">
      <w:bodyDiv w:val="1"/>
      <w:marLeft w:val="0"/>
      <w:marRight w:val="0"/>
      <w:marTop w:val="0"/>
      <w:marBottom w:val="0"/>
      <w:divBdr>
        <w:top w:val="none" w:sz="0" w:space="0" w:color="auto"/>
        <w:left w:val="none" w:sz="0" w:space="0" w:color="auto"/>
        <w:bottom w:val="none" w:sz="0" w:space="0" w:color="auto"/>
        <w:right w:val="none" w:sz="0" w:space="0" w:color="auto"/>
      </w:divBdr>
    </w:div>
    <w:div w:id="1696492957">
      <w:bodyDiv w:val="1"/>
      <w:marLeft w:val="0"/>
      <w:marRight w:val="0"/>
      <w:marTop w:val="0"/>
      <w:marBottom w:val="0"/>
      <w:divBdr>
        <w:top w:val="none" w:sz="0" w:space="0" w:color="auto"/>
        <w:left w:val="none" w:sz="0" w:space="0" w:color="auto"/>
        <w:bottom w:val="none" w:sz="0" w:space="0" w:color="auto"/>
        <w:right w:val="none" w:sz="0" w:space="0" w:color="auto"/>
      </w:divBdr>
    </w:div>
    <w:div w:id="1727754643">
      <w:bodyDiv w:val="1"/>
      <w:marLeft w:val="0"/>
      <w:marRight w:val="0"/>
      <w:marTop w:val="0"/>
      <w:marBottom w:val="0"/>
      <w:divBdr>
        <w:top w:val="none" w:sz="0" w:space="0" w:color="auto"/>
        <w:left w:val="none" w:sz="0" w:space="0" w:color="auto"/>
        <w:bottom w:val="none" w:sz="0" w:space="0" w:color="auto"/>
        <w:right w:val="none" w:sz="0" w:space="0" w:color="auto"/>
      </w:divBdr>
    </w:div>
    <w:div w:id="1761290360">
      <w:bodyDiv w:val="1"/>
      <w:marLeft w:val="0"/>
      <w:marRight w:val="0"/>
      <w:marTop w:val="0"/>
      <w:marBottom w:val="0"/>
      <w:divBdr>
        <w:top w:val="none" w:sz="0" w:space="0" w:color="auto"/>
        <w:left w:val="none" w:sz="0" w:space="0" w:color="auto"/>
        <w:bottom w:val="none" w:sz="0" w:space="0" w:color="auto"/>
        <w:right w:val="none" w:sz="0" w:space="0" w:color="auto"/>
      </w:divBdr>
    </w:div>
    <w:div w:id="1769811451">
      <w:bodyDiv w:val="1"/>
      <w:marLeft w:val="0"/>
      <w:marRight w:val="0"/>
      <w:marTop w:val="0"/>
      <w:marBottom w:val="0"/>
      <w:divBdr>
        <w:top w:val="none" w:sz="0" w:space="0" w:color="auto"/>
        <w:left w:val="none" w:sz="0" w:space="0" w:color="auto"/>
        <w:bottom w:val="none" w:sz="0" w:space="0" w:color="auto"/>
        <w:right w:val="none" w:sz="0" w:space="0" w:color="auto"/>
      </w:divBdr>
    </w:div>
    <w:div w:id="1781799779">
      <w:bodyDiv w:val="1"/>
      <w:marLeft w:val="0"/>
      <w:marRight w:val="0"/>
      <w:marTop w:val="0"/>
      <w:marBottom w:val="0"/>
      <w:divBdr>
        <w:top w:val="none" w:sz="0" w:space="0" w:color="auto"/>
        <w:left w:val="none" w:sz="0" w:space="0" w:color="auto"/>
        <w:bottom w:val="none" w:sz="0" w:space="0" w:color="auto"/>
        <w:right w:val="none" w:sz="0" w:space="0" w:color="auto"/>
      </w:divBdr>
    </w:div>
    <w:div w:id="1785805801">
      <w:bodyDiv w:val="1"/>
      <w:marLeft w:val="0"/>
      <w:marRight w:val="0"/>
      <w:marTop w:val="0"/>
      <w:marBottom w:val="0"/>
      <w:divBdr>
        <w:top w:val="none" w:sz="0" w:space="0" w:color="auto"/>
        <w:left w:val="none" w:sz="0" w:space="0" w:color="auto"/>
        <w:bottom w:val="none" w:sz="0" w:space="0" w:color="auto"/>
        <w:right w:val="none" w:sz="0" w:space="0" w:color="auto"/>
      </w:divBdr>
    </w:div>
    <w:div w:id="1851021149">
      <w:bodyDiv w:val="1"/>
      <w:marLeft w:val="0"/>
      <w:marRight w:val="0"/>
      <w:marTop w:val="0"/>
      <w:marBottom w:val="0"/>
      <w:divBdr>
        <w:top w:val="none" w:sz="0" w:space="0" w:color="auto"/>
        <w:left w:val="none" w:sz="0" w:space="0" w:color="auto"/>
        <w:bottom w:val="none" w:sz="0" w:space="0" w:color="auto"/>
        <w:right w:val="none" w:sz="0" w:space="0" w:color="auto"/>
      </w:divBdr>
      <w:divsChild>
        <w:div w:id="829907574">
          <w:marLeft w:val="0"/>
          <w:marRight w:val="0"/>
          <w:marTop w:val="0"/>
          <w:marBottom w:val="0"/>
          <w:divBdr>
            <w:top w:val="none" w:sz="0" w:space="0" w:color="auto"/>
            <w:left w:val="none" w:sz="0" w:space="0" w:color="auto"/>
            <w:bottom w:val="none" w:sz="0" w:space="0" w:color="auto"/>
            <w:right w:val="none" w:sz="0" w:space="0" w:color="auto"/>
          </w:divBdr>
        </w:div>
      </w:divsChild>
    </w:div>
    <w:div w:id="1863662798">
      <w:bodyDiv w:val="1"/>
      <w:marLeft w:val="0"/>
      <w:marRight w:val="0"/>
      <w:marTop w:val="0"/>
      <w:marBottom w:val="0"/>
      <w:divBdr>
        <w:top w:val="none" w:sz="0" w:space="0" w:color="auto"/>
        <w:left w:val="none" w:sz="0" w:space="0" w:color="auto"/>
        <w:bottom w:val="none" w:sz="0" w:space="0" w:color="auto"/>
        <w:right w:val="none" w:sz="0" w:space="0" w:color="auto"/>
      </w:divBdr>
    </w:div>
    <w:div w:id="1872448804">
      <w:bodyDiv w:val="1"/>
      <w:marLeft w:val="0"/>
      <w:marRight w:val="0"/>
      <w:marTop w:val="0"/>
      <w:marBottom w:val="0"/>
      <w:divBdr>
        <w:top w:val="none" w:sz="0" w:space="0" w:color="auto"/>
        <w:left w:val="none" w:sz="0" w:space="0" w:color="auto"/>
        <w:bottom w:val="none" w:sz="0" w:space="0" w:color="auto"/>
        <w:right w:val="none" w:sz="0" w:space="0" w:color="auto"/>
      </w:divBdr>
    </w:div>
    <w:div w:id="1877159003">
      <w:bodyDiv w:val="1"/>
      <w:marLeft w:val="0"/>
      <w:marRight w:val="0"/>
      <w:marTop w:val="0"/>
      <w:marBottom w:val="0"/>
      <w:divBdr>
        <w:top w:val="none" w:sz="0" w:space="0" w:color="auto"/>
        <w:left w:val="none" w:sz="0" w:space="0" w:color="auto"/>
        <w:bottom w:val="none" w:sz="0" w:space="0" w:color="auto"/>
        <w:right w:val="none" w:sz="0" w:space="0" w:color="auto"/>
      </w:divBdr>
    </w:div>
    <w:div w:id="1959295163">
      <w:bodyDiv w:val="1"/>
      <w:marLeft w:val="0"/>
      <w:marRight w:val="0"/>
      <w:marTop w:val="0"/>
      <w:marBottom w:val="0"/>
      <w:divBdr>
        <w:top w:val="none" w:sz="0" w:space="0" w:color="auto"/>
        <w:left w:val="none" w:sz="0" w:space="0" w:color="auto"/>
        <w:bottom w:val="none" w:sz="0" w:space="0" w:color="auto"/>
        <w:right w:val="none" w:sz="0" w:space="0" w:color="auto"/>
      </w:divBdr>
    </w:div>
    <w:div w:id="1962103825">
      <w:bodyDiv w:val="1"/>
      <w:marLeft w:val="0"/>
      <w:marRight w:val="0"/>
      <w:marTop w:val="0"/>
      <w:marBottom w:val="0"/>
      <w:divBdr>
        <w:top w:val="none" w:sz="0" w:space="0" w:color="auto"/>
        <w:left w:val="none" w:sz="0" w:space="0" w:color="auto"/>
        <w:bottom w:val="none" w:sz="0" w:space="0" w:color="auto"/>
        <w:right w:val="none" w:sz="0" w:space="0" w:color="auto"/>
      </w:divBdr>
      <w:divsChild>
        <w:div w:id="1811900359">
          <w:marLeft w:val="0"/>
          <w:marRight w:val="0"/>
          <w:marTop w:val="0"/>
          <w:marBottom w:val="0"/>
          <w:divBdr>
            <w:top w:val="none" w:sz="0" w:space="0" w:color="auto"/>
            <w:left w:val="none" w:sz="0" w:space="0" w:color="auto"/>
            <w:bottom w:val="none" w:sz="0" w:space="0" w:color="auto"/>
            <w:right w:val="none" w:sz="0" w:space="0" w:color="auto"/>
          </w:divBdr>
        </w:div>
      </w:divsChild>
    </w:div>
    <w:div w:id="2004821664">
      <w:bodyDiv w:val="1"/>
      <w:marLeft w:val="0"/>
      <w:marRight w:val="0"/>
      <w:marTop w:val="0"/>
      <w:marBottom w:val="0"/>
      <w:divBdr>
        <w:top w:val="none" w:sz="0" w:space="0" w:color="auto"/>
        <w:left w:val="none" w:sz="0" w:space="0" w:color="auto"/>
        <w:bottom w:val="none" w:sz="0" w:space="0" w:color="auto"/>
        <w:right w:val="none" w:sz="0" w:space="0" w:color="auto"/>
      </w:divBdr>
      <w:divsChild>
        <w:div w:id="117838326">
          <w:marLeft w:val="0"/>
          <w:marRight w:val="0"/>
          <w:marTop w:val="0"/>
          <w:marBottom w:val="0"/>
          <w:divBdr>
            <w:top w:val="none" w:sz="0" w:space="0" w:color="auto"/>
            <w:left w:val="none" w:sz="0" w:space="0" w:color="auto"/>
            <w:bottom w:val="none" w:sz="0" w:space="0" w:color="auto"/>
            <w:right w:val="none" w:sz="0" w:space="0" w:color="auto"/>
          </w:divBdr>
          <w:divsChild>
            <w:div w:id="10030671">
              <w:marLeft w:val="0"/>
              <w:marRight w:val="0"/>
              <w:marTop w:val="0"/>
              <w:marBottom w:val="0"/>
              <w:divBdr>
                <w:top w:val="none" w:sz="0" w:space="0" w:color="auto"/>
                <w:left w:val="none" w:sz="0" w:space="0" w:color="auto"/>
                <w:bottom w:val="none" w:sz="0" w:space="0" w:color="auto"/>
                <w:right w:val="none" w:sz="0" w:space="0" w:color="auto"/>
              </w:divBdr>
              <w:divsChild>
                <w:div w:id="4504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7377">
          <w:marLeft w:val="0"/>
          <w:marRight w:val="0"/>
          <w:marTop w:val="0"/>
          <w:marBottom w:val="0"/>
          <w:divBdr>
            <w:top w:val="none" w:sz="0" w:space="0" w:color="auto"/>
            <w:left w:val="none" w:sz="0" w:space="0" w:color="auto"/>
            <w:bottom w:val="none" w:sz="0" w:space="0" w:color="auto"/>
            <w:right w:val="none" w:sz="0" w:space="0" w:color="auto"/>
          </w:divBdr>
          <w:divsChild>
            <w:div w:id="833841905">
              <w:marLeft w:val="0"/>
              <w:marRight w:val="0"/>
              <w:marTop w:val="0"/>
              <w:marBottom w:val="0"/>
              <w:divBdr>
                <w:top w:val="none" w:sz="0" w:space="0" w:color="auto"/>
                <w:left w:val="none" w:sz="0" w:space="0" w:color="auto"/>
                <w:bottom w:val="none" w:sz="0" w:space="0" w:color="auto"/>
                <w:right w:val="none" w:sz="0" w:space="0" w:color="auto"/>
              </w:divBdr>
              <w:divsChild>
                <w:div w:id="5859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1409">
      <w:bodyDiv w:val="1"/>
      <w:marLeft w:val="0"/>
      <w:marRight w:val="0"/>
      <w:marTop w:val="0"/>
      <w:marBottom w:val="0"/>
      <w:divBdr>
        <w:top w:val="none" w:sz="0" w:space="0" w:color="auto"/>
        <w:left w:val="none" w:sz="0" w:space="0" w:color="auto"/>
        <w:bottom w:val="none" w:sz="0" w:space="0" w:color="auto"/>
        <w:right w:val="none" w:sz="0" w:space="0" w:color="auto"/>
      </w:divBdr>
    </w:div>
    <w:div w:id="2047752979">
      <w:bodyDiv w:val="1"/>
      <w:marLeft w:val="0"/>
      <w:marRight w:val="0"/>
      <w:marTop w:val="0"/>
      <w:marBottom w:val="0"/>
      <w:divBdr>
        <w:top w:val="none" w:sz="0" w:space="0" w:color="auto"/>
        <w:left w:val="none" w:sz="0" w:space="0" w:color="auto"/>
        <w:bottom w:val="none" w:sz="0" w:space="0" w:color="auto"/>
        <w:right w:val="none" w:sz="0" w:space="0" w:color="auto"/>
      </w:divBdr>
    </w:div>
    <w:div w:id="2065446308">
      <w:bodyDiv w:val="1"/>
      <w:marLeft w:val="0"/>
      <w:marRight w:val="0"/>
      <w:marTop w:val="0"/>
      <w:marBottom w:val="0"/>
      <w:divBdr>
        <w:top w:val="none" w:sz="0" w:space="0" w:color="auto"/>
        <w:left w:val="none" w:sz="0" w:space="0" w:color="auto"/>
        <w:bottom w:val="none" w:sz="0" w:space="0" w:color="auto"/>
        <w:right w:val="none" w:sz="0" w:space="0" w:color="auto"/>
      </w:divBdr>
    </w:div>
    <w:div w:id="2066223969">
      <w:bodyDiv w:val="1"/>
      <w:marLeft w:val="0"/>
      <w:marRight w:val="0"/>
      <w:marTop w:val="0"/>
      <w:marBottom w:val="0"/>
      <w:divBdr>
        <w:top w:val="none" w:sz="0" w:space="0" w:color="auto"/>
        <w:left w:val="none" w:sz="0" w:space="0" w:color="auto"/>
        <w:bottom w:val="none" w:sz="0" w:space="0" w:color="auto"/>
        <w:right w:val="none" w:sz="0" w:space="0" w:color="auto"/>
      </w:divBdr>
      <w:divsChild>
        <w:div w:id="1940285691">
          <w:marLeft w:val="0"/>
          <w:marRight w:val="0"/>
          <w:marTop w:val="0"/>
          <w:marBottom w:val="0"/>
          <w:divBdr>
            <w:top w:val="none" w:sz="0" w:space="0" w:color="auto"/>
            <w:left w:val="none" w:sz="0" w:space="0" w:color="auto"/>
            <w:bottom w:val="none" w:sz="0" w:space="0" w:color="auto"/>
            <w:right w:val="none" w:sz="0" w:space="0" w:color="auto"/>
          </w:divBdr>
        </w:div>
      </w:divsChild>
    </w:div>
    <w:div w:id="20747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am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fama.org" TargetMode="External"/><Relationship Id="rId1" Type="http://schemas.openxmlformats.org/officeDocument/2006/relationships/hyperlink" Target="mailto:info@efama.org"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C1405-D168-45BD-8E72-E54937CC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6351</Words>
  <Characters>34062</Characters>
  <Application>Microsoft Office Word</Application>
  <DocSecurity>0</DocSecurity>
  <Lines>283</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40333</CharactersWithSpaces>
  <SharedDoc>false</SharedDoc>
  <HLinks>
    <vt:vector size="18" baseType="variant">
      <vt:variant>
        <vt:i4>1507428</vt:i4>
      </vt:variant>
      <vt:variant>
        <vt:i4>0</vt:i4>
      </vt:variant>
      <vt:variant>
        <vt:i4>0</vt:i4>
      </vt:variant>
      <vt:variant>
        <vt:i4>5</vt:i4>
      </vt:variant>
      <vt:variant>
        <vt:lpwstr>http://www.efama.org/Publications/Public/UCITS/12-4043_EFAMA reply ESMA consultation on the treatment of repo and reverse repo agreements.pdf</vt:lpwstr>
      </vt:variant>
      <vt:variant>
        <vt:lpwstr/>
      </vt:variant>
      <vt:variant>
        <vt:i4>4587527</vt:i4>
      </vt:variant>
      <vt:variant>
        <vt:i4>11</vt:i4>
      </vt:variant>
      <vt:variant>
        <vt:i4>0</vt:i4>
      </vt:variant>
      <vt:variant>
        <vt:i4>5</vt:i4>
      </vt:variant>
      <vt:variant>
        <vt:lpwstr>http://www.efama.org/</vt:lpwstr>
      </vt:variant>
      <vt:variant>
        <vt:lpwstr/>
      </vt:variant>
      <vt:variant>
        <vt:i4>7995457</vt:i4>
      </vt:variant>
      <vt:variant>
        <vt:i4>8</vt:i4>
      </vt:variant>
      <vt:variant>
        <vt:i4>0</vt:i4>
      </vt:variant>
      <vt:variant>
        <vt:i4>5</vt:i4>
      </vt:variant>
      <vt:variant>
        <vt:lpwstr>mailto:info@efama.org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2014-07-14T12:40:00Z</dcterms:created>
  <dcterms:modified xsi:type="dcterms:W3CDTF">2014-07-14T13:03:00Z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