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D61" w:rsidRPr="00425D61" w:rsidRDefault="00425D61" w:rsidP="00425D61">
      <w:pPr>
        <w:autoSpaceDE w:val="0"/>
        <w:autoSpaceDN w:val="0"/>
        <w:adjustRightInd w:val="0"/>
        <w:spacing w:after="0" w:line="240" w:lineRule="auto"/>
        <w:rPr>
          <w:rFonts w:ascii="Calibri" w:hAnsi="Calibri" w:cs="Calibri"/>
          <w:color w:val="000000"/>
          <w:sz w:val="24"/>
          <w:szCs w:val="24"/>
        </w:rPr>
      </w:pPr>
    </w:p>
    <w:p w:rsidR="00425D61" w:rsidRPr="00425D61" w:rsidRDefault="00425D61" w:rsidP="00425D61">
      <w:pPr>
        <w:spacing w:after="0" w:line="240" w:lineRule="auto"/>
        <w:jc w:val="center"/>
        <w:rPr>
          <w:rFonts w:ascii="Calibri" w:hAnsi="Calibri"/>
          <w:b/>
          <w:u w:val="single"/>
          <w:lang w:val="en-US"/>
        </w:rPr>
      </w:pPr>
      <w:r w:rsidRPr="00425D61">
        <w:rPr>
          <w:rFonts w:ascii="Calibri" w:hAnsi="Calibri" w:cs="Calibri"/>
          <w:b/>
          <w:bCs/>
          <w:color w:val="000000"/>
          <w:sz w:val="32"/>
          <w:szCs w:val="32"/>
          <w:u w:val="single"/>
          <w:lang w:val="en-US"/>
        </w:rPr>
        <w:t>French Banking Federation response to 3 EBA consultation papers relative to liquid assets</w:t>
      </w:r>
    </w:p>
    <w:p w:rsidR="00425D61" w:rsidRDefault="00425D61" w:rsidP="00402882">
      <w:pPr>
        <w:tabs>
          <w:tab w:val="left" w:pos="709"/>
        </w:tabs>
        <w:spacing w:after="0" w:line="240" w:lineRule="auto"/>
        <w:jc w:val="both"/>
        <w:rPr>
          <w:rFonts w:ascii="Calibri" w:hAnsi="Calibri"/>
          <w:b/>
          <w:u w:val="single"/>
          <w:lang w:val="en-GB"/>
        </w:rPr>
      </w:pPr>
    </w:p>
    <w:p w:rsidR="001078FA" w:rsidRDefault="001078FA" w:rsidP="003D3E24">
      <w:pPr>
        <w:spacing w:after="0" w:line="240" w:lineRule="auto"/>
        <w:jc w:val="both"/>
        <w:rPr>
          <w:rFonts w:ascii="Calibri" w:hAnsi="Calibri"/>
          <w:b/>
          <w:u w:val="single"/>
          <w:lang w:val="en-GB"/>
        </w:rPr>
      </w:pPr>
    </w:p>
    <w:p w:rsidR="00867897" w:rsidRPr="001F31E1" w:rsidRDefault="001078FA" w:rsidP="003D3E24">
      <w:pPr>
        <w:spacing w:after="0" w:line="240" w:lineRule="auto"/>
        <w:jc w:val="both"/>
        <w:rPr>
          <w:rFonts w:ascii="Calibri" w:hAnsi="Calibri"/>
          <w:b/>
          <w:lang w:val="en-GB"/>
        </w:rPr>
      </w:pPr>
      <w:r w:rsidRPr="001F31E1">
        <w:rPr>
          <w:rFonts w:ascii="Calibri" w:hAnsi="Calibri"/>
          <w:b/>
          <w:lang w:val="en-GB"/>
        </w:rPr>
        <w:t>These consultation papers relate to:</w:t>
      </w:r>
    </w:p>
    <w:p w:rsidR="001B699E" w:rsidRPr="00130CD0" w:rsidRDefault="001B699E" w:rsidP="003D3E24">
      <w:pPr>
        <w:pStyle w:val="Paragraphedeliste"/>
        <w:numPr>
          <w:ilvl w:val="0"/>
          <w:numId w:val="2"/>
        </w:numPr>
        <w:spacing w:before="120" w:after="0" w:line="240" w:lineRule="auto"/>
        <w:jc w:val="both"/>
        <w:rPr>
          <w:rFonts w:ascii="Calibri" w:hAnsi="Calibri"/>
          <w:color w:val="000000"/>
          <w:lang w:val="en-GB"/>
        </w:rPr>
      </w:pPr>
      <w:r w:rsidRPr="00130CD0">
        <w:rPr>
          <w:rFonts w:ascii="Calibri" w:hAnsi="Calibri"/>
          <w:color w:val="000000"/>
          <w:lang w:val="en-GB"/>
        </w:rPr>
        <w:t>Currencies with an extremely narrow definition of central bank eligibility</w:t>
      </w:r>
      <w:r w:rsidR="009F0690">
        <w:rPr>
          <w:rFonts w:ascii="Calibri" w:hAnsi="Calibri"/>
          <w:color w:val="000000"/>
          <w:lang w:val="en-GB"/>
        </w:rPr>
        <w:t xml:space="preserve"> under Article 416(5) of CRR</w:t>
      </w:r>
      <w:r w:rsidRPr="00130CD0">
        <w:rPr>
          <w:rFonts w:ascii="Calibri" w:hAnsi="Calibri"/>
          <w:color w:val="000000"/>
          <w:lang w:val="en-GB"/>
        </w:rPr>
        <w:t xml:space="preserve"> (EBA/CP/2013/37)</w:t>
      </w:r>
      <w:r w:rsidR="009F0690">
        <w:rPr>
          <w:rFonts w:ascii="Calibri" w:hAnsi="Calibri"/>
          <w:color w:val="000000"/>
          <w:lang w:val="en-GB"/>
        </w:rPr>
        <w:t xml:space="preserve"> ;</w:t>
      </w:r>
    </w:p>
    <w:p w:rsidR="001B699E" w:rsidRPr="00130CD0" w:rsidRDefault="001B699E" w:rsidP="003D3E24">
      <w:pPr>
        <w:pStyle w:val="Paragraphedeliste"/>
        <w:numPr>
          <w:ilvl w:val="0"/>
          <w:numId w:val="2"/>
        </w:numPr>
        <w:spacing w:before="120" w:after="0" w:line="240" w:lineRule="auto"/>
        <w:jc w:val="both"/>
        <w:rPr>
          <w:rFonts w:ascii="Calibri" w:hAnsi="Calibri"/>
          <w:color w:val="000000"/>
          <w:lang w:val="en-GB"/>
        </w:rPr>
      </w:pPr>
      <w:r w:rsidRPr="00130CD0">
        <w:rPr>
          <w:rFonts w:ascii="Calibri" w:hAnsi="Calibri"/>
          <w:color w:val="000000"/>
          <w:lang w:val="en-GB"/>
        </w:rPr>
        <w:t xml:space="preserve">Currencies for which the justified demand for liquid assets exceeds the availability of those assets under Article 419(4) </w:t>
      </w:r>
      <w:r w:rsidR="009F0690">
        <w:rPr>
          <w:rFonts w:ascii="Calibri" w:hAnsi="Calibri"/>
          <w:color w:val="000000"/>
          <w:lang w:val="en-GB"/>
        </w:rPr>
        <w:t>of CRR</w:t>
      </w:r>
      <w:r w:rsidR="001078FA">
        <w:rPr>
          <w:rFonts w:ascii="Calibri" w:hAnsi="Calibri"/>
          <w:color w:val="000000"/>
          <w:lang w:val="en-GB"/>
        </w:rPr>
        <w:t xml:space="preserve"> (EBA/CP/2013/38)</w:t>
      </w:r>
      <w:r w:rsidR="009F0690">
        <w:rPr>
          <w:rFonts w:ascii="Calibri" w:hAnsi="Calibri"/>
          <w:color w:val="000000"/>
          <w:lang w:val="en-GB"/>
        </w:rPr>
        <w:t xml:space="preserve"> ;</w:t>
      </w:r>
    </w:p>
    <w:p w:rsidR="001B699E" w:rsidRPr="00130CD0" w:rsidRDefault="001B699E" w:rsidP="003D3E24">
      <w:pPr>
        <w:pStyle w:val="Paragraphedeliste"/>
        <w:numPr>
          <w:ilvl w:val="0"/>
          <w:numId w:val="2"/>
        </w:numPr>
        <w:spacing w:before="120" w:after="0" w:line="240" w:lineRule="auto"/>
        <w:jc w:val="both"/>
        <w:rPr>
          <w:rFonts w:ascii="Calibri" w:hAnsi="Calibri"/>
          <w:color w:val="000000"/>
          <w:lang w:val="en-GB"/>
        </w:rPr>
      </w:pPr>
      <w:r w:rsidRPr="00130CD0">
        <w:rPr>
          <w:rFonts w:ascii="Calibri" w:hAnsi="Calibri"/>
          <w:color w:val="000000"/>
          <w:lang w:val="en-GB"/>
        </w:rPr>
        <w:t xml:space="preserve">Derogations for currencies with constraints on the availability of liquid assets </w:t>
      </w:r>
      <w:r w:rsidR="009F0690">
        <w:rPr>
          <w:rFonts w:ascii="Calibri" w:hAnsi="Calibri"/>
          <w:color w:val="000000"/>
          <w:lang w:val="en-GB"/>
        </w:rPr>
        <w:t>under Article 419(5) of CRR (</w:t>
      </w:r>
      <w:r w:rsidRPr="00130CD0">
        <w:rPr>
          <w:rFonts w:ascii="Calibri" w:hAnsi="Calibri"/>
          <w:color w:val="000000"/>
          <w:lang w:val="en-GB"/>
        </w:rPr>
        <w:t>EBA/CP/2013/39)</w:t>
      </w:r>
      <w:r w:rsidR="009F0690">
        <w:rPr>
          <w:rFonts w:ascii="Calibri" w:hAnsi="Calibri"/>
          <w:color w:val="000000"/>
          <w:lang w:val="en-GB"/>
        </w:rPr>
        <w:t>.</w:t>
      </w:r>
    </w:p>
    <w:p w:rsidR="001F31E1" w:rsidRPr="001F31E1" w:rsidRDefault="001F31E1" w:rsidP="001F31E1">
      <w:pPr>
        <w:jc w:val="both"/>
        <w:rPr>
          <w:lang w:val="en-US"/>
        </w:rPr>
      </w:pPr>
    </w:p>
    <w:p w:rsidR="001B699E" w:rsidRPr="001F31E1" w:rsidRDefault="001B699E" w:rsidP="003D3E24">
      <w:pPr>
        <w:spacing w:after="0" w:line="240" w:lineRule="auto"/>
        <w:jc w:val="both"/>
        <w:rPr>
          <w:rFonts w:ascii="Calibri" w:hAnsi="Calibri"/>
          <w:b/>
          <w:lang w:val="en-GB"/>
        </w:rPr>
      </w:pPr>
      <w:r w:rsidRPr="001F31E1">
        <w:rPr>
          <w:rFonts w:ascii="Calibri" w:hAnsi="Calibri"/>
          <w:b/>
          <w:lang w:val="en-GB"/>
        </w:rPr>
        <w:t>General comments</w:t>
      </w:r>
    </w:p>
    <w:p w:rsidR="00865589" w:rsidRDefault="00865589" w:rsidP="00865589">
      <w:pPr>
        <w:spacing w:after="60"/>
        <w:jc w:val="both"/>
        <w:rPr>
          <w:u w:val="single"/>
          <w:lang w:val="en-US"/>
        </w:rPr>
      </w:pPr>
    </w:p>
    <w:p w:rsidR="00F135BF" w:rsidRDefault="00F135BF" w:rsidP="00865589">
      <w:pPr>
        <w:spacing w:after="60"/>
        <w:jc w:val="both"/>
        <w:rPr>
          <w:lang w:val="en-US"/>
        </w:rPr>
      </w:pPr>
      <w:r>
        <w:rPr>
          <w:lang w:val="en-US"/>
        </w:rPr>
        <w:t>We have concerns on the CP39 “derogations for currencies with constraints on the availability of liquid assets”:</w:t>
      </w:r>
    </w:p>
    <w:p w:rsidR="00F135BF" w:rsidRDefault="00F135BF" w:rsidP="00F135BF">
      <w:pPr>
        <w:pStyle w:val="Paragraphedeliste"/>
        <w:numPr>
          <w:ilvl w:val="0"/>
          <w:numId w:val="4"/>
        </w:numPr>
        <w:spacing w:after="60"/>
        <w:jc w:val="both"/>
        <w:rPr>
          <w:lang w:val="en-US"/>
        </w:rPr>
      </w:pPr>
      <w:r>
        <w:rPr>
          <w:lang w:val="en-US"/>
        </w:rPr>
        <w:t xml:space="preserve">The identification of these currencies is based on the Basel definition of the liquid assets (HQLA level1, level 2a and 2b) </w:t>
      </w:r>
      <w:r w:rsidR="005A1815">
        <w:rPr>
          <w:lang w:val="en-US"/>
        </w:rPr>
        <w:t xml:space="preserve">until </w:t>
      </w:r>
      <w:r w:rsidRPr="005A1815">
        <w:rPr>
          <w:lang w:val="en-US"/>
        </w:rPr>
        <w:t>an established definition in the context of CRR.</w:t>
      </w:r>
      <w:r>
        <w:rPr>
          <w:lang w:val="en-US"/>
        </w:rPr>
        <w:t xml:space="preserve"> As a matter of fact, we see the EBA analysis as a useful preliminary study. However we consider that the shortage percentage resulting from this preliminary analysis should not be used at this stage to constraint the use of waivers by the institutions ;</w:t>
      </w:r>
    </w:p>
    <w:p w:rsidR="005F4908" w:rsidRPr="005F4908" w:rsidRDefault="00F135BF" w:rsidP="00F135BF">
      <w:pPr>
        <w:pStyle w:val="Paragraphedeliste"/>
        <w:numPr>
          <w:ilvl w:val="0"/>
          <w:numId w:val="4"/>
        </w:numPr>
        <w:spacing w:after="60"/>
        <w:jc w:val="both"/>
        <w:rPr>
          <w:lang w:val="en-US"/>
        </w:rPr>
      </w:pPr>
      <w:r>
        <w:rPr>
          <w:lang w:val="en-US"/>
        </w:rPr>
        <w:t xml:space="preserve">Regarding the conditions of the application of waivers, we fully </w:t>
      </w:r>
      <w:r w:rsidRPr="006D7F0C">
        <w:rPr>
          <w:lang w:val="en-GB"/>
        </w:rPr>
        <w:t xml:space="preserve">agree that the use of </w:t>
      </w:r>
      <w:r>
        <w:rPr>
          <w:lang w:val="en-GB"/>
        </w:rPr>
        <w:t>waiver</w:t>
      </w:r>
      <w:r w:rsidRPr="006D7F0C">
        <w:rPr>
          <w:lang w:val="en-GB"/>
        </w:rPr>
        <w:t xml:space="preserve"> should not be advantageous</w:t>
      </w:r>
      <w:r>
        <w:rPr>
          <w:lang w:val="en-GB"/>
        </w:rPr>
        <w:t xml:space="preserve"> for the banks that resort to it.</w:t>
      </w:r>
      <w:r w:rsidRPr="006D7F0C">
        <w:rPr>
          <w:lang w:val="en-GB"/>
        </w:rPr>
        <w:t xml:space="preserve"> </w:t>
      </w:r>
      <w:r>
        <w:rPr>
          <w:lang w:val="en-GB"/>
        </w:rPr>
        <w:t>H</w:t>
      </w:r>
      <w:r w:rsidRPr="006D7F0C">
        <w:rPr>
          <w:lang w:val="en-GB"/>
        </w:rPr>
        <w:t xml:space="preserve">owever we are concerned that the </w:t>
      </w:r>
      <w:r w:rsidRPr="00F135BF">
        <w:rPr>
          <w:b/>
          <w:lang w:val="en-GB"/>
        </w:rPr>
        <w:t>EBA specifies the price conditions of Central Bank facilities to banks</w:t>
      </w:r>
      <w:r w:rsidRPr="006D7F0C">
        <w:rPr>
          <w:lang w:val="en-GB"/>
        </w:rPr>
        <w:t>, as well as the haircuts to be applied by the Central Bank to the collateral. This seems beyond its mandate.</w:t>
      </w:r>
    </w:p>
    <w:p w:rsidR="005F4908" w:rsidRPr="005F4908" w:rsidRDefault="005F4908" w:rsidP="005F4908">
      <w:pPr>
        <w:pStyle w:val="Paragraphedeliste"/>
        <w:spacing w:after="60"/>
        <w:jc w:val="both"/>
        <w:rPr>
          <w:lang w:val="en-US"/>
        </w:rPr>
      </w:pPr>
    </w:p>
    <w:p w:rsidR="005F4908" w:rsidRDefault="00F135BF" w:rsidP="005E501B">
      <w:pPr>
        <w:pStyle w:val="Paragraphedeliste"/>
        <w:spacing w:after="60"/>
        <w:jc w:val="both"/>
        <w:rPr>
          <w:lang w:val="en-GB"/>
        </w:rPr>
      </w:pPr>
      <w:r w:rsidRPr="006D7F0C">
        <w:rPr>
          <w:lang w:val="en-GB"/>
        </w:rPr>
        <w:t xml:space="preserve">These credit facilities will be part of the tools available for the Central Bank to </w:t>
      </w:r>
      <w:r>
        <w:rPr>
          <w:lang w:val="en-GB"/>
        </w:rPr>
        <w:t>implement</w:t>
      </w:r>
      <w:r w:rsidRPr="006D7F0C">
        <w:rPr>
          <w:lang w:val="en-GB"/>
        </w:rPr>
        <w:t xml:space="preserve"> the monetary policy; hence the pricing conditions should remain its prerogative. If the EBA retains a pricing formula of these credit lines in its final RTS, we draw its attention on the fact that the resulting </w:t>
      </w:r>
      <w:r w:rsidR="008B2611">
        <w:rPr>
          <w:lang w:val="en-GB"/>
        </w:rPr>
        <w:t xml:space="preserve">commitment </w:t>
      </w:r>
      <w:r w:rsidRPr="006D7F0C">
        <w:rPr>
          <w:lang w:val="en-GB"/>
        </w:rPr>
        <w:t>fee should not be too high, or</w:t>
      </w:r>
      <w:r w:rsidR="005F4908">
        <w:rPr>
          <w:lang w:val="en-GB"/>
        </w:rPr>
        <w:t xml:space="preserve"> else</w:t>
      </w:r>
      <w:r w:rsidRPr="006D7F0C">
        <w:rPr>
          <w:lang w:val="en-GB"/>
        </w:rPr>
        <w:t xml:space="preserve"> the banks will not resort to these facilities, favouring an arbitrage between the fee of these credit lines and the cost of term borrowings from the Central Bank placed on an overnight basis at the Central Bank</w:t>
      </w:r>
      <w:r w:rsidR="005E501B">
        <w:rPr>
          <w:lang w:val="en-GB"/>
        </w:rPr>
        <w:t>.</w:t>
      </w:r>
    </w:p>
    <w:p w:rsidR="005E501B" w:rsidRDefault="005E501B" w:rsidP="005E501B">
      <w:pPr>
        <w:pStyle w:val="Paragraphedeliste"/>
        <w:spacing w:after="60"/>
        <w:jc w:val="both"/>
        <w:rPr>
          <w:u w:val="single"/>
          <w:lang w:val="en-US"/>
        </w:rPr>
      </w:pPr>
    </w:p>
    <w:p w:rsidR="003D3E24" w:rsidRPr="005F4908" w:rsidRDefault="005F4908" w:rsidP="005F4908">
      <w:pPr>
        <w:jc w:val="both"/>
        <w:rPr>
          <w:lang w:val="en-US"/>
        </w:rPr>
      </w:pPr>
      <w:r>
        <w:rPr>
          <w:lang w:val="en-US"/>
        </w:rPr>
        <w:t>R</w:t>
      </w:r>
      <w:r w:rsidRPr="005F4908">
        <w:rPr>
          <w:lang w:val="en-US"/>
        </w:rPr>
        <w:t>egarding the s</w:t>
      </w:r>
      <w:r w:rsidR="003D3E24" w:rsidRPr="005F4908">
        <w:rPr>
          <w:lang w:val="en-US"/>
        </w:rPr>
        <w:t xml:space="preserve">cope of </w:t>
      </w:r>
      <w:r w:rsidRPr="005F4908">
        <w:rPr>
          <w:lang w:val="en-US"/>
        </w:rPr>
        <w:t>analysis</w:t>
      </w:r>
      <w:r>
        <w:rPr>
          <w:lang w:val="en-US"/>
        </w:rPr>
        <w:t>:</w:t>
      </w:r>
    </w:p>
    <w:p w:rsidR="00135BC5" w:rsidRPr="00402882" w:rsidRDefault="003A42A8" w:rsidP="00402882">
      <w:pPr>
        <w:pStyle w:val="Paragraphedeliste"/>
        <w:numPr>
          <w:ilvl w:val="0"/>
          <w:numId w:val="5"/>
        </w:numPr>
        <w:jc w:val="both"/>
        <w:rPr>
          <w:lang w:val="en-US"/>
        </w:rPr>
      </w:pPr>
      <w:r w:rsidRPr="00402882">
        <w:rPr>
          <w:lang w:val="en-US"/>
        </w:rPr>
        <w:t>The decision to rely on local jurisdictions to eval</w:t>
      </w:r>
      <w:r w:rsidR="005F4908" w:rsidRPr="00402882">
        <w:rPr>
          <w:lang w:val="en-US"/>
        </w:rPr>
        <w:t>uate the currencies outside EEA</w:t>
      </w:r>
      <w:r w:rsidRPr="00402882">
        <w:rPr>
          <w:lang w:val="en-US"/>
        </w:rPr>
        <w:t xml:space="preserve"> makes sense. However it should be noted that it introduces uncertainties for European banks since CRR-LCR will </w:t>
      </w:r>
      <w:r w:rsidR="001F6EAA" w:rsidRPr="00402882">
        <w:rPr>
          <w:lang w:val="en-US"/>
        </w:rPr>
        <w:t>be binding</w:t>
      </w:r>
      <w:r w:rsidRPr="00402882">
        <w:rPr>
          <w:lang w:val="en-US"/>
        </w:rPr>
        <w:t xml:space="preserve"> befo</w:t>
      </w:r>
      <w:r w:rsidR="00402882">
        <w:rPr>
          <w:lang w:val="en-US"/>
        </w:rPr>
        <w:t>re those analyses are completed;</w:t>
      </w:r>
    </w:p>
    <w:p w:rsidR="003D3E24" w:rsidRPr="005E501B" w:rsidRDefault="00402882" w:rsidP="00402882">
      <w:pPr>
        <w:pStyle w:val="Paragraphedeliste"/>
        <w:numPr>
          <w:ilvl w:val="0"/>
          <w:numId w:val="5"/>
        </w:numPr>
        <w:jc w:val="both"/>
        <w:rPr>
          <w:lang w:val="en-US"/>
        </w:rPr>
      </w:pPr>
      <w:r>
        <w:rPr>
          <w:lang w:val="en-US"/>
        </w:rPr>
        <w:t xml:space="preserve">The </w:t>
      </w:r>
      <w:r w:rsidR="003D3E24" w:rsidRPr="00402882">
        <w:rPr>
          <w:lang w:val="en-US"/>
        </w:rPr>
        <w:t>currencies for which the justified demand for liquid asse</w:t>
      </w:r>
      <w:r w:rsidR="00865589" w:rsidRPr="00402882">
        <w:rPr>
          <w:lang w:val="en-US"/>
        </w:rPr>
        <w:t>t</w:t>
      </w:r>
      <w:r w:rsidR="003D3E24" w:rsidRPr="00402882">
        <w:rPr>
          <w:lang w:val="en-US"/>
        </w:rPr>
        <w:t>s exceeds the availability of those assets</w:t>
      </w:r>
      <w:r w:rsidR="008B2611">
        <w:rPr>
          <w:lang w:val="en-US"/>
        </w:rPr>
        <w:t>:</w:t>
      </w:r>
      <w:r w:rsidR="008B2611" w:rsidRPr="00402882">
        <w:rPr>
          <w:lang w:val="en-US"/>
        </w:rPr>
        <w:t xml:space="preserve"> </w:t>
      </w:r>
      <w:r w:rsidR="003D3E24" w:rsidRPr="00402882">
        <w:rPr>
          <w:lang w:val="en-US"/>
        </w:rPr>
        <w:t xml:space="preserve">we regret that the </w:t>
      </w:r>
      <w:r w:rsidR="00865589" w:rsidRPr="00402882">
        <w:rPr>
          <w:lang w:val="en-US"/>
        </w:rPr>
        <w:t xml:space="preserve">analysis has not been conducted on </w:t>
      </w:r>
      <w:r w:rsidR="008B2611">
        <w:rPr>
          <w:lang w:val="en-US"/>
        </w:rPr>
        <w:t>other</w:t>
      </w:r>
      <w:r w:rsidR="008B2611" w:rsidRPr="00402882">
        <w:rPr>
          <w:lang w:val="en-US"/>
        </w:rPr>
        <w:t xml:space="preserve"> </w:t>
      </w:r>
      <w:r w:rsidR="00865589" w:rsidRPr="00402882">
        <w:rPr>
          <w:lang w:val="en-US"/>
        </w:rPr>
        <w:t xml:space="preserve">currencies </w:t>
      </w:r>
      <w:r w:rsidR="001F6EAA" w:rsidRPr="00402882">
        <w:rPr>
          <w:lang w:val="en-US"/>
        </w:rPr>
        <w:t xml:space="preserve">because </w:t>
      </w:r>
      <w:r w:rsidR="00865589" w:rsidRPr="00402882">
        <w:rPr>
          <w:lang w:val="en-US"/>
        </w:rPr>
        <w:t xml:space="preserve">data to complete the analysis </w:t>
      </w:r>
      <w:r w:rsidR="00B05692" w:rsidRPr="00402882">
        <w:rPr>
          <w:lang w:val="en-US"/>
        </w:rPr>
        <w:t>could</w:t>
      </w:r>
      <w:r w:rsidR="00865589" w:rsidRPr="00402882">
        <w:rPr>
          <w:lang w:val="en-US"/>
        </w:rPr>
        <w:t xml:space="preserve"> not be</w:t>
      </w:r>
      <w:r w:rsidR="00B05692" w:rsidRPr="00402882">
        <w:rPr>
          <w:lang w:val="en-US"/>
        </w:rPr>
        <w:t xml:space="preserve"> obtained by the EBA. </w:t>
      </w:r>
      <w:r w:rsidR="00B05692" w:rsidRPr="00402882">
        <w:rPr>
          <w:b/>
          <w:lang w:val="en-US"/>
        </w:rPr>
        <w:t>Notably we are particularly concerned by the absence of analysis on the EUR currency.</w:t>
      </w:r>
    </w:p>
    <w:p w:rsidR="005E501B" w:rsidRPr="00402882" w:rsidRDefault="005E501B" w:rsidP="005E501B">
      <w:pPr>
        <w:pStyle w:val="Paragraphedeliste"/>
        <w:jc w:val="both"/>
        <w:rPr>
          <w:lang w:val="en-US"/>
        </w:rPr>
      </w:pPr>
    </w:p>
    <w:p w:rsidR="005E501B" w:rsidRPr="004B370C" w:rsidRDefault="005E501B" w:rsidP="005E501B">
      <w:pPr>
        <w:spacing w:after="0" w:line="240" w:lineRule="auto"/>
        <w:jc w:val="both"/>
        <w:rPr>
          <w:rFonts w:ascii="Calibri" w:hAnsi="Calibri"/>
          <w:b/>
          <w:u w:val="single"/>
          <w:lang w:val="en-GB"/>
        </w:rPr>
      </w:pPr>
      <w:r>
        <w:rPr>
          <w:rFonts w:ascii="Calibri" w:hAnsi="Calibri"/>
          <w:b/>
          <w:u w:val="single"/>
          <w:lang w:val="en-GB"/>
        </w:rPr>
        <w:lastRenderedPageBreak/>
        <w:t xml:space="preserve">Annex 1: Specific answer to questions </w:t>
      </w:r>
      <w:proofErr w:type="gramStart"/>
      <w:r>
        <w:rPr>
          <w:rFonts w:ascii="Calibri" w:hAnsi="Calibri"/>
          <w:b/>
          <w:u w:val="single"/>
          <w:lang w:val="en-GB"/>
        </w:rPr>
        <w:t>raised</w:t>
      </w:r>
      <w:proofErr w:type="gramEnd"/>
      <w:r>
        <w:rPr>
          <w:rFonts w:ascii="Calibri" w:hAnsi="Calibri"/>
          <w:b/>
          <w:u w:val="single"/>
          <w:lang w:val="en-GB"/>
        </w:rPr>
        <w:t xml:space="preserve"> in </w:t>
      </w:r>
      <w:r w:rsidR="00DB1B6E">
        <w:rPr>
          <w:rFonts w:ascii="Calibri" w:hAnsi="Calibri"/>
          <w:b/>
          <w:u w:val="single"/>
          <w:lang w:val="en-GB"/>
        </w:rPr>
        <w:t>EBA/CP/2013/37</w:t>
      </w:r>
      <w:r w:rsidRPr="00250FDB">
        <w:rPr>
          <w:rFonts w:ascii="Calibri" w:hAnsi="Calibri"/>
          <w:b/>
          <w:u w:val="single"/>
          <w:lang w:val="en-GB"/>
        </w:rPr>
        <w:t>:</w:t>
      </w:r>
    </w:p>
    <w:p w:rsidR="001B699E" w:rsidRPr="004B370C" w:rsidRDefault="001B699E" w:rsidP="003D3E24">
      <w:pPr>
        <w:spacing w:after="0" w:line="240" w:lineRule="auto"/>
        <w:jc w:val="both"/>
        <w:rPr>
          <w:rFonts w:ascii="Calibri" w:hAnsi="Calibri"/>
          <w:color w:val="4A6B3C"/>
          <w:lang w:val="en-GB"/>
        </w:rPr>
      </w:pPr>
    </w:p>
    <w:p w:rsidR="001B699E" w:rsidRPr="005E501B" w:rsidRDefault="001B699E" w:rsidP="003D3E24">
      <w:pPr>
        <w:spacing w:after="0" w:line="240" w:lineRule="auto"/>
        <w:jc w:val="both"/>
        <w:rPr>
          <w:rFonts w:ascii="Calibri" w:hAnsi="Calibri"/>
          <w:b/>
          <w:lang w:val="en-GB"/>
        </w:rPr>
      </w:pPr>
      <w:r w:rsidRPr="005E501B">
        <w:rPr>
          <w:rFonts w:ascii="Calibri" w:hAnsi="Calibri"/>
          <w:b/>
          <w:lang w:val="en-GB"/>
        </w:rPr>
        <w:t>Q1: Do you agree with the general approach and its results?</w:t>
      </w:r>
    </w:p>
    <w:p w:rsidR="001B699E" w:rsidRPr="004B370C" w:rsidRDefault="001B699E" w:rsidP="003D3E24">
      <w:pPr>
        <w:spacing w:after="0" w:line="240" w:lineRule="auto"/>
        <w:jc w:val="both"/>
        <w:rPr>
          <w:rFonts w:ascii="Calibri" w:hAnsi="Calibri"/>
          <w:lang w:val="en-GB"/>
        </w:rPr>
      </w:pPr>
    </w:p>
    <w:p w:rsidR="001B699E" w:rsidRPr="004B370C" w:rsidRDefault="001B699E" w:rsidP="003D3E24">
      <w:pPr>
        <w:spacing w:after="0" w:line="240" w:lineRule="auto"/>
        <w:jc w:val="both"/>
        <w:rPr>
          <w:rFonts w:ascii="Calibri" w:hAnsi="Calibri"/>
          <w:lang w:val="en-GB"/>
        </w:rPr>
      </w:pPr>
      <w:r w:rsidRPr="004B370C">
        <w:rPr>
          <w:rFonts w:ascii="Calibri" w:hAnsi="Calibri"/>
          <w:lang w:val="en-GB"/>
        </w:rPr>
        <w:t xml:space="preserve">Yes, </w:t>
      </w:r>
      <w:r>
        <w:rPr>
          <w:rFonts w:ascii="Calibri" w:hAnsi="Calibri"/>
          <w:lang w:val="en-GB"/>
        </w:rPr>
        <w:t>we agree.</w:t>
      </w:r>
    </w:p>
    <w:p w:rsidR="001B699E" w:rsidRPr="004B370C" w:rsidRDefault="001B699E" w:rsidP="003D3E24">
      <w:pPr>
        <w:spacing w:after="0" w:line="240" w:lineRule="auto"/>
        <w:jc w:val="both"/>
        <w:rPr>
          <w:rFonts w:ascii="Calibri" w:hAnsi="Calibri"/>
          <w:lang w:val="en-GB"/>
        </w:rPr>
      </w:pPr>
    </w:p>
    <w:p w:rsidR="001B699E" w:rsidRPr="005E501B" w:rsidRDefault="001B699E" w:rsidP="003D3E24">
      <w:pPr>
        <w:spacing w:after="0" w:line="240" w:lineRule="auto"/>
        <w:jc w:val="both"/>
        <w:rPr>
          <w:rFonts w:ascii="Calibri" w:hAnsi="Calibri"/>
          <w:b/>
          <w:lang w:val="en-GB"/>
        </w:rPr>
      </w:pPr>
      <w:r w:rsidRPr="005E501B">
        <w:rPr>
          <w:rFonts w:ascii="Calibri" w:hAnsi="Calibri"/>
          <w:b/>
          <w:lang w:val="en-GB"/>
        </w:rPr>
        <w:t>Q2: Do you agree with the above analysis of the cost and benefit impact of the proposals?</w:t>
      </w:r>
    </w:p>
    <w:p w:rsidR="001B699E" w:rsidRPr="004B370C" w:rsidRDefault="001B699E" w:rsidP="003D3E24">
      <w:pPr>
        <w:spacing w:after="0" w:line="240" w:lineRule="auto"/>
        <w:jc w:val="both"/>
        <w:rPr>
          <w:rFonts w:ascii="Calibri" w:hAnsi="Calibri"/>
          <w:b/>
          <w:bCs/>
          <w:lang w:val="en-GB"/>
        </w:rPr>
      </w:pPr>
    </w:p>
    <w:p w:rsidR="001B699E" w:rsidRDefault="001B699E" w:rsidP="003D3E24">
      <w:pPr>
        <w:pStyle w:val="Default"/>
        <w:jc w:val="both"/>
        <w:rPr>
          <w:rFonts w:ascii="Calibri" w:eastAsia="Calibri" w:hAnsi="Calibri" w:cs="Times New Roman"/>
          <w:color w:val="auto"/>
          <w:sz w:val="22"/>
          <w:szCs w:val="22"/>
          <w:lang w:val="en-GB"/>
        </w:rPr>
      </w:pPr>
      <w:r>
        <w:rPr>
          <w:rFonts w:ascii="Calibri" w:eastAsia="Calibri" w:hAnsi="Calibri" w:cs="Times New Roman"/>
          <w:color w:val="auto"/>
          <w:sz w:val="22"/>
          <w:szCs w:val="22"/>
          <w:lang w:val="en-GB"/>
        </w:rPr>
        <w:t>Yes, we agree.</w:t>
      </w:r>
    </w:p>
    <w:p w:rsidR="005E501B" w:rsidRDefault="005E501B" w:rsidP="003D3E24">
      <w:pPr>
        <w:pStyle w:val="Default"/>
        <w:jc w:val="both"/>
        <w:rPr>
          <w:rFonts w:ascii="Calibri" w:eastAsia="Calibri" w:hAnsi="Calibri" w:cs="Times New Roman"/>
          <w:color w:val="auto"/>
          <w:sz w:val="22"/>
          <w:szCs w:val="22"/>
          <w:lang w:val="en-GB"/>
        </w:rPr>
      </w:pPr>
    </w:p>
    <w:p w:rsidR="005E501B" w:rsidRDefault="005E501B" w:rsidP="003D3E24">
      <w:pPr>
        <w:pStyle w:val="Default"/>
        <w:jc w:val="both"/>
        <w:rPr>
          <w:rFonts w:ascii="Calibri" w:eastAsia="Calibri" w:hAnsi="Calibri" w:cs="Times New Roman"/>
          <w:color w:val="auto"/>
          <w:sz w:val="22"/>
          <w:szCs w:val="22"/>
          <w:lang w:val="en-GB"/>
        </w:rPr>
      </w:pPr>
    </w:p>
    <w:p w:rsidR="005E501B" w:rsidRDefault="005E501B" w:rsidP="003D3E24">
      <w:pPr>
        <w:pStyle w:val="Default"/>
        <w:jc w:val="both"/>
        <w:rPr>
          <w:rFonts w:ascii="Calibri" w:eastAsia="Calibri" w:hAnsi="Calibri" w:cs="Times New Roman"/>
          <w:color w:val="auto"/>
          <w:sz w:val="22"/>
          <w:szCs w:val="22"/>
          <w:lang w:val="en-GB"/>
        </w:rPr>
      </w:pPr>
    </w:p>
    <w:p w:rsidR="005E501B" w:rsidRDefault="005E501B" w:rsidP="003D3E24">
      <w:pPr>
        <w:pStyle w:val="Default"/>
        <w:jc w:val="both"/>
        <w:rPr>
          <w:rFonts w:ascii="Calibri" w:eastAsia="Calibri" w:hAnsi="Calibri" w:cs="Times New Roman"/>
          <w:color w:val="auto"/>
          <w:sz w:val="22"/>
          <w:szCs w:val="22"/>
          <w:lang w:val="en-GB"/>
        </w:rPr>
      </w:pPr>
    </w:p>
    <w:p w:rsidR="005E501B" w:rsidRDefault="005E501B" w:rsidP="003D3E24">
      <w:pPr>
        <w:pStyle w:val="Default"/>
        <w:jc w:val="both"/>
        <w:rPr>
          <w:rFonts w:ascii="Calibri" w:eastAsia="Calibri" w:hAnsi="Calibri" w:cs="Times New Roman"/>
          <w:color w:val="auto"/>
          <w:sz w:val="22"/>
          <w:szCs w:val="22"/>
          <w:lang w:val="en-GB"/>
        </w:rPr>
      </w:pPr>
    </w:p>
    <w:p w:rsidR="005E501B" w:rsidRDefault="005E501B" w:rsidP="003D3E24">
      <w:pPr>
        <w:pStyle w:val="Default"/>
        <w:jc w:val="both"/>
        <w:rPr>
          <w:rFonts w:ascii="Calibri" w:eastAsia="Calibri" w:hAnsi="Calibri" w:cs="Times New Roman"/>
          <w:color w:val="auto"/>
          <w:sz w:val="22"/>
          <w:szCs w:val="22"/>
          <w:lang w:val="en-GB"/>
        </w:rPr>
      </w:pPr>
    </w:p>
    <w:p w:rsidR="005E501B" w:rsidRDefault="005E501B" w:rsidP="003D3E24">
      <w:pPr>
        <w:pStyle w:val="Default"/>
        <w:jc w:val="both"/>
        <w:rPr>
          <w:rFonts w:ascii="Calibri" w:eastAsia="Calibri" w:hAnsi="Calibri" w:cs="Times New Roman"/>
          <w:color w:val="auto"/>
          <w:sz w:val="22"/>
          <w:szCs w:val="22"/>
          <w:lang w:val="en-GB"/>
        </w:rPr>
      </w:pPr>
    </w:p>
    <w:p w:rsidR="005E501B" w:rsidRDefault="005E501B" w:rsidP="003D3E24">
      <w:pPr>
        <w:pStyle w:val="Default"/>
        <w:jc w:val="both"/>
        <w:rPr>
          <w:rFonts w:ascii="Calibri" w:eastAsia="Calibri" w:hAnsi="Calibri" w:cs="Times New Roman"/>
          <w:color w:val="auto"/>
          <w:sz w:val="22"/>
          <w:szCs w:val="22"/>
          <w:lang w:val="en-GB"/>
        </w:rPr>
      </w:pPr>
    </w:p>
    <w:p w:rsidR="005E501B" w:rsidRDefault="005E501B" w:rsidP="003D3E24">
      <w:pPr>
        <w:pStyle w:val="Default"/>
        <w:jc w:val="both"/>
        <w:rPr>
          <w:rFonts w:ascii="Calibri" w:eastAsia="Calibri" w:hAnsi="Calibri" w:cs="Times New Roman"/>
          <w:color w:val="auto"/>
          <w:sz w:val="22"/>
          <w:szCs w:val="22"/>
          <w:lang w:val="en-GB"/>
        </w:rPr>
      </w:pPr>
    </w:p>
    <w:p w:rsidR="005E501B" w:rsidRDefault="005E501B" w:rsidP="003D3E24">
      <w:pPr>
        <w:pStyle w:val="Default"/>
        <w:jc w:val="both"/>
        <w:rPr>
          <w:rFonts w:ascii="Calibri" w:eastAsia="Calibri" w:hAnsi="Calibri" w:cs="Times New Roman"/>
          <w:color w:val="auto"/>
          <w:sz w:val="22"/>
          <w:szCs w:val="22"/>
          <w:lang w:val="en-GB"/>
        </w:rPr>
      </w:pPr>
    </w:p>
    <w:p w:rsidR="005E501B" w:rsidRDefault="005E501B" w:rsidP="003D3E24">
      <w:pPr>
        <w:pStyle w:val="Default"/>
        <w:jc w:val="both"/>
        <w:rPr>
          <w:rFonts w:ascii="Calibri" w:eastAsia="Calibri" w:hAnsi="Calibri" w:cs="Times New Roman"/>
          <w:color w:val="auto"/>
          <w:sz w:val="22"/>
          <w:szCs w:val="22"/>
          <w:lang w:val="en-GB"/>
        </w:rPr>
      </w:pPr>
    </w:p>
    <w:p w:rsidR="005E501B" w:rsidRDefault="005E501B" w:rsidP="003D3E24">
      <w:pPr>
        <w:pStyle w:val="Default"/>
        <w:jc w:val="both"/>
        <w:rPr>
          <w:rFonts w:ascii="Calibri" w:eastAsia="Calibri" w:hAnsi="Calibri" w:cs="Times New Roman"/>
          <w:color w:val="auto"/>
          <w:sz w:val="22"/>
          <w:szCs w:val="22"/>
          <w:lang w:val="en-GB"/>
        </w:rPr>
      </w:pPr>
    </w:p>
    <w:p w:rsidR="005E501B" w:rsidRDefault="005E501B" w:rsidP="003D3E24">
      <w:pPr>
        <w:pStyle w:val="Default"/>
        <w:jc w:val="both"/>
        <w:rPr>
          <w:rFonts w:ascii="Calibri" w:eastAsia="Calibri" w:hAnsi="Calibri" w:cs="Times New Roman"/>
          <w:color w:val="auto"/>
          <w:sz w:val="22"/>
          <w:szCs w:val="22"/>
          <w:lang w:val="en-GB"/>
        </w:rPr>
      </w:pPr>
    </w:p>
    <w:p w:rsidR="005E501B" w:rsidRDefault="005E501B" w:rsidP="003D3E24">
      <w:pPr>
        <w:pStyle w:val="Default"/>
        <w:jc w:val="both"/>
        <w:rPr>
          <w:rFonts w:ascii="Calibri" w:eastAsia="Calibri" w:hAnsi="Calibri" w:cs="Times New Roman"/>
          <w:color w:val="auto"/>
          <w:sz w:val="22"/>
          <w:szCs w:val="22"/>
          <w:lang w:val="en-GB"/>
        </w:rPr>
      </w:pPr>
    </w:p>
    <w:p w:rsidR="005E501B" w:rsidRDefault="005E501B" w:rsidP="003D3E24">
      <w:pPr>
        <w:pStyle w:val="Default"/>
        <w:jc w:val="both"/>
        <w:rPr>
          <w:rFonts w:ascii="Calibri" w:eastAsia="Calibri" w:hAnsi="Calibri" w:cs="Times New Roman"/>
          <w:color w:val="auto"/>
          <w:sz w:val="22"/>
          <w:szCs w:val="22"/>
          <w:lang w:val="en-GB"/>
        </w:rPr>
      </w:pPr>
    </w:p>
    <w:p w:rsidR="005E501B" w:rsidRDefault="005E501B" w:rsidP="003D3E24">
      <w:pPr>
        <w:pStyle w:val="Default"/>
        <w:jc w:val="both"/>
        <w:rPr>
          <w:rFonts w:ascii="Calibri" w:eastAsia="Calibri" w:hAnsi="Calibri" w:cs="Times New Roman"/>
          <w:color w:val="auto"/>
          <w:sz w:val="22"/>
          <w:szCs w:val="22"/>
          <w:lang w:val="en-GB"/>
        </w:rPr>
      </w:pPr>
    </w:p>
    <w:p w:rsidR="005E501B" w:rsidRDefault="005E501B" w:rsidP="003D3E24">
      <w:pPr>
        <w:pStyle w:val="Default"/>
        <w:jc w:val="both"/>
        <w:rPr>
          <w:rFonts w:ascii="Calibri" w:eastAsia="Calibri" w:hAnsi="Calibri" w:cs="Times New Roman"/>
          <w:color w:val="auto"/>
          <w:sz w:val="22"/>
          <w:szCs w:val="22"/>
          <w:lang w:val="en-GB"/>
        </w:rPr>
      </w:pPr>
    </w:p>
    <w:p w:rsidR="005E501B" w:rsidRDefault="005E501B" w:rsidP="003D3E24">
      <w:pPr>
        <w:pStyle w:val="Default"/>
        <w:jc w:val="both"/>
        <w:rPr>
          <w:rFonts w:ascii="Calibri" w:eastAsia="Calibri" w:hAnsi="Calibri" w:cs="Times New Roman"/>
          <w:color w:val="auto"/>
          <w:sz w:val="22"/>
          <w:szCs w:val="22"/>
          <w:lang w:val="en-GB"/>
        </w:rPr>
      </w:pPr>
    </w:p>
    <w:p w:rsidR="005E501B" w:rsidRDefault="005E501B" w:rsidP="003D3E24">
      <w:pPr>
        <w:pStyle w:val="Default"/>
        <w:jc w:val="both"/>
        <w:rPr>
          <w:rFonts w:ascii="Calibri" w:eastAsia="Calibri" w:hAnsi="Calibri" w:cs="Times New Roman"/>
          <w:color w:val="auto"/>
          <w:sz w:val="22"/>
          <w:szCs w:val="22"/>
          <w:lang w:val="en-GB"/>
        </w:rPr>
      </w:pPr>
    </w:p>
    <w:p w:rsidR="005E501B" w:rsidRDefault="005E501B" w:rsidP="003D3E24">
      <w:pPr>
        <w:pStyle w:val="Default"/>
        <w:jc w:val="both"/>
        <w:rPr>
          <w:rFonts w:ascii="Calibri" w:eastAsia="Calibri" w:hAnsi="Calibri" w:cs="Times New Roman"/>
          <w:color w:val="auto"/>
          <w:sz w:val="22"/>
          <w:szCs w:val="22"/>
          <w:lang w:val="en-GB"/>
        </w:rPr>
      </w:pPr>
    </w:p>
    <w:p w:rsidR="005E501B" w:rsidRDefault="005E501B" w:rsidP="003D3E24">
      <w:pPr>
        <w:pStyle w:val="Default"/>
        <w:jc w:val="both"/>
        <w:rPr>
          <w:rFonts w:ascii="Calibri" w:eastAsia="Calibri" w:hAnsi="Calibri" w:cs="Times New Roman"/>
          <w:color w:val="auto"/>
          <w:sz w:val="22"/>
          <w:szCs w:val="22"/>
          <w:lang w:val="en-GB"/>
        </w:rPr>
      </w:pPr>
    </w:p>
    <w:p w:rsidR="005E501B" w:rsidRDefault="005E501B" w:rsidP="003D3E24">
      <w:pPr>
        <w:pStyle w:val="Default"/>
        <w:jc w:val="both"/>
        <w:rPr>
          <w:rFonts w:ascii="Calibri" w:eastAsia="Calibri" w:hAnsi="Calibri" w:cs="Times New Roman"/>
          <w:color w:val="auto"/>
          <w:sz w:val="22"/>
          <w:szCs w:val="22"/>
          <w:lang w:val="en-GB"/>
        </w:rPr>
      </w:pPr>
    </w:p>
    <w:p w:rsidR="005E501B" w:rsidRDefault="005E501B" w:rsidP="003D3E24">
      <w:pPr>
        <w:pStyle w:val="Default"/>
        <w:jc w:val="both"/>
        <w:rPr>
          <w:rFonts w:ascii="Calibri" w:eastAsia="Calibri" w:hAnsi="Calibri" w:cs="Times New Roman"/>
          <w:color w:val="auto"/>
          <w:sz w:val="22"/>
          <w:szCs w:val="22"/>
          <w:lang w:val="en-GB"/>
        </w:rPr>
      </w:pPr>
    </w:p>
    <w:p w:rsidR="005E501B" w:rsidRDefault="005E501B" w:rsidP="003D3E24">
      <w:pPr>
        <w:pStyle w:val="Default"/>
        <w:jc w:val="both"/>
        <w:rPr>
          <w:rFonts w:ascii="Calibri" w:eastAsia="Calibri" w:hAnsi="Calibri" w:cs="Times New Roman"/>
          <w:color w:val="auto"/>
          <w:sz w:val="22"/>
          <w:szCs w:val="22"/>
          <w:lang w:val="en-GB"/>
        </w:rPr>
      </w:pPr>
    </w:p>
    <w:p w:rsidR="005E501B" w:rsidRDefault="005E501B" w:rsidP="003D3E24">
      <w:pPr>
        <w:pStyle w:val="Default"/>
        <w:jc w:val="both"/>
        <w:rPr>
          <w:rFonts w:ascii="Calibri" w:eastAsia="Calibri" w:hAnsi="Calibri" w:cs="Times New Roman"/>
          <w:color w:val="auto"/>
          <w:sz w:val="22"/>
          <w:szCs w:val="22"/>
          <w:lang w:val="en-GB"/>
        </w:rPr>
      </w:pPr>
    </w:p>
    <w:p w:rsidR="005E501B" w:rsidRDefault="005E501B" w:rsidP="003D3E24">
      <w:pPr>
        <w:pStyle w:val="Default"/>
        <w:jc w:val="both"/>
        <w:rPr>
          <w:rFonts w:ascii="Calibri" w:eastAsia="Calibri" w:hAnsi="Calibri" w:cs="Times New Roman"/>
          <w:color w:val="auto"/>
          <w:sz w:val="22"/>
          <w:szCs w:val="22"/>
          <w:lang w:val="en-GB"/>
        </w:rPr>
      </w:pPr>
    </w:p>
    <w:p w:rsidR="005E501B" w:rsidRDefault="005E501B" w:rsidP="003D3E24">
      <w:pPr>
        <w:pStyle w:val="Default"/>
        <w:jc w:val="both"/>
        <w:rPr>
          <w:rFonts w:ascii="Calibri" w:eastAsia="Calibri" w:hAnsi="Calibri" w:cs="Times New Roman"/>
          <w:color w:val="auto"/>
          <w:sz w:val="22"/>
          <w:szCs w:val="22"/>
          <w:lang w:val="en-GB"/>
        </w:rPr>
      </w:pPr>
    </w:p>
    <w:p w:rsidR="005E501B" w:rsidRDefault="005E501B" w:rsidP="003D3E24">
      <w:pPr>
        <w:pStyle w:val="Default"/>
        <w:jc w:val="both"/>
        <w:rPr>
          <w:rFonts w:ascii="Calibri" w:eastAsia="Calibri" w:hAnsi="Calibri" w:cs="Times New Roman"/>
          <w:color w:val="auto"/>
          <w:sz w:val="22"/>
          <w:szCs w:val="22"/>
          <w:lang w:val="en-GB"/>
        </w:rPr>
      </w:pPr>
    </w:p>
    <w:p w:rsidR="005E501B" w:rsidRDefault="005E501B" w:rsidP="003D3E24">
      <w:pPr>
        <w:pStyle w:val="Default"/>
        <w:jc w:val="both"/>
        <w:rPr>
          <w:rFonts w:ascii="Calibri" w:eastAsia="Calibri" w:hAnsi="Calibri" w:cs="Times New Roman"/>
          <w:color w:val="auto"/>
          <w:sz w:val="22"/>
          <w:szCs w:val="22"/>
          <w:lang w:val="en-GB"/>
        </w:rPr>
      </w:pPr>
    </w:p>
    <w:p w:rsidR="005E501B" w:rsidRDefault="005E501B" w:rsidP="003D3E24">
      <w:pPr>
        <w:pStyle w:val="Default"/>
        <w:jc w:val="both"/>
        <w:rPr>
          <w:rFonts w:ascii="Calibri" w:eastAsia="Calibri" w:hAnsi="Calibri" w:cs="Times New Roman"/>
          <w:color w:val="auto"/>
          <w:sz w:val="22"/>
          <w:szCs w:val="22"/>
          <w:lang w:val="en-GB"/>
        </w:rPr>
      </w:pPr>
    </w:p>
    <w:p w:rsidR="005E501B" w:rsidRDefault="005E501B" w:rsidP="003D3E24">
      <w:pPr>
        <w:pStyle w:val="Default"/>
        <w:jc w:val="both"/>
        <w:rPr>
          <w:rFonts w:ascii="Calibri" w:eastAsia="Calibri" w:hAnsi="Calibri" w:cs="Times New Roman"/>
          <w:color w:val="auto"/>
          <w:sz w:val="22"/>
          <w:szCs w:val="22"/>
          <w:lang w:val="en-GB"/>
        </w:rPr>
      </w:pPr>
    </w:p>
    <w:p w:rsidR="005E501B" w:rsidRDefault="005E501B" w:rsidP="003D3E24">
      <w:pPr>
        <w:pStyle w:val="Default"/>
        <w:jc w:val="both"/>
        <w:rPr>
          <w:rFonts w:ascii="Calibri" w:eastAsia="Calibri" w:hAnsi="Calibri" w:cs="Times New Roman"/>
          <w:color w:val="auto"/>
          <w:sz w:val="22"/>
          <w:szCs w:val="22"/>
          <w:lang w:val="en-GB"/>
        </w:rPr>
      </w:pPr>
    </w:p>
    <w:p w:rsidR="005E501B" w:rsidRDefault="005E501B" w:rsidP="003D3E24">
      <w:pPr>
        <w:pStyle w:val="Default"/>
        <w:jc w:val="both"/>
        <w:rPr>
          <w:rFonts w:ascii="Calibri" w:eastAsia="Calibri" w:hAnsi="Calibri" w:cs="Times New Roman"/>
          <w:color w:val="auto"/>
          <w:sz w:val="22"/>
          <w:szCs w:val="22"/>
          <w:lang w:val="en-GB"/>
        </w:rPr>
      </w:pPr>
    </w:p>
    <w:p w:rsidR="005E501B" w:rsidRDefault="005E501B" w:rsidP="003D3E24">
      <w:pPr>
        <w:pStyle w:val="Default"/>
        <w:jc w:val="both"/>
        <w:rPr>
          <w:rFonts w:ascii="Calibri" w:eastAsia="Calibri" w:hAnsi="Calibri" w:cs="Times New Roman"/>
          <w:color w:val="auto"/>
          <w:sz w:val="22"/>
          <w:szCs w:val="22"/>
          <w:lang w:val="en-GB"/>
        </w:rPr>
      </w:pPr>
    </w:p>
    <w:p w:rsidR="005E501B" w:rsidRDefault="005E501B" w:rsidP="003D3E24">
      <w:pPr>
        <w:pStyle w:val="Default"/>
        <w:jc w:val="both"/>
        <w:rPr>
          <w:rFonts w:ascii="Calibri" w:eastAsia="Calibri" w:hAnsi="Calibri" w:cs="Times New Roman"/>
          <w:color w:val="auto"/>
          <w:sz w:val="22"/>
          <w:szCs w:val="22"/>
          <w:lang w:val="en-GB"/>
        </w:rPr>
      </w:pPr>
    </w:p>
    <w:p w:rsidR="005E501B" w:rsidRDefault="005E501B" w:rsidP="003D3E24">
      <w:pPr>
        <w:pStyle w:val="Default"/>
        <w:jc w:val="both"/>
        <w:rPr>
          <w:rFonts w:ascii="Calibri" w:eastAsia="Calibri" w:hAnsi="Calibri" w:cs="Times New Roman"/>
          <w:color w:val="auto"/>
          <w:sz w:val="22"/>
          <w:szCs w:val="22"/>
          <w:lang w:val="en-GB"/>
        </w:rPr>
      </w:pPr>
    </w:p>
    <w:p w:rsidR="005E501B" w:rsidRDefault="005E501B" w:rsidP="003D3E24">
      <w:pPr>
        <w:pStyle w:val="Default"/>
        <w:jc w:val="both"/>
        <w:rPr>
          <w:rFonts w:ascii="Calibri" w:eastAsia="Calibri" w:hAnsi="Calibri" w:cs="Times New Roman"/>
          <w:color w:val="auto"/>
          <w:sz w:val="22"/>
          <w:szCs w:val="22"/>
          <w:lang w:val="en-GB"/>
        </w:rPr>
      </w:pPr>
    </w:p>
    <w:p w:rsidR="005E501B" w:rsidRDefault="005E501B" w:rsidP="003D3E24">
      <w:pPr>
        <w:pStyle w:val="Default"/>
        <w:jc w:val="both"/>
        <w:rPr>
          <w:rFonts w:ascii="Calibri" w:eastAsia="Calibri" w:hAnsi="Calibri" w:cs="Times New Roman"/>
          <w:color w:val="auto"/>
          <w:sz w:val="22"/>
          <w:szCs w:val="22"/>
          <w:lang w:val="en-GB"/>
        </w:rPr>
      </w:pPr>
    </w:p>
    <w:p w:rsidR="005E501B" w:rsidRDefault="005E501B" w:rsidP="003D3E24">
      <w:pPr>
        <w:pStyle w:val="Default"/>
        <w:jc w:val="both"/>
        <w:rPr>
          <w:rFonts w:ascii="Calibri" w:eastAsia="Calibri" w:hAnsi="Calibri" w:cs="Times New Roman"/>
          <w:color w:val="auto"/>
          <w:sz w:val="22"/>
          <w:szCs w:val="22"/>
          <w:lang w:val="en-GB"/>
        </w:rPr>
      </w:pPr>
    </w:p>
    <w:p w:rsidR="005E501B" w:rsidRDefault="005E501B" w:rsidP="003D3E24">
      <w:pPr>
        <w:pStyle w:val="Default"/>
        <w:jc w:val="both"/>
        <w:rPr>
          <w:rFonts w:ascii="Calibri" w:eastAsia="Calibri" w:hAnsi="Calibri" w:cs="Times New Roman"/>
          <w:color w:val="auto"/>
          <w:sz w:val="22"/>
          <w:szCs w:val="22"/>
          <w:lang w:val="en-GB"/>
        </w:rPr>
      </w:pPr>
    </w:p>
    <w:p w:rsidR="005E501B" w:rsidRDefault="005E501B" w:rsidP="003D3E24">
      <w:pPr>
        <w:pStyle w:val="Default"/>
        <w:jc w:val="both"/>
        <w:rPr>
          <w:rFonts w:ascii="Calibri" w:eastAsia="Calibri" w:hAnsi="Calibri" w:cs="Times New Roman"/>
          <w:color w:val="auto"/>
          <w:sz w:val="22"/>
          <w:szCs w:val="22"/>
          <w:lang w:val="en-GB"/>
        </w:rPr>
      </w:pPr>
    </w:p>
    <w:p w:rsidR="001B699E" w:rsidRDefault="001B699E" w:rsidP="003D3E24">
      <w:pPr>
        <w:spacing w:after="0" w:line="240" w:lineRule="auto"/>
        <w:jc w:val="both"/>
        <w:rPr>
          <w:rFonts w:ascii="Calibri" w:hAnsi="Calibri"/>
          <w:lang w:val="en-GB"/>
        </w:rPr>
      </w:pPr>
    </w:p>
    <w:p w:rsidR="005E501B" w:rsidRPr="004B370C" w:rsidRDefault="005E501B" w:rsidP="003D3E24">
      <w:pPr>
        <w:spacing w:after="0" w:line="240" w:lineRule="auto"/>
        <w:jc w:val="both"/>
        <w:rPr>
          <w:rFonts w:ascii="Calibri" w:hAnsi="Calibri"/>
          <w:lang w:val="en-GB"/>
        </w:rPr>
      </w:pPr>
    </w:p>
    <w:p w:rsidR="001B699E" w:rsidRPr="004B370C" w:rsidRDefault="005E501B" w:rsidP="003D3E24">
      <w:pPr>
        <w:spacing w:after="0" w:line="240" w:lineRule="auto"/>
        <w:jc w:val="both"/>
        <w:rPr>
          <w:rFonts w:ascii="Calibri" w:hAnsi="Calibri"/>
          <w:b/>
          <w:u w:val="single"/>
          <w:lang w:val="en-GB"/>
        </w:rPr>
      </w:pPr>
      <w:r>
        <w:rPr>
          <w:rFonts w:ascii="Calibri" w:hAnsi="Calibri"/>
          <w:b/>
          <w:u w:val="single"/>
          <w:lang w:val="en-GB"/>
        </w:rPr>
        <w:lastRenderedPageBreak/>
        <w:t xml:space="preserve">Annex 2: Specific answer to questions </w:t>
      </w:r>
      <w:proofErr w:type="gramStart"/>
      <w:r>
        <w:rPr>
          <w:rFonts w:ascii="Calibri" w:hAnsi="Calibri"/>
          <w:b/>
          <w:u w:val="single"/>
          <w:lang w:val="en-GB"/>
        </w:rPr>
        <w:t>raised</w:t>
      </w:r>
      <w:proofErr w:type="gramEnd"/>
      <w:r>
        <w:rPr>
          <w:rFonts w:ascii="Calibri" w:hAnsi="Calibri"/>
          <w:b/>
          <w:u w:val="single"/>
          <w:lang w:val="en-GB"/>
        </w:rPr>
        <w:t xml:space="preserve"> in </w:t>
      </w:r>
      <w:r w:rsidR="001B699E" w:rsidRPr="00250FDB">
        <w:rPr>
          <w:rFonts w:ascii="Calibri" w:hAnsi="Calibri"/>
          <w:b/>
          <w:u w:val="single"/>
          <w:lang w:val="en-GB"/>
        </w:rPr>
        <w:t>EBA/CP/2013/38:</w:t>
      </w:r>
    </w:p>
    <w:p w:rsidR="001B699E" w:rsidRPr="004B370C" w:rsidRDefault="001B699E" w:rsidP="003D3E24">
      <w:pPr>
        <w:spacing w:after="0" w:line="240" w:lineRule="auto"/>
        <w:jc w:val="both"/>
        <w:rPr>
          <w:rFonts w:ascii="Calibri" w:hAnsi="Calibri"/>
          <w:color w:val="4A6B3C"/>
          <w:lang w:val="en-GB"/>
        </w:rPr>
      </w:pPr>
    </w:p>
    <w:p w:rsidR="001B699E" w:rsidRPr="005E501B" w:rsidRDefault="001B699E" w:rsidP="003D3E24">
      <w:pPr>
        <w:spacing w:after="0" w:line="240" w:lineRule="auto"/>
        <w:jc w:val="both"/>
        <w:rPr>
          <w:rFonts w:ascii="Calibri" w:hAnsi="Calibri"/>
          <w:b/>
          <w:lang w:val="en-GB"/>
        </w:rPr>
      </w:pPr>
      <w:r w:rsidRPr="005E501B">
        <w:rPr>
          <w:rFonts w:ascii="Calibri" w:hAnsi="Calibri"/>
          <w:b/>
          <w:lang w:val="en-GB"/>
        </w:rPr>
        <w:t>Q1: Do you agree with the method for estimating the level of free-floating assets required for a market to remain liquid? If not, what alternative methodology would you suggest and what percentage would you deem to be appropriate? Please substantiate your response.</w:t>
      </w:r>
    </w:p>
    <w:p w:rsidR="001B699E" w:rsidRPr="004B370C" w:rsidRDefault="001B699E" w:rsidP="003D3E24">
      <w:pPr>
        <w:spacing w:after="0" w:line="240" w:lineRule="auto"/>
        <w:jc w:val="both"/>
        <w:rPr>
          <w:rFonts w:ascii="Calibri" w:hAnsi="Calibri"/>
          <w:lang w:val="en-GB"/>
        </w:rPr>
      </w:pPr>
    </w:p>
    <w:p w:rsidR="001B699E" w:rsidRPr="004B370C" w:rsidRDefault="001B699E" w:rsidP="003D3E24">
      <w:pPr>
        <w:spacing w:after="0" w:line="240" w:lineRule="auto"/>
        <w:jc w:val="both"/>
        <w:rPr>
          <w:rFonts w:ascii="Calibri" w:hAnsi="Calibri"/>
          <w:lang w:val="en-GB"/>
        </w:rPr>
      </w:pPr>
      <w:r w:rsidRPr="004B370C">
        <w:rPr>
          <w:rFonts w:ascii="Calibri" w:hAnsi="Calibri"/>
          <w:lang w:val="en-GB"/>
        </w:rPr>
        <w:t xml:space="preserve">Yes, </w:t>
      </w:r>
      <w:r>
        <w:rPr>
          <w:rFonts w:ascii="Calibri" w:hAnsi="Calibri"/>
          <w:lang w:val="en-GB"/>
        </w:rPr>
        <w:t>we agree.</w:t>
      </w:r>
    </w:p>
    <w:p w:rsidR="001B699E" w:rsidRPr="004B370C" w:rsidRDefault="001B699E" w:rsidP="003D3E24">
      <w:pPr>
        <w:spacing w:after="0" w:line="240" w:lineRule="auto"/>
        <w:jc w:val="both"/>
        <w:rPr>
          <w:rFonts w:ascii="Calibri" w:hAnsi="Calibri"/>
          <w:lang w:val="en-GB"/>
        </w:rPr>
      </w:pPr>
    </w:p>
    <w:p w:rsidR="001B699E" w:rsidRPr="005E501B" w:rsidRDefault="001B699E" w:rsidP="003D3E24">
      <w:pPr>
        <w:spacing w:after="0" w:line="240" w:lineRule="auto"/>
        <w:jc w:val="both"/>
        <w:rPr>
          <w:rFonts w:ascii="Calibri" w:hAnsi="Calibri"/>
          <w:b/>
          <w:lang w:val="en-GB"/>
        </w:rPr>
      </w:pPr>
      <w:r w:rsidRPr="005E501B">
        <w:rPr>
          <w:rFonts w:ascii="Calibri" w:hAnsi="Calibri"/>
          <w:b/>
          <w:lang w:val="en-GB"/>
        </w:rPr>
        <w:t>Q2: Are the assumptions regarding locked-up assets reasonable and, if not, what alternative assumptions should be made? Please substantiate your response.</w:t>
      </w:r>
    </w:p>
    <w:p w:rsidR="001B699E" w:rsidRPr="004B370C" w:rsidRDefault="001B699E" w:rsidP="003D3E24">
      <w:pPr>
        <w:spacing w:after="0" w:line="240" w:lineRule="auto"/>
        <w:jc w:val="both"/>
        <w:rPr>
          <w:rFonts w:ascii="Calibri" w:hAnsi="Calibri"/>
          <w:b/>
          <w:bCs/>
          <w:lang w:val="en-GB"/>
        </w:rPr>
      </w:pPr>
    </w:p>
    <w:p w:rsidR="001B699E" w:rsidRPr="00CB5E98" w:rsidRDefault="001B699E" w:rsidP="003D3E24">
      <w:pPr>
        <w:pStyle w:val="Default"/>
        <w:jc w:val="both"/>
        <w:rPr>
          <w:sz w:val="20"/>
          <w:szCs w:val="20"/>
          <w:lang w:val="en-GB"/>
        </w:rPr>
      </w:pPr>
      <w:r>
        <w:rPr>
          <w:rFonts w:ascii="Calibri" w:eastAsia="Calibri" w:hAnsi="Calibri" w:cs="Times New Roman"/>
          <w:color w:val="auto"/>
          <w:sz w:val="22"/>
          <w:szCs w:val="22"/>
          <w:lang w:val="en-GB"/>
        </w:rPr>
        <w:t>Yes, we agree.</w:t>
      </w:r>
    </w:p>
    <w:p w:rsidR="001B699E" w:rsidRPr="004B370C" w:rsidRDefault="001B699E" w:rsidP="003D3E24">
      <w:pPr>
        <w:spacing w:after="0" w:line="240" w:lineRule="auto"/>
        <w:jc w:val="both"/>
        <w:rPr>
          <w:rFonts w:ascii="Calibri" w:hAnsi="Calibri"/>
          <w:lang w:val="en-GB"/>
        </w:rPr>
      </w:pPr>
    </w:p>
    <w:p w:rsidR="001B699E" w:rsidRPr="005E501B" w:rsidRDefault="001B699E" w:rsidP="003D3E24">
      <w:pPr>
        <w:spacing w:after="0" w:line="240" w:lineRule="auto"/>
        <w:jc w:val="both"/>
        <w:rPr>
          <w:rFonts w:ascii="Calibri" w:hAnsi="Calibri"/>
          <w:b/>
          <w:lang w:val="en-GB"/>
        </w:rPr>
      </w:pPr>
      <w:r w:rsidRPr="005E501B">
        <w:rPr>
          <w:rFonts w:ascii="Calibri" w:hAnsi="Calibri"/>
          <w:b/>
          <w:lang w:val="en-GB"/>
        </w:rPr>
        <w:t>Q3: Is 110% a reasonable assumption for an institution’s target liquidity coverage requirement? If not, please outline what you deem to be a reasonable assumption regarding an institution’s target liquidity coverage requirement. Please substantiate your response.</w:t>
      </w:r>
    </w:p>
    <w:p w:rsidR="001B699E" w:rsidRPr="004B370C" w:rsidRDefault="001B699E" w:rsidP="003D3E24">
      <w:pPr>
        <w:spacing w:after="0" w:line="240" w:lineRule="auto"/>
        <w:jc w:val="both"/>
        <w:rPr>
          <w:rFonts w:ascii="Calibri" w:hAnsi="Calibri"/>
          <w:lang w:val="en-GB"/>
        </w:rPr>
      </w:pPr>
    </w:p>
    <w:p w:rsidR="001B699E" w:rsidRPr="004B370C" w:rsidRDefault="001B699E" w:rsidP="003D3E24">
      <w:pPr>
        <w:spacing w:after="0" w:line="240" w:lineRule="auto"/>
        <w:jc w:val="both"/>
        <w:rPr>
          <w:rFonts w:ascii="Calibri" w:hAnsi="Calibri"/>
          <w:lang w:val="en-GB"/>
        </w:rPr>
      </w:pPr>
      <w:r w:rsidRPr="004B370C">
        <w:rPr>
          <w:rFonts w:ascii="Calibri" w:hAnsi="Calibri"/>
          <w:lang w:val="en-GB"/>
        </w:rPr>
        <w:t xml:space="preserve">Yes, </w:t>
      </w:r>
      <w:r>
        <w:rPr>
          <w:rFonts w:ascii="Calibri" w:hAnsi="Calibri"/>
          <w:lang w:val="en-GB"/>
        </w:rPr>
        <w:t>we agree.</w:t>
      </w:r>
    </w:p>
    <w:p w:rsidR="001B699E" w:rsidRPr="004B370C" w:rsidRDefault="001B699E" w:rsidP="003D3E24">
      <w:pPr>
        <w:spacing w:after="0" w:line="240" w:lineRule="auto"/>
        <w:jc w:val="both"/>
        <w:rPr>
          <w:rFonts w:cs="Calibri"/>
          <w:lang w:val="en-GB"/>
        </w:rPr>
      </w:pPr>
    </w:p>
    <w:p w:rsidR="001B699E" w:rsidRPr="005E501B" w:rsidRDefault="001B699E" w:rsidP="003D3E24">
      <w:pPr>
        <w:spacing w:after="0" w:line="240" w:lineRule="auto"/>
        <w:jc w:val="both"/>
        <w:rPr>
          <w:rFonts w:ascii="Calibri" w:hAnsi="Calibri"/>
          <w:b/>
          <w:lang w:val="en-GB"/>
        </w:rPr>
      </w:pPr>
      <w:r w:rsidRPr="005E501B">
        <w:rPr>
          <w:rFonts w:ascii="Calibri" w:hAnsi="Calibri"/>
          <w:b/>
          <w:lang w:val="en-GB"/>
        </w:rPr>
        <w:t>Q4: Do you agree with the general approach and its results?</w:t>
      </w:r>
    </w:p>
    <w:p w:rsidR="001B699E" w:rsidRPr="004B370C" w:rsidRDefault="001B699E" w:rsidP="003D3E24">
      <w:pPr>
        <w:spacing w:after="0" w:line="240" w:lineRule="auto"/>
        <w:jc w:val="both"/>
        <w:rPr>
          <w:rFonts w:ascii="Calibri" w:hAnsi="Calibri"/>
          <w:lang w:val="en-GB"/>
        </w:rPr>
      </w:pPr>
    </w:p>
    <w:p w:rsidR="001B699E" w:rsidRPr="004B370C" w:rsidRDefault="001B699E" w:rsidP="003D3E24">
      <w:pPr>
        <w:spacing w:after="0" w:line="240" w:lineRule="auto"/>
        <w:jc w:val="both"/>
        <w:rPr>
          <w:rFonts w:ascii="Calibri" w:hAnsi="Calibri"/>
          <w:lang w:val="en-GB"/>
        </w:rPr>
      </w:pPr>
      <w:r w:rsidRPr="004B370C">
        <w:rPr>
          <w:rFonts w:ascii="Calibri" w:hAnsi="Calibri"/>
          <w:lang w:val="en-GB"/>
        </w:rPr>
        <w:t xml:space="preserve">Yes, </w:t>
      </w:r>
      <w:r>
        <w:rPr>
          <w:rFonts w:ascii="Calibri" w:hAnsi="Calibri"/>
          <w:lang w:val="en-GB"/>
        </w:rPr>
        <w:t>we agree.</w:t>
      </w:r>
    </w:p>
    <w:p w:rsidR="001B699E" w:rsidRDefault="001B699E" w:rsidP="003D3E24">
      <w:pPr>
        <w:spacing w:after="0" w:line="240" w:lineRule="auto"/>
        <w:jc w:val="both"/>
        <w:rPr>
          <w:rFonts w:ascii="Calibri" w:hAnsi="Calibri"/>
          <w:b/>
          <w:lang w:val="en-GB"/>
        </w:rPr>
      </w:pPr>
    </w:p>
    <w:p w:rsidR="001B699E" w:rsidRPr="005E501B" w:rsidRDefault="001B699E" w:rsidP="003D3E24">
      <w:pPr>
        <w:spacing w:after="0" w:line="240" w:lineRule="auto"/>
        <w:jc w:val="both"/>
        <w:rPr>
          <w:rFonts w:ascii="Calibri" w:hAnsi="Calibri"/>
          <w:b/>
          <w:lang w:val="en-GB"/>
        </w:rPr>
      </w:pPr>
      <w:r w:rsidRPr="005E501B">
        <w:rPr>
          <w:rFonts w:ascii="Calibri" w:hAnsi="Calibri"/>
          <w:b/>
          <w:lang w:val="en-GB"/>
        </w:rPr>
        <w:t>Q5: Do you agree with the above analysis of the cost and benefit impact of the proposals?</w:t>
      </w:r>
    </w:p>
    <w:p w:rsidR="001B699E" w:rsidRPr="004B370C" w:rsidRDefault="001B699E" w:rsidP="003D3E24">
      <w:pPr>
        <w:spacing w:after="0" w:line="240" w:lineRule="auto"/>
        <w:jc w:val="both"/>
        <w:rPr>
          <w:rFonts w:ascii="Calibri" w:hAnsi="Calibri"/>
          <w:lang w:val="en-GB"/>
        </w:rPr>
      </w:pPr>
    </w:p>
    <w:p w:rsidR="001B699E" w:rsidRDefault="00DB1B6E" w:rsidP="003D3E24">
      <w:pPr>
        <w:spacing w:after="0" w:line="240" w:lineRule="auto"/>
        <w:jc w:val="both"/>
        <w:rPr>
          <w:rFonts w:ascii="Calibri" w:hAnsi="Calibri"/>
          <w:lang w:val="en-GB"/>
        </w:rPr>
      </w:pPr>
      <w:r>
        <w:rPr>
          <w:rFonts w:ascii="Calibri" w:hAnsi="Calibri"/>
          <w:lang w:val="en-GB"/>
        </w:rPr>
        <w:t>We do not agree with point 9 in the draft cost-benefit analysis.</w:t>
      </w:r>
    </w:p>
    <w:p w:rsidR="00DB1B6E" w:rsidRDefault="00DB1B6E" w:rsidP="003D3E24">
      <w:pPr>
        <w:spacing w:after="0" w:line="240" w:lineRule="auto"/>
        <w:jc w:val="both"/>
        <w:rPr>
          <w:rFonts w:ascii="Calibri" w:hAnsi="Calibri"/>
          <w:lang w:val="en-GB"/>
        </w:rPr>
      </w:pPr>
    </w:p>
    <w:p w:rsidR="00DB1B6E" w:rsidRDefault="00DB1B6E" w:rsidP="003D3E24">
      <w:pPr>
        <w:spacing w:after="0" w:line="240" w:lineRule="auto"/>
        <w:jc w:val="both"/>
        <w:rPr>
          <w:rFonts w:ascii="Calibri" w:hAnsi="Calibri"/>
          <w:lang w:val="en-GB"/>
        </w:rPr>
      </w:pPr>
    </w:p>
    <w:p w:rsidR="00DB1B6E" w:rsidRDefault="00DB1B6E" w:rsidP="003D3E24">
      <w:pPr>
        <w:spacing w:after="0" w:line="240" w:lineRule="auto"/>
        <w:jc w:val="both"/>
        <w:rPr>
          <w:rFonts w:ascii="Calibri" w:hAnsi="Calibri"/>
          <w:lang w:val="en-GB"/>
        </w:rPr>
      </w:pPr>
    </w:p>
    <w:p w:rsidR="00DB1B6E" w:rsidRDefault="00DB1B6E" w:rsidP="003D3E24">
      <w:pPr>
        <w:spacing w:after="0" w:line="240" w:lineRule="auto"/>
        <w:jc w:val="both"/>
        <w:rPr>
          <w:rFonts w:ascii="Calibri" w:hAnsi="Calibri"/>
          <w:lang w:val="en-GB"/>
        </w:rPr>
      </w:pPr>
    </w:p>
    <w:p w:rsidR="00DB1B6E" w:rsidRDefault="00DB1B6E" w:rsidP="003D3E24">
      <w:pPr>
        <w:spacing w:after="0" w:line="240" w:lineRule="auto"/>
        <w:jc w:val="both"/>
        <w:rPr>
          <w:rFonts w:ascii="Calibri" w:hAnsi="Calibri"/>
          <w:lang w:val="en-GB"/>
        </w:rPr>
      </w:pPr>
    </w:p>
    <w:p w:rsidR="00DB1B6E" w:rsidRDefault="00DB1B6E" w:rsidP="003D3E24">
      <w:pPr>
        <w:spacing w:after="0" w:line="240" w:lineRule="auto"/>
        <w:jc w:val="both"/>
        <w:rPr>
          <w:rFonts w:ascii="Calibri" w:hAnsi="Calibri"/>
          <w:lang w:val="en-GB"/>
        </w:rPr>
      </w:pPr>
    </w:p>
    <w:p w:rsidR="00DB1B6E" w:rsidRDefault="00DB1B6E" w:rsidP="003D3E24">
      <w:pPr>
        <w:spacing w:after="0" w:line="240" w:lineRule="auto"/>
        <w:jc w:val="both"/>
        <w:rPr>
          <w:rFonts w:ascii="Calibri" w:hAnsi="Calibri"/>
          <w:lang w:val="en-GB"/>
        </w:rPr>
      </w:pPr>
    </w:p>
    <w:p w:rsidR="00DB1B6E" w:rsidRDefault="00DB1B6E" w:rsidP="003D3E24">
      <w:pPr>
        <w:spacing w:after="0" w:line="240" w:lineRule="auto"/>
        <w:jc w:val="both"/>
        <w:rPr>
          <w:rFonts w:ascii="Calibri" w:hAnsi="Calibri"/>
          <w:lang w:val="en-GB"/>
        </w:rPr>
      </w:pPr>
    </w:p>
    <w:p w:rsidR="00DB1B6E" w:rsidRDefault="00DB1B6E" w:rsidP="003D3E24">
      <w:pPr>
        <w:spacing w:after="0" w:line="240" w:lineRule="auto"/>
        <w:jc w:val="both"/>
        <w:rPr>
          <w:rFonts w:ascii="Calibri" w:hAnsi="Calibri"/>
          <w:lang w:val="en-GB"/>
        </w:rPr>
      </w:pPr>
    </w:p>
    <w:p w:rsidR="00DB1B6E" w:rsidRDefault="00DB1B6E" w:rsidP="003D3E24">
      <w:pPr>
        <w:spacing w:after="0" w:line="240" w:lineRule="auto"/>
        <w:jc w:val="both"/>
        <w:rPr>
          <w:rFonts w:ascii="Calibri" w:hAnsi="Calibri"/>
          <w:lang w:val="en-GB"/>
        </w:rPr>
      </w:pPr>
    </w:p>
    <w:p w:rsidR="00DB1B6E" w:rsidRDefault="00DB1B6E" w:rsidP="003D3E24">
      <w:pPr>
        <w:spacing w:after="0" w:line="240" w:lineRule="auto"/>
        <w:jc w:val="both"/>
        <w:rPr>
          <w:rFonts w:ascii="Calibri" w:hAnsi="Calibri"/>
          <w:lang w:val="en-GB"/>
        </w:rPr>
      </w:pPr>
    </w:p>
    <w:p w:rsidR="00DB1B6E" w:rsidRDefault="00DB1B6E" w:rsidP="003D3E24">
      <w:pPr>
        <w:spacing w:after="0" w:line="240" w:lineRule="auto"/>
        <w:jc w:val="both"/>
        <w:rPr>
          <w:rFonts w:ascii="Calibri" w:hAnsi="Calibri"/>
          <w:lang w:val="en-GB"/>
        </w:rPr>
      </w:pPr>
    </w:p>
    <w:p w:rsidR="00DB1B6E" w:rsidRDefault="00DB1B6E" w:rsidP="003D3E24">
      <w:pPr>
        <w:spacing w:after="0" w:line="240" w:lineRule="auto"/>
        <w:jc w:val="both"/>
        <w:rPr>
          <w:rFonts w:ascii="Calibri" w:hAnsi="Calibri"/>
          <w:lang w:val="en-GB"/>
        </w:rPr>
      </w:pPr>
    </w:p>
    <w:p w:rsidR="00DB1B6E" w:rsidRDefault="00DB1B6E" w:rsidP="003D3E24">
      <w:pPr>
        <w:spacing w:after="0" w:line="240" w:lineRule="auto"/>
        <w:jc w:val="both"/>
        <w:rPr>
          <w:rFonts w:ascii="Calibri" w:hAnsi="Calibri"/>
          <w:lang w:val="en-GB"/>
        </w:rPr>
      </w:pPr>
    </w:p>
    <w:p w:rsidR="00DB1B6E" w:rsidRDefault="00DB1B6E" w:rsidP="003D3E24">
      <w:pPr>
        <w:spacing w:after="0" w:line="240" w:lineRule="auto"/>
        <w:jc w:val="both"/>
        <w:rPr>
          <w:rFonts w:ascii="Calibri" w:hAnsi="Calibri"/>
          <w:lang w:val="en-GB"/>
        </w:rPr>
      </w:pPr>
    </w:p>
    <w:p w:rsidR="00DB1B6E" w:rsidRDefault="00DB1B6E" w:rsidP="003D3E24">
      <w:pPr>
        <w:spacing w:after="0" w:line="240" w:lineRule="auto"/>
        <w:jc w:val="both"/>
        <w:rPr>
          <w:rFonts w:ascii="Calibri" w:hAnsi="Calibri"/>
          <w:lang w:val="en-GB"/>
        </w:rPr>
      </w:pPr>
    </w:p>
    <w:p w:rsidR="00DB1B6E" w:rsidRDefault="00DB1B6E" w:rsidP="003D3E24">
      <w:pPr>
        <w:spacing w:after="0" w:line="240" w:lineRule="auto"/>
        <w:jc w:val="both"/>
        <w:rPr>
          <w:rFonts w:ascii="Calibri" w:hAnsi="Calibri"/>
          <w:lang w:val="en-GB"/>
        </w:rPr>
      </w:pPr>
    </w:p>
    <w:p w:rsidR="00DB1B6E" w:rsidRDefault="00DB1B6E" w:rsidP="003D3E24">
      <w:pPr>
        <w:spacing w:after="0" w:line="240" w:lineRule="auto"/>
        <w:jc w:val="both"/>
        <w:rPr>
          <w:rFonts w:ascii="Calibri" w:hAnsi="Calibri"/>
          <w:lang w:val="en-GB"/>
        </w:rPr>
      </w:pPr>
    </w:p>
    <w:p w:rsidR="00DB1B6E" w:rsidRDefault="00DB1B6E" w:rsidP="003D3E24">
      <w:pPr>
        <w:spacing w:after="0" w:line="240" w:lineRule="auto"/>
        <w:jc w:val="both"/>
        <w:rPr>
          <w:rFonts w:ascii="Calibri" w:hAnsi="Calibri"/>
          <w:lang w:val="en-GB"/>
        </w:rPr>
      </w:pPr>
    </w:p>
    <w:p w:rsidR="00DB1B6E" w:rsidRDefault="00DB1B6E" w:rsidP="003D3E24">
      <w:pPr>
        <w:spacing w:after="0" w:line="240" w:lineRule="auto"/>
        <w:jc w:val="both"/>
        <w:rPr>
          <w:rFonts w:ascii="Calibri" w:hAnsi="Calibri"/>
          <w:lang w:val="en-GB"/>
        </w:rPr>
      </w:pPr>
    </w:p>
    <w:p w:rsidR="00DB1B6E" w:rsidRDefault="00DB1B6E" w:rsidP="003D3E24">
      <w:pPr>
        <w:spacing w:after="0" w:line="240" w:lineRule="auto"/>
        <w:jc w:val="both"/>
        <w:rPr>
          <w:rFonts w:ascii="Calibri" w:hAnsi="Calibri"/>
          <w:lang w:val="en-GB"/>
        </w:rPr>
      </w:pPr>
    </w:p>
    <w:p w:rsidR="00DB1B6E" w:rsidRDefault="00DB1B6E" w:rsidP="003D3E24">
      <w:pPr>
        <w:spacing w:after="0" w:line="240" w:lineRule="auto"/>
        <w:jc w:val="both"/>
        <w:rPr>
          <w:rFonts w:ascii="Calibri" w:hAnsi="Calibri"/>
          <w:lang w:val="en-GB"/>
        </w:rPr>
      </w:pPr>
    </w:p>
    <w:p w:rsidR="00DB1B6E" w:rsidRDefault="00DB1B6E" w:rsidP="003D3E24">
      <w:pPr>
        <w:spacing w:after="0" w:line="240" w:lineRule="auto"/>
        <w:jc w:val="both"/>
        <w:rPr>
          <w:rFonts w:ascii="Calibri" w:hAnsi="Calibri"/>
          <w:lang w:val="en-GB"/>
        </w:rPr>
      </w:pPr>
    </w:p>
    <w:p w:rsidR="00DB1B6E" w:rsidRPr="004B370C" w:rsidRDefault="00DB1B6E" w:rsidP="003D3E24">
      <w:pPr>
        <w:spacing w:after="0" w:line="240" w:lineRule="auto"/>
        <w:jc w:val="both"/>
        <w:rPr>
          <w:rFonts w:ascii="Calibri" w:hAnsi="Calibri"/>
          <w:lang w:val="en-GB"/>
        </w:rPr>
      </w:pPr>
    </w:p>
    <w:p w:rsidR="001B699E" w:rsidRPr="004B370C" w:rsidRDefault="001B699E" w:rsidP="003D3E24">
      <w:pPr>
        <w:spacing w:after="0" w:line="240" w:lineRule="auto"/>
        <w:jc w:val="both"/>
        <w:rPr>
          <w:rFonts w:ascii="Calibri" w:hAnsi="Calibri"/>
          <w:lang w:val="en-GB"/>
        </w:rPr>
      </w:pPr>
    </w:p>
    <w:p w:rsidR="0025036C" w:rsidRDefault="0025036C" w:rsidP="00DB1B6E">
      <w:pPr>
        <w:spacing w:after="0" w:line="240" w:lineRule="auto"/>
        <w:jc w:val="both"/>
        <w:rPr>
          <w:bCs/>
          <w:lang w:val="en-GB"/>
        </w:rPr>
      </w:pPr>
    </w:p>
    <w:p w:rsidR="00DB1B6E" w:rsidRPr="004B370C" w:rsidRDefault="00DB1B6E" w:rsidP="00DB1B6E">
      <w:pPr>
        <w:spacing w:after="0" w:line="240" w:lineRule="auto"/>
        <w:jc w:val="both"/>
        <w:rPr>
          <w:rFonts w:ascii="Calibri" w:hAnsi="Calibri"/>
          <w:b/>
          <w:u w:val="single"/>
          <w:lang w:val="en-GB"/>
        </w:rPr>
      </w:pPr>
      <w:r>
        <w:rPr>
          <w:rFonts w:ascii="Calibri" w:hAnsi="Calibri"/>
          <w:b/>
          <w:u w:val="single"/>
          <w:lang w:val="en-GB"/>
        </w:rPr>
        <w:lastRenderedPageBreak/>
        <w:t xml:space="preserve">Annex 3: Specific answer to questions </w:t>
      </w:r>
      <w:proofErr w:type="gramStart"/>
      <w:r>
        <w:rPr>
          <w:rFonts w:ascii="Calibri" w:hAnsi="Calibri"/>
          <w:b/>
          <w:u w:val="single"/>
          <w:lang w:val="en-GB"/>
        </w:rPr>
        <w:t>raised</w:t>
      </w:r>
      <w:proofErr w:type="gramEnd"/>
      <w:r>
        <w:rPr>
          <w:rFonts w:ascii="Calibri" w:hAnsi="Calibri"/>
          <w:b/>
          <w:u w:val="single"/>
          <w:lang w:val="en-GB"/>
        </w:rPr>
        <w:t xml:space="preserve"> in EBA/CP/2013/39</w:t>
      </w:r>
      <w:r w:rsidRPr="00250FDB">
        <w:rPr>
          <w:rFonts w:ascii="Calibri" w:hAnsi="Calibri"/>
          <w:b/>
          <w:u w:val="single"/>
          <w:lang w:val="en-GB"/>
        </w:rPr>
        <w:t>:</w:t>
      </w:r>
    </w:p>
    <w:p w:rsidR="001B699E" w:rsidRPr="004B370C" w:rsidRDefault="001B699E" w:rsidP="003D3E24">
      <w:pPr>
        <w:spacing w:after="0" w:line="240" w:lineRule="auto"/>
        <w:jc w:val="both"/>
        <w:rPr>
          <w:rFonts w:ascii="Calibri" w:hAnsi="Calibri"/>
          <w:color w:val="4A6B3C"/>
          <w:lang w:val="en-GB"/>
        </w:rPr>
      </w:pPr>
    </w:p>
    <w:p w:rsidR="001B699E" w:rsidRPr="00DB1B6E" w:rsidRDefault="001B699E" w:rsidP="003D3E24">
      <w:pPr>
        <w:spacing w:after="0" w:line="240" w:lineRule="auto"/>
        <w:jc w:val="both"/>
        <w:rPr>
          <w:rFonts w:ascii="Calibri" w:hAnsi="Calibri"/>
          <w:b/>
          <w:lang w:val="en-GB"/>
        </w:rPr>
      </w:pPr>
      <w:r w:rsidRPr="00DB1B6E">
        <w:rPr>
          <w:rFonts w:ascii="Calibri" w:hAnsi="Calibri"/>
          <w:b/>
          <w:lang w:val="en-GB"/>
        </w:rPr>
        <w:t>Q1: Do you agree with the proposed notification mechanism, its contents and timelines? If not, why not, and what should be altered?</w:t>
      </w:r>
    </w:p>
    <w:p w:rsidR="001B699E" w:rsidRPr="004B370C" w:rsidRDefault="001B699E" w:rsidP="003D3E24">
      <w:pPr>
        <w:spacing w:after="0" w:line="240" w:lineRule="auto"/>
        <w:jc w:val="both"/>
        <w:rPr>
          <w:rFonts w:ascii="Calibri" w:hAnsi="Calibri"/>
          <w:lang w:val="en-GB"/>
        </w:rPr>
      </w:pPr>
    </w:p>
    <w:p w:rsidR="001B699E" w:rsidRDefault="001B699E" w:rsidP="003D3E24">
      <w:pPr>
        <w:spacing w:after="0" w:line="240" w:lineRule="auto"/>
        <w:jc w:val="both"/>
        <w:rPr>
          <w:rFonts w:ascii="Calibri" w:hAnsi="Calibri"/>
          <w:lang w:val="en-GB"/>
        </w:rPr>
      </w:pPr>
      <w:r w:rsidRPr="00A77056">
        <w:rPr>
          <w:rFonts w:ascii="Calibri" w:hAnsi="Calibri"/>
          <w:lang w:val="en-GB"/>
        </w:rPr>
        <w:t xml:space="preserve">We agree with the proposed mechanism of notification as it </w:t>
      </w:r>
      <w:r w:rsidR="00B87C87">
        <w:rPr>
          <w:rFonts w:ascii="Calibri" w:hAnsi="Calibri"/>
          <w:lang w:val="en-GB"/>
        </w:rPr>
        <w:t>ensures</w:t>
      </w:r>
      <w:r w:rsidRPr="00A77056">
        <w:rPr>
          <w:rFonts w:ascii="Calibri" w:hAnsi="Calibri"/>
          <w:lang w:val="en-GB"/>
        </w:rPr>
        <w:t xml:space="preserve"> a level playing field.</w:t>
      </w:r>
      <w:r>
        <w:rPr>
          <w:rFonts w:ascii="Calibri" w:hAnsi="Calibri"/>
          <w:lang w:val="en-GB"/>
        </w:rPr>
        <w:t xml:space="preserve"> However, t</w:t>
      </w:r>
      <w:r w:rsidRPr="00A77056">
        <w:rPr>
          <w:rFonts w:ascii="Calibri" w:hAnsi="Calibri"/>
          <w:lang w:val="en-GB"/>
        </w:rPr>
        <w:t xml:space="preserve">he timing of notification may not be </w:t>
      </w:r>
      <w:r w:rsidR="00B87C87">
        <w:rPr>
          <w:rFonts w:ascii="Calibri" w:hAnsi="Calibri"/>
          <w:lang w:val="en-GB"/>
        </w:rPr>
        <w:t>appropriate because of</w:t>
      </w:r>
      <w:r w:rsidRPr="00A77056">
        <w:rPr>
          <w:rFonts w:ascii="Calibri" w:hAnsi="Calibri"/>
          <w:lang w:val="en-GB"/>
        </w:rPr>
        <w:t xml:space="preserve"> market changes. The updating of the notification should</w:t>
      </w:r>
      <w:r>
        <w:rPr>
          <w:rFonts w:ascii="Calibri" w:hAnsi="Calibri"/>
          <w:lang w:val="en-GB"/>
        </w:rPr>
        <w:t xml:space="preserve"> </w:t>
      </w:r>
      <w:r w:rsidRPr="00A77056">
        <w:rPr>
          <w:rFonts w:ascii="Calibri" w:hAnsi="Calibri"/>
          <w:lang w:val="en-GB"/>
        </w:rPr>
        <w:t>n</w:t>
      </w:r>
      <w:r>
        <w:rPr>
          <w:rFonts w:ascii="Calibri" w:hAnsi="Calibri"/>
          <w:lang w:val="en-GB"/>
        </w:rPr>
        <w:t>o</w:t>
      </w:r>
      <w:r w:rsidRPr="00A77056">
        <w:rPr>
          <w:rFonts w:ascii="Calibri" w:hAnsi="Calibri"/>
          <w:lang w:val="en-GB"/>
        </w:rPr>
        <w:t xml:space="preserve">t be </w:t>
      </w:r>
      <w:r w:rsidR="00720F2E">
        <w:rPr>
          <w:rFonts w:ascii="Calibri" w:hAnsi="Calibri"/>
          <w:lang w:val="en-GB"/>
        </w:rPr>
        <w:t xml:space="preserve">done </w:t>
      </w:r>
      <w:r w:rsidRPr="00A77056">
        <w:rPr>
          <w:rFonts w:ascii="Calibri" w:hAnsi="Calibri"/>
          <w:lang w:val="en-GB"/>
        </w:rPr>
        <w:t>annually, but</w:t>
      </w:r>
      <w:r>
        <w:rPr>
          <w:rFonts w:ascii="Calibri" w:hAnsi="Calibri"/>
          <w:lang w:val="en-GB"/>
        </w:rPr>
        <w:t xml:space="preserve"> be at</w:t>
      </w:r>
      <w:r w:rsidRPr="00A77056">
        <w:rPr>
          <w:rFonts w:ascii="Calibri" w:hAnsi="Calibri"/>
          <w:lang w:val="en-GB"/>
        </w:rPr>
        <w:t xml:space="preserve"> a shorter </w:t>
      </w:r>
      <w:r>
        <w:rPr>
          <w:rFonts w:ascii="Calibri" w:hAnsi="Calibri"/>
          <w:lang w:val="en-GB"/>
        </w:rPr>
        <w:t>interval</w:t>
      </w:r>
      <w:r w:rsidRPr="00A77056">
        <w:rPr>
          <w:rFonts w:ascii="Calibri" w:hAnsi="Calibri"/>
          <w:lang w:val="en-GB"/>
        </w:rPr>
        <w:t>.</w:t>
      </w:r>
    </w:p>
    <w:p w:rsidR="0025036C" w:rsidRDefault="0025036C" w:rsidP="003D3E24">
      <w:pPr>
        <w:spacing w:after="0" w:line="240" w:lineRule="auto"/>
        <w:jc w:val="both"/>
        <w:rPr>
          <w:rFonts w:ascii="Calibri" w:hAnsi="Calibri"/>
          <w:lang w:val="en-GB"/>
        </w:rPr>
      </w:pPr>
    </w:p>
    <w:p w:rsidR="001B699E" w:rsidRPr="004B370C" w:rsidRDefault="001B699E" w:rsidP="003D3E24">
      <w:pPr>
        <w:spacing w:after="0" w:line="240" w:lineRule="auto"/>
        <w:jc w:val="both"/>
        <w:rPr>
          <w:rFonts w:ascii="Calibri" w:hAnsi="Calibri"/>
          <w:lang w:val="en-GB"/>
        </w:rPr>
      </w:pPr>
      <w:r>
        <w:rPr>
          <w:rFonts w:ascii="Calibri" w:hAnsi="Calibri"/>
          <w:lang w:val="en-GB"/>
        </w:rPr>
        <w:t xml:space="preserve">It should be noted that the calculation of the </w:t>
      </w:r>
      <w:r w:rsidR="008B2611">
        <w:rPr>
          <w:rFonts w:ascii="Calibri" w:hAnsi="Calibri"/>
          <w:lang w:val="en-GB"/>
        </w:rPr>
        <w:t>commitment</w:t>
      </w:r>
      <w:r>
        <w:rPr>
          <w:rFonts w:ascii="Calibri" w:hAnsi="Calibri"/>
          <w:lang w:val="en-GB"/>
        </w:rPr>
        <w:t xml:space="preserve"> fee according to the pricing formula envisaged by the EBA is potentially challenging from an operational point of view, especially when the assets kept to secure the credit lines are non-marketable assets.  </w:t>
      </w:r>
      <w:r w:rsidR="00FA2C04">
        <w:rPr>
          <w:rFonts w:ascii="Calibri" w:hAnsi="Calibri"/>
          <w:lang w:val="en-GB"/>
        </w:rPr>
        <w:t xml:space="preserve">Depending on the hypothesis and the quality of the data retained for the analysis, the results of the fee valuation may differ significantly between the banks; which </w:t>
      </w:r>
      <w:r w:rsidR="00E526A5">
        <w:rPr>
          <w:rFonts w:ascii="Calibri" w:hAnsi="Calibri"/>
          <w:lang w:val="en-GB"/>
        </w:rPr>
        <w:t xml:space="preserve">will not provide </w:t>
      </w:r>
      <w:r w:rsidR="00FA2C04">
        <w:rPr>
          <w:rFonts w:ascii="Calibri" w:hAnsi="Calibri"/>
          <w:lang w:val="en-GB"/>
        </w:rPr>
        <w:t>a level playing field. Therefore, we favour a fee that could be valued based on management data provided by the banks, but that would be identical for all institutions using the derogation B.</w:t>
      </w:r>
    </w:p>
    <w:p w:rsidR="001B699E" w:rsidRPr="004B370C" w:rsidRDefault="001B699E" w:rsidP="003D3E24">
      <w:pPr>
        <w:spacing w:after="0" w:line="240" w:lineRule="auto"/>
        <w:jc w:val="both"/>
        <w:rPr>
          <w:rFonts w:ascii="Calibri" w:hAnsi="Calibri"/>
          <w:lang w:val="en-GB"/>
        </w:rPr>
      </w:pPr>
    </w:p>
    <w:p w:rsidR="001B699E" w:rsidRPr="00DB1B6E" w:rsidRDefault="001B699E" w:rsidP="003D3E24">
      <w:pPr>
        <w:spacing w:after="0" w:line="240" w:lineRule="auto"/>
        <w:jc w:val="both"/>
        <w:rPr>
          <w:rFonts w:ascii="Calibri" w:hAnsi="Calibri"/>
          <w:b/>
          <w:lang w:val="en-GB"/>
        </w:rPr>
      </w:pPr>
      <w:r w:rsidRPr="00DB1B6E">
        <w:rPr>
          <w:rFonts w:ascii="Calibri" w:hAnsi="Calibri"/>
          <w:b/>
          <w:lang w:val="en-GB"/>
        </w:rPr>
        <w:t>Q2: Are the steps to prevent the unnecessary use of a derogation clearly described? Do you see these steps as appropriate? If not, why not, and what should be altered? Are there any additional specifications that could clarify the assessments under paragraphs 1 and 2 of Article 3?</w:t>
      </w:r>
    </w:p>
    <w:p w:rsidR="001B699E" w:rsidRPr="004B370C" w:rsidRDefault="001B699E" w:rsidP="003D3E24">
      <w:pPr>
        <w:spacing w:after="0" w:line="240" w:lineRule="auto"/>
        <w:jc w:val="both"/>
        <w:rPr>
          <w:rFonts w:ascii="Calibri" w:hAnsi="Calibri"/>
          <w:b/>
          <w:bCs/>
          <w:lang w:val="en-GB"/>
        </w:rPr>
      </w:pPr>
    </w:p>
    <w:p w:rsidR="001B699E" w:rsidRPr="00CB5E98" w:rsidRDefault="001B699E" w:rsidP="003D3E24">
      <w:pPr>
        <w:pStyle w:val="Default"/>
        <w:jc w:val="both"/>
        <w:rPr>
          <w:sz w:val="20"/>
          <w:szCs w:val="20"/>
          <w:lang w:val="en-GB"/>
        </w:rPr>
      </w:pPr>
      <w:r>
        <w:rPr>
          <w:rFonts w:ascii="Calibri" w:eastAsia="Calibri" w:hAnsi="Calibri" w:cs="Times New Roman"/>
          <w:color w:val="auto"/>
          <w:sz w:val="22"/>
          <w:szCs w:val="22"/>
          <w:lang w:val="en-GB"/>
        </w:rPr>
        <w:t xml:space="preserve">Yes, we agree. </w:t>
      </w:r>
    </w:p>
    <w:p w:rsidR="001B699E" w:rsidRPr="004B370C" w:rsidRDefault="001B699E" w:rsidP="003D3E24">
      <w:pPr>
        <w:spacing w:after="0" w:line="240" w:lineRule="auto"/>
        <w:jc w:val="both"/>
        <w:rPr>
          <w:rFonts w:ascii="Calibri" w:hAnsi="Calibri"/>
          <w:lang w:val="en-GB"/>
        </w:rPr>
      </w:pPr>
    </w:p>
    <w:p w:rsidR="001B699E" w:rsidRPr="0025036C" w:rsidRDefault="001B699E" w:rsidP="003D3E24">
      <w:pPr>
        <w:spacing w:after="0" w:line="240" w:lineRule="auto"/>
        <w:jc w:val="both"/>
        <w:rPr>
          <w:rFonts w:ascii="Calibri" w:hAnsi="Calibri"/>
          <w:b/>
          <w:lang w:val="en-GB"/>
        </w:rPr>
      </w:pPr>
      <w:r w:rsidRPr="0025036C">
        <w:rPr>
          <w:rFonts w:ascii="Calibri" w:hAnsi="Calibri"/>
          <w:b/>
          <w:lang w:val="en-GB"/>
        </w:rPr>
        <w:t xml:space="preserve">Q3: Are the workings and conditions of derogation </w:t>
      </w:r>
      <w:proofErr w:type="gramStart"/>
      <w:r w:rsidRPr="0025036C">
        <w:rPr>
          <w:rFonts w:ascii="Calibri" w:hAnsi="Calibri"/>
          <w:b/>
          <w:lang w:val="en-GB"/>
        </w:rPr>
        <w:t>A</w:t>
      </w:r>
      <w:proofErr w:type="gramEnd"/>
      <w:r w:rsidRPr="0025036C">
        <w:rPr>
          <w:rFonts w:ascii="Calibri" w:hAnsi="Calibri"/>
          <w:b/>
          <w:lang w:val="en-GB"/>
        </w:rPr>
        <w:t xml:space="preserve"> clearly described? Do you see these steps as appropriate? If not, why not, and what should be altered?</w:t>
      </w:r>
    </w:p>
    <w:p w:rsidR="001B699E" w:rsidRPr="004B370C" w:rsidRDefault="001B699E" w:rsidP="003D3E24">
      <w:pPr>
        <w:spacing w:after="0" w:line="240" w:lineRule="auto"/>
        <w:jc w:val="both"/>
        <w:rPr>
          <w:rFonts w:ascii="Calibri" w:hAnsi="Calibri"/>
          <w:lang w:val="en-GB"/>
        </w:rPr>
      </w:pPr>
    </w:p>
    <w:p w:rsidR="001B699E" w:rsidRPr="004B370C" w:rsidRDefault="001B699E" w:rsidP="003D3E24">
      <w:pPr>
        <w:spacing w:after="0" w:line="240" w:lineRule="auto"/>
        <w:jc w:val="both"/>
        <w:rPr>
          <w:rFonts w:ascii="Calibri" w:hAnsi="Calibri"/>
          <w:lang w:val="en-GB"/>
        </w:rPr>
      </w:pPr>
      <w:r w:rsidRPr="004B370C">
        <w:rPr>
          <w:rFonts w:ascii="Calibri" w:hAnsi="Calibri"/>
          <w:lang w:val="en-GB"/>
        </w:rPr>
        <w:t xml:space="preserve">Yes, </w:t>
      </w:r>
      <w:r>
        <w:rPr>
          <w:rFonts w:ascii="Calibri" w:hAnsi="Calibri"/>
          <w:lang w:val="en-GB"/>
        </w:rPr>
        <w:t>we agree.</w:t>
      </w:r>
    </w:p>
    <w:p w:rsidR="001B699E" w:rsidRPr="004B370C" w:rsidRDefault="001B699E" w:rsidP="003D3E24">
      <w:pPr>
        <w:spacing w:after="0" w:line="240" w:lineRule="auto"/>
        <w:jc w:val="both"/>
        <w:rPr>
          <w:rFonts w:cs="Calibri"/>
          <w:lang w:val="en-GB"/>
        </w:rPr>
      </w:pPr>
    </w:p>
    <w:p w:rsidR="001B699E" w:rsidRPr="0025036C" w:rsidRDefault="001B699E" w:rsidP="003D3E24">
      <w:pPr>
        <w:spacing w:after="0" w:line="240" w:lineRule="auto"/>
        <w:jc w:val="both"/>
        <w:rPr>
          <w:rFonts w:ascii="Calibri" w:hAnsi="Calibri"/>
          <w:b/>
          <w:lang w:val="en-GB"/>
        </w:rPr>
      </w:pPr>
      <w:r w:rsidRPr="0025036C">
        <w:rPr>
          <w:rFonts w:ascii="Calibri" w:hAnsi="Calibri"/>
          <w:b/>
          <w:lang w:val="en-GB"/>
        </w:rPr>
        <w:t>Q4: What criteria would you regard as useful for evaluating the historical evidence as mentioned in paragraph (4a) of Article 4?</w:t>
      </w:r>
    </w:p>
    <w:p w:rsidR="001B699E" w:rsidRPr="004B370C" w:rsidRDefault="001B699E" w:rsidP="003D3E24">
      <w:pPr>
        <w:spacing w:after="0" w:line="240" w:lineRule="auto"/>
        <w:jc w:val="both"/>
        <w:rPr>
          <w:rFonts w:ascii="Calibri" w:hAnsi="Calibri"/>
          <w:lang w:val="en-GB"/>
        </w:rPr>
      </w:pPr>
    </w:p>
    <w:p w:rsidR="001B699E" w:rsidRPr="004B370C" w:rsidRDefault="001B699E" w:rsidP="003D3E24">
      <w:pPr>
        <w:spacing w:after="0" w:line="240" w:lineRule="auto"/>
        <w:jc w:val="both"/>
        <w:rPr>
          <w:rFonts w:ascii="Calibri" w:hAnsi="Calibri"/>
          <w:lang w:val="en-GB"/>
        </w:rPr>
      </w:pPr>
      <w:r w:rsidRPr="00A77056">
        <w:rPr>
          <w:rFonts w:ascii="Calibri" w:hAnsi="Calibri"/>
          <w:lang w:val="en-GB"/>
        </w:rPr>
        <w:t>For currencies not actively traded in global foreign exchange markets we find 10 years</w:t>
      </w:r>
      <w:r>
        <w:rPr>
          <w:rFonts w:ascii="Calibri" w:hAnsi="Calibri"/>
          <w:lang w:val="en-GB"/>
        </w:rPr>
        <w:t xml:space="preserve"> is</w:t>
      </w:r>
      <w:r w:rsidRPr="00A77056">
        <w:rPr>
          <w:rFonts w:ascii="Calibri" w:hAnsi="Calibri"/>
          <w:lang w:val="en-GB"/>
        </w:rPr>
        <w:t xml:space="preserve"> a very long period, 5 years woul</w:t>
      </w:r>
      <w:r>
        <w:rPr>
          <w:rFonts w:ascii="Calibri" w:hAnsi="Calibri"/>
          <w:lang w:val="en-GB"/>
        </w:rPr>
        <w:t>d</w:t>
      </w:r>
      <w:r w:rsidRPr="00A77056">
        <w:rPr>
          <w:rFonts w:ascii="Calibri" w:hAnsi="Calibri"/>
          <w:lang w:val="en-GB"/>
        </w:rPr>
        <w:t xml:space="preserve"> be </w:t>
      </w:r>
      <w:r>
        <w:rPr>
          <w:rFonts w:ascii="Calibri" w:hAnsi="Calibri"/>
          <w:lang w:val="en-GB"/>
        </w:rPr>
        <w:t>more appropriate</w:t>
      </w:r>
      <w:r w:rsidRPr="00A77056">
        <w:rPr>
          <w:rFonts w:ascii="Calibri" w:hAnsi="Calibri"/>
          <w:lang w:val="en-GB"/>
        </w:rPr>
        <w:t>.</w:t>
      </w:r>
    </w:p>
    <w:p w:rsidR="001B699E" w:rsidRDefault="001B699E" w:rsidP="003D3E24">
      <w:pPr>
        <w:spacing w:after="0" w:line="240" w:lineRule="auto"/>
        <w:jc w:val="both"/>
        <w:rPr>
          <w:rFonts w:ascii="Calibri" w:hAnsi="Calibri"/>
          <w:b/>
          <w:lang w:val="en-GB"/>
        </w:rPr>
      </w:pPr>
    </w:p>
    <w:p w:rsidR="001B699E" w:rsidRPr="0025036C" w:rsidRDefault="001B699E" w:rsidP="003D3E24">
      <w:pPr>
        <w:spacing w:after="0" w:line="240" w:lineRule="auto"/>
        <w:jc w:val="both"/>
        <w:rPr>
          <w:rFonts w:ascii="Calibri" w:hAnsi="Calibri"/>
          <w:b/>
          <w:lang w:val="en-GB"/>
        </w:rPr>
      </w:pPr>
      <w:r w:rsidRPr="0025036C">
        <w:rPr>
          <w:rFonts w:ascii="Calibri" w:hAnsi="Calibri"/>
          <w:b/>
          <w:lang w:val="en-GB"/>
        </w:rPr>
        <w:t xml:space="preserve">Q5: Is the additional 8% haircut on foreign-currency-denominated assets held under derogation </w:t>
      </w:r>
      <w:proofErr w:type="spellStart"/>
      <w:proofErr w:type="gramStart"/>
      <w:r w:rsidRPr="0025036C">
        <w:rPr>
          <w:rFonts w:ascii="Calibri" w:hAnsi="Calibri"/>
          <w:b/>
          <w:lang w:val="en-GB"/>
        </w:rPr>
        <w:t>A</w:t>
      </w:r>
      <w:proofErr w:type="spellEnd"/>
      <w:proofErr w:type="gramEnd"/>
      <w:r w:rsidRPr="0025036C">
        <w:rPr>
          <w:rFonts w:ascii="Calibri" w:hAnsi="Calibri"/>
          <w:b/>
          <w:lang w:val="en-GB"/>
        </w:rPr>
        <w:t xml:space="preserve"> appropriate? If not, why not, and what alternative treatment would you propose?</w:t>
      </w:r>
    </w:p>
    <w:p w:rsidR="001B699E" w:rsidRPr="004B370C" w:rsidRDefault="001B699E" w:rsidP="003D3E24">
      <w:pPr>
        <w:spacing w:after="0" w:line="240" w:lineRule="auto"/>
        <w:jc w:val="both"/>
        <w:rPr>
          <w:rFonts w:ascii="Calibri" w:hAnsi="Calibri"/>
          <w:lang w:val="en-GB"/>
        </w:rPr>
      </w:pPr>
    </w:p>
    <w:p w:rsidR="001B699E" w:rsidRPr="004B370C" w:rsidRDefault="001B699E" w:rsidP="003D3E24">
      <w:pPr>
        <w:spacing w:after="0" w:line="240" w:lineRule="auto"/>
        <w:jc w:val="both"/>
        <w:rPr>
          <w:rFonts w:ascii="Calibri" w:hAnsi="Calibri"/>
          <w:lang w:val="en-GB"/>
        </w:rPr>
      </w:pPr>
      <w:r w:rsidRPr="004B370C">
        <w:rPr>
          <w:rFonts w:ascii="Calibri" w:hAnsi="Calibri"/>
          <w:lang w:val="en-GB"/>
        </w:rPr>
        <w:t xml:space="preserve">Yes, </w:t>
      </w:r>
      <w:r>
        <w:rPr>
          <w:rFonts w:ascii="Calibri" w:hAnsi="Calibri"/>
          <w:lang w:val="en-GB"/>
        </w:rPr>
        <w:t>we agree.</w:t>
      </w:r>
    </w:p>
    <w:p w:rsidR="001B699E" w:rsidRPr="004B370C" w:rsidRDefault="001B699E" w:rsidP="003D3E24">
      <w:pPr>
        <w:spacing w:after="0" w:line="240" w:lineRule="auto"/>
        <w:jc w:val="both"/>
        <w:rPr>
          <w:bCs/>
          <w:lang w:val="en-GB"/>
        </w:rPr>
      </w:pPr>
    </w:p>
    <w:p w:rsidR="001B699E" w:rsidRPr="0025036C" w:rsidRDefault="001B699E" w:rsidP="003D3E24">
      <w:pPr>
        <w:spacing w:after="0" w:line="240" w:lineRule="auto"/>
        <w:jc w:val="both"/>
        <w:rPr>
          <w:rFonts w:ascii="Calibri" w:hAnsi="Calibri"/>
          <w:b/>
          <w:lang w:val="en-GB"/>
        </w:rPr>
      </w:pPr>
      <w:r w:rsidRPr="0025036C">
        <w:rPr>
          <w:rFonts w:ascii="Calibri" w:hAnsi="Calibri"/>
          <w:b/>
          <w:lang w:val="en-GB"/>
        </w:rPr>
        <w:t>Q6: Are the workings and conditions of derogation B clearly described? Do you see these steps as appropriate? If not, why not, and what should be altered?</w:t>
      </w:r>
    </w:p>
    <w:p w:rsidR="001B699E" w:rsidRPr="004B370C" w:rsidRDefault="001B699E" w:rsidP="003D3E24">
      <w:pPr>
        <w:spacing w:after="0" w:line="240" w:lineRule="auto"/>
        <w:jc w:val="both"/>
        <w:rPr>
          <w:rFonts w:ascii="Calibri" w:hAnsi="Calibri"/>
          <w:b/>
          <w:lang w:val="en-GB"/>
        </w:rPr>
      </w:pPr>
    </w:p>
    <w:p w:rsidR="001B699E" w:rsidRDefault="001B699E" w:rsidP="003D3E24">
      <w:pPr>
        <w:spacing w:after="0" w:line="240" w:lineRule="auto"/>
        <w:jc w:val="both"/>
        <w:rPr>
          <w:rFonts w:ascii="Calibri" w:hAnsi="Calibri"/>
          <w:lang w:val="en-GB"/>
        </w:rPr>
      </w:pPr>
      <w:r>
        <w:rPr>
          <w:rFonts w:ascii="Calibri" w:hAnsi="Calibri"/>
          <w:lang w:val="en-GB"/>
        </w:rPr>
        <w:t xml:space="preserve">We agree that the use of </w:t>
      </w:r>
      <w:r w:rsidR="00500278">
        <w:rPr>
          <w:rFonts w:ascii="Calibri" w:hAnsi="Calibri"/>
          <w:lang w:val="en-GB"/>
        </w:rPr>
        <w:t>waiver</w:t>
      </w:r>
      <w:r>
        <w:rPr>
          <w:rFonts w:ascii="Calibri" w:hAnsi="Calibri"/>
          <w:lang w:val="en-GB"/>
        </w:rPr>
        <w:t xml:space="preserve"> should not be advantageous; however we are </w:t>
      </w:r>
      <w:r w:rsidR="00500278">
        <w:rPr>
          <w:rFonts w:ascii="Calibri" w:hAnsi="Calibri"/>
          <w:lang w:val="en-GB"/>
        </w:rPr>
        <w:t>worried</w:t>
      </w:r>
      <w:r>
        <w:rPr>
          <w:rFonts w:ascii="Calibri" w:hAnsi="Calibri"/>
          <w:lang w:val="en-GB"/>
        </w:rPr>
        <w:t xml:space="preserve"> that the</w:t>
      </w:r>
      <w:r w:rsidRPr="00130CD0">
        <w:rPr>
          <w:rFonts w:ascii="Calibri" w:hAnsi="Calibri"/>
          <w:lang w:val="en-GB"/>
        </w:rPr>
        <w:t xml:space="preserve"> EBA specifies the price conditions of Central Bank facilities to banks</w:t>
      </w:r>
      <w:r>
        <w:rPr>
          <w:rFonts w:ascii="Calibri" w:hAnsi="Calibri"/>
          <w:lang w:val="en-GB"/>
        </w:rPr>
        <w:t>, as well as the haircuts to be applied by the Central Bank to the collateral. This</w:t>
      </w:r>
      <w:r w:rsidRPr="00130CD0">
        <w:rPr>
          <w:rFonts w:ascii="Calibri" w:hAnsi="Calibri"/>
          <w:lang w:val="en-GB"/>
        </w:rPr>
        <w:t xml:space="preserve"> seems beyond its mandate</w:t>
      </w:r>
      <w:r>
        <w:rPr>
          <w:rFonts w:ascii="Calibri" w:hAnsi="Calibri"/>
          <w:lang w:val="en-GB"/>
        </w:rPr>
        <w:t xml:space="preserve">. These credit facilities will be part of the tools available for the Central Bank to </w:t>
      </w:r>
      <w:r w:rsidR="00500278">
        <w:rPr>
          <w:rFonts w:ascii="Calibri" w:hAnsi="Calibri"/>
          <w:lang w:val="en-GB"/>
        </w:rPr>
        <w:t>implement</w:t>
      </w:r>
      <w:r>
        <w:rPr>
          <w:rFonts w:ascii="Calibri" w:hAnsi="Calibri"/>
          <w:lang w:val="en-GB"/>
        </w:rPr>
        <w:t xml:space="preserve"> the monetary policy; hence the pricing conditions should remain its prerogative. </w:t>
      </w:r>
      <w:r w:rsidR="007C0A0C">
        <w:rPr>
          <w:rFonts w:ascii="Calibri" w:hAnsi="Calibri"/>
          <w:lang w:val="en-GB"/>
        </w:rPr>
        <w:t xml:space="preserve">Moreover, depending on the hypothesis and the quality of the data retained for the analysis, the results of the </w:t>
      </w:r>
      <w:r w:rsidR="008B2611">
        <w:rPr>
          <w:rFonts w:ascii="Calibri" w:hAnsi="Calibri"/>
          <w:lang w:val="en-GB"/>
        </w:rPr>
        <w:t xml:space="preserve">commitment </w:t>
      </w:r>
      <w:r w:rsidR="007C0A0C">
        <w:rPr>
          <w:rFonts w:ascii="Calibri" w:hAnsi="Calibri"/>
          <w:lang w:val="en-GB"/>
        </w:rPr>
        <w:t>fee valuation may differ significantly between the banks; which is not participating t</w:t>
      </w:r>
      <w:r w:rsidR="00D774F9">
        <w:rPr>
          <w:rFonts w:ascii="Calibri" w:hAnsi="Calibri"/>
          <w:lang w:val="en-GB"/>
        </w:rPr>
        <w:t>o assure a level playing field.</w:t>
      </w:r>
    </w:p>
    <w:p w:rsidR="00D774F9" w:rsidRDefault="00D774F9" w:rsidP="003D3E24">
      <w:pPr>
        <w:spacing w:after="0" w:line="240" w:lineRule="auto"/>
        <w:jc w:val="both"/>
        <w:rPr>
          <w:rFonts w:ascii="Calibri" w:hAnsi="Calibri"/>
          <w:lang w:val="en-GB"/>
        </w:rPr>
      </w:pPr>
    </w:p>
    <w:p w:rsidR="001B699E" w:rsidRDefault="001B699E" w:rsidP="003D3E24">
      <w:pPr>
        <w:spacing w:after="0" w:line="240" w:lineRule="auto"/>
        <w:jc w:val="both"/>
        <w:rPr>
          <w:rFonts w:ascii="Calibri" w:hAnsi="Calibri"/>
          <w:lang w:val="en-GB"/>
        </w:rPr>
      </w:pPr>
      <w:r>
        <w:rPr>
          <w:rFonts w:ascii="Calibri" w:hAnsi="Calibri"/>
          <w:lang w:val="en-GB"/>
        </w:rPr>
        <w:t>If the EBA retains a pricing formula of these credit lines in its fin</w:t>
      </w:r>
      <w:bookmarkStart w:id="0" w:name="_GoBack"/>
      <w:bookmarkEnd w:id="0"/>
      <w:r>
        <w:rPr>
          <w:rFonts w:ascii="Calibri" w:hAnsi="Calibri"/>
          <w:lang w:val="en-GB"/>
        </w:rPr>
        <w:t>al RTS, we draw its attention on the fact that the resulting fee should not be too high, or</w:t>
      </w:r>
      <w:r w:rsidR="00D774F9">
        <w:rPr>
          <w:rFonts w:ascii="Calibri" w:hAnsi="Calibri"/>
          <w:lang w:val="en-GB"/>
        </w:rPr>
        <w:t xml:space="preserve"> else</w:t>
      </w:r>
      <w:r>
        <w:rPr>
          <w:rFonts w:ascii="Calibri" w:hAnsi="Calibri"/>
          <w:lang w:val="en-GB"/>
        </w:rPr>
        <w:t xml:space="preserve"> the banks will not resort to these facilities, </w:t>
      </w:r>
      <w:r>
        <w:rPr>
          <w:rFonts w:ascii="Calibri" w:hAnsi="Calibri"/>
          <w:lang w:val="en-GB"/>
        </w:rPr>
        <w:lastRenderedPageBreak/>
        <w:t>favouring an arbitrage between the fee of these credit lines and the cost of term borrowings from the Central Bank placed on an overnight basis at the Central Bank.</w:t>
      </w:r>
    </w:p>
    <w:p w:rsidR="001B699E" w:rsidRPr="004B370C" w:rsidRDefault="001B699E" w:rsidP="003D3E24">
      <w:pPr>
        <w:spacing w:after="0" w:line="240" w:lineRule="auto"/>
        <w:jc w:val="both"/>
        <w:rPr>
          <w:rFonts w:ascii="Calibri" w:hAnsi="Calibri"/>
          <w:lang w:val="en-GB"/>
        </w:rPr>
      </w:pPr>
    </w:p>
    <w:p w:rsidR="001B699E" w:rsidRDefault="001B699E" w:rsidP="003D3E24">
      <w:pPr>
        <w:spacing w:after="0" w:line="240" w:lineRule="auto"/>
        <w:jc w:val="both"/>
        <w:rPr>
          <w:rFonts w:ascii="Calibri" w:hAnsi="Calibri"/>
          <w:b/>
          <w:lang w:val="en-GB"/>
        </w:rPr>
      </w:pPr>
    </w:p>
    <w:p w:rsidR="001B699E" w:rsidRPr="0025036C" w:rsidRDefault="001B699E" w:rsidP="003D3E24">
      <w:pPr>
        <w:spacing w:after="0" w:line="240" w:lineRule="auto"/>
        <w:jc w:val="both"/>
        <w:rPr>
          <w:rFonts w:ascii="Calibri" w:hAnsi="Calibri"/>
          <w:b/>
          <w:lang w:val="en-GB"/>
        </w:rPr>
      </w:pPr>
      <w:r w:rsidRPr="0025036C">
        <w:rPr>
          <w:rFonts w:ascii="Calibri" w:hAnsi="Calibri"/>
          <w:b/>
          <w:lang w:val="en-GB"/>
        </w:rPr>
        <w:t>Q7: Is the proposal to limit the total use of the derogations by an institution to the relevant shortage percentage in the annex of the draft ITS containing a list of currencies with constraints on the availability of liquid assets under Article 419(4) CRR clearly described? If not, why not, and what further matters should be included? Do you see these stipulations as appropriate? If not, why not, and what should be altered?</w:t>
      </w:r>
    </w:p>
    <w:p w:rsidR="001B699E" w:rsidRPr="004B370C" w:rsidRDefault="001B699E" w:rsidP="003D3E24">
      <w:pPr>
        <w:spacing w:after="0" w:line="240" w:lineRule="auto"/>
        <w:jc w:val="both"/>
        <w:rPr>
          <w:rFonts w:ascii="Calibri" w:hAnsi="Calibri"/>
          <w:b/>
          <w:lang w:val="en-GB"/>
        </w:rPr>
      </w:pPr>
    </w:p>
    <w:p w:rsidR="001B699E" w:rsidRPr="004B370C" w:rsidRDefault="001B699E" w:rsidP="003D3E24">
      <w:pPr>
        <w:spacing w:after="0" w:line="240" w:lineRule="auto"/>
        <w:jc w:val="both"/>
        <w:rPr>
          <w:rFonts w:ascii="Calibri" w:hAnsi="Calibri"/>
          <w:lang w:val="en-GB"/>
        </w:rPr>
      </w:pPr>
      <w:r>
        <w:rPr>
          <w:rFonts w:ascii="Calibri" w:hAnsi="Calibri"/>
          <w:lang w:val="en-GB"/>
        </w:rPr>
        <w:t xml:space="preserve">The use of </w:t>
      </w:r>
      <w:r w:rsidR="00BC4E85">
        <w:rPr>
          <w:rFonts w:ascii="Calibri" w:hAnsi="Calibri"/>
          <w:lang w:val="en-GB"/>
        </w:rPr>
        <w:t>waivers</w:t>
      </w:r>
      <w:r>
        <w:rPr>
          <w:rFonts w:ascii="Calibri" w:hAnsi="Calibri"/>
          <w:lang w:val="en-GB"/>
        </w:rPr>
        <w:t xml:space="preserve"> is already strictly framed since firstly the banks have to demonstrate they have made all the possible efforts to reduce their need for these </w:t>
      </w:r>
      <w:r w:rsidR="00BC4E85">
        <w:rPr>
          <w:rFonts w:ascii="Calibri" w:hAnsi="Calibri"/>
          <w:lang w:val="en-GB"/>
        </w:rPr>
        <w:t>waivers</w:t>
      </w:r>
      <w:r>
        <w:rPr>
          <w:rFonts w:ascii="Calibri" w:hAnsi="Calibri"/>
          <w:lang w:val="en-GB"/>
        </w:rPr>
        <w:t xml:space="preserve"> and moreover there are specific haircut and pricing conditions to offset any economic incentive to use these derogations. Consequently, there is no need to add another constraint such as this quantitative cap.</w:t>
      </w:r>
      <w:r w:rsidR="00C07508">
        <w:rPr>
          <w:rFonts w:ascii="Calibri" w:hAnsi="Calibri"/>
          <w:lang w:val="en-GB"/>
        </w:rPr>
        <w:t xml:space="preserve"> </w:t>
      </w:r>
      <w:r>
        <w:rPr>
          <w:rFonts w:ascii="Calibri" w:hAnsi="Calibri"/>
          <w:lang w:val="en-GB"/>
        </w:rPr>
        <w:t>If this cap is retained, the percentage of use of the derogations should also take into account a LCR target at 110% in order to be consistent with the methodology used to define the shortage percentage of liquid assets.</w:t>
      </w:r>
    </w:p>
    <w:p w:rsidR="001B699E" w:rsidRPr="004B370C" w:rsidRDefault="001B699E" w:rsidP="003D3E24">
      <w:pPr>
        <w:spacing w:after="0" w:line="240" w:lineRule="auto"/>
        <w:jc w:val="both"/>
        <w:rPr>
          <w:rFonts w:ascii="Calibri" w:hAnsi="Calibri"/>
          <w:bCs/>
          <w:lang w:val="en-GB"/>
        </w:rPr>
      </w:pPr>
    </w:p>
    <w:p w:rsidR="001B699E" w:rsidRPr="0025036C" w:rsidRDefault="001B699E" w:rsidP="003D3E24">
      <w:pPr>
        <w:spacing w:after="0" w:line="240" w:lineRule="auto"/>
        <w:jc w:val="both"/>
        <w:rPr>
          <w:rFonts w:ascii="Calibri" w:hAnsi="Calibri"/>
          <w:b/>
          <w:lang w:val="en-GB"/>
        </w:rPr>
      </w:pPr>
      <w:r w:rsidRPr="0025036C">
        <w:rPr>
          <w:rFonts w:ascii="Calibri" w:hAnsi="Calibri"/>
          <w:b/>
          <w:lang w:val="en-GB"/>
        </w:rPr>
        <w:t>Q8: Do you agree with the above analysis of the cost and benefit impact of the proposals?</w:t>
      </w:r>
    </w:p>
    <w:p w:rsidR="001B699E" w:rsidRPr="004B370C" w:rsidRDefault="001B699E" w:rsidP="003D3E24">
      <w:pPr>
        <w:spacing w:after="0" w:line="240" w:lineRule="auto"/>
        <w:jc w:val="both"/>
        <w:rPr>
          <w:rFonts w:ascii="Calibri" w:hAnsi="Calibri"/>
          <w:lang w:val="en-GB"/>
        </w:rPr>
      </w:pPr>
    </w:p>
    <w:p w:rsidR="001B699E" w:rsidRPr="004B370C" w:rsidRDefault="00440629" w:rsidP="003D3E24">
      <w:pPr>
        <w:spacing w:after="0" w:line="240" w:lineRule="auto"/>
        <w:jc w:val="both"/>
        <w:rPr>
          <w:rFonts w:ascii="Calibri" w:hAnsi="Calibri"/>
          <w:lang w:val="en-GB"/>
        </w:rPr>
      </w:pPr>
      <w:r>
        <w:rPr>
          <w:rFonts w:ascii="Calibri" w:hAnsi="Calibri"/>
          <w:lang w:val="en-GB"/>
        </w:rPr>
        <w:t>We do not agree with point 14 in the cost-benefit analysis.</w:t>
      </w:r>
    </w:p>
    <w:p w:rsidR="001B699E" w:rsidRDefault="001B699E" w:rsidP="003D3E24">
      <w:pPr>
        <w:pStyle w:val="Default"/>
        <w:jc w:val="both"/>
        <w:rPr>
          <w:rFonts w:ascii="Calibri" w:eastAsia="Calibri" w:hAnsi="Calibri" w:cs="Times New Roman"/>
          <w:color w:val="auto"/>
          <w:sz w:val="22"/>
          <w:szCs w:val="22"/>
          <w:lang w:val="en-GB"/>
        </w:rPr>
      </w:pPr>
    </w:p>
    <w:p w:rsidR="001B699E" w:rsidRPr="0025036C" w:rsidRDefault="001B699E" w:rsidP="003D3E24">
      <w:pPr>
        <w:pStyle w:val="Default"/>
        <w:jc w:val="both"/>
        <w:rPr>
          <w:rFonts w:ascii="Calibri" w:eastAsia="Calibri" w:hAnsi="Calibri" w:cs="Times New Roman"/>
          <w:b/>
          <w:color w:val="auto"/>
          <w:sz w:val="22"/>
          <w:szCs w:val="22"/>
          <w:lang w:val="en-GB"/>
        </w:rPr>
      </w:pPr>
      <w:r w:rsidRPr="0025036C">
        <w:rPr>
          <w:rFonts w:ascii="Calibri" w:eastAsia="Calibri" w:hAnsi="Calibri" w:cs="Times New Roman"/>
          <w:b/>
          <w:color w:val="auto"/>
          <w:sz w:val="22"/>
          <w:szCs w:val="22"/>
          <w:lang w:val="en-GB"/>
        </w:rPr>
        <w:t>Q9: Please provide any evidence or data that would further inform the analysis of the likely cost and benefit impacts of the proposals.</w:t>
      </w:r>
    </w:p>
    <w:p w:rsidR="001B699E" w:rsidRDefault="001B699E" w:rsidP="003D3E24">
      <w:pPr>
        <w:pStyle w:val="Default"/>
        <w:jc w:val="both"/>
        <w:rPr>
          <w:rFonts w:ascii="Calibri" w:eastAsia="Calibri" w:hAnsi="Calibri" w:cs="Times New Roman"/>
          <w:color w:val="auto"/>
          <w:sz w:val="22"/>
          <w:szCs w:val="22"/>
          <w:lang w:val="en-GB"/>
        </w:rPr>
      </w:pPr>
    </w:p>
    <w:p w:rsidR="001B699E" w:rsidRPr="004B370C" w:rsidRDefault="00C07508" w:rsidP="003D3E24">
      <w:pPr>
        <w:spacing w:after="0" w:line="240" w:lineRule="auto"/>
        <w:jc w:val="both"/>
        <w:rPr>
          <w:rFonts w:ascii="Calibri" w:hAnsi="Calibri"/>
          <w:lang w:val="en-GB"/>
        </w:rPr>
      </w:pPr>
      <w:proofErr w:type="gramStart"/>
      <w:r>
        <w:rPr>
          <w:rFonts w:ascii="Calibri" w:hAnsi="Calibri"/>
          <w:lang w:val="en-GB"/>
        </w:rPr>
        <w:t>NA.</w:t>
      </w:r>
      <w:proofErr w:type="gramEnd"/>
    </w:p>
    <w:p w:rsidR="001B699E" w:rsidRDefault="001B699E" w:rsidP="003D3E24">
      <w:pPr>
        <w:pStyle w:val="Default"/>
        <w:jc w:val="both"/>
        <w:rPr>
          <w:rFonts w:ascii="Calibri" w:eastAsia="Calibri" w:hAnsi="Calibri" w:cs="Times New Roman"/>
          <w:color w:val="auto"/>
          <w:sz w:val="22"/>
          <w:szCs w:val="22"/>
          <w:lang w:val="en-GB"/>
        </w:rPr>
      </w:pPr>
    </w:p>
    <w:p w:rsidR="001B699E" w:rsidRPr="001B699E" w:rsidRDefault="001B699E" w:rsidP="003D3E24">
      <w:pPr>
        <w:jc w:val="both"/>
        <w:rPr>
          <w:lang w:val="en-US"/>
        </w:rPr>
      </w:pPr>
    </w:p>
    <w:p w:rsidR="001B699E" w:rsidRPr="001B699E" w:rsidRDefault="001B699E" w:rsidP="003D3E24">
      <w:pPr>
        <w:pStyle w:val="Paragraphedeliste"/>
        <w:jc w:val="both"/>
        <w:rPr>
          <w:lang w:val="en-US"/>
        </w:rPr>
      </w:pPr>
    </w:p>
    <w:sectPr w:rsidR="001B699E" w:rsidRPr="001B699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CDF" w:rsidRDefault="00860CDF" w:rsidP="00BC4E85">
      <w:pPr>
        <w:spacing w:after="0" w:line="240" w:lineRule="auto"/>
      </w:pPr>
      <w:r>
        <w:separator/>
      </w:r>
    </w:p>
  </w:endnote>
  <w:endnote w:type="continuationSeparator" w:id="0">
    <w:p w:rsidR="00860CDF" w:rsidRDefault="00860CDF" w:rsidP="00BC4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CDF" w:rsidRDefault="00860CDF" w:rsidP="00BC4E85">
      <w:pPr>
        <w:spacing w:after="0" w:line="240" w:lineRule="auto"/>
      </w:pPr>
      <w:r>
        <w:separator/>
      </w:r>
    </w:p>
  </w:footnote>
  <w:footnote w:type="continuationSeparator" w:id="0">
    <w:p w:rsidR="00860CDF" w:rsidRDefault="00860CDF" w:rsidP="00BC4E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567C7"/>
    <w:multiLevelType w:val="hybridMultilevel"/>
    <w:tmpl w:val="5518F904"/>
    <w:lvl w:ilvl="0" w:tplc="DDDE3FD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0E15510"/>
    <w:multiLevelType w:val="hybridMultilevel"/>
    <w:tmpl w:val="116245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1C22738"/>
    <w:multiLevelType w:val="hybridMultilevel"/>
    <w:tmpl w:val="BC745540"/>
    <w:lvl w:ilvl="0" w:tplc="2B8863C0">
      <w:start w:val="1"/>
      <w:numFmt w:val="bullet"/>
      <w:lvlText w:val=""/>
      <w:lvlJc w:val="left"/>
      <w:pPr>
        <w:tabs>
          <w:tab w:val="num" w:pos="720"/>
        </w:tabs>
        <w:ind w:left="720" w:hanging="360"/>
      </w:pPr>
      <w:rPr>
        <w:rFonts w:ascii="Wingdings" w:hAnsi="Wingdings" w:hint="default"/>
      </w:rPr>
    </w:lvl>
    <w:lvl w:ilvl="1" w:tplc="040C0001">
      <w:start w:val="1"/>
      <w:numFmt w:val="bullet"/>
      <w:lvlText w:val=""/>
      <w:lvlJc w:val="left"/>
      <w:pPr>
        <w:tabs>
          <w:tab w:val="num" w:pos="1440"/>
        </w:tabs>
        <w:ind w:left="1440" w:hanging="360"/>
      </w:pPr>
      <w:rPr>
        <w:rFonts w:ascii="Symbol" w:hAnsi="Symbol" w:hint="default"/>
      </w:rPr>
    </w:lvl>
    <w:lvl w:ilvl="2" w:tplc="0C08F0B0" w:tentative="1">
      <w:start w:val="1"/>
      <w:numFmt w:val="bullet"/>
      <w:lvlText w:val=""/>
      <w:lvlJc w:val="left"/>
      <w:pPr>
        <w:tabs>
          <w:tab w:val="num" w:pos="2160"/>
        </w:tabs>
        <w:ind w:left="2160" w:hanging="360"/>
      </w:pPr>
      <w:rPr>
        <w:rFonts w:ascii="Wingdings" w:hAnsi="Wingdings" w:hint="default"/>
      </w:rPr>
    </w:lvl>
    <w:lvl w:ilvl="3" w:tplc="468483AC" w:tentative="1">
      <w:start w:val="1"/>
      <w:numFmt w:val="bullet"/>
      <w:lvlText w:val=""/>
      <w:lvlJc w:val="left"/>
      <w:pPr>
        <w:tabs>
          <w:tab w:val="num" w:pos="2880"/>
        </w:tabs>
        <w:ind w:left="2880" w:hanging="360"/>
      </w:pPr>
      <w:rPr>
        <w:rFonts w:ascii="Wingdings" w:hAnsi="Wingdings" w:hint="default"/>
      </w:rPr>
    </w:lvl>
    <w:lvl w:ilvl="4" w:tplc="D3EE0C66" w:tentative="1">
      <w:start w:val="1"/>
      <w:numFmt w:val="bullet"/>
      <w:lvlText w:val=""/>
      <w:lvlJc w:val="left"/>
      <w:pPr>
        <w:tabs>
          <w:tab w:val="num" w:pos="3600"/>
        </w:tabs>
        <w:ind w:left="3600" w:hanging="360"/>
      </w:pPr>
      <w:rPr>
        <w:rFonts w:ascii="Wingdings" w:hAnsi="Wingdings" w:hint="default"/>
      </w:rPr>
    </w:lvl>
    <w:lvl w:ilvl="5" w:tplc="EAAA0B48" w:tentative="1">
      <w:start w:val="1"/>
      <w:numFmt w:val="bullet"/>
      <w:lvlText w:val=""/>
      <w:lvlJc w:val="left"/>
      <w:pPr>
        <w:tabs>
          <w:tab w:val="num" w:pos="4320"/>
        </w:tabs>
        <w:ind w:left="4320" w:hanging="360"/>
      </w:pPr>
      <w:rPr>
        <w:rFonts w:ascii="Wingdings" w:hAnsi="Wingdings" w:hint="default"/>
      </w:rPr>
    </w:lvl>
    <w:lvl w:ilvl="6" w:tplc="08E467EC" w:tentative="1">
      <w:start w:val="1"/>
      <w:numFmt w:val="bullet"/>
      <w:lvlText w:val=""/>
      <w:lvlJc w:val="left"/>
      <w:pPr>
        <w:tabs>
          <w:tab w:val="num" w:pos="5040"/>
        </w:tabs>
        <w:ind w:left="5040" w:hanging="360"/>
      </w:pPr>
      <w:rPr>
        <w:rFonts w:ascii="Wingdings" w:hAnsi="Wingdings" w:hint="default"/>
      </w:rPr>
    </w:lvl>
    <w:lvl w:ilvl="7" w:tplc="4C9436C2" w:tentative="1">
      <w:start w:val="1"/>
      <w:numFmt w:val="bullet"/>
      <w:lvlText w:val=""/>
      <w:lvlJc w:val="left"/>
      <w:pPr>
        <w:tabs>
          <w:tab w:val="num" w:pos="5760"/>
        </w:tabs>
        <w:ind w:left="5760" w:hanging="360"/>
      </w:pPr>
      <w:rPr>
        <w:rFonts w:ascii="Wingdings" w:hAnsi="Wingdings" w:hint="default"/>
      </w:rPr>
    </w:lvl>
    <w:lvl w:ilvl="8" w:tplc="3330220A" w:tentative="1">
      <w:start w:val="1"/>
      <w:numFmt w:val="bullet"/>
      <w:lvlText w:val=""/>
      <w:lvlJc w:val="left"/>
      <w:pPr>
        <w:tabs>
          <w:tab w:val="num" w:pos="6480"/>
        </w:tabs>
        <w:ind w:left="6480" w:hanging="360"/>
      </w:pPr>
      <w:rPr>
        <w:rFonts w:ascii="Wingdings" w:hAnsi="Wingdings" w:hint="default"/>
      </w:rPr>
    </w:lvl>
  </w:abstractNum>
  <w:abstractNum w:abstractNumId="3">
    <w:nsid w:val="385F433F"/>
    <w:multiLevelType w:val="hybridMultilevel"/>
    <w:tmpl w:val="1D383E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9FD317B"/>
    <w:multiLevelType w:val="hybridMultilevel"/>
    <w:tmpl w:val="D6867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99E"/>
    <w:rsid w:val="00102C14"/>
    <w:rsid w:val="001078FA"/>
    <w:rsid w:val="00135BC5"/>
    <w:rsid w:val="001B699E"/>
    <w:rsid w:val="001F31E1"/>
    <w:rsid w:val="001F6EAA"/>
    <w:rsid w:val="00236635"/>
    <w:rsid w:val="00240553"/>
    <w:rsid w:val="0025036C"/>
    <w:rsid w:val="002E19C6"/>
    <w:rsid w:val="003A42A8"/>
    <w:rsid w:val="003D3E24"/>
    <w:rsid w:val="00402882"/>
    <w:rsid w:val="00425D61"/>
    <w:rsid w:val="00440629"/>
    <w:rsid w:val="00500278"/>
    <w:rsid w:val="005A1815"/>
    <w:rsid w:val="005E501B"/>
    <w:rsid w:val="005F4908"/>
    <w:rsid w:val="00661911"/>
    <w:rsid w:val="006D7F0C"/>
    <w:rsid w:val="00700F2C"/>
    <w:rsid w:val="00720F2E"/>
    <w:rsid w:val="0078012F"/>
    <w:rsid w:val="007C0A0C"/>
    <w:rsid w:val="00860CDF"/>
    <w:rsid w:val="00865589"/>
    <w:rsid w:val="00867897"/>
    <w:rsid w:val="008B2611"/>
    <w:rsid w:val="009C3164"/>
    <w:rsid w:val="009F0690"/>
    <w:rsid w:val="009F3EEB"/>
    <w:rsid w:val="00AF6CBF"/>
    <w:rsid w:val="00B05692"/>
    <w:rsid w:val="00B87C87"/>
    <w:rsid w:val="00BC4E85"/>
    <w:rsid w:val="00C07508"/>
    <w:rsid w:val="00D16B4C"/>
    <w:rsid w:val="00D774F9"/>
    <w:rsid w:val="00DB1B6E"/>
    <w:rsid w:val="00E526A5"/>
    <w:rsid w:val="00E74B32"/>
    <w:rsid w:val="00F135BF"/>
    <w:rsid w:val="00FA2C04"/>
    <w:rsid w:val="00FC62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699E"/>
    <w:pPr>
      <w:ind w:left="720"/>
      <w:contextualSpacing/>
    </w:pPr>
  </w:style>
  <w:style w:type="paragraph" w:customStyle="1" w:styleId="Default">
    <w:name w:val="Default"/>
    <w:rsid w:val="001B699E"/>
    <w:pPr>
      <w:autoSpaceDE w:val="0"/>
      <w:autoSpaceDN w:val="0"/>
      <w:adjustRightInd w:val="0"/>
      <w:spacing w:after="0" w:line="240" w:lineRule="auto"/>
    </w:pPr>
    <w:rPr>
      <w:rFonts w:ascii="Arial" w:hAnsi="Arial" w:cs="Arial"/>
      <w:color w:val="000000"/>
      <w:sz w:val="24"/>
      <w:szCs w:val="24"/>
      <w:lang w:val="en-US"/>
    </w:rPr>
  </w:style>
  <w:style w:type="paragraph" w:styleId="En-tte">
    <w:name w:val="header"/>
    <w:basedOn w:val="Normal"/>
    <w:link w:val="En-tteCar"/>
    <w:uiPriority w:val="99"/>
    <w:unhideWhenUsed/>
    <w:rsid w:val="00BC4E85"/>
    <w:pPr>
      <w:tabs>
        <w:tab w:val="center" w:pos="4536"/>
        <w:tab w:val="right" w:pos="9072"/>
      </w:tabs>
      <w:spacing w:after="0" w:line="240" w:lineRule="auto"/>
    </w:pPr>
  </w:style>
  <w:style w:type="character" w:customStyle="1" w:styleId="En-tteCar">
    <w:name w:val="En-tête Car"/>
    <w:basedOn w:val="Policepardfaut"/>
    <w:link w:val="En-tte"/>
    <w:uiPriority w:val="99"/>
    <w:rsid w:val="00BC4E85"/>
  </w:style>
  <w:style w:type="paragraph" w:styleId="Pieddepage">
    <w:name w:val="footer"/>
    <w:basedOn w:val="Normal"/>
    <w:link w:val="PieddepageCar"/>
    <w:uiPriority w:val="99"/>
    <w:unhideWhenUsed/>
    <w:rsid w:val="00BC4E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4E85"/>
  </w:style>
  <w:style w:type="paragraph" w:styleId="Textedebulles">
    <w:name w:val="Balloon Text"/>
    <w:basedOn w:val="Normal"/>
    <w:link w:val="TextedebullesCar"/>
    <w:uiPriority w:val="99"/>
    <w:semiHidden/>
    <w:unhideWhenUsed/>
    <w:rsid w:val="005A18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18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699E"/>
    <w:pPr>
      <w:ind w:left="720"/>
      <w:contextualSpacing/>
    </w:pPr>
  </w:style>
  <w:style w:type="paragraph" w:customStyle="1" w:styleId="Default">
    <w:name w:val="Default"/>
    <w:rsid w:val="001B699E"/>
    <w:pPr>
      <w:autoSpaceDE w:val="0"/>
      <w:autoSpaceDN w:val="0"/>
      <w:adjustRightInd w:val="0"/>
      <w:spacing w:after="0" w:line="240" w:lineRule="auto"/>
    </w:pPr>
    <w:rPr>
      <w:rFonts w:ascii="Arial" w:hAnsi="Arial" w:cs="Arial"/>
      <w:color w:val="000000"/>
      <w:sz w:val="24"/>
      <w:szCs w:val="24"/>
      <w:lang w:val="en-US"/>
    </w:rPr>
  </w:style>
  <w:style w:type="paragraph" w:styleId="En-tte">
    <w:name w:val="header"/>
    <w:basedOn w:val="Normal"/>
    <w:link w:val="En-tteCar"/>
    <w:uiPriority w:val="99"/>
    <w:unhideWhenUsed/>
    <w:rsid w:val="00BC4E85"/>
    <w:pPr>
      <w:tabs>
        <w:tab w:val="center" w:pos="4536"/>
        <w:tab w:val="right" w:pos="9072"/>
      </w:tabs>
      <w:spacing w:after="0" w:line="240" w:lineRule="auto"/>
    </w:pPr>
  </w:style>
  <w:style w:type="character" w:customStyle="1" w:styleId="En-tteCar">
    <w:name w:val="En-tête Car"/>
    <w:basedOn w:val="Policepardfaut"/>
    <w:link w:val="En-tte"/>
    <w:uiPriority w:val="99"/>
    <w:rsid w:val="00BC4E85"/>
  </w:style>
  <w:style w:type="paragraph" w:styleId="Pieddepage">
    <w:name w:val="footer"/>
    <w:basedOn w:val="Normal"/>
    <w:link w:val="PieddepageCar"/>
    <w:uiPriority w:val="99"/>
    <w:unhideWhenUsed/>
    <w:rsid w:val="00BC4E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4E85"/>
  </w:style>
  <w:style w:type="paragraph" w:styleId="Textedebulles">
    <w:name w:val="Balloon Text"/>
    <w:basedOn w:val="Normal"/>
    <w:link w:val="TextedebullesCar"/>
    <w:uiPriority w:val="99"/>
    <w:semiHidden/>
    <w:unhideWhenUsed/>
    <w:rsid w:val="005A18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18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68799">
      <w:bodyDiv w:val="1"/>
      <w:marLeft w:val="0"/>
      <w:marRight w:val="0"/>
      <w:marTop w:val="0"/>
      <w:marBottom w:val="0"/>
      <w:divBdr>
        <w:top w:val="none" w:sz="0" w:space="0" w:color="auto"/>
        <w:left w:val="none" w:sz="0" w:space="0" w:color="auto"/>
        <w:bottom w:val="none" w:sz="0" w:space="0" w:color="auto"/>
        <w:right w:val="none" w:sz="0" w:space="0" w:color="auto"/>
      </w:divBdr>
      <w:divsChild>
        <w:div w:id="1136991725">
          <w:marLeft w:val="821"/>
          <w:marRight w:val="0"/>
          <w:marTop w:val="5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1321</Words>
  <Characters>7268</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Crédit Agricole S.A</Company>
  <LinksUpToDate>false</LinksUpToDate>
  <CharactersWithSpaces>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BOUHALI Samya</dc:creator>
  <cp:lastModifiedBy>David Labella</cp:lastModifiedBy>
  <cp:revision>3</cp:revision>
  <cp:lastPrinted>2013-12-20T13:32:00Z</cp:lastPrinted>
  <dcterms:created xsi:type="dcterms:W3CDTF">2013-12-20T16:40:00Z</dcterms:created>
  <dcterms:modified xsi:type="dcterms:W3CDTF">2013-12-20T16:43:00Z</dcterms:modified>
</cp:coreProperties>
</file>