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82" w:rsidRPr="007964CD" w:rsidRDefault="00010E96" w:rsidP="00010E96">
      <w:pPr>
        <w:pBdr>
          <w:top w:val="single" w:sz="4" w:space="1" w:color="auto"/>
          <w:left w:val="single" w:sz="4" w:space="4" w:color="auto"/>
          <w:bottom w:val="single" w:sz="4" w:space="1" w:color="auto"/>
          <w:right w:val="single" w:sz="4" w:space="4" w:color="auto"/>
        </w:pBdr>
        <w:spacing w:line="240" w:lineRule="auto"/>
        <w:jc w:val="center"/>
        <w:rPr>
          <w:b/>
          <w:sz w:val="32"/>
          <w:szCs w:val="32"/>
          <w:lang w:val="en-US"/>
        </w:rPr>
      </w:pPr>
      <w:r w:rsidRPr="007964CD">
        <w:rPr>
          <w:b/>
          <w:sz w:val="32"/>
          <w:szCs w:val="32"/>
          <w:lang w:val="en-US"/>
        </w:rPr>
        <w:t xml:space="preserve">French Banking Federation </w:t>
      </w:r>
      <w:r w:rsidR="00186982" w:rsidRPr="007964CD">
        <w:rPr>
          <w:b/>
          <w:sz w:val="32"/>
          <w:szCs w:val="32"/>
          <w:lang w:val="en-US"/>
        </w:rPr>
        <w:t>response on the EBA consultation on the method for the identification of the geographical location of the relevant credit exposures</w:t>
      </w:r>
    </w:p>
    <w:p w:rsidR="00010E96" w:rsidRPr="007964CD" w:rsidRDefault="00010E96" w:rsidP="00010E96">
      <w:pPr>
        <w:spacing w:line="240" w:lineRule="auto"/>
        <w:rPr>
          <w:rFonts w:eastAsia="Times New Roman" w:cs="Times New Roman"/>
          <w:b/>
          <w:u w:val="single"/>
          <w:lang w:val="en" w:eastAsia="fr-FR"/>
        </w:rPr>
      </w:pPr>
    </w:p>
    <w:p w:rsidR="00010E96" w:rsidRPr="007964CD" w:rsidRDefault="00010E96" w:rsidP="007964CD">
      <w:pPr>
        <w:pStyle w:val="Sansinterligne"/>
        <w:jc w:val="both"/>
        <w:rPr>
          <w:lang w:val="en" w:eastAsia="fr-FR"/>
        </w:rPr>
      </w:pPr>
      <w:r w:rsidRPr="007964CD">
        <w:rPr>
          <w:b/>
          <w:u w:val="single"/>
          <w:lang w:val="en" w:eastAsia="fr-FR"/>
        </w:rPr>
        <w:t>Section I: G</w:t>
      </w:r>
      <w:r w:rsidR="005F77AD" w:rsidRPr="007964CD">
        <w:rPr>
          <w:b/>
          <w:u w:val="single"/>
          <w:lang w:val="en" w:eastAsia="fr-FR"/>
        </w:rPr>
        <w:t>eneral comments on s</w:t>
      </w:r>
      <w:r w:rsidR="00C44DA4" w:rsidRPr="007964CD">
        <w:rPr>
          <w:b/>
          <w:u w:val="single"/>
          <w:lang w:val="en" w:eastAsia="fr-FR"/>
        </w:rPr>
        <w:t>ome economic arguments in favor of the principle of immediate risk</w:t>
      </w:r>
      <w:r w:rsidR="00C44DA4" w:rsidRPr="007964CD">
        <w:rPr>
          <w:b/>
          <w:u w:val="single"/>
          <w:lang w:val="en" w:eastAsia="fr-FR"/>
        </w:rPr>
        <w:br/>
      </w:r>
    </w:p>
    <w:p w:rsidR="00C44DA4" w:rsidRPr="007964CD" w:rsidRDefault="00C44DA4" w:rsidP="007964CD">
      <w:pPr>
        <w:pStyle w:val="Sansinterligne"/>
        <w:jc w:val="both"/>
        <w:rPr>
          <w:lang w:val="en" w:eastAsia="fr-FR"/>
        </w:rPr>
      </w:pPr>
      <w:r w:rsidRPr="007964CD">
        <w:rPr>
          <w:lang w:val="en" w:eastAsia="fr-FR"/>
        </w:rPr>
        <w:t xml:space="preserve">The EBA, in its consultation paper discusses two options for identifying the geographical location of credit exposure. </w:t>
      </w:r>
    </w:p>
    <w:p w:rsidR="00C44DA4" w:rsidRPr="007964CD" w:rsidRDefault="00C44DA4" w:rsidP="007964CD">
      <w:pPr>
        <w:spacing w:line="240" w:lineRule="auto"/>
        <w:jc w:val="both"/>
        <w:rPr>
          <w:rFonts w:eastAsia="Times New Roman" w:cs="Times New Roman"/>
          <w:lang w:val="en" w:eastAsia="fr-FR"/>
        </w:rPr>
      </w:pPr>
      <w:r w:rsidRPr="007964CD">
        <w:rPr>
          <w:rFonts w:eastAsia="Times New Roman" w:cs="Times New Roman"/>
          <w:u w:val="single"/>
          <w:lang w:val="en" w:eastAsia="fr-FR"/>
        </w:rPr>
        <w:t>The first option, called (A1)</w:t>
      </w:r>
      <w:r w:rsidRPr="007964CD">
        <w:rPr>
          <w:rFonts w:eastAsia="Times New Roman" w:cs="Times New Roman"/>
          <w:lang w:val="en" w:eastAsia="fr-FR"/>
        </w:rPr>
        <w:t xml:space="preserve">, is based on the principle of </w:t>
      </w:r>
      <w:r w:rsidRPr="007964CD">
        <w:rPr>
          <w:rFonts w:eastAsia="Times New Roman" w:cs="Times New Roman"/>
          <w:b/>
          <w:lang w:val="en" w:eastAsia="fr-FR"/>
        </w:rPr>
        <w:t>immediate risk</w:t>
      </w:r>
      <w:r w:rsidRPr="007964CD">
        <w:rPr>
          <w:rFonts w:eastAsia="Times New Roman" w:cs="Times New Roman"/>
          <w:lang w:val="en" w:eastAsia="fr-FR"/>
        </w:rPr>
        <w:t xml:space="preserve">, which is the place of residence of the obligor (immediate risk principle). </w:t>
      </w:r>
    </w:p>
    <w:p w:rsidR="00C44DA4" w:rsidRPr="007964CD" w:rsidRDefault="00C44DA4" w:rsidP="007964CD">
      <w:pPr>
        <w:spacing w:line="240" w:lineRule="auto"/>
        <w:jc w:val="both"/>
        <w:rPr>
          <w:rFonts w:eastAsia="Times New Roman" w:cs="Times New Roman"/>
          <w:lang w:val="en" w:eastAsia="fr-FR"/>
        </w:rPr>
      </w:pPr>
      <w:r w:rsidRPr="007964CD">
        <w:rPr>
          <w:rFonts w:eastAsia="Times New Roman" w:cs="Times New Roman"/>
          <w:u w:val="single"/>
          <w:lang w:val="en" w:eastAsia="fr-FR"/>
        </w:rPr>
        <w:t>The second option, called (A2)</w:t>
      </w:r>
      <w:r w:rsidRPr="007964CD">
        <w:rPr>
          <w:rFonts w:eastAsia="Times New Roman" w:cs="Times New Roman"/>
          <w:lang w:val="en" w:eastAsia="fr-FR"/>
        </w:rPr>
        <w:t xml:space="preserve">, is based on the principle of </w:t>
      </w:r>
      <w:r w:rsidRPr="007964CD">
        <w:rPr>
          <w:rFonts w:eastAsia="Times New Roman" w:cs="Times New Roman"/>
          <w:b/>
          <w:lang w:val="en" w:eastAsia="fr-FR"/>
        </w:rPr>
        <w:t>ultimate risk</w:t>
      </w:r>
      <w:r w:rsidRPr="007964CD">
        <w:rPr>
          <w:rFonts w:eastAsia="Times New Roman" w:cs="Times New Roman"/>
          <w:lang w:val="en" w:eastAsia="fr-FR"/>
        </w:rPr>
        <w:t>: therefore it retains the country of residence of the obligor in the case of the absence of any guarantees and collaterals, (</w:t>
      </w:r>
      <w:r w:rsidRPr="007964CD">
        <w:rPr>
          <w:rFonts w:eastAsia="Times New Roman" w:cs="Times New Roman"/>
          <w:i/>
          <w:lang w:val="en" w:eastAsia="fr-FR"/>
        </w:rPr>
        <w:t>the immediate and ultimate risks are identical</w:t>
      </w:r>
      <w:r w:rsidRPr="007964CD">
        <w:rPr>
          <w:rFonts w:eastAsia="Times New Roman" w:cs="Times New Roman"/>
          <w:lang w:val="en" w:eastAsia="fr-FR"/>
        </w:rPr>
        <w:t>) and retains the country of collateral or guarantor for guaranteed/collateralized facilities (</w:t>
      </w:r>
      <w:r w:rsidRPr="007964CD">
        <w:rPr>
          <w:rFonts w:eastAsia="Times New Roman" w:cs="Times New Roman"/>
          <w:i/>
          <w:lang w:val="en" w:eastAsia="fr-FR"/>
        </w:rPr>
        <w:t>i.e. the ultimate risk principle</w:t>
      </w:r>
      <w:r w:rsidRPr="007964CD">
        <w:rPr>
          <w:rFonts w:eastAsia="Times New Roman" w:cs="Times New Roman"/>
          <w:lang w:val="en" w:eastAsia="fr-FR"/>
        </w:rPr>
        <w:t>).</w:t>
      </w:r>
    </w:p>
    <w:p w:rsidR="00C44DA4" w:rsidRPr="007964CD" w:rsidRDefault="00C44DA4" w:rsidP="007964CD">
      <w:pPr>
        <w:spacing w:line="240" w:lineRule="auto"/>
        <w:jc w:val="both"/>
        <w:rPr>
          <w:rFonts w:eastAsia="Times New Roman" w:cs="Times New Roman"/>
          <w:lang w:val="en" w:eastAsia="fr-FR"/>
        </w:rPr>
      </w:pPr>
      <w:r w:rsidRPr="007964CD">
        <w:rPr>
          <w:rFonts w:eastAsia="Times New Roman" w:cs="Times New Roman"/>
          <w:lang w:val="en" w:eastAsia="fr-FR"/>
        </w:rPr>
        <w:t>From a conceptual standpoint, the EBA favors the principle based on the country of the obligor/debtor. This solution allows the set-up of a countercyclical capital buffer regardless of where the collateral is located, because the residence of the obligor is, in most cases, closely linked to the economy of the country</w:t>
      </w:r>
      <w:r w:rsidRPr="007964CD">
        <w:rPr>
          <w:rStyle w:val="Appelnotedebasdep"/>
          <w:rFonts w:eastAsia="Times New Roman" w:cs="Times New Roman"/>
          <w:lang w:val="en" w:eastAsia="fr-FR"/>
        </w:rPr>
        <w:footnoteReference w:id="1"/>
      </w:r>
      <w:r w:rsidRPr="007964CD">
        <w:rPr>
          <w:rFonts w:eastAsia="Times New Roman" w:cs="Times New Roman"/>
          <w:lang w:val="en" w:eastAsia="fr-FR"/>
        </w:rPr>
        <w:t>.</w:t>
      </w:r>
    </w:p>
    <w:p w:rsidR="00754BAD" w:rsidRDefault="00C44DA4" w:rsidP="007964CD">
      <w:pPr>
        <w:spacing w:line="240" w:lineRule="auto"/>
        <w:jc w:val="both"/>
        <w:rPr>
          <w:rFonts w:eastAsia="Times New Roman" w:cs="Times New Roman"/>
          <w:lang w:val="en" w:eastAsia="fr-FR"/>
        </w:rPr>
      </w:pPr>
      <w:r w:rsidRPr="007964CD">
        <w:rPr>
          <w:rFonts w:eastAsia="Times New Roman" w:cs="Times New Roman"/>
          <w:lang w:val="en" w:eastAsia="fr-FR"/>
        </w:rPr>
        <w:t>We consider that the EBA’s choice between the two options should be based on the analysis of which principle is consistent with the countercyclical capital buffer (CCB) objective.</w:t>
      </w:r>
    </w:p>
    <w:p w:rsidR="00C44DA4" w:rsidRPr="007964CD" w:rsidRDefault="00C44DA4" w:rsidP="007964CD">
      <w:pPr>
        <w:spacing w:line="240" w:lineRule="auto"/>
        <w:jc w:val="both"/>
        <w:rPr>
          <w:rFonts w:eastAsia="Times New Roman" w:cs="Times New Roman"/>
          <w:lang w:val="en" w:eastAsia="fr-FR"/>
        </w:rPr>
      </w:pPr>
      <w:r w:rsidRPr="007964CD">
        <w:rPr>
          <w:rFonts w:eastAsia="Times New Roman" w:cs="Times New Roman"/>
          <w:lang w:val="en" w:eastAsia="fr-FR"/>
        </w:rPr>
        <w:t>According to the EBA’s RTS, the purpose of the CCB is:</w:t>
      </w:r>
    </w:p>
    <w:p w:rsidR="00C44DA4" w:rsidRPr="007964CD" w:rsidRDefault="00C44DA4" w:rsidP="007964CD">
      <w:pPr>
        <w:pStyle w:val="Paragraphedeliste"/>
        <w:numPr>
          <w:ilvl w:val="0"/>
          <w:numId w:val="3"/>
        </w:numPr>
        <w:spacing w:line="240" w:lineRule="auto"/>
        <w:jc w:val="both"/>
        <w:rPr>
          <w:rFonts w:eastAsia="Times New Roman" w:cs="Times New Roman"/>
          <w:lang w:val="en-US" w:eastAsia="fr-FR"/>
        </w:rPr>
      </w:pPr>
      <w:r w:rsidRPr="007964CD">
        <w:rPr>
          <w:rFonts w:eastAsia="Times New Roman" w:cs="Times New Roman"/>
          <w:lang w:val="en-GB" w:eastAsia="fr-FR"/>
        </w:rPr>
        <w:t xml:space="preserve">“To protect the banking system </w:t>
      </w:r>
      <w:r w:rsidRPr="007964CD">
        <w:rPr>
          <w:rFonts w:eastAsia="Times New Roman" w:cs="Times New Roman"/>
          <w:u w:val="single"/>
          <w:lang w:val="en-GB" w:eastAsia="fr-FR"/>
        </w:rPr>
        <w:t xml:space="preserve">against potential losses </w:t>
      </w:r>
      <w:r w:rsidRPr="007964CD">
        <w:rPr>
          <w:rFonts w:eastAsia="Times New Roman" w:cs="Times New Roman"/>
          <w:lang w:val="en-GB" w:eastAsia="fr-FR"/>
        </w:rPr>
        <w:t xml:space="preserve">when </w:t>
      </w:r>
      <w:r w:rsidRPr="007964CD">
        <w:rPr>
          <w:rFonts w:eastAsia="Times New Roman" w:cs="Times New Roman"/>
          <w:u w:val="single"/>
          <w:lang w:val="en-GB" w:eastAsia="fr-FR"/>
        </w:rPr>
        <w:t xml:space="preserve">excessive credit growth </w:t>
      </w:r>
      <w:r w:rsidRPr="007964CD">
        <w:rPr>
          <w:rFonts w:eastAsia="Times New Roman" w:cs="Times New Roman"/>
          <w:lang w:val="en-GB" w:eastAsia="fr-FR"/>
        </w:rPr>
        <w:t xml:space="preserve">is associated with an increase in system-wide risk.” </w:t>
      </w:r>
    </w:p>
    <w:p w:rsidR="00C44DA4" w:rsidRPr="007964CD" w:rsidRDefault="00C44DA4" w:rsidP="007964CD">
      <w:pPr>
        <w:pStyle w:val="Paragraphedeliste"/>
        <w:numPr>
          <w:ilvl w:val="0"/>
          <w:numId w:val="3"/>
        </w:numPr>
        <w:spacing w:line="240" w:lineRule="auto"/>
        <w:jc w:val="both"/>
        <w:rPr>
          <w:rFonts w:eastAsia="Times New Roman" w:cs="Times New Roman"/>
          <w:lang w:val="en-US" w:eastAsia="fr-FR"/>
        </w:rPr>
      </w:pPr>
      <w:r w:rsidRPr="007964CD">
        <w:rPr>
          <w:rFonts w:eastAsia="Times New Roman" w:cs="Times New Roman"/>
          <w:lang w:val="en-US" w:eastAsia="fr-FR"/>
        </w:rPr>
        <w:t xml:space="preserve">“When risks appear, </w:t>
      </w:r>
      <w:r w:rsidRPr="007964CD">
        <w:rPr>
          <w:rFonts w:eastAsia="Times New Roman" w:cs="Times New Roman"/>
          <w:u w:val="single"/>
          <w:lang w:val="en-US" w:eastAsia="fr-FR"/>
        </w:rPr>
        <w:t>the additional capital will help the system to absorb losses while continuing to provide credit to the real economy</w:t>
      </w:r>
      <w:r w:rsidRPr="007964CD">
        <w:rPr>
          <w:rFonts w:eastAsia="Times New Roman" w:cs="Times New Roman"/>
          <w:lang w:val="en-US" w:eastAsia="fr-FR"/>
        </w:rPr>
        <w:t xml:space="preserve">.” However, this analysis is criticized by </w:t>
      </w:r>
      <w:proofErr w:type="spellStart"/>
      <w:r w:rsidRPr="007964CD">
        <w:rPr>
          <w:rFonts w:eastAsia="Times New Roman" w:cs="Times New Roman"/>
          <w:lang w:val="en-US" w:eastAsia="fr-FR"/>
        </w:rPr>
        <w:t>Repullo</w:t>
      </w:r>
      <w:proofErr w:type="spellEnd"/>
      <w:r w:rsidRPr="007964CD">
        <w:rPr>
          <w:rFonts w:eastAsia="Times New Roman" w:cs="Times New Roman"/>
          <w:lang w:val="en-US" w:eastAsia="fr-FR"/>
        </w:rPr>
        <w:t xml:space="preserve"> and </w:t>
      </w:r>
      <w:proofErr w:type="spellStart"/>
      <w:r w:rsidRPr="007964CD">
        <w:rPr>
          <w:rFonts w:eastAsia="Times New Roman" w:cs="Times New Roman"/>
          <w:lang w:val="en-US" w:eastAsia="fr-FR"/>
        </w:rPr>
        <w:t>Saurina</w:t>
      </w:r>
      <w:proofErr w:type="spellEnd"/>
      <w:r w:rsidRPr="007964CD">
        <w:rPr>
          <w:rFonts w:eastAsia="Times New Roman" w:cs="Times New Roman"/>
          <w:lang w:val="en-US" w:eastAsia="fr-FR"/>
        </w:rPr>
        <w:t xml:space="preserve"> (2011) according to whom</w:t>
      </w:r>
      <w:r w:rsidRPr="007964CD">
        <w:rPr>
          <w:rFonts w:eastAsia="Times New Roman" w:cs="Times New Roman"/>
          <w:i/>
          <w:lang w:val="en-US" w:eastAsia="fr-FR"/>
        </w:rPr>
        <w:t>”(…) banks may prefer to reduce credit extension rather than being subject to restrictions on capital distribution (dividend, shares, repurchases and especially discretionary bonus payment to staff) if they do not meet the additional capital requiremen</w:t>
      </w:r>
      <w:r w:rsidR="00754BAD">
        <w:rPr>
          <w:rFonts w:eastAsia="Times New Roman" w:cs="Times New Roman"/>
          <w:i/>
          <w:lang w:val="en-US" w:eastAsia="fr-FR"/>
        </w:rPr>
        <w:t>t</w:t>
      </w:r>
      <w:r w:rsidRPr="007964CD">
        <w:rPr>
          <w:rStyle w:val="Appelnotedebasdep"/>
          <w:rFonts w:eastAsia="Times New Roman" w:cs="Times New Roman"/>
          <w:i/>
          <w:lang w:val="en-US" w:eastAsia="fr-FR"/>
        </w:rPr>
        <w:footnoteReference w:id="2"/>
      </w:r>
      <w:r w:rsidRPr="007964CD">
        <w:rPr>
          <w:rFonts w:eastAsia="Times New Roman" w:cs="Times New Roman"/>
          <w:lang w:val="en-US" w:eastAsia="fr-FR"/>
        </w:rPr>
        <w:t xml:space="preserve">” </w:t>
      </w:r>
    </w:p>
    <w:p w:rsidR="00C44DA4" w:rsidRPr="007964CD" w:rsidRDefault="00C44DA4" w:rsidP="007964CD">
      <w:pPr>
        <w:pStyle w:val="Paragraphedeliste"/>
        <w:numPr>
          <w:ilvl w:val="0"/>
          <w:numId w:val="3"/>
        </w:numPr>
        <w:spacing w:line="240" w:lineRule="auto"/>
        <w:jc w:val="both"/>
        <w:rPr>
          <w:rFonts w:eastAsia="Times New Roman" w:cs="Times New Roman"/>
          <w:lang w:val="en-US" w:eastAsia="fr-FR"/>
        </w:rPr>
      </w:pPr>
      <w:r w:rsidRPr="007964CD">
        <w:rPr>
          <w:rFonts w:eastAsia="Times New Roman" w:cs="Times New Roman"/>
          <w:lang w:val="en-US" w:eastAsia="fr-FR"/>
        </w:rPr>
        <w:t xml:space="preserve">“As a possible positive side effect, the </w:t>
      </w:r>
      <w:r w:rsidRPr="007964CD">
        <w:rPr>
          <w:rFonts w:eastAsia="Times New Roman" w:cs="Times New Roman"/>
          <w:u w:val="single"/>
          <w:lang w:val="en-US" w:eastAsia="fr-FR"/>
        </w:rPr>
        <w:t>CCB may help to counter the expansionary phase of the credit cycle by reducing the supply of credit and/or increasing its cost</w:t>
      </w:r>
      <w:r w:rsidRPr="007964CD">
        <w:rPr>
          <w:rFonts w:eastAsia="Times New Roman" w:cs="Times New Roman"/>
          <w:lang w:val="en-US" w:eastAsia="fr-FR"/>
        </w:rPr>
        <w:t>”</w:t>
      </w:r>
    </w:p>
    <w:p w:rsidR="00C44DA4" w:rsidRPr="007964CD" w:rsidRDefault="00C44DA4" w:rsidP="007964CD">
      <w:pPr>
        <w:pStyle w:val="Paragraphedeliste"/>
        <w:numPr>
          <w:ilvl w:val="0"/>
          <w:numId w:val="3"/>
        </w:numPr>
        <w:spacing w:line="240" w:lineRule="auto"/>
        <w:jc w:val="both"/>
        <w:rPr>
          <w:rFonts w:eastAsia="Times New Roman" w:cs="Times New Roman"/>
          <w:lang w:val="en-US" w:eastAsia="fr-FR"/>
        </w:rPr>
      </w:pPr>
      <w:r w:rsidRPr="007964CD">
        <w:rPr>
          <w:rFonts w:eastAsia="Times New Roman" w:cs="Times New Roman"/>
          <w:lang w:val="en-US" w:eastAsia="fr-FR"/>
        </w:rPr>
        <w:t xml:space="preserve">“The CCB should counter the pro-cyclical amplification of shocks via the banking system to the real economy”.  </w:t>
      </w:r>
    </w:p>
    <w:p w:rsidR="00C44DA4" w:rsidRPr="007964CD" w:rsidRDefault="00C44DA4" w:rsidP="007964CD">
      <w:pPr>
        <w:spacing w:line="240" w:lineRule="auto"/>
        <w:jc w:val="both"/>
        <w:rPr>
          <w:rFonts w:eastAsia="Times New Roman" w:cs="Times New Roman"/>
          <w:lang w:val="en-US" w:eastAsia="fr-FR"/>
        </w:rPr>
      </w:pPr>
      <w:r w:rsidRPr="007964CD">
        <w:rPr>
          <w:rFonts w:eastAsia="Times New Roman" w:cs="Times New Roman"/>
          <w:lang w:val="en-US" w:eastAsia="fr-FR"/>
        </w:rPr>
        <w:t>Therefore, the micro-prudential goal is put forward on points 1 and 2 whilst under points 3 and 4 the EBA recognizes an induced macro-economic effect of the CCB tool. The BIS also recognized the induced macro-economic effect of the CCB tool</w:t>
      </w:r>
      <w:r w:rsidRPr="007964CD">
        <w:rPr>
          <w:rStyle w:val="Appelnotedebasdep"/>
          <w:rFonts w:eastAsia="Times New Roman" w:cs="Times New Roman"/>
          <w:lang w:val="en-US" w:eastAsia="fr-FR"/>
        </w:rPr>
        <w:footnoteReference w:id="3"/>
      </w:r>
      <w:r w:rsidRPr="007964CD">
        <w:rPr>
          <w:rFonts w:eastAsia="Times New Roman" w:cs="Times New Roman"/>
          <w:lang w:val="en-US" w:eastAsia="fr-FR"/>
        </w:rPr>
        <w:t>.</w:t>
      </w:r>
    </w:p>
    <w:p w:rsidR="00010E96" w:rsidRPr="007964CD" w:rsidRDefault="00010E96" w:rsidP="007964CD">
      <w:pPr>
        <w:spacing w:line="240" w:lineRule="auto"/>
        <w:jc w:val="both"/>
        <w:rPr>
          <w:rFonts w:eastAsia="Times New Roman" w:cs="Times New Roman"/>
          <w:lang w:val="en-US" w:eastAsia="fr-FR"/>
        </w:rPr>
      </w:pPr>
    </w:p>
    <w:p w:rsidR="00C44DA4" w:rsidRPr="007964CD" w:rsidRDefault="00C44DA4" w:rsidP="007964CD">
      <w:pPr>
        <w:pStyle w:val="Paragraphedeliste"/>
        <w:numPr>
          <w:ilvl w:val="0"/>
          <w:numId w:val="4"/>
        </w:numPr>
        <w:spacing w:line="240" w:lineRule="auto"/>
        <w:jc w:val="both"/>
        <w:rPr>
          <w:rFonts w:eastAsia="Times New Roman" w:cs="Times New Roman"/>
          <w:b/>
          <w:lang w:val="en" w:eastAsia="fr-FR"/>
        </w:rPr>
      </w:pPr>
      <w:r w:rsidRPr="007964CD">
        <w:rPr>
          <w:rFonts w:eastAsia="Times New Roman" w:cs="Times New Roman"/>
          <w:b/>
          <w:lang w:val="en" w:eastAsia="fr-FR"/>
        </w:rPr>
        <w:lastRenderedPageBreak/>
        <w:t>The ultimate risk is only relevant for immediate risk cases</w:t>
      </w:r>
    </w:p>
    <w:p w:rsidR="00C44DA4" w:rsidRPr="007964CD" w:rsidRDefault="00C44DA4" w:rsidP="007964CD">
      <w:pPr>
        <w:spacing w:line="240" w:lineRule="auto"/>
        <w:jc w:val="both"/>
        <w:rPr>
          <w:rFonts w:eastAsia="Times New Roman" w:cs="Times New Roman"/>
          <w:lang w:val="en" w:eastAsia="fr-FR"/>
        </w:rPr>
      </w:pPr>
      <w:r w:rsidRPr="007964CD">
        <w:rPr>
          <w:rFonts w:eastAsia="Times New Roman" w:cs="Times New Roman"/>
          <w:lang w:val="en" w:eastAsia="fr-FR"/>
        </w:rPr>
        <w:t>The main argument in favor of the principle of immediate risk is the asymmetry between the immediate and ultimate risk. The choice of the ultimate risk may be justified only if the CCB instrument is intend for micro-prudential purpose. In this case, the objective is to provide a sufficient layer of capital to absorb potential losses. The ultimate risk, either on the collateral or on the guarantor measures rate of loss the bank is exposed in case of default of the counterparty.</w:t>
      </w:r>
    </w:p>
    <w:p w:rsidR="00C44DA4" w:rsidRPr="007964CD" w:rsidRDefault="00C44DA4" w:rsidP="007964CD">
      <w:pPr>
        <w:spacing w:line="240" w:lineRule="auto"/>
        <w:jc w:val="both"/>
        <w:rPr>
          <w:rFonts w:eastAsia="Times New Roman" w:cs="Times New Roman"/>
          <w:lang w:val="en" w:eastAsia="fr-FR"/>
        </w:rPr>
      </w:pPr>
      <w:r w:rsidRPr="007964CD">
        <w:rPr>
          <w:rFonts w:eastAsia="Times New Roman" w:cs="Times New Roman"/>
          <w:lang w:val="en" w:eastAsia="fr-FR"/>
        </w:rPr>
        <w:t>However, concerns about the quality of the collateral or guarantor should intervene only in the event of default of the debtor/ obligor. Take the example of a loan granted by a credit institution to a debtor residing in a foreign country A and guaranteed by a guarantor residing in a foreign country B. The application of the ultimate risk principle would have as a consequence for the credit institution the requirement for additional countercyclical capital buffer (when the credit-to-GDB ratio grows excessively in country B) even though the risk and the likelihood the debtor defaults remain in country A, in the absence of an excessive credit growth of the credit-to-GDP ratio.</w:t>
      </w:r>
    </w:p>
    <w:p w:rsidR="00C44DA4" w:rsidRPr="007964CD" w:rsidRDefault="00C44DA4" w:rsidP="007964CD">
      <w:pPr>
        <w:pStyle w:val="Paragraphedeliste"/>
        <w:numPr>
          <w:ilvl w:val="0"/>
          <w:numId w:val="4"/>
        </w:numPr>
        <w:spacing w:line="240" w:lineRule="auto"/>
        <w:jc w:val="both"/>
        <w:rPr>
          <w:rFonts w:eastAsia="Times New Roman" w:cs="Times New Roman"/>
          <w:b/>
          <w:lang w:val="en" w:eastAsia="fr-FR"/>
        </w:rPr>
      </w:pPr>
      <w:r w:rsidRPr="007964CD">
        <w:rPr>
          <w:rFonts w:eastAsia="Times New Roman" w:cs="Times New Roman"/>
          <w:b/>
          <w:lang w:val="en" w:eastAsia="fr-FR"/>
        </w:rPr>
        <w:t xml:space="preserve">On the consistency of the </w:t>
      </w:r>
      <w:r w:rsidRPr="007964CD">
        <w:rPr>
          <w:rFonts w:eastAsia="Times New Roman" w:cs="Times New Roman"/>
          <w:b/>
          <w:i/>
          <w:lang w:val="en" w:eastAsia="fr-FR"/>
        </w:rPr>
        <w:t>obligor principle</w:t>
      </w:r>
      <w:r w:rsidRPr="007964CD">
        <w:rPr>
          <w:rFonts w:eastAsia="Times New Roman" w:cs="Times New Roman"/>
          <w:b/>
          <w:lang w:val="en" w:eastAsia="fr-FR"/>
        </w:rPr>
        <w:t xml:space="preserve"> w</w:t>
      </w:r>
      <w:r w:rsidR="009757F5">
        <w:rPr>
          <w:rFonts w:eastAsia="Times New Roman" w:cs="Times New Roman"/>
          <w:b/>
          <w:lang w:val="en" w:eastAsia="fr-FR"/>
        </w:rPr>
        <w:t>ith that of credit-to-GDP ratio</w:t>
      </w:r>
    </w:p>
    <w:p w:rsidR="00C44DA4" w:rsidRPr="007964CD" w:rsidRDefault="00C44DA4" w:rsidP="007964CD">
      <w:pPr>
        <w:spacing w:line="240" w:lineRule="auto"/>
        <w:jc w:val="both"/>
        <w:rPr>
          <w:rFonts w:eastAsia="Times New Roman" w:cs="Times New Roman"/>
          <w:lang w:val="en" w:eastAsia="fr-FR"/>
        </w:rPr>
      </w:pPr>
      <w:r w:rsidRPr="007964CD">
        <w:rPr>
          <w:rFonts w:eastAsia="Times New Roman" w:cs="Times New Roman"/>
          <w:lang w:val="en" w:eastAsia="fr-FR"/>
        </w:rPr>
        <w:t xml:space="preserve">The outstanding amount used to constitute the numerator of the credit -to- GDP ratio is based on the </w:t>
      </w:r>
      <w:r w:rsidRPr="007964CD">
        <w:rPr>
          <w:rFonts w:eastAsia="Times New Roman" w:cs="Times New Roman"/>
          <w:i/>
          <w:lang w:val="en" w:eastAsia="fr-FR"/>
        </w:rPr>
        <w:t>obligor principle</w:t>
      </w:r>
      <w:r w:rsidRPr="007964CD">
        <w:rPr>
          <w:rFonts w:eastAsia="Times New Roman" w:cs="Times New Roman"/>
          <w:lang w:val="en" w:eastAsia="fr-FR"/>
        </w:rPr>
        <w:t xml:space="preserve"> (or </w:t>
      </w:r>
      <w:r w:rsidRPr="007964CD">
        <w:rPr>
          <w:rFonts w:eastAsia="Times New Roman" w:cs="Times New Roman"/>
          <w:i/>
          <w:lang w:val="en" w:eastAsia="fr-FR"/>
        </w:rPr>
        <w:t>immediate risk</w:t>
      </w:r>
      <w:r w:rsidRPr="007964CD">
        <w:rPr>
          <w:rFonts w:eastAsia="Times New Roman" w:cs="Times New Roman"/>
          <w:lang w:val="en" w:eastAsia="fr-FR"/>
        </w:rPr>
        <w:t xml:space="preserve"> </w:t>
      </w:r>
      <w:r w:rsidRPr="007964CD">
        <w:rPr>
          <w:rFonts w:eastAsia="Times New Roman" w:cs="Times New Roman"/>
          <w:i/>
          <w:lang w:val="en" w:eastAsia="fr-FR"/>
        </w:rPr>
        <w:t>principle</w:t>
      </w:r>
      <w:r w:rsidRPr="007964CD">
        <w:rPr>
          <w:rFonts w:eastAsia="Times New Roman" w:cs="Times New Roman"/>
          <w:lang w:val="en" w:eastAsia="fr-FR"/>
        </w:rPr>
        <w:t xml:space="preserve">). Therefore, it seems adequate and logical, for consistency raisons, to maintain that principle in determining the geographical location of the credit institution exposure. </w:t>
      </w:r>
    </w:p>
    <w:p w:rsidR="00C44DA4" w:rsidRPr="007964CD" w:rsidRDefault="00C44DA4" w:rsidP="007964CD">
      <w:pPr>
        <w:pStyle w:val="Paragraphedeliste"/>
        <w:numPr>
          <w:ilvl w:val="0"/>
          <w:numId w:val="4"/>
        </w:numPr>
        <w:spacing w:line="240" w:lineRule="auto"/>
        <w:jc w:val="both"/>
        <w:rPr>
          <w:rFonts w:eastAsia="Times New Roman" w:cs="Times New Roman"/>
          <w:b/>
          <w:lang w:val="en" w:eastAsia="fr-FR"/>
        </w:rPr>
      </w:pPr>
      <w:r w:rsidRPr="007964CD">
        <w:rPr>
          <w:rFonts w:eastAsia="Times New Roman" w:cs="Times New Roman"/>
          <w:b/>
          <w:lang w:val="en" w:eastAsia="fr-FR"/>
        </w:rPr>
        <w:t>On the exem</w:t>
      </w:r>
      <w:r w:rsidR="009757F5">
        <w:rPr>
          <w:rFonts w:eastAsia="Times New Roman" w:cs="Times New Roman"/>
          <w:b/>
          <w:lang w:val="en" w:eastAsia="fr-FR"/>
        </w:rPr>
        <w:t>ption for specialized financing</w:t>
      </w:r>
    </w:p>
    <w:p w:rsidR="00C44DA4" w:rsidRPr="007964CD" w:rsidRDefault="00C44DA4" w:rsidP="007964CD">
      <w:pPr>
        <w:spacing w:line="240" w:lineRule="auto"/>
        <w:jc w:val="both"/>
        <w:rPr>
          <w:rFonts w:eastAsia="Times New Roman" w:cs="Times New Roman"/>
          <w:lang w:val="en" w:eastAsia="fr-FR"/>
        </w:rPr>
      </w:pPr>
      <w:r w:rsidRPr="007964CD">
        <w:rPr>
          <w:rFonts w:eastAsia="Times New Roman" w:cs="Times New Roman"/>
          <w:lang w:val="en" w:eastAsia="fr-FR"/>
        </w:rPr>
        <w:t xml:space="preserve">For specialized lending exposures, EBA proposes to waive </w:t>
      </w:r>
      <w:r w:rsidRPr="007964CD">
        <w:rPr>
          <w:rFonts w:eastAsia="Times New Roman" w:cs="Times New Roman"/>
          <w:i/>
          <w:lang w:val="en" w:eastAsia="fr-FR"/>
        </w:rPr>
        <w:t>the obligor principle</w:t>
      </w:r>
      <w:r w:rsidRPr="007964CD">
        <w:rPr>
          <w:rFonts w:eastAsia="Times New Roman" w:cs="Times New Roman"/>
          <w:lang w:val="en" w:eastAsia="fr-FR"/>
        </w:rPr>
        <w:t xml:space="preserve">, by using instead for the geographical location the country where the income is generated. The reasons for this are set out in the box of the Article 2 of the RTS (" </w:t>
      </w:r>
      <w:r w:rsidRPr="007964CD">
        <w:rPr>
          <w:rFonts w:eastAsia="Times New Roman" w:cs="Times New Roman"/>
          <w:i/>
          <w:lang w:val="en" w:eastAsia="fr-FR"/>
        </w:rPr>
        <w:t>For example, the systemic component of the credit risk related to specialized lending as defined in Article 147 (8) CRR, such as project finance, seems to be largely linked to the source of income, which is generated in the location of the project/ asset</w:t>
      </w:r>
      <w:r w:rsidRPr="007964CD">
        <w:rPr>
          <w:rFonts w:eastAsia="Times New Roman" w:cs="Times New Roman"/>
          <w:lang w:val="en" w:eastAsia="fr-FR"/>
        </w:rPr>
        <w:t xml:space="preserve">”, page 14). In our opinion, this analysis is arguable. </w:t>
      </w:r>
    </w:p>
    <w:p w:rsidR="00C44DA4" w:rsidRPr="007964CD" w:rsidRDefault="00C44DA4" w:rsidP="007964CD">
      <w:pPr>
        <w:spacing w:line="240" w:lineRule="auto"/>
        <w:jc w:val="both"/>
        <w:rPr>
          <w:rFonts w:eastAsia="Times New Roman" w:cs="Times New Roman"/>
          <w:lang w:val="en" w:eastAsia="fr-FR"/>
        </w:rPr>
      </w:pPr>
      <w:r w:rsidRPr="007964CD">
        <w:rPr>
          <w:rFonts w:eastAsia="Times New Roman" w:cs="Times New Roman"/>
          <w:lang w:val="en" w:eastAsia="fr-FR"/>
        </w:rPr>
        <w:t>Thus, the credit-to-GDP ratio, may grow excessively in a particular country, without threaten the sustainability of revenue flow of the funded project. The relationship between the revenue flow of the project financed and the debtor's solvency should be considered. In addition, the economic environment may affect the project revenue flow regardless of any growth of credit-to-GDP ratio.</w:t>
      </w:r>
    </w:p>
    <w:p w:rsidR="00C44DA4" w:rsidRPr="007964CD" w:rsidRDefault="00C44DA4" w:rsidP="007964CD">
      <w:pPr>
        <w:spacing w:line="240" w:lineRule="auto"/>
        <w:jc w:val="both"/>
        <w:rPr>
          <w:rFonts w:eastAsia="Times New Roman" w:cs="Times New Roman"/>
          <w:lang w:val="en" w:eastAsia="fr-FR"/>
        </w:rPr>
      </w:pPr>
      <w:proofErr w:type="gramStart"/>
      <w:r w:rsidRPr="007964CD">
        <w:rPr>
          <w:rFonts w:eastAsia="Times New Roman" w:cs="Times New Roman"/>
          <w:lang w:val="en" w:eastAsia="fr-FR"/>
        </w:rPr>
        <w:t>Moreover, if the ratio departs from its long-term trend exclusively due to a contraction of GDP (effect denominator), the losses generated due to the economic downturn will be hardly conducive to the creation of an additional layer of capital.</w:t>
      </w:r>
      <w:proofErr w:type="gramEnd"/>
      <w:r w:rsidRPr="007964CD">
        <w:rPr>
          <w:rFonts w:eastAsia="Times New Roman" w:cs="Times New Roman"/>
          <w:lang w:val="en" w:eastAsia="fr-FR"/>
        </w:rPr>
        <w:t xml:space="preserve"> Finally, the low proportion of specialized financing exposures in total loans to non- financial corporations (between 0.5 % and 1.1%)</w:t>
      </w:r>
      <w:r w:rsidRPr="007964CD">
        <w:rPr>
          <w:lang w:val="en-US"/>
        </w:rPr>
        <w:t xml:space="preserve">, </w:t>
      </w:r>
      <w:r w:rsidRPr="007964CD">
        <w:rPr>
          <w:rStyle w:val="Appelnotedebasdep"/>
          <w:rFonts w:eastAsia="Times New Roman" w:cs="Times New Roman"/>
          <w:lang w:val="en" w:eastAsia="fr-FR"/>
        </w:rPr>
        <w:footnoteReference w:id="4"/>
      </w:r>
      <w:r w:rsidRPr="007964CD">
        <w:rPr>
          <w:rFonts w:eastAsia="Times New Roman" w:cs="Times New Roman"/>
          <w:lang w:val="en" w:eastAsia="fr-FR"/>
        </w:rPr>
        <w:t xml:space="preserve"> is a very arguable argument for justifying a derogation from the principle of immediate risk (not without mentioning the additional cost that would be incurred by credit institutions for the monitoring of geographical location of exposure by country of project income). Also, considering the low proportion of the specialized financing into the total credits in a given country, the credit- to- GDP ratio appears to be far too broad to be a relevant indicator of material risks for the project financing sector.</w:t>
      </w:r>
    </w:p>
    <w:p w:rsidR="00010E96" w:rsidRPr="007964CD" w:rsidRDefault="00010E96" w:rsidP="007964CD">
      <w:pPr>
        <w:spacing w:line="240" w:lineRule="auto"/>
        <w:jc w:val="both"/>
        <w:rPr>
          <w:rFonts w:eastAsia="Times New Roman" w:cs="Times New Roman"/>
          <w:lang w:val="en" w:eastAsia="fr-FR"/>
        </w:rPr>
      </w:pPr>
    </w:p>
    <w:p w:rsidR="00010E96" w:rsidRPr="007964CD" w:rsidRDefault="00010E96" w:rsidP="007964CD">
      <w:pPr>
        <w:spacing w:line="240" w:lineRule="auto"/>
        <w:jc w:val="both"/>
        <w:rPr>
          <w:rFonts w:eastAsia="Times New Roman" w:cs="Times New Roman"/>
          <w:lang w:val="en" w:eastAsia="fr-FR"/>
        </w:rPr>
      </w:pPr>
    </w:p>
    <w:p w:rsidR="00010E96" w:rsidRPr="007964CD" w:rsidRDefault="00010E96" w:rsidP="007964CD">
      <w:pPr>
        <w:spacing w:line="240" w:lineRule="auto"/>
        <w:jc w:val="both"/>
        <w:rPr>
          <w:rFonts w:eastAsia="Times New Roman" w:cs="Times New Roman"/>
          <w:lang w:val="en" w:eastAsia="fr-FR"/>
        </w:rPr>
      </w:pPr>
    </w:p>
    <w:p w:rsidR="00C44DA4" w:rsidRPr="007964CD" w:rsidRDefault="00C44DA4" w:rsidP="007964CD">
      <w:pPr>
        <w:pStyle w:val="Paragraphedeliste"/>
        <w:numPr>
          <w:ilvl w:val="0"/>
          <w:numId w:val="4"/>
        </w:numPr>
        <w:spacing w:line="240" w:lineRule="auto"/>
        <w:jc w:val="both"/>
        <w:rPr>
          <w:rFonts w:eastAsia="Times New Roman" w:cs="Times New Roman"/>
          <w:b/>
          <w:lang w:val="en" w:eastAsia="fr-FR"/>
        </w:rPr>
      </w:pPr>
      <w:r w:rsidRPr="007964CD">
        <w:rPr>
          <w:rFonts w:eastAsia="Times New Roman" w:cs="Times New Roman"/>
          <w:b/>
          <w:lang w:val="en" w:eastAsia="fr-FR"/>
        </w:rPr>
        <w:lastRenderedPageBreak/>
        <w:t>Verify the absence of redundancy in the calculation of exposures (for a consolidated group)</w:t>
      </w:r>
      <w:r w:rsidRPr="007964CD">
        <w:rPr>
          <w:rFonts w:eastAsia="Times New Roman" w:cs="Times New Roman"/>
          <w:lang w:val="en" w:eastAsia="fr-FR"/>
        </w:rPr>
        <w:t xml:space="preserve"> </w:t>
      </w:r>
    </w:p>
    <w:p w:rsidR="00C44DA4" w:rsidRPr="007964CD" w:rsidRDefault="00C44DA4" w:rsidP="007964CD">
      <w:pPr>
        <w:spacing w:after="0" w:line="240" w:lineRule="auto"/>
        <w:jc w:val="both"/>
        <w:rPr>
          <w:rFonts w:eastAsia="Times New Roman" w:cs="Times New Roman"/>
          <w:lang w:val="en" w:eastAsia="fr-FR"/>
        </w:rPr>
      </w:pPr>
      <w:r w:rsidRPr="007964CD">
        <w:rPr>
          <w:rFonts w:eastAsia="Times New Roman" w:cs="Times New Roman"/>
          <w:lang w:val="en" w:eastAsia="fr-FR"/>
        </w:rPr>
        <w:t>According to the article 129 of the CRD, "</w:t>
      </w:r>
      <w:r w:rsidRPr="007964CD">
        <w:rPr>
          <w:rFonts w:eastAsia="Times New Roman" w:cs="Times New Roman"/>
          <w:i/>
          <w:lang w:val="en" w:eastAsia="fr-FR"/>
        </w:rPr>
        <w:t xml:space="preserve">Member states require institutions to maintain (...) a capital conservation buffer of Common Equity Tier 1 capital equal to 2.5% of their total risk exposure amount calculated </w:t>
      </w:r>
      <w:r w:rsidRPr="007964CD">
        <w:rPr>
          <w:rFonts w:eastAsia="Times New Roman" w:cs="Times New Roman"/>
          <w:i/>
          <w:u w:val="single"/>
          <w:lang w:val="en" w:eastAsia="fr-FR"/>
        </w:rPr>
        <w:t>on an individual and consolidated basis</w:t>
      </w:r>
      <w:r w:rsidRPr="007964CD">
        <w:rPr>
          <w:rFonts w:eastAsia="Times New Roman" w:cs="Times New Roman"/>
          <w:lang w:val="en" w:eastAsia="fr-FR"/>
        </w:rPr>
        <w:t xml:space="preserve"> ". It is therefore necessary that EBA confirms that only the direct exposure of an entity are subject a countercyclical capital buffer requirement in cases where its subsidiaries are already subject to a countercyclical capital buffer requirement for their own exposures. The Basel framework regarding the minimum capital requirements addresses this issue and it seems reasonable to consider that the same principle will apply for the countercyclical capital buffer requirement. We ask therefore the EBA to clarify this point. </w:t>
      </w:r>
    </w:p>
    <w:p w:rsidR="00C44DA4" w:rsidRPr="007964CD" w:rsidRDefault="00C44DA4" w:rsidP="007964CD">
      <w:pPr>
        <w:spacing w:after="0" w:line="240" w:lineRule="auto"/>
        <w:jc w:val="both"/>
        <w:rPr>
          <w:rFonts w:eastAsia="Times New Roman" w:cs="Times New Roman"/>
          <w:lang w:val="en" w:eastAsia="fr-FR"/>
        </w:rPr>
      </w:pPr>
    </w:p>
    <w:p w:rsidR="00C44DA4" w:rsidRPr="007964CD" w:rsidRDefault="00C44DA4" w:rsidP="007964CD">
      <w:pPr>
        <w:spacing w:after="0" w:line="240" w:lineRule="auto"/>
        <w:jc w:val="both"/>
        <w:rPr>
          <w:rFonts w:eastAsia="Times New Roman" w:cs="Times New Roman"/>
          <w:lang w:val="en-US" w:eastAsia="fr-FR"/>
        </w:rPr>
      </w:pPr>
      <w:r w:rsidRPr="007964CD">
        <w:rPr>
          <w:rFonts w:eastAsia="Times New Roman" w:cs="Times New Roman"/>
          <w:lang w:val="en" w:eastAsia="fr-FR"/>
        </w:rPr>
        <w:t>The wording used by the BCBS is the following: "</w:t>
      </w:r>
      <w:r w:rsidRPr="007964CD">
        <w:rPr>
          <w:rFonts w:eastAsia="Times New Roman" w:cs="Times New Roman"/>
          <w:i/>
          <w:lang w:val="en" w:eastAsia="fr-FR"/>
        </w:rPr>
        <w:t>As with the minimum capital requirement and capital conservation buffer, host authorities would have the right to demand the countercyclical capital buffer be held at the individual legal entity level or consolidated level within their jurisdiction.</w:t>
      </w:r>
      <w:r w:rsidRPr="007964CD">
        <w:rPr>
          <w:rFonts w:eastAsia="Times New Roman" w:cs="Times New Roman"/>
          <w:lang w:val="en" w:eastAsia="fr-FR"/>
        </w:rPr>
        <w:t>" This statement suggests that this is an option at the discretion of the national supervisor. We believe this is not specified in the consultation document of the EBA and we ask for clarification on this matter.</w:t>
      </w:r>
    </w:p>
    <w:p w:rsidR="00C44DA4" w:rsidRPr="007964CD" w:rsidRDefault="00C44DA4" w:rsidP="007964CD">
      <w:pPr>
        <w:spacing w:line="240" w:lineRule="auto"/>
        <w:jc w:val="both"/>
        <w:rPr>
          <w:rFonts w:eastAsia="Times New Roman" w:cs="Times New Roman"/>
          <w:b/>
          <w:lang w:val="en-US" w:eastAsia="fr-FR"/>
        </w:rPr>
      </w:pPr>
    </w:p>
    <w:p w:rsidR="00C44DA4" w:rsidRPr="007964CD" w:rsidRDefault="00C44DA4" w:rsidP="007964CD">
      <w:pPr>
        <w:pStyle w:val="Paragraphedeliste"/>
        <w:numPr>
          <w:ilvl w:val="0"/>
          <w:numId w:val="4"/>
        </w:numPr>
        <w:spacing w:line="240" w:lineRule="auto"/>
        <w:jc w:val="both"/>
        <w:rPr>
          <w:rFonts w:eastAsia="Times New Roman" w:cs="Times New Roman"/>
          <w:b/>
          <w:lang w:val="en" w:eastAsia="fr-FR"/>
        </w:rPr>
      </w:pPr>
      <w:r w:rsidRPr="007964CD">
        <w:rPr>
          <w:rFonts w:eastAsia="Times New Roman" w:cs="Times New Roman"/>
          <w:b/>
          <w:lang w:val="en" w:eastAsia="fr-FR"/>
        </w:rPr>
        <w:t>Why retain the immediate risk from a statistical point of view?</w:t>
      </w:r>
    </w:p>
    <w:p w:rsidR="00C44DA4" w:rsidRPr="007964CD" w:rsidRDefault="00C44DA4" w:rsidP="007964CD">
      <w:pPr>
        <w:pStyle w:val="Paragraphedeliste"/>
        <w:spacing w:line="240" w:lineRule="auto"/>
        <w:jc w:val="both"/>
        <w:rPr>
          <w:rFonts w:eastAsia="Times New Roman" w:cs="Times New Roman"/>
          <w:b/>
          <w:lang w:val="en" w:eastAsia="fr-FR"/>
        </w:rPr>
      </w:pPr>
    </w:p>
    <w:p w:rsidR="00C44DA4" w:rsidRPr="007964CD" w:rsidRDefault="00C44DA4" w:rsidP="007964CD">
      <w:pPr>
        <w:spacing w:line="240" w:lineRule="auto"/>
        <w:jc w:val="both"/>
        <w:rPr>
          <w:rFonts w:eastAsia="Times New Roman" w:cs="Times New Roman"/>
          <w:lang w:val="en" w:eastAsia="fr-FR"/>
        </w:rPr>
      </w:pPr>
      <w:r w:rsidRPr="007964CD">
        <w:rPr>
          <w:rFonts w:eastAsia="Times New Roman" w:cs="Times New Roman"/>
          <w:lang w:val="en" w:eastAsia="fr-FR"/>
        </w:rPr>
        <w:t xml:space="preserve">The statistical annex, based on the BIS’ foreign claims database aims at assessing the impact of the retained principle (the immediate risk or the ultimate risk) on the outstanding exposures amount and hence on the amount of countercyclical capital buffer. However, as the EBA mentions, the comparison of data based on immediate risk principle and ultimate risk principle is a challenging exercise due to differences in terms of scope (perimeters) and consolidation. Regarding the data based on the immediate risk principle, they are determined on a consolidated basis and therefore include foreign subsidiaries perimeters. However, the data based on ultimate risk principle take into account only resident entities. However, the paucity of data can lead to privilege the existing BIS statistics and ignore the caveats associated with these data. </w:t>
      </w:r>
    </w:p>
    <w:p w:rsidR="00C44DA4" w:rsidRPr="007964CD" w:rsidRDefault="00C44DA4" w:rsidP="007964CD">
      <w:pPr>
        <w:spacing w:line="240" w:lineRule="auto"/>
        <w:jc w:val="both"/>
        <w:rPr>
          <w:rFonts w:eastAsia="Times New Roman" w:cs="Times New Roman"/>
          <w:i/>
          <w:lang w:val="en" w:eastAsia="fr-FR"/>
        </w:rPr>
      </w:pPr>
      <w:r w:rsidRPr="007964CD">
        <w:rPr>
          <w:rFonts w:eastAsia="Times New Roman" w:cs="Times New Roman"/>
          <w:lang w:val="en" w:eastAsia="fr-FR"/>
        </w:rPr>
        <w:t>According to calculations made by the EBA, the median of the relative deviation of the differences on foreign claims held by banks in countries reporting to the BIS towards the 28 member states of the EU on immediate risk and ultimate risk is low and remains below 5 % for the period Q1 2005 - Q4 2012. In other words, based on the available data, the choice of one or other of the two approaches will generally lead to similar results (i.e. modest impact in quantitative terms). For the purposes of simplification, it seems preferable, as suggested by the EBA, to retain the option A1 (</w:t>
      </w:r>
      <w:r w:rsidR="007C2488" w:rsidRPr="007964CD">
        <w:rPr>
          <w:rFonts w:eastAsia="Times New Roman" w:cs="Times New Roman"/>
          <w:lang w:val="en" w:eastAsia="fr-FR"/>
        </w:rPr>
        <w:t>i.e.</w:t>
      </w:r>
      <w:r w:rsidRPr="007964CD">
        <w:rPr>
          <w:rFonts w:eastAsia="Times New Roman" w:cs="Times New Roman"/>
          <w:lang w:val="en" w:eastAsia="fr-FR"/>
        </w:rPr>
        <w:t xml:space="preserve"> </w:t>
      </w:r>
      <w:r w:rsidRPr="007964CD">
        <w:rPr>
          <w:rFonts w:eastAsia="Times New Roman" w:cs="Times New Roman"/>
          <w:i/>
          <w:lang w:val="en" w:eastAsia="fr-FR"/>
        </w:rPr>
        <w:t>the country where the obligor resides</w:t>
      </w:r>
      <w:r w:rsidRPr="007964CD">
        <w:rPr>
          <w:rFonts w:eastAsia="Times New Roman" w:cs="Times New Roman"/>
          <w:lang w:val="en" w:eastAsia="fr-FR"/>
        </w:rPr>
        <w:t xml:space="preserve">), or </w:t>
      </w:r>
      <w:r w:rsidRPr="007964CD">
        <w:rPr>
          <w:rFonts w:eastAsia="Times New Roman" w:cs="Times New Roman"/>
          <w:i/>
          <w:lang w:val="en" w:eastAsia="fr-FR"/>
        </w:rPr>
        <w:t>the immediate risk principle.</w:t>
      </w:r>
    </w:p>
    <w:p w:rsidR="00C44DA4" w:rsidRPr="007964CD" w:rsidRDefault="00C44DA4" w:rsidP="007964CD">
      <w:pPr>
        <w:spacing w:after="0" w:line="240" w:lineRule="auto"/>
        <w:jc w:val="both"/>
        <w:rPr>
          <w:rFonts w:eastAsia="Times New Roman" w:cs="Times New Roman"/>
          <w:lang w:val="en" w:eastAsia="fr-FR"/>
        </w:rPr>
      </w:pPr>
      <w:r w:rsidRPr="007964CD">
        <w:rPr>
          <w:rFonts w:eastAsia="Times New Roman" w:cs="Times New Roman"/>
          <w:lang w:val="en" w:eastAsia="fr-FR"/>
        </w:rPr>
        <w:t xml:space="preserve">The EBA underscores that an exception to this general immediate risk principle is that where the guarantor plays an important role that the guarantor or collateral’s economic environment would represent a better reference for the purposes of the counter-cyclical buffer. The exception concerns the specialized financing (i.e. project finance), where the country of the source of income represents the country holding the ultimate risk. The exception to the immediate risk principle general seems problematic because the collection and reporting necessary to assess the ultimate risk for specialized lending could induce a significant additional cost significant ultimately borne by the credit institutions. Moreover, from a conceptual point of view, the guarantor's economic environment is not limited to the credit-to- GDP ratio. </w:t>
      </w:r>
    </w:p>
    <w:p w:rsidR="00255950" w:rsidRPr="007964CD" w:rsidRDefault="00255950" w:rsidP="007964CD">
      <w:pPr>
        <w:spacing w:line="240" w:lineRule="auto"/>
        <w:jc w:val="both"/>
        <w:rPr>
          <w:b/>
          <w:lang w:val="en"/>
        </w:rPr>
      </w:pPr>
    </w:p>
    <w:p w:rsidR="00010E96" w:rsidRPr="007964CD" w:rsidRDefault="00010E96" w:rsidP="007964CD">
      <w:pPr>
        <w:spacing w:line="240" w:lineRule="auto"/>
        <w:jc w:val="both"/>
        <w:rPr>
          <w:b/>
          <w:lang w:val="en"/>
        </w:rPr>
      </w:pPr>
    </w:p>
    <w:p w:rsidR="00186982" w:rsidRPr="00A83846" w:rsidRDefault="005F77AD" w:rsidP="007964CD">
      <w:pPr>
        <w:spacing w:line="240" w:lineRule="auto"/>
        <w:jc w:val="both"/>
        <w:rPr>
          <w:b/>
          <w:u w:val="single"/>
          <w:lang w:val="en-US"/>
        </w:rPr>
      </w:pPr>
      <w:r w:rsidRPr="00A83846">
        <w:rPr>
          <w:b/>
          <w:u w:val="single"/>
          <w:lang w:val="en-US"/>
        </w:rPr>
        <w:lastRenderedPageBreak/>
        <w:t xml:space="preserve">Section 2: </w:t>
      </w:r>
      <w:r w:rsidR="003918F0" w:rsidRPr="00A83846">
        <w:rPr>
          <w:b/>
          <w:u w:val="single"/>
          <w:lang w:val="en-US"/>
        </w:rPr>
        <w:t>R</w:t>
      </w:r>
      <w:r w:rsidR="00186982" w:rsidRPr="00A83846">
        <w:rPr>
          <w:b/>
          <w:u w:val="single"/>
          <w:lang w:val="en-US"/>
        </w:rPr>
        <w:t>esponse</w:t>
      </w:r>
      <w:r w:rsidR="00A83846" w:rsidRPr="00A83846">
        <w:rPr>
          <w:b/>
          <w:u w:val="single"/>
          <w:lang w:val="en-US"/>
        </w:rPr>
        <w:t>s</w:t>
      </w:r>
      <w:r w:rsidR="00186982" w:rsidRPr="00A83846">
        <w:rPr>
          <w:b/>
          <w:u w:val="single"/>
          <w:lang w:val="en-US"/>
        </w:rPr>
        <w:t xml:space="preserve"> to question relate</w:t>
      </w:r>
      <w:r w:rsidR="00A83846" w:rsidRPr="00A83846">
        <w:rPr>
          <w:b/>
          <w:u w:val="single"/>
          <w:lang w:val="en-US"/>
        </w:rPr>
        <w:t>d</w:t>
      </w:r>
      <w:r w:rsidR="00186982" w:rsidRPr="00A83846">
        <w:rPr>
          <w:b/>
          <w:u w:val="single"/>
          <w:lang w:val="en-US"/>
        </w:rPr>
        <w:t xml:space="preserve"> to the consultation </w:t>
      </w:r>
    </w:p>
    <w:p w:rsidR="00186982" w:rsidRPr="007964CD" w:rsidRDefault="00186982" w:rsidP="007964CD">
      <w:pPr>
        <w:pStyle w:val="Sansinterligne"/>
        <w:pBdr>
          <w:top w:val="single" w:sz="4" w:space="1" w:color="auto"/>
          <w:left w:val="single" w:sz="4" w:space="4" w:color="auto"/>
          <w:bottom w:val="single" w:sz="4" w:space="1" w:color="auto"/>
          <w:right w:val="single" w:sz="4" w:space="4" w:color="auto"/>
        </w:pBdr>
        <w:jc w:val="both"/>
        <w:rPr>
          <w:b/>
          <w:lang w:val="en-US"/>
        </w:rPr>
      </w:pPr>
      <w:r w:rsidRPr="007964CD">
        <w:rPr>
          <w:b/>
          <w:lang w:val="en-US"/>
        </w:rPr>
        <w:t>Q1. Do you agree with using the obligor principle for the practical implementation of the CCB? If not, could you provide specific examples where this principle would not work in practice and explain why an alternative option would work better?</w:t>
      </w:r>
    </w:p>
    <w:p w:rsidR="004324BD" w:rsidRPr="007964CD" w:rsidRDefault="004324BD" w:rsidP="007964CD">
      <w:pPr>
        <w:pStyle w:val="Sansinterligne"/>
        <w:jc w:val="both"/>
        <w:rPr>
          <w:lang w:val="en-US"/>
        </w:rPr>
      </w:pPr>
    </w:p>
    <w:p w:rsidR="00865E8E" w:rsidRPr="007964CD" w:rsidRDefault="00D9217F" w:rsidP="007964CD">
      <w:pPr>
        <w:pStyle w:val="Sansinterligne"/>
        <w:jc w:val="both"/>
        <w:rPr>
          <w:lang w:val="en-US"/>
        </w:rPr>
      </w:pPr>
      <w:r w:rsidRPr="007964CD">
        <w:rPr>
          <w:lang w:val="en-US"/>
        </w:rPr>
        <w:t xml:space="preserve">Yes. </w:t>
      </w:r>
      <w:r w:rsidR="00B53541" w:rsidRPr="007964CD">
        <w:rPr>
          <w:lang w:val="en-US"/>
        </w:rPr>
        <w:t xml:space="preserve">We agree </w:t>
      </w:r>
      <w:r w:rsidRPr="007964CD">
        <w:rPr>
          <w:lang w:val="en-US"/>
        </w:rPr>
        <w:t>on using</w:t>
      </w:r>
      <w:r w:rsidR="00B53541" w:rsidRPr="007964CD">
        <w:rPr>
          <w:lang w:val="en-US"/>
        </w:rPr>
        <w:t xml:space="preserve"> the obligor </w:t>
      </w:r>
      <w:r w:rsidRPr="007964CD">
        <w:rPr>
          <w:lang w:val="en-US"/>
        </w:rPr>
        <w:t xml:space="preserve">principle </w:t>
      </w:r>
      <w:r w:rsidR="00B53541" w:rsidRPr="007964CD">
        <w:rPr>
          <w:lang w:val="en-US"/>
        </w:rPr>
        <w:t xml:space="preserve">for the practical implementation of the countercyclical buffer. </w:t>
      </w:r>
      <w:r w:rsidR="00865E8E" w:rsidRPr="007964CD">
        <w:rPr>
          <w:lang w:val="en-US"/>
        </w:rPr>
        <w:t xml:space="preserve">Nevertheless, we consider that only this </w:t>
      </w:r>
      <w:r w:rsidRPr="007964CD">
        <w:rPr>
          <w:lang w:val="en-US"/>
        </w:rPr>
        <w:t xml:space="preserve">principle </w:t>
      </w:r>
      <w:r w:rsidR="00865E8E" w:rsidRPr="007964CD">
        <w:rPr>
          <w:lang w:val="en-US"/>
        </w:rPr>
        <w:t xml:space="preserve">should be </w:t>
      </w:r>
      <w:r w:rsidRPr="007964CD">
        <w:rPr>
          <w:lang w:val="en-US"/>
        </w:rPr>
        <w:t xml:space="preserve">applied </w:t>
      </w:r>
      <w:r w:rsidR="00865E8E" w:rsidRPr="007964CD">
        <w:rPr>
          <w:lang w:val="en-US"/>
        </w:rPr>
        <w:t>even if collateral or guarantee</w:t>
      </w:r>
      <w:r w:rsidR="003D0017" w:rsidRPr="007964CD">
        <w:rPr>
          <w:lang w:val="en-US"/>
        </w:rPr>
        <w:t>s</w:t>
      </w:r>
      <w:r w:rsidR="00865E8E" w:rsidRPr="007964CD">
        <w:rPr>
          <w:lang w:val="en-US"/>
        </w:rPr>
        <w:t xml:space="preserve"> exist. This principle is consistent with the objectives of </w:t>
      </w:r>
      <w:r w:rsidRPr="007964CD">
        <w:rPr>
          <w:lang w:val="en-US"/>
        </w:rPr>
        <w:t xml:space="preserve">the counter-cyclical </w:t>
      </w:r>
      <w:r w:rsidR="00865E8E" w:rsidRPr="007964CD">
        <w:rPr>
          <w:lang w:val="en-US"/>
        </w:rPr>
        <w:t>buffer</w:t>
      </w:r>
      <w:r w:rsidR="004324BD" w:rsidRPr="007964CD">
        <w:rPr>
          <w:lang w:val="en-US"/>
        </w:rPr>
        <w:t xml:space="preserve"> because it will help to build capital in the country of residence of the obligor, as the residence of the obligor will, in most but not all cases, be closely linked to the relevant economy.</w:t>
      </w:r>
    </w:p>
    <w:p w:rsidR="00B53541" w:rsidRPr="007964CD" w:rsidRDefault="00B53541" w:rsidP="007964CD">
      <w:pPr>
        <w:pStyle w:val="Sansinterligne"/>
        <w:jc w:val="both"/>
        <w:rPr>
          <w:lang w:val="en-US"/>
        </w:rPr>
      </w:pPr>
    </w:p>
    <w:p w:rsidR="00186982" w:rsidRPr="007964CD" w:rsidRDefault="00186982" w:rsidP="007964CD">
      <w:pPr>
        <w:pStyle w:val="Sansinterligne"/>
        <w:pBdr>
          <w:top w:val="single" w:sz="4" w:space="1" w:color="auto"/>
          <w:left w:val="single" w:sz="4" w:space="4" w:color="auto"/>
          <w:bottom w:val="single" w:sz="4" w:space="1" w:color="auto"/>
          <w:right w:val="single" w:sz="4" w:space="4" w:color="auto"/>
        </w:pBdr>
        <w:jc w:val="both"/>
        <w:rPr>
          <w:b/>
          <w:lang w:val="en-US"/>
        </w:rPr>
      </w:pPr>
      <w:r w:rsidRPr="007964CD">
        <w:rPr>
          <w:b/>
          <w:lang w:val="en-US"/>
        </w:rPr>
        <w:t xml:space="preserve">Q2. Do you agree with using the guarantor principle for </w:t>
      </w:r>
      <w:r w:rsidR="00A83846" w:rsidRPr="007964CD">
        <w:rPr>
          <w:b/>
          <w:lang w:val="en-US"/>
        </w:rPr>
        <w:t>specialized</w:t>
      </w:r>
      <w:r w:rsidRPr="007964CD">
        <w:rPr>
          <w:b/>
          <w:lang w:val="en-US"/>
        </w:rPr>
        <w:t xml:space="preserve"> lending?</w:t>
      </w:r>
    </w:p>
    <w:p w:rsidR="00966FBF" w:rsidRPr="007964CD" w:rsidRDefault="00966FBF" w:rsidP="007964CD">
      <w:pPr>
        <w:pStyle w:val="Sansinterligne"/>
        <w:jc w:val="both"/>
        <w:rPr>
          <w:lang w:val="en-US"/>
        </w:rPr>
      </w:pPr>
    </w:p>
    <w:p w:rsidR="003D0017" w:rsidRPr="007964CD" w:rsidRDefault="003D0017" w:rsidP="007964CD">
      <w:pPr>
        <w:pStyle w:val="Sansinterligne"/>
        <w:jc w:val="both"/>
        <w:rPr>
          <w:lang w:val="en-US"/>
        </w:rPr>
      </w:pPr>
      <w:r w:rsidRPr="007964CD">
        <w:rPr>
          <w:lang w:val="en-US"/>
        </w:rPr>
        <w:t xml:space="preserve">For specialized lending exposures, EBA proposes to waive the obligor principle, by using instead for the geographical location the country where the income is generated. The reasons for this are set out in the box of the Article 2 of the RTS (" For example, the systemic component of the credit risk related to specialized lending as defined in Article 147 (8) CRR, such as project finance, seems to be largely linked to the source of income, which is generated in the location of the project/ asset”, page 14). In our opinion, this analysis is arguable. </w:t>
      </w:r>
    </w:p>
    <w:p w:rsidR="003F6269" w:rsidRPr="007964CD" w:rsidRDefault="003F6269" w:rsidP="007964CD">
      <w:pPr>
        <w:pStyle w:val="Sansinterligne"/>
        <w:jc w:val="both"/>
        <w:rPr>
          <w:lang w:val="en-US"/>
        </w:rPr>
      </w:pPr>
    </w:p>
    <w:p w:rsidR="003D0017" w:rsidRPr="007964CD" w:rsidRDefault="003D0017" w:rsidP="007964CD">
      <w:pPr>
        <w:pStyle w:val="Sansinterligne"/>
        <w:jc w:val="both"/>
        <w:rPr>
          <w:lang w:val="en-US"/>
        </w:rPr>
      </w:pPr>
      <w:r w:rsidRPr="007964CD">
        <w:rPr>
          <w:lang w:val="en-US"/>
        </w:rPr>
        <w:t>Thus, the credit-to-GDP ratio, may grow excessively in a particular country, without threaten the sustainability of revenue flow of the funded project. The relationship between the revenue flow of the project financed and the debtor's solvency should be considered. In addition, the economic environment may affect the project revenue flow regardless of any growth of credit-to-GDP ratio.</w:t>
      </w:r>
    </w:p>
    <w:p w:rsidR="003F6269" w:rsidRPr="007964CD" w:rsidRDefault="003F6269" w:rsidP="007964CD">
      <w:pPr>
        <w:pStyle w:val="Sansinterligne"/>
        <w:jc w:val="both"/>
        <w:rPr>
          <w:lang w:val="en-US"/>
        </w:rPr>
      </w:pPr>
    </w:p>
    <w:p w:rsidR="003D0017" w:rsidRPr="007964CD" w:rsidRDefault="003D0017" w:rsidP="007964CD">
      <w:pPr>
        <w:pStyle w:val="Sansinterligne"/>
        <w:jc w:val="both"/>
        <w:rPr>
          <w:lang w:val="en-US"/>
        </w:rPr>
      </w:pPr>
      <w:proofErr w:type="gramStart"/>
      <w:r w:rsidRPr="007964CD">
        <w:rPr>
          <w:lang w:val="en-US"/>
        </w:rPr>
        <w:t>Moreover, if the ratio departs from its long-term trend exclusively due to a contraction of GDP (effect denominator), the losses generated due to the economic downturn will be hardly conducive to the creation of an additional layer of capital.</w:t>
      </w:r>
      <w:proofErr w:type="gramEnd"/>
      <w:r w:rsidRPr="007964CD">
        <w:rPr>
          <w:lang w:val="en-US"/>
        </w:rPr>
        <w:t xml:space="preserve"> Finally, the low proportion of specialized financing exposures in total loans to non- financial corporations (between 0.5 % and 1.1%),   is a very arguable argument for justifying a derogation from the principle of immediate risk (not without mentioning the additional cost that would be incurred by credit institutions for the monitoring of geographical location of exposure by country of project income). Also, considering the low proportion of the specialized financing into the total credits in a given country, the credit- to- GDP ratio appears to be far too broad to be a relevant indicator of material risks for the project financing sector.</w:t>
      </w:r>
    </w:p>
    <w:p w:rsidR="00865E8E" w:rsidRPr="007964CD" w:rsidRDefault="00865E8E" w:rsidP="007964CD">
      <w:pPr>
        <w:pStyle w:val="Sansinterligne"/>
        <w:jc w:val="both"/>
        <w:rPr>
          <w:lang w:val="en-US"/>
        </w:rPr>
      </w:pPr>
    </w:p>
    <w:p w:rsidR="00186982" w:rsidRPr="007964CD" w:rsidRDefault="00186982" w:rsidP="007964CD">
      <w:pPr>
        <w:pStyle w:val="Sansinterligne"/>
        <w:pBdr>
          <w:top w:val="single" w:sz="4" w:space="1" w:color="auto"/>
          <w:left w:val="single" w:sz="4" w:space="4" w:color="auto"/>
          <w:bottom w:val="single" w:sz="4" w:space="1" w:color="auto"/>
          <w:right w:val="single" w:sz="4" w:space="4" w:color="auto"/>
        </w:pBdr>
        <w:jc w:val="both"/>
        <w:rPr>
          <w:b/>
          <w:lang w:val="en-US"/>
        </w:rPr>
      </w:pPr>
      <w:r w:rsidRPr="007964CD">
        <w:rPr>
          <w:b/>
          <w:lang w:val="en-US"/>
        </w:rPr>
        <w:t>Q3. Should other exposures, such as residential or commercial mortgages, also use the guarantor principle? If yes, please justify the answer.</w:t>
      </w:r>
    </w:p>
    <w:p w:rsidR="00186982" w:rsidRPr="007964CD" w:rsidRDefault="00186982" w:rsidP="007964CD">
      <w:pPr>
        <w:pStyle w:val="Sansinterligne"/>
        <w:jc w:val="both"/>
        <w:rPr>
          <w:lang w:val="en-US"/>
        </w:rPr>
      </w:pPr>
    </w:p>
    <w:p w:rsidR="00D7003E" w:rsidRPr="007964CD" w:rsidRDefault="00D7003E" w:rsidP="007964CD">
      <w:pPr>
        <w:pStyle w:val="Sansinterligne"/>
        <w:jc w:val="both"/>
        <w:rPr>
          <w:lang w:val="en-US"/>
        </w:rPr>
      </w:pPr>
      <w:r w:rsidRPr="007964CD">
        <w:rPr>
          <w:lang w:val="en-US"/>
        </w:rPr>
        <w:t>No, the residence of the debtor should be the principle for the identification of the geographical localization of all credit exposure</w:t>
      </w:r>
      <w:r w:rsidR="00D9217F" w:rsidRPr="007964CD">
        <w:rPr>
          <w:lang w:val="en-US"/>
        </w:rPr>
        <w:t>s</w:t>
      </w:r>
      <w:r w:rsidR="003D0017" w:rsidRPr="007964CD">
        <w:rPr>
          <w:lang w:val="en-US"/>
        </w:rPr>
        <w:t>.</w:t>
      </w:r>
    </w:p>
    <w:p w:rsidR="00A156FF" w:rsidRPr="007964CD" w:rsidRDefault="00A156FF" w:rsidP="007964CD">
      <w:pPr>
        <w:pStyle w:val="Sansinterligne"/>
        <w:jc w:val="both"/>
        <w:rPr>
          <w:lang w:val="en-US"/>
        </w:rPr>
      </w:pPr>
    </w:p>
    <w:p w:rsidR="00186982" w:rsidRPr="007964CD" w:rsidRDefault="00186982" w:rsidP="007964CD">
      <w:pPr>
        <w:pStyle w:val="Sansinterligne"/>
        <w:pBdr>
          <w:top w:val="single" w:sz="4" w:space="1" w:color="auto"/>
          <w:left w:val="single" w:sz="4" w:space="4" w:color="auto"/>
          <w:bottom w:val="single" w:sz="4" w:space="1" w:color="auto"/>
          <w:right w:val="single" w:sz="4" w:space="4" w:color="auto"/>
        </w:pBdr>
        <w:jc w:val="both"/>
        <w:rPr>
          <w:b/>
          <w:lang w:val="en-US"/>
        </w:rPr>
      </w:pPr>
      <w:r w:rsidRPr="007964CD">
        <w:rPr>
          <w:b/>
          <w:lang w:val="en-US"/>
        </w:rPr>
        <w:t>Q4. Do you agree with the inclusion of a threshold for credit risk exposures? Would this threshold lead to any substantial reduction in the burden for institutions?</w:t>
      </w:r>
    </w:p>
    <w:p w:rsidR="00D7003E" w:rsidRPr="007964CD" w:rsidRDefault="00D7003E" w:rsidP="007964CD">
      <w:pPr>
        <w:pStyle w:val="Sansinterligne"/>
        <w:jc w:val="both"/>
        <w:rPr>
          <w:lang w:val="en-US"/>
        </w:rPr>
      </w:pPr>
    </w:p>
    <w:p w:rsidR="00D7003E" w:rsidRPr="007964CD" w:rsidRDefault="00D9217F" w:rsidP="007964CD">
      <w:pPr>
        <w:pStyle w:val="Sansinterligne"/>
        <w:jc w:val="both"/>
        <w:rPr>
          <w:lang w:val="en-US"/>
        </w:rPr>
      </w:pPr>
      <w:r w:rsidRPr="007964CD">
        <w:rPr>
          <w:lang w:val="en-US"/>
        </w:rPr>
        <w:t xml:space="preserve">Yes. </w:t>
      </w:r>
      <w:r w:rsidR="00D7003E" w:rsidRPr="007964CD">
        <w:rPr>
          <w:lang w:val="en-US"/>
        </w:rPr>
        <w:t xml:space="preserve">We agree </w:t>
      </w:r>
      <w:r w:rsidRPr="007964CD">
        <w:rPr>
          <w:lang w:val="en-US"/>
        </w:rPr>
        <w:t xml:space="preserve">on </w:t>
      </w:r>
      <w:r w:rsidR="00D7003E" w:rsidRPr="007964CD">
        <w:rPr>
          <w:lang w:val="en-US"/>
        </w:rPr>
        <w:t xml:space="preserve">the inclusion of a </w:t>
      </w:r>
      <w:r w:rsidR="00847994" w:rsidRPr="007964CD">
        <w:rPr>
          <w:lang w:val="en-US"/>
        </w:rPr>
        <w:t xml:space="preserve">proportionality </w:t>
      </w:r>
      <w:r w:rsidR="00D7003E" w:rsidRPr="007964CD">
        <w:rPr>
          <w:lang w:val="en-US"/>
        </w:rPr>
        <w:t>thres</w:t>
      </w:r>
      <w:r w:rsidR="000D66FE" w:rsidRPr="007964CD">
        <w:rPr>
          <w:lang w:val="en-US"/>
        </w:rPr>
        <w:t>hold for credit risk exposures</w:t>
      </w:r>
      <w:r w:rsidR="00847994" w:rsidRPr="007964CD">
        <w:rPr>
          <w:lang w:val="en-US"/>
        </w:rPr>
        <w:t>, to alleviate the operational burden for institutions with very limited aggregate cross-border activity</w:t>
      </w:r>
      <w:r w:rsidR="000D66FE" w:rsidRPr="007964CD">
        <w:rPr>
          <w:lang w:val="en-US"/>
        </w:rPr>
        <w:t xml:space="preserve">. </w:t>
      </w:r>
    </w:p>
    <w:p w:rsidR="00C17AE1" w:rsidRPr="007964CD" w:rsidRDefault="001B0662" w:rsidP="007964CD">
      <w:pPr>
        <w:pStyle w:val="Sansinterligne"/>
        <w:jc w:val="both"/>
        <w:rPr>
          <w:i/>
          <w:color w:val="FF0000"/>
          <w:lang w:val="en-US"/>
        </w:rPr>
      </w:pPr>
      <w:r w:rsidRPr="007964CD">
        <w:rPr>
          <w:lang w:val="en-US"/>
        </w:rPr>
        <w:t xml:space="preserve">For the calculation modalities, we propose to compute the threshold </w:t>
      </w:r>
      <w:r w:rsidR="003D0017" w:rsidRPr="007964CD">
        <w:rPr>
          <w:lang w:val="en-US"/>
        </w:rPr>
        <w:t xml:space="preserve">no more frequent than once a year </w:t>
      </w:r>
      <w:r w:rsidRPr="007964CD">
        <w:rPr>
          <w:lang w:val="en-US"/>
        </w:rPr>
        <w:t>based on the previous quarter</w:t>
      </w:r>
    </w:p>
    <w:p w:rsidR="00C17AE1" w:rsidRPr="007964CD" w:rsidRDefault="00C17AE1" w:rsidP="007964CD">
      <w:pPr>
        <w:pStyle w:val="Sansinterligne"/>
        <w:jc w:val="both"/>
        <w:rPr>
          <w:lang w:val="en-US"/>
        </w:rPr>
      </w:pPr>
      <w:r w:rsidRPr="007964CD">
        <w:rPr>
          <w:lang w:val="en-US"/>
        </w:rPr>
        <w:t>We request EBA to introduce a 0.5% RWA materiality threshold per country. As a safety net, the exemption (total of RWA for small perimeters) should not exceed 10% of total RWA.</w:t>
      </w:r>
    </w:p>
    <w:p w:rsidR="001B0662" w:rsidRPr="007964CD" w:rsidRDefault="001B0662" w:rsidP="007964CD">
      <w:pPr>
        <w:pStyle w:val="Sansinterligne"/>
        <w:jc w:val="both"/>
        <w:rPr>
          <w:lang w:val="en-US"/>
        </w:rPr>
      </w:pPr>
    </w:p>
    <w:p w:rsidR="00186982" w:rsidRPr="007964CD" w:rsidRDefault="00186982" w:rsidP="007964CD">
      <w:pPr>
        <w:pStyle w:val="Sansinterligne"/>
        <w:pBdr>
          <w:top w:val="single" w:sz="4" w:space="1" w:color="auto"/>
          <w:left w:val="single" w:sz="4" w:space="4" w:color="auto"/>
          <w:bottom w:val="single" w:sz="4" w:space="1" w:color="auto"/>
          <w:right w:val="single" w:sz="4" w:space="4" w:color="auto"/>
        </w:pBdr>
        <w:jc w:val="both"/>
        <w:rPr>
          <w:b/>
          <w:lang w:val="en-US"/>
        </w:rPr>
      </w:pPr>
      <w:r w:rsidRPr="007964CD">
        <w:rPr>
          <w:b/>
          <w:lang w:val="en-US"/>
        </w:rPr>
        <w:t>Q5. Do you agree with approach chosen and is the approach sufficiently clear? If not, please describe the best method for allocating the total specific and IRC capital charges and describe its rationale and practical implementation.</w:t>
      </w:r>
    </w:p>
    <w:p w:rsidR="001B0662" w:rsidRPr="007964CD" w:rsidRDefault="001B0662" w:rsidP="007964CD">
      <w:pPr>
        <w:pStyle w:val="Sansinterligne"/>
        <w:jc w:val="both"/>
        <w:rPr>
          <w:lang w:val="en-US"/>
        </w:rPr>
      </w:pPr>
    </w:p>
    <w:p w:rsidR="009A0FC1" w:rsidRPr="007964CD" w:rsidRDefault="009A0FC1" w:rsidP="007964CD">
      <w:pPr>
        <w:pStyle w:val="Sansinterligne"/>
        <w:jc w:val="both"/>
        <w:rPr>
          <w:lang w:val="en-US"/>
        </w:rPr>
      </w:pPr>
      <w:r w:rsidRPr="007964CD">
        <w:rPr>
          <w:lang w:val="en-US"/>
        </w:rPr>
        <w:t xml:space="preserve">We consider the approach of Article 3 based on a pro-rata of the standalone specific risk own funds requirements as an additional burden for internal model banks which bring no benefit. We therefore are not supportive of this approach. </w:t>
      </w:r>
    </w:p>
    <w:p w:rsidR="009A0FC1" w:rsidRPr="007964CD" w:rsidRDefault="009A0FC1" w:rsidP="007964CD">
      <w:pPr>
        <w:pStyle w:val="Sansinterligne"/>
        <w:jc w:val="both"/>
        <w:rPr>
          <w:lang w:val="en-US"/>
        </w:rPr>
      </w:pPr>
    </w:p>
    <w:p w:rsidR="009A0FC1" w:rsidRPr="007964CD" w:rsidRDefault="009A0FC1" w:rsidP="007964CD">
      <w:pPr>
        <w:pStyle w:val="Sansinterligne"/>
        <w:jc w:val="both"/>
        <w:rPr>
          <w:lang w:val="en-US"/>
        </w:rPr>
      </w:pPr>
      <w:r w:rsidRPr="007964CD">
        <w:rPr>
          <w:lang w:val="en-US"/>
        </w:rPr>
        <w:t xml:space="preserve">Instead we support the fourth method that assigns the exposures using the same geographical distribution as the credit risk exposures. This is definitely the easiest to implement and, arguably, there is indeed a degree of correlation between the location of credit and market risks exposures. </w:t>
      </w:r>
    </w:p>
    <w:p w:rsidR="009A0FC1" w:rsidRPr="007964CD" w:rsidRDefault="009A0FC1" w:rsidP="007964CD">
      <w:pPr>
        <w:pStyle w:val="Sansinterligne"/>
        <w:jc w:val="both"/>
        <w:rPr>
          <w:lang w:val="en-US"/>
        </w:rPr>
      </w:pPr>
    </w:p>
    <w:p w:rsidR="00847994" w:rsidRPr="007964CD" w:rsidRDefault="009A0FC1" w:rsidP="007964CD">
      <w:pPr>
        <w:pStyle w:val="Sansinterligne"/>
        <w:jc w:val="both"/>
        <w:rPr>
          <w:lang w:val="en-US"/>
        </w:rPr>
      </w:pPr>
      <w:r w:rsidRPr="007964CD">
        <w:rPr>
          <w:lang w:val="en-US"/>
        </w:rPr>
        <w:t>If however the EBA considers the "credit risk" approach as too crude, in particular for large international institutions with a fair share of trading book exposures, we suggest that internal model institutions weight their global trading book IRC with the standalone IRC calculated on a country by country basis.</w:t>
      </w:r>
    </w:p>
    <w:p w:rsidR="009A0FC1" w:rsidRPr="007964CD" w:rsidRDefault="009A0FC1" w:rsidP="007964CD">
      <w:pPr>
        <w:pStyle w:val="Sansinterligne"/>
        <w:jc w:val="both"/>
        <w:rPr>
          <w:lang w:val="en-US"/>
        </w:rPr>
      </w:pPr>
    </w:p>
    <w:p w:rsidR="00186982" w:rsidRPr="007964CD" w:rsidRDefault="00186982" w:rsidP="007964CD">
      <w:pPr>
        <w:pStyle w:val="Sansinterligne"/>
        <w:pBdr>
          <w:top w:val="single" w:sz="4" w:space="1" w:color="auto"/>
          <w:left w:val="single" w:sz="4" w:space="4" w:color="auto"/>
          <w:bottom w:val="single" w:sz="4" w:space="0" w:color="auto"/>
          <w:right w:val="single" w:sz="4" w:space="4" w:color="auto"/>
        </w:pBdr>
        <w:jc w:val="both"/>
        <w:rPr>
          <w:b/>
          <w:lang w:val="en-US"/>
        </w:rPr>
      </w:pPr>
      <w:r w:rsidRPr="007964CD">
        <w:rPr>
          <w:b/>
          <w:lang w:val="en-US"/>
        </w:rPr>
        <w:t>Q6. Do you agree with the inclusion of a proportionality threshold for trading book exposures?</w:t>
      </w:r>
    </w:p>
    <w:p w:rsidR="00966FBF" w:rsidRPr="007964CD" w:rsidRDefault="00966FBF" w:rsidP="007964CD">
      <w:pPr>
        <w:pStyle w:val="Sansinterligne"/>
        <w:jc w:val="both"/>
        <w:rPr>
          <w:lang w:val="en-US"/>
        </w:rPr>
      </w:pPr>
    </w:p>
    <w:p w:rsidR="00966FBF" w:rsidRPr="007964CD" w:rsidRDefault="00CF0BC5" w:rsidP="007964CD">
      <w:pPr>
        <w:spacing w:line="240" w:lineRule="auto"/>
        <w:jc w:val="both"/>
        <w:rPr>
          <w:lang w:val="en-US"/>
        </w:rPr>
      </w:pPr>
      <w:r w:rsidRPr="007964CD">
        <w:rPr>
          <w:lang w:val="en-US"/>
        </w:rPr>
        <w:t>Yes, we agree with the inclusion of a threshold for trading book exposures and would like to suggest a higher threshold than the one proposed in the consultation paper, as 2% is too proportionately too low.</w:t>
      </w:r>
    </w:p>
    <w:p w:rsidR="00186982" w:rsidRPr="007964CD" w:rsidRDefault="00186982" w:rsidP="007964CD">
      <w:pPr>
        <w:pBdr>
          <w:top w:val="single" w:sz="4" w:space="1" w:color="auto"/>
          <w:left w:val="single" w:sz="4" w:space="4" w:color="auto"/>
          <w:bottom w:val="single" w:sz="4" w:space="1" w:color="auto"/>
          <w:right w:val="single" w:sz="4" w:space="4" w:color="auto"/>
        </w:pBdr>
        <w:spacing w:line="240" w:lineRule="auto"/>
        <w:jc w:val="both"/>
        <w:rPr>
          <w:b/>
          <w:lang w:val="en-US"/>
        </w:rPr>
      </w:pPr>
      <w:r w:rsidRPr="007964CD">
        <w:rPr>
          <w:b/>
          <w:lang w:val="en-US"/>
        </w:rPr>
        <w:t xml:space="preserve">Q7. Do you agree with the application of a look-through approach for </w:t>
      </w:r>
      <w:proofErr w:type="spellStart"/>
      <w:r w:rsidRPr="007964CD">
        <w:rPr>
          <w:b/>
          <w:lang w:val="en-US"/>
        </w:rPr>
        <w:t>securitisation</w:t>
      </w:r>
      <w:proofErr w:type="spellEnd"/>
      <w:r w:rsidRPr="007964CD">
        <w:rPr>
          <w:b/>
          <w:lang w:val="en-US"/>
        </w:rPr>
        <w:t xml:space="preserve"> exposures? Can the approach proposed be implemented for re-</w:t>
      </w:r>
      <w:proofErr w:type="spellStart"/>
      <w:r w:rsidRPr="007964CD">
        <w:rPr>
          <w:b/>
          <w:lang w:val="en-US"/>
        </w:rPr>
        <w:t>securitisation</w:t>
      </w:r>
      <w:proofErr w:type="spellEnd"/>
      <w:r w:rsidRPr="007964CD">
        <w:rPr>
          <w:b/>
          <w:lang w:val="en-US"/>
        </w:rPr>
        <w:t xml:space="preserve"> exposures? Should other exposures such as CIUs also use the look-trough approach? If yes, please justify the answer.</w:t>
      </w:r>
    </w:p>
    <w:p w:rsidR="00CF0BC5" w:rsidRPr="007964CD" w:rsidRDefault="00CF0BC5" w:rsidP="007964CD">
      <w:pPr>
        <w:pStyle w:val="Sansinterligne"/>
        <w:jc w:val="both"/>
        <w:rPr>
          <w:lang w:val="en-US"/>
        </w:rPr>
      </w:pPr>
      <w:r w:rsidRPr="007964CD">
        <w:rPr>
          <w:lang w:val="en-US"/>
        </w:rPr>
        <w:t xml:space="preserve">Yes for securitization exposures, consistency with the “COREP SEC Detail” reporting template should be achieved. When the look-through approach is not possible, a </w:t>
      </w:r>
      <w:proofErr w:type="spellStart"/>
      <w:r w:rsidRPr="007964CD">
        <w:rPr>
          <w:lang w:val="en-US"/>
        </w:rPr>
        <w:t>fall-back</w:t>
      </w:r>
      <w:proofErr w:type="spellEnd"/>
      <w:r w:rsidRPr="007964CD">
        <w:rPr>
          <w:lang w:val="en-US"/>
        </w:rPr>
        <w:t xml:space="preserve"> rule should be applied. </w:t>
      </w:r>
    </w:p>
    <w:p w:rsidR="00CF0BC5" w:rsidRPr="007964CD" w:rsidRDefault="00CF0BC5" w:rsidP="007964CD">
      <w:pPr>
        <w:pStyle w:val="Sansinterligne"/>
        <w:jc w:val="both"/>
        <w:rPr>
          <w:lang w:val="en-US"/>
        </w:rPr>
      </w:pPr>
    </w:p>
    <w:p w:rsidR="00CF0BC5" w:rsidRPr="007964CD" w:rsidRDefault="00CF0BC5" w:rsidP="007964CD">
      <w:pPr>
        <w:pStyle w:val="Sansinterligne"/>
        <w:jc w:val="both"/>
        <w:rPr>
          <w:lang w:val="en-US"/>
        </w:rPr>
      </w:pPr>
      <w:r w:rsidRPr="007964CD">
        <w:rPr>
          <w:lang w:val="en-US"/>
        </w:rPr>
        <w:t>No in relation to funds/CIU: the Look through approach is burdensome and will not bring much added value to compute the counter-cyclical buffer.</w:t>
      </w:r>
    </w:p>
    <w:p w:rsidR="00CF0BC5" w:rsidRPr="007964CD" w:rsidRDefault="00CF0BC5" w:rsidP="007964CD">
      <w:pPr>
        <w:pStyle w:val="Sansinterligne"/>
        <w:jc w:val="both"/>
        <w:rPr>
          <w:lang w:val="en-US"/>
        </w:rPr>
      </w:pPr>
    </w:p>
    <w:p w:rsidR="00377368" w:rsidRPr="007964CD" w:rsidRDefault="00377368" w:rsidP="007964CD">
      <w:pPr>
        <w:pStyle w:val="Sansinterligne"/>
        <w:jc w:val="both"/>
        <w:rPr>
          <w:lang w:val="en-US"/>
        </w:rPr>
      </w:pPr>
      <w:r w:rsidRPr="007964CD">
        <w:rPr>
          <w:lang w:val="en-US"/>
        </w:rPr>
        <w:t xml:space="preserve">The “engagements </w:t>
      </w:r>
      <w:proofErr w:type="spellStart"/>
      <w:r w:rsidRPr="007964CD">
        <w:rPr>
          <w:lang w:val="en-US"/>
        </w:rPr>
        <w:t>internationaux</w:t>
      </w:r>
      <w:proofErr w:type="spellEnd"/>
      <w:r w:rsidRPr="007964CD">
        <w:rPr>
          <w:lang w:val="en-US"/>
        </w:rPr>
        <w:t>” template, an “Individual to Aggregate” type of reporting  currently produced by French banks and covered by the Financial Stability Board’s “</w:t>
      </w:r>
      <w:proofErr w:type="spellStart"/>
      <w:r w:rsidRPr="007964CD">
        <w:rPr>
          <w:lang w:val="en-US"/>
        </w:rPr>
        <w:t>Datagaps</w:t>
      </w:r>
      <w:proofErr w:type="spellEnd"/>
      <w:r w:rsidRPr="007964CD">
        <w:rPr>
          <w:lang w:val="en-US"/>
        </w:rPr>
        <w:t xml:space="preserve">” initiative specifies that when reporting banks are unable to apply the Look-through approach, exposure on securitization can be declared on the country of residence of the relevant Special Purpose Vehicle. </w:t>
      </w:r>
    </w:p>
    <w:p w:rsidR="00377368" w:rsidRPr="007964CD" w:rsidRDefault="00377368" w:rsidP="007964CD">
      <w:pPr>
        <w:pStyle w:val="Sansinterligne"/>
        <w:jc w:val="both"/>
        <w:rPr>
          <w:lang w:val="en-US"/>
        </w:rPr>
      </w:pPr>
      <w:r w:rsidRPr="007964CD">
        <w:rPr>
          <w:lang w:val="en-US"/>
        </w:rPr>
        <w:t>Accordingly, reporting institutions might only be able to provide estimates for the allocation of claims to the country where the debtor of the underlying resides or to allocate the claims to the country of the immediate risk, which is the country where the issuer of the securities resides.</w:t>
      </w:r>
    </w:p>
    <w:p w:rsidR="00377368" w:rsidRPr="007964CD" w:rsidRDefault="00377368" w:rsidP="007964CD">
      <w:pPr>
        <w:pStyle w:val="Sansinterligne"/>
        <w:jc w:val="both"/>
        <w:rPr>
          <w:lang w:val="en-US"/>
        </w:rPr>
      </w:pPr>
      <w:r w:rsidRPr="007964CD">
        <w:rPr>
          <w:lang w:val="en-US"/>
        </w:rPr>
        <w:t xml:space="preserve">We would like to suggest this as a fallback rule complementing the “COREP SEC Detail” reporting template approach.   </w:t>
      </w:r>
    </w:p>
    <w:p w:rsidR="00CF0BC5" w:rsidRPr="007964CD" w:rsidRDefault="00CF0BC5" w:rsidP="007964CD">
      <w:pPr>
        <w:pStyle w:val="Sansinterligne"/>
        <w:jc w:val="both"/>
        <w:rPr>
          <w:lang w:val="en-US"/>
        </w:rPr>
      </w:pPr>
    </w:p>
    <w:p w:rsidR="00D02220" w:rsidRPr="007964CD" w:rsidRDefault="00D02220" w:rsidP="007964CD">
      <w:pPr>
        <w:pStyle w:val="Sansinterligne"/>
        <w:jc w:val="both"/>
        <w:rPr>
          <w:lang w:val="en-US"/>
        </w:rPr>
      </w:pPr>
    </w:p>
    <w:p w:rsidR="00186982" w:rsidRPr="007964CD" w:rsidRDefault="00186982" w:rsidP="007964CD">
      <w:pPr>
        <w:pStyle w:val="Sansinterligne"/>
        <w:pBdr>
          <w:top w:val="single" w:sz="4" w:space="1" w:color="auto"/>
          <w:left w:val="single" w:sz="4" w:space="4" w:color="auto"/>
          <w:bottom w:val="single" w:sz="4" w:space="1" w:color="auto"/>
          <w:right w:val="single" w:sz="4" w:space="4" w:color="auto"/>
        </w:pBdr>
        <w:jc w:val="both"/>
        <w:rPr>
          <w:b/>
          <w:lang w:val="en-US"/>
        </w:rPr>
      </w:pPr>
      <w:r w:rsidRPr="007964CD">
        <w:rPr>
          <w:b/>
          <w:lang w:val="en-US"/>
        </w:rPr>
        <w:t>Q8. Do you agree that the geographical location of exposures should be the location with the highest proportion of the underlying exposures? Would it be difficult to locate all underlying exposures geographically?</w:t>
      </w:r>
    </w:p>
    <w:p w:rsidR="00010E96" w:rsidRPr="007964CD" w:rsidRDefault="00010E96" w:rsidP="007964CD">
      <w:pPr>
        <w:pStyle w:val="Sansinterligne"/>
        <w:jc w:val="both"/>
        <w:rPr>
          <w:lang w:val="en-US"/>
        </w:rPr>
      </w:pPr>
    </w:p>
    <w:p w:rsidR="009B15EF" w:rsidRPr="007964CD" w:rsidRDefault="003918F0" w:rsidP="007964CD">
      <w:pPr>
        <w:pStyle w:val="Sansinterligne"/>
        <w:jc w:val="both"/>
        <w:rPr>
          <w:lang w:val="en-US"/>
        </w:rPr>
      </w:pPr>
      <w:r w:rsidRPr="007964CD">
        <w:rPr>
          <w:lang w:val="en-US"/>
        </w:rPr>
        <w:t xml:space="preserve">Yes, we agree. </w:t>
      </w:r>
    </w:p>
    <w:p w:rsidR="00010E96" w:rsidRPr="007964CD" w:rsidRDefault="00010E96" w:rsidP="007964CD">
      <w:pPr>
        <w:pStyle w:val="Sansinterligne"/>
        <w:jc w:val="both"/>
        <w:rPr>
          <w:lang w:val="en-US"/>
        </w:rPr>
        <w:sectPr w:rsidR="00010E96" w:rsidRPr="007964CD">
          <w:pgSz w:w="11906" w:h="16838"/>
          <w:pgMar w:top="1417" w:right="1417" w:bottom="1417" w:left="1417" w:header="708" w:footer="708" w:gutter="0"/>
          <w:cols w:space="708"/>
          <w:docGrid w:linePitch="360"/>
        </w:sectPr>
      </w:pPr>
    </w:p>
    <w:p w:rsidR="00010E96" w:rsidRPr="007964CD" w:rsidRDefault="00010E96" w:rsidP="007964CD">
      <w:pPr>
        <w:pStyle w:val="Sansinterligne"/>
        <w:jc w:val="both"/>
        <w:rPr>
          <w:lang w:val="en-US"/>
        </w:rPr>
      </w:pPr>
    </w:p>
    <w:p w:rsidR="002E1630" w:rsidRPr="007964CD" w:rsidRDefault="00186982" w:rsidP="007964CD">
      <w:pPr>
        <w:pStyle w:val="Sansinterligne"/>
        <w:pBdr>
          <w:top w:val="single" w:sz="4" w:space="1" w:color="auto"/>
          <w:left w:val="single" w:sz="4" w:space="4" w:color="auto"/>
          <w:bottom w:val="single" w:sz="4" w:space="1" w:color="auto"/>
          <w:right w:val="single" w:sz="4" w:space="4" w:color="auto"/>
        </w:pBdr>
        <w:jc w:val="both"/>
        <w:rPr>
          <w:b/>
          <w:lang w:val="en-US"/>
        </w:rPr>
      </w:pPr>
      <w:r w:rsidRPr="007964CD">
        <w:rPr>
          <w:b/>
          <w:lang w:val="en-US"/>
        </w:rPr>
        <w:t>Q9: Do you agree with our analysis of the impact of the proposals in this consultation paper? If not, can you provide any evidence or data that might further assist our analysis of the possible impact of the proposals?</w:t>
      </w:r>
    </w:p>
    <w:p w:rsidR="003D0017" w:rsidRPr="007964CD" w:rsidRDefault="003D0017" w:rsidP="007964CD">
      <w:pPr>
        <w:pStyle w:val="Sansinterligne"/>
        <w:jc w:val="both"/>
        <w:rPr>
          <w:lang w:val="en-US"/>
        </w:rPr>
      </w:pPr>
    </w:p>
    <w:p w:rsidR="003D0017" w:rsidRPr="007964CD" w:rsidRDefault="003D0017" w:rsidP="007964CD">
      <w:pPr>
        <w:spacing w:line="240" w:lineRule="auto"/>
        <w:jc w:val="both"/>
        <w:rPr>
          <w:lang w:val="en-US"/>
        </w:rPr>
      </w:pPr>
      <w:r w:rsidRPr="007964CD">
        <w:rPr>
          <w:lang w:val="en-US"/>
        </w:rPr>
        <w:t xml:space="preserve">The statistical annex, based on the BIS’ foreign claims database aims at assessing the impact of the retained principle (the immediate risk or the ultimate risk) on the outstanding exposures amount and hence on the amount of countercyclical capital buffer. However, as the EBA mentions, the comparison of data based on immediate risk principle and ultimate risk principle is a challenging exercise due to differences in terms of scope (perimeters) and consolidation. Regarding the data based on the immediate risk principle, they are determined on a consolidated basis and therefore include foreign subsidiaries perimeters. However, the data based on ultimate risk principle take into account only resident entities. However, the paucity of data can lead to privilege the existing BIS statistics and ignore the caveats associated with these data. </w:t>
      </w:r>
    </w:p>
    <w:p w:rsidR="003D0017" w:rsidRPr="007964CD" w:rsidRDefault="003D0017" w:rsidP="007964CD">
      <w:pPr>
        <w:spacing w:line="240" w:lineRule="auto"/>
        <w:jc w:val="both"/>
        <w:rPr>
          <w:lang w:val="en-US"/>
        </w:rPr>
      </w:pPr>
      <w:r w:rsidRPr="007964CD">
        <w:rPr>
          <w:lang w:val="en-US"/>
        </w:rPr>
        <w:t>According to calculations made by the EBA, the median of the relative deviation of the differences on foreign claims held by banks in countries reporting to the BIS towards the 28 member states of the EU on immediate risk and ultimate risk is low and remains below 5 % for the period Q1 2005 - Q4 2012. In other words, based on the available data, the choice of one or other of the two approaches will generally lead to similar results (i.e. modest impact in quantitative terms). For the purposes of simplification, it seems preferable, as suggested by the EBA, to retain the option A1 (</w:t>
      </w:r>
      <w:r w:rsidR="00A83846" w:rsidRPr="007964CD">
        <w:rPr>
          <w:lang w:val="en-US"/>
        </w:rPr>
        <w:t>i.e.</w:t>
      </w:r>
      <w:bookmarkStart w:id="0" w:name="_GoBack"/>
      <w:bookmarkEnd w:id="0"/>
      <w:r w:rsidRPr="007964CD">
        <w:rPr>
          <w:lang w:val="en-US"/>
        </w:rPr>
        <w:t xml:space="preserve"> the country where the obligor resides), or the immediate risk principle.</w:t>
      </w:r>
    </w:p>
    <w:p w:rsidR="003D0017" w:rsidRPr="007964CD" w:rsidRDefault="003D0017" w:rsidP="007964CD">
      <w:pPr>
        <w:spacing w:line="240" w:lineRule="auto"/>
        <w:jc w:val="both"/>
        <w:rPr>
          <w:lang w:val="en-US"/>
        </w:rPr>
      </w:pPr>
      <w:r w:rsidRPr="007964CD">
        <w:rPr>
          <w:lang w:val="en-US"/>
        </w:rPr>
        <w:t>The EBA underscores that an exception to this general immediate risk principle is that where the guarantor plays an important role that the guarantor or collateral’s economic environment would represent a better reference for the purposes of the counter-cyclical buffer. The exception concerns the specialized financing (i.e. project finance), where the country of the source of income represents the country holding the ultimate risk. The exception to the immediate risk principle general seems problematic because the collection and reporting necessary to assess the ultimate risk for specialized lending could induce a significant additional cost significant ultimately borne by the credit institutions. Moreover, from a conceptual point of view, the guarantor's economic environment is not limited to the credit-to- GDP ratio.</w:t>
      </w:r>
    </w:p>
    <w:sectPr w:rsidR="003D0017" w:rsidRPr="007964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63" w:rsidRDefault="002C0263" w:rsidP="00C44DA4">
      <w:pPr>
        <w:spacing w:after="0" w:line="240" w:lineRule="auto"/>
      </w:pPr>
      <w:r>
        <w:separator/>
      </w:r>
    </w:p>
  </w:endnote>
  <w:endnote w:type="continuationSeparator" w:id="0">
    <w:p w:rsidR="002C0263" w:rsidRDefault="002C0263" w:rsidP="00C4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63" w:rsidRDefault="002C0263" w:rsidP="00C44DA4">
      <w:pPr>
        <w:spacing w:after="0" w:line="240" w:lineRule="auto"/>
      </w:pPr>
      <w:r>
        <w:separator/>
      </w:r>
    </w:p>
  </w:footnote>
  <w:footnote w:type="continuationSeparator" w:id="0">
    <w:p w:rsidR="002C0263" w:rsidRDefault="002C0263" w:rsidP="00C44DA4">
      <w:pPr>
        <w:spacing w:after="0" w:line="240" w:lineRule="auto"/>
      </w:pPr>
      <w:r>
        <w:continuationSeparator/>
      </w:r>
    </w:p>
  </w:footnote>
  <w:footnote w:id="1">
    <w:p w:rsidR="00C44DA4" w:rsidRPr="00010E96" w:rsidRDefault="00C44DA4" w:rsidP="009757F5">
      <w:pPr>
        <w:pStyle w:val="Notedebasdepage"/>
        <w:jc w:val="both"/>
        <w:rPr>
          <w:lang w:val="en-US"/>
        </w:rPr>
      </w:pPr>
      <w:r>
        <w:rPr>
          <w:rStyle w:val="Appelnotedebasdep"/>
        </w:rPr>
        <w:footnoteRef/>
      </w:r>
      <w:r w:rsidRPr="00010E96">
        <w:rPr>
          <w:lang w:val="en-US"/>
        </w:rPr>
        <w:t xml:space="preserve"> EBA/CP/2013/35, page 6</w:t>
      </w:r>
    </w:p>
  </w:footnote>
  <w:footnote w:id="2">
    <w:p w:rsidR="00C44DA4" w:rsidRPr="00743B52" w:rsidRDefault="00C44DA4" w:rsidP="009757F5">
      <w:pPr>
        <w:pStyle w:val="Notedebasdepage"/>
        <w:jc w:val="both"/>
        <w:rPr>
          <w:lang w:val="en-US"/>
        </w:rPr>
      </w:pPr>
      <w:r>
        <w:rPr>
          <w:rStyle w:val="Appelnotedebasdep"/>
        </w:rPr>
        <w:footnoteRef/>
      </w:r>
      <w:r w:rsidRPr="00743B52">
        <w:rPr>
          <w:lang w:val="en-US"/>
        </w:rPr>
        <w:t xml:space="preserve"> </w:t>
      </w:r>
      <w:proofErr w:type="spellStart"/>
      <w:r w:rsidRPr="00743B52">
        <w:rPr>
          <w:lang w:val="en-US"/>
        </w:rPr>
        <w:t>Repullo</w:t>
      </w:r>
      <w:proofErr w:type="spellEnd"/>
      <w:r w:rsidRPr="00743B52">
        <w:rPr>
          <w:lang w:val="en-US"/>
        </w:rPr>
        <w:t xml:space="preserve"> and </w:t>
      </w:r>
      <w:proofErr w:type="spellStart"/>
      <w:r w:rsidRPr="00743B52">
        <w:rPr>
          <w:lang w:val="en-US"/>
        </w:rPr>
        <w:t>Saurina</w:t>
      </w:r>
      <w:proofErr w:type="spellEnd"/>
      <w:r w:rsidRPr="00743B52">
        <w:rPr>
          <w:lang w:val="en-US"/>
        </w:rPr>
        <w:t xml:space="preserve"> (2011) – « The countercyclical </w:t>
      </w:r>
      <w:r>
        <w:rPr>
          <w:lang w:val="en-US"/>
        </w:rPr>
        <w:t>capital buffer of Basel III -</w:t>
      </w:r>
      <w:r w:rsidRPr="00743B52">
        <w:rPr>
          <w:lang w:val="en-US"/>
        </w:rPr>
        <w:t xml:space="preserve"> </w:t>
      </w:r>
      <w:r>
        <w:rPr>
          <w:lang w:val="en-US"/>
        </w:rPr>
        <w:t>A critical assessment”</w:t>
      </w:r>
    </w:p>
  </w:footnote>
  <w:footnote w:id="3">
    <w:p w:rsidR="00C44DA4" w:rsidRPr="000D01A8" w:rsidRDefault="00C44DA4" w:rsidP="009757F5">
      <w:pPr>
        <w:pStyle w:val="Notedebasdepage"/>
        <w:jc w:val="both"/>
        <w:rPr>
          <w:lang w:val="en-US"/>
        </w:rPr>
      </w:pPr>
      <w:r>
        <w:rPr>
          <w:rStyle w:val="Appelnotedebasdep"/>
        </w:rPr>
        <w:footnoteRef/>
      </w:r>
      <w:r w:rsidRPr="000D01A8">
        <w:rPr>
          <w:lang w:val="en-US"/>
        </w:rPr>
        <w:t xml:space="preserve"> BIS Working Paper No 355 « Anchoring countercyclical capital buffer : the role of credit aggregates » : « A side-benefit of using this variable as the anchor is that could help to restrain the credit boom and hence the risk taking to some extent. »</w:t>
      </w:r>
      <w:r>
        <w:rPr>
          <w:lang w:val="en-US"/>
        </w:rPr>
        <w:t>, page 28</w:t>
      </w:r>
    </w:p>
  </w:footnote>
  <w:footnote w:id="4">
    <w:p w:rsidR="00C44DA4" w:rsidRPr="00DD4CB8" w:rsidRDefault="00C44DA4" w:rsidP="00C44DA4">
      <w:pPr>
        <w:pStyle w:val="Notedebasdepage"/>
        <w:rPr>
          <w:lang w:val="en-US"/>
        </w:rPr>
      </w:pPr>
      <w:r>
        <w:rPr>
          <w:rStyle w:val="Appelnotedebasdep"/>
        </w:rPr>
        <w:footnoteRef/>
      </w:r>
      <w:r w:rsidRPr="00DD4CB8">
        <w:rPr>
          <w:lang w:val="en-US"/>
        </w:rPr>
        <w:t xml:space="preserve"> </w:t>
      </w:r>
      <w:r w:rsidRPr="00C33F0D">
        <w:rPr>
          <w:lang w:val="en-US"/>
        </w:rPr>
        <w:t>EBA</w:t>
      </w:r>
      <w:r>
        <w:rPr>
          <w:lang w:val="en-US"/>
        </w:rPr>
        <w:t>/CP/2013/35:</w:t>
      </w:r>
      <w:r w:rsidRPr="00C33F0D">
        <w:rPr>
          <w:lang w:val="en-US"/>
        </w:rPr>
        <w:t xml:space="preserve"> </w:t>
      </w:r>
      <w:r>
        <w:rPr>
          <w:lang w:val="en-US"/>
        </w:rPr>
        <w:t>P</w:t>
      </w:r>
      <w:r w:rsidRPr="00C33F0D">
        <w:rPr>
          <w:lang w:val="en-US"/>
        </w:rPr>
        <w:t>art</w:t>
      </w:r>
      <w:r w:rsidRPr="001106E4">
        <w:rPr>
          <w:lang w:val="en-US"/>
        </w:rPr>
        <w:t xml:space="preserve"> 12. </w:t>
      </w:r>
      <w:r>
        <w:rPr>
          <w:lang w:val="en-US"/>
        </w:rPr>
        <w:t>“</w:t>
      </w:r>
      <w:r w:rsidRPr="001106E4">
        <w:rPr>
          <w:i/>
          <w:lang w:val="en-US"/>
        </w:rPr>
        <w:t>Significance of</w:t>
      </w:r>
      <w:r w:rsidRPr="00C33F0D">
        <w:rPr>
          <w:i/>
          <w:lang w:val="en-US"/>
        </w:rPr>
        <w:t xml:space="preserve"> </w:t>
      </w:r>
      <w:proofErr w:type="spellStart"/>
      <w:r>
        <w:rPr>
          <w:i/>
          <w:lang w:val="en-US"/>
        </w:rPr>
        <w:t>Specialised</w:t>
      </w:r>
      <w:proofErr w:type="spellEnd"/>
      <w:r>
        <w:rPr>
          <w:i/>
          <w:lang w:val="en-US"/>
        </w:rPr>
        <w:t xml:space="preserve"> lending</w:t>
      </w:r>
      <w:r w:rsidRPr="00C33F0D">
        <w:rPr>
          <w:lang w:val="en-US"/>
        </w:rPr>
        <w:t xml:space="preserve"> "</w:t>
      </w:r>
      <w:r>
        <w:rPr>
          <w:lang w:val="en-US"/>
        </w:rPr>
        <w:t>,</w:t>
      </w:r>
      <w:r w:rsidRPr="0085590E">
        <w:rPr>
          <w:lang w:val="en-US"/>
        </w:rPr>
        <w:t xml:space="preserve"> </w:t>
      </w:r>
      <w:r w:rsidRPr="001106E4">
        <w:rPr>
          <w:lang w:val="en-US"/>
        </w:rPr>
        <w:t>page 23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3687B"/>
    <w:multiLevelType w:val="hybridMultilevel"/>
    <w:tmpl w:val="073023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E4585B"/>
    <w:multiLevelType w:val="hybridMultilevel"/>
    <w:tmpl w:val="D22449B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5E5A651A"/>
    <w:multiLevelType w:val="hybridMultilevel"/>
    <w:tmpl w:val="C8E0DB1E"/>
    <w:lvl w:ilvl="0" w:tplc="F8848C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F441F9"/>
    <w:multiLevelType w:val="hybridMultilevel"/>
    <w:tmpl w:val="33ACA6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82"/>
    <w:rsid w:val="00010E96"/>
    <w:rsid w:val="000C6998"/>
    <w:rsid w:val="000D66FE"/>
    <w:rsid w:val="000F2128"/>
    <w:rsid w:val="000F78EB"/>
    <w:rsid w:val="00134E81"/>
    <w:rsid w:val="00145FFD"/>
    <w:rsid w:val="00186982"/>
    <w:rsid w:val="001B0662"/>
    <w:rsid w:val="0024584F"/>
    <w:rsid w:val="00255950"/>
    <w:rsid w:val="002C0263"/>
    <w:rsid w:val="002F3C4C"/>
    <w:rsid w:val="00306585"/>
    <w:rsid w:val="003723AD"/>
    <w:rsid w:val="00377368"/>
    <w:rsid w:val="003918F0"/>
    <w:rsid w:val="003B4685"/>
    <w:rsid w:val="003D0017"/>
    <w:rsid w:val="003F6269"/>
    <w:rsid w:val="004324BD"/>
    <w:rsid w:val="00437CE1"/>
    <w:rsid w:val="00462684"/>
    <w:rsid w:val="004A0128"/>
    <w:rsid w:val="00596CCE"/>
    <w:rsid w:val="005F0B43"/>
    <w:rsid w:val="005F165D"/>
    <w:rsid w:val="005F77AD"/>
    <w:rsid w:val="00696382"/>
    <w:rsid w:val="0069720A"/>
    <w:rsid w:val="006A134F"/>
    <w:rsid w:val="006E31F3"/>
    <w:rsid w:val="00754BAD"/>
    <w:rsid w:val="007964CD"/>
    <w:rsid w:val="007C2488"/>
    <w:rsid w:val="00847994"/>
    <w:rsid w:val="00865E8E"/>
    <w:rsid w:val="008B31B8"/>
    <w:rsid w:val="00937095"/>
    <w:rsid w:val="00960E7B"/>
    <w:rsid w:val="00966FBF"/>
    <w:rsid w:val="009757F5"/>
    <w:rsid w:val="009A0FC1"/>
    <w:rsid w:val="009B15EF"/>
    <w:rsid w:val="00A156FF"/>
    <w:rsid w:val="00A75C36"/>
    <w:rsid w:val="00A83846"/>
    <w:rsid w:val="00B305CC"/>
    <w:rsid w:val="00B34035"/>
    <w:rsid w:val="00B53541"/>
    <w:rsid w:val="00C17AE1"/>
    <w:rsid w:val="00C44DA4"/>
    <w:rsid w:val="00C648DB"/>
    <w:rsid w:val="00CF0BC5"/>
    <w:rsid w:val="00D000DF"/>
    <w:rsid w:val="00D02220"/>
    <w:rsid w:val="00D7003E"/>
    <w:rsid w:val="00D9217F"/>
    <w:rsid w:val="00DA7FEC"/>
    <w:rsid w:val="00F24FAD"/>
    <w:rsid w:val="00F4582B"/>
    <w:rsid w:val="00F83A06"/>
    <w:rsid w:val="00FA327F"/>
    <w:rsid w:val="00FB46A7"/>
    <w:rsid w:val="00FE74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6585"/>
    <w:pPr>
      <w:ind w:left="720"/>
      <w:contextualSpacing/>
    </w:pPr>
  </w:style>
  <w:style w:type="paragraph" w:styleId="Sansinterligne">
    <w:name w:val="No Spacing"/>
    <w:uiPriority w:val="1"/>
    <w:qFormat/>
    <w:rsid w:val="009B15EF"/>
    <w:pPr>
      <w:spacing w:after="0" w:line="240" w:lineRule="auto"/>
    </w:pPr>
  </w:style>
  <w:style w:type="character" w:styleId="Marquedecommentaire">
    <w:name w:val="annotation reference"/>
    <w:basedOn w:val="Policepardfaut"/>
    <w:uiPriority w:val="99"/>
    <w:semiHidden/>
    <w:unhideWhenUsed/>
    <w:rsid w:val="006A134F"/>
    <w:rPr>
      <w:sz w:val="16"/>
      <w:szCs w:val="16"/>
    </w:rPr>
  </w:style>
  <w:style w:type="paragraph" w:styleId="Commentaire">
    <w:name w:val="annotation text"/>
    <w:basedOn w:val="Normal"/>
    <w:link w:val="CommentaireCar"/>
    <w:uiPriority w:val="99"/>
    <w:semiHidden/>
    <w:unhideWhenUsed/>
    <w:rsid w:val="006A134F"/>
    <w:pPr>
      <w:spacing w:line="240" w:lineRule="auto"/>
    </w:pPr>
    <w:rPr>
      <w:sz w:val="20"/>
      <w:szCs w:val="20"/>
    </w:rPr>
  </w:style>
  <w:style w:type="character" w:customStyle="1" w:styleId="CommentaireCar">
    <w:name w:val="Commentaire Car"/>
    <w:basedOn w:val="Policepardfaut"/>
    <w:link w:val="Commentaire"/>
    <w:uiPriority w:val="99"/>
    <w:semiHidden/>
    <w:rsid w:val="006A134F"/>
    <w:rPr>
      <w:sz w:val="20"/>
      <w:szCs w:val="20"/>
    </w:rPr>
  </w:style>
  <w:style w:type="paragraph" w:styleId="Objetducommentaire">
    <w:name w:val="annotation subject"/>
    <w:basedOn w:val="Commentaire"/>
    <w:next w:val="Commentaire"/>
    <w:link w:val="ObjetducommentaireCar"/>
    <w:uiPriority w:val="99"/>
    <w:semiHidden/>
    <w:unhideWhenUsed/>
    <w:rsid w:val="006A134F"/>
    <w:rPr>
      <w:b/>
      <w:bCs/>
    </w:rPr>
  </w:style>
  <w:style w:type="character" w:customStyle="1" w:styleId="ObjetducommentaireCar">
    <w:name w:val="Objet du commentaire Car"/>
    <w:basedOn w:val="CommentaireCar"/>
    <w:link w:val="Objetducommentaire"/>
    <w:uiPriority w:val="99"/>
    <w:semiHidden/>
    <w:rsid w:val="006A134F"/>
    <w:rPr>
      <w:b/>
      <w:bCs/>
      <w:sz w:val="20"/>
      <w:szCs w:val="20"/>
    </w:rPr>
  </w:style>
  <w:style w:type="paragraph" w:styleId="Textedebulles">
    <w:name w:val="Balloon Text"/>
    <w:basedOn w:val="Normal"/>
    <w:link w:val="TextedebullesCar"/>
    <w:uiPriority w:val="99"/>
    <w:semiHidden/>
    <w:unhideWhenUsed/>
    <w:rsid w:val="006A13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34F"/>
    <w:rPr>
      <w:rFonts w:ascii="Tahoma" w:hAnsi="Tahoma" w:cs="Tahoma"/>
      <w:sz w:val="16"/>
      <w:szCs w:val="16"/>
    </w:rPr>
  </w:style>
  <w:style w:type="paragraph" w:styleId="Notedebasdepage">
    <w:name w:val="footnote text"/>
    <w:basedOn w:val="Normal"/>
    <w:link w:val="NotedebasdepageCar"/>
    <w:uiPriority w:val="99"/>
    <w:semiHidden/>
    <w:unhideWhenUsed/>
    <w:rsid w:val="00C44D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4DA4"/>
    <w:rPr>
      <w:sz w:val="20"/>
      <w:szCs w:val="20"/>
    </w:rPr>
  </w:style>
  <w:style w:type="character" w:styleId="Appelnotedebasdep">
    <w:name w:val="footnote reference"/>
    <w:basedOn w:val="Policepardfaut"/>
    <w:uiPriority w:val="99"/>
    <w:semiHidden/>
    <w:unhideWhenUsed/>
    <w:rsid w:val="00C44D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01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6585"/>
    <w:pPr>
      <w:ind w:left="720"/>
      <w:contextualSpacing/>
    </w:pPr>
  </w:style>
  <w:style w:type="paragraph" w:styleId="Sansinterligne">
    <w:name w:val="No Spacing"/>
    <w:uiPriority w:val="1"/>
    <w:qFormat/>
    <w:rsid w:val="009B15EF"/>
    <w:pPr>
      <w:spacing w:after="0" w:line="240" w:lineRule="auto"/>
    </w:pPr>
  </w:style>
  <w:style w:type="character" w:styleId="Marquedecommentaire">
    <w:name w:val="annotation reference"/>
    <w:basedOn w:val="Policepardfaut"/>
    <w:uiPriority w:val="99"/>
    <w:semiHidden/>
    <w:unhideWhenUsed/>
    <w:rsid w:val="006A134F"/>
    <w:rPr>
      <w:sz w:val="16"/>
      <w:szCs w:val="16"/>
    </w:rPr>
  </w:style>
  <w:style w:type="paragraph" w:styleId="Commentaire">
    <w:name w:val="annotation text"/>
    <w:basedOn w:val="Normal"/>
    <w:link w:val="CommentaireCar"/>
    <w:uiPriority w:val="99"/>
    <w:semiHidden/>
    <w:unhideWhenUsed/>
    <w:rsid w:val="006A134F"/>
    <w:pPr>
      <w:spacing w:line="240" w:lineRule="auto"/>
    </w:pPr>
    <w:rPr>
      <w:sz w:val="20"/>
      <w:szCs w:val="20"/>
    </w:rPr>
  </w:style>
  <w:style w:type="character" w:customStyle="1" w:styleId="CommentaireCar">
    <w:name w:val="Commentaire Car"/>
    <w:basedOn w:val="Policepardfaut"/>
    <w:link w:val="Commentaire"/>
    <w:uiPriority w:val="99"/>
    <w:semiHidden/>
    <w:rsid w:val="006A134F"/>
    <w:rPr>
      <w:sz w:val="20"/>
      <w:szCs w:val="20"/>
    </w:rPr>
  </w:style>
  <w:style w:type="paragraph" w:styleId="Objetducommentaire">
    <w:name w:val="annotation subject"/>
    <w:basedOn w:val="Commentaire"/>
    <w:next w:val="Commentaire"/>
    <w:link w:val="ObjetducommentaireCar"/>
    <w:uiPriority w:val="99"/>
    <w:semiHidden/>
    <w:unhideWhenUsed/>
    <w:rsid w:val="006A134F"/>
    <w:rPr>
      <w:b/>
      <w:bCs/>
    </w:rPr>
  </w:style>
  <w:style w:type="character" w:customStyle="1" w:styleId="ObjetducommentaireCar">
    <w:name w:val="Objet du commentaire Car"/>
    <w:basedOn w:val="CommentaireCar"/>
    <w:link w:val="Objetducommentaire"/>
    <w:uiPriority w:val="99"/>
    <w:semiHidden/>
    <w:rsid w:val="006A134F"/>
    <w:rPr>
      <w:b/>
      <w:bCs/>
      <w:sz w:val="20"/>
      <w:szCs w:val="20"/>
    </w:rPr>
  </w:style>
  <w:style w:type="paragraph" w:styleId="Textedebulles">
    <w:name w:val="Balloon Text"/>
    <w:basedOn w:val="Normal"/>
    <w:link w:val="TextedebullesCar"/>
    <w:uiPriority w:val="99"/>
    <w:semiHidden/>
    <w:unhideWhenUsed/>
    <w:rsid w:val="006A13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34F"/>
    <w:rPr>
      <w:rFonts w:ascii="Tahoma" w:hAnsi="Tahoma" w:cs="Tahoma"/>
      <w:sz w:val="16"/>
      <w:szCs w:val="16"/>
    </w:rPr>
  </w:style>
  <w:style w:type="paragraph" w:styleId="Notedebasdepage">
    <w:name w:val="footnote text"/>
    <w:basedOn w:val="Normal"/>
    <w:link w:val="NotedebasdepageCar"/>
    <w:uiPriority w:val="99"/>
    <w:semiHidden/>
    <w:unhideWhenUsed/>
    <w:rsid w:val="00C44DA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44DA4"/>
    <w:rPr>
      <w:sz w:val="20"/>
      <w:szCs w:val="20"/>
    </w:rPr>
  </w:style>
  <w:style w:type="character" w:styleId="Appelnotedebasdep">
    <w:name w:val="footnote reference"/>
    <w:basedOn w:val="Policepardfaut"/>
    <w:uiPriority w:val="99"/>
    <w:semiHidden/>
    <w:unhideWhenUsed/>
    <w:rsid w:val="00C44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9F36-CF6C-47CD-A3F8-90F5D867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2951</Words>
  <Characters>16236</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FBF</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Quemon, Sarah</dc:creator>
  <cp:lastModifiedBy>David Labella</cp:lastModifiedBy>
  <cp:revision>7</cp:revision>
  <cp:lastPrinted>2013-10-28T09:19:00Z</cp:lastPrinted>
  <dcterms:created xsi:type="dcterms:W3CDTF">2013-10-30T13:52:00Z</dcterms:created>
  <dcterms:modified xsi:type="dcterms:W3CDTF">2013-10-30T13:56:00Z</dcterms:modified>
</cp:coreProperties>
</file>