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31194" w14:textId="7CEF050B" w:rsidR="00393112" w:rsidRPr="00393112" w:rsidRDefault="00393112" w:rsidP="0060713A">
      <w:pPr>
        <w:pStyle w:val="Heading1"/>
        <w:jc w:val="both"/>
        <w:rPr>
          <w:rFonts w:ascii="Futura" w:hAnsi="Futura"/>
          <w:lang w:val="en-US"/>
        </w:rPr>
      </w:pPr>
      <w:r w:rsidRPr="00393112">
        <w:rPr>
          <w:rFonts w:ascii="Futura" w:hAnsi="Futura"/>
          <w:lang w:val="en-US"/>
        </w:rPr>
        <w:t>C</w:t>
      </w:r>
      <w:r w:rsidR="00CF7E5D" w:rsidRPr="00393112">
        <w:rPr>
          <w:rFonts w:ascii="Futura" w:hAnsi="Futura"/>
          <w:lang w:val="en-US"/>
        </w:rPr>
        <w:t>onsultation paper</w:t>
      </w:r>
      <w:r w:rsidRPr="00393112">
        <w:rPr>
          <w:rFonts w:ascii="Futura" w:hAnsi="Futura"/>
          <w:lang w:val="en-US"/>
        </w:rPr>
        <w:t xml:space="preserve"> Draft Regulatory Technical Standards (RTS)</w:t>
      </w:r>
    </w:p>
    <w:p w14:paraId="3F01D592" w14:textId="2F364DEF" w:rsidR="00CF7E5D" w:rsidRPr="00393112" w:rsidRDefault="00393112" w:rsidP="0060713A">
      <w:pPr>
        <w:pStyle w:val="Heading1"/>
        <w:jc w:val="both"/>
        <w:rPr>
          <w:rFonts w:ascii="Futura" w:hAnsi="Futura"/>
          <w:lang w:val="en-US"/>
        </w:rPr>
      </w:pPr>
      <w:r w:rsidRPr="00393112">
        <w:rPr>
          <w:rFonts w:ascii="Futura" w:hAnsi="Futura"/>
          <w:lang w:val="en-US"/>
        </w:rPr>
        <w:t>On prudent valuation under Article 105(14) of Regulation (EU) 575/2013 (Capital Requirements Regulation - CRR)</w:t>
      </w:r>
    </w:p>
    <w:p w14:paraId="78A1837C" w14:textId="77777777" w:rsidR="00393112" w:rsidRPr="00393112" w:rsidRDefault="00393112" w:rsidP="0060713A">
      <w:pPr>
        <w:jc w:val="both"/>
        <w:rPr>
          <w:rFonts w:ascii="Century Gothic" w:hAnsi="Century Gothic"/>
          <w:lang w:val="en-US"/>
        </w:rPr>
      </w:pPr>
    </w:p>
    <w:p w14:paraId="177D984F" w14:textId="77777777" w:rsidR="00393112" w:rsidRPr="00393112" w:rsidRDefault="00393112" w:rsidP="0060713A">
      <w:pPr>
        <w:jc w:val="both"/>
        <w:rPr>
          <w:rFonts w:ascii="Century Gothic" w:hAnsi="Century Gothic"/>
          <w:lang w:val="en-US"/>
        </w:rPr>
      </w:pPr>
      <w:bookmarkStart w:id="0" w:name="_GoBack"/>
      <w:bookmarkEnd w:id="0"/>
    </w:p>
    <w:p w14:paraId="3761EACD" w14:textId="2426E8B7" w:rsidR="00393112" w:rsidRPr="005650FF" w:rsidRDefault="00393112" w:rsidP="0060713A">
      <w:pPr>
        <w:tabs>
          <w:tab w:val="left" w:pos="1834"/>
        </w:tabs>
        <w:jc w:val="both"/>
        <w:rPr>
          <w:rStyle w:val="IntenseEmphasis"/>
          <w:rFonts w:ascii="Futura" w:hAnsi="Futura"/>
          <w:lang w:val="en-US"/>
        </w:rPr>
      </w:pPr>
      <w:r w:rsidRPr="005650FF">
        <w:rPr>
          <w:rStyle w:val="IntenseEmphasis"/>
          <w:rFonts w:ascii="Futura" w:hAnsi="Futura"/>
          <w:lang w:val="en-US"/>
        </w:rPr>
        <w:t xml:space="preserve">General </w:t>
      </w:r>
      <w:r w:rsidRPr="00A2478D">
        <w:rPr>
          <w:rStyle w:val="IntenseEmphasis"/>
          <w:rFonts w:ascii="Futura" w:hAnsi="Futura"/>
          <w:lang w:val="en-US"/>
        </w:rPr>
        <w:t>comment</w:t>
      </w:r>
    </w:p>
    <w:p w14:paraId="4279809B" w14:textId="77777777" w:rsidR="00393112" w:rsidRPr="00393112" w:rsidRDefault="00393112" w:rsidP="0060713A">
      <w:pPr>
        <w:jc w:val="both"/>
        <w:rPr>
          <w:rFonts w:ascii="Century Gothic" w:hAnsi="Century Gothic"/>
          <w:sz w:val="20"/>
          <w:szCs w:val="20"/>
          <w:lang w:val="en-US"/>
        </w:rPr>
      </w:pPr>
    </w:p>
    <w:p w14:paraId="4A4794BF" w14:textId="77777777" w:rsidR="00393112" w:rsidRPr="00393112" w:rsidRDefault="00393112" w:rsidP="0060713A">
      <w:pPr>
        <w:jc w:val="both"/>
        <w:rPr>
          <w:rFonts w:ascii="Century Gothic" w:hAnsi="Century Gothic"/>
          <w:sz w:val="20"/>
          <w:szCs w:val="20"/>
          <w:lang w:val="en-US"/>
        </w:rPr>
      </w:pPr>
    </w:p>
    <w:p w14:paraId="37224671" w14:textId="77777777" w:rsid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We understand and welcome the intention of the European Regulator to introduce prudent valuation in order to build up additional capital buffer for the valuation uncertainty. However we would like to underline that the prudent valuation regime should not enlarge the complexity of capital ratio management and the whole system of capital adequacy requirements should remain harmonized.</w:t>
      </w:r>
    </w:p>
    <w:p w14:paraId="19949B0C" w14:textId="77777777" w:rsidR="00393112" w:rsidRDefault="00393112" w:rsidP="0060713A">
      <w:pPr>
        <w:ind w:firstLine="708"/>
        <w:jc w:val="both"/>
        <w:rPr>
          <w:rFonts w:ascii="Century Gothic" w:hAnsi="Century Gothic"/>
          <w:sz w:val="20"/>
          <w:szCs w:val="20"/>
          <w:lang w:val="en-US"/>
        </w:rPr>
      </w:pPr>
    </w:p>
    <w:p w14:paraId="6BA44FC1" w14:textId="4A618A3C" w:rsidR="00393112" w:rsidRPr="00393112" w:rsidRDefault="00393112" w:rsidP="0060713A">
      <w:pPr>
        <w:ind w:firstLine="708"/>
        <w:jc w:val="both"/>
        <w:rPr>
          <w:rFonts w:ascii="Century Gothic" w:hAnsi="Century Gothic"/>
          <w:sz w:val="20"/>
          <w:szCs w:val="20"/>
          <w:lang w:val="en-US"/>
        </w:rPr>
      </w:pPr>
      <w:r>
        <w:rPr>
          <w:rFonts w:ascii="Century Gothic" w:hAnsi="Century Gothic"/>
          <w:sz w:val="20"/>
          <w:szCs w:val="20"/>
          <w:lang w:val="en-US"/>
        </w:rPr>
        <w:t xml:space="preserve">Since there are no exact explanations of prudent valuation principles in the EU Regulation on prudential requirement, the Technical standard </w:t>
      </w:r>
      <w:r w:rsidR="00B718E3">
        <w:rPr>
          <w:rFonts w:ascii="Century Gothic" w:hAnsi="Century Gothic"/>
          <w:sz w:val="20"/>
          <w:szCs w:val="20"/>
          <w:lang w:val="en-US"/>
        </w:rPr>
        <w:t xml:space="preserve">is expected to bring more light on prudential valuations regime and not only to give a methodological guideline, but also to explain underlying </w:t>
      </w:r>
      <w:r w:rsidR="00D70AFA">
        <w:rPr>
          <w:rFonts w:ascii="Century Gothic" w:hAnsi="Century Gothic"/>
          <w:sz w:val="20"/>
          <w:szCs w:val="20"/>
          <w:lang w:val="en-US"/>
        </w:rPr>
        <w:t xml:space="preserve">high level </w:t>
      </w:r>
      <w:r w:rsidR="00B718E3">
        <w:rPr>
          <w:rFonts w:ascii="Century Gothic" w:hAnsi="Century Gothic"/>
          <w:sz w:val="20"/>
          <w:szCs w:val="20"/>
          <w:lang w:val="en-US"/>
        </w:rPr>
        <w:t xml:space="preserve">logic. We should admit that unfortunately we </w:t>
      </w:r>
      <w:r w:rsidR="00D70AFA">
        <w:rPr>
          <w:rFonts w:ascii="Century Gothic" w:hAnsi="Century Gothic"/>
          <w:sz w:val="20"/>
          <w:szCs w:val="20"/>
          <w:lang w:val="en-US"/>
        </w:rPr>
        <w:t>have</w:t>
      </w:r>
      <w:r w:rsidR="00B718E3">
        <w:rPr>
          <w:rFonts w:ascii="Century Gothic" w:hAnsi="Century Gothic"/>
          <w:sz w:val="20"/>
          <w:szCs w:val="20"/>
          <w:lang w:val="en-US"/>
        </w:rPr>
        <w:t xml:space="preserve"> not </w:t>
      </w:r>
      <w:r w:rsidR="00D70AFA">
        <w:rPr>
          <w:rFonts w:ascii="Century Gothic" w:hAnsi="Century Gothic"/>
          <w:sz w:val="20"/>
          <w:szCs w:val="20"/>
          <w:lang w:val="en-US"/>
        </w:rPr>
        <w:t>found</w:t>
      </w:r>
      <w:r w:rsidR="00B718E3">
        <w:rPr>
          <w:rFonts w:ascii="Century Gothic" w:hAnsi="Century Gothic"/>
          <w:sz w:val="20"/>
          <w:szCs w:val="20"/>
          <w:lang w:val="en-US"/>
        </w:rPr>
        <w:t xml:space="preserve"> this in the current version of document, some aspects of </w:t>
      </w:r>
      <w:r w:rsidR="00D70AFA">
        <w:rPr>
          <w:rFonts w:ascii="Century Gothic" w:hAnsi="Century Gothic"/>
          <w:sz w:val="20"/>
          <w:szCs w:val="20"/>
          <w:lang w:val="en-US"/>
        </w:rPr>
        <w:t>prudent valuation</w:t>
      </w:r>
      <w:r w:rsidR="00B718E3">
        <w:rPr>
          <w:rFonts w:ascii="Century Gothic" w:hAnsi="Century Gothic"/>
          <w:sz w:val="20"/>
          <w:szCs w:val="20"/>
          <w:lang w:val="en-US"/>
        </w:rPr>
        <w:t xml:space="preserve"> approach remained unclear and unexplained. In this feedback we were following our own understanding of the topic.  We </w:t>
      </w:r>
      <w:r w:rsidR="00D70AFA">
        <w:rPr>
          <w:rFonts w:ascii="Century Gothic" w:hAnsi="Century Gothic"/>
          <w:sz w:val="20"/>
          <w:szCs w:val="20"/>
          <w:lang w:val="en-US"/>
        </w:rPr>
        <w:t>were</w:t>
      </w:r>
      <w:r w:rsidR="00B718E3">
        <w:rPr>
          <w:rFonts w:ascii="Century Gothic" w:hAnsi="Century Gothic"/>
          <w:sz w:val="20"/>
          <w:szCs w:val="20"/>
          <w:lang w:val="en-US"/>
        </w:rPr>
        <w:t xml:space="preserve"> also lacking more clear instructions from the technical point of view</w:t>
      </w:r>
      <w:r w:rsidR="00D70AFA">
        <w:rPr>
          <w:rFonts w:ascii="Century Gothic" w:hAnsi="Century Gothic"/>
          <w:sz w:val="20"/>
          <w:szCs w:val="20"/>
          <w:lang w:val="en-US"/>
        </w:rPr>
        <w:t xml:space="preserve"> for the valuation adjustment calculation</w:t>
      </w:r>
      <w:r w:rsidR="00B718E3">
        <w:rPr>
          <w:rFonts w:ascii="Century Gothic" w:hAnsi="Century Gothic"/>
          <w:sz w:val="20"/>
          <w:szCs w:val="20"/>
          <w:lang w:val="en-US"/>
        </w:rPr>
        <w:t>. Thus, in articles dedicated to certain Additional valuation adjustments (AVAs hereafter) it is stated that institution is supposed to use expert based approaches</w:t>
      </w:r>
      <w:r w:rsidR="00D70AFA">
        <w:rPr>
          <w:rFonts w:ascii="Century Gothic" w:hAnsi="Century Gothic"/>
          <w:sz w:val="20"/>
          <w:szCs w:val="20"/>
          <w:lang w:val="en-US"/>
        </w:rPr>
        <w:t xml:space="preserve"> (where market data is not sufficient)</w:t>
      </w:r>
      <w:r w:rsidR="00B718E3">
        <w:rPr>
          <w:rFonts w:ascii="Century Gothic" w:hAnsi="Century Gothic"/>
          <w:sz w:val="20"/>
          <w:szCs w:val="20"/>
          <w:lang w:val="en-US"/>
        </w:rPr>
        <w:t xml:space="preserve">, without any </w:t>
      </w:r>
      <w:r w:rsidR="00A2478D">
        <w:rPr>
          <w:rFonts w:ascii="Century Gothic" w:hAnsi="Century Gothic"/>
          <w:sz w:val="20"/>
          <w:szCs w:val="20"/>
          <w:lang w:val="en-US"/>
        </w:rPr>
        <w:t xml:space="preserve">basic principles and </w:t>
      </w:r>
      <w:r w:rsidR="00D70AFA">
        <w:rPr>
          <w:rFonts w:ascii="Century Gothic" w:hAnsi="Century Gothic"/>
          <w:sz w:val="20"/>
          <w:szCs w:val="20"/>
          <w:lang w:val="en-US"/>
        </w:rPr>
        <w:t>roadmaps</w:t>
      </w:r>
      <w:r w:rsidR="00A2478D">
        <w:rPr>
          <w:rFonts w:ascii="Century Gothic" w:hAnsi="Century Gothic"/>
          <w:sz w:val="20"/>
          <w:szCs w:val="20"/>
          <w:lang w:val="en-US"/>
        </w:rPr>
        <w:t>. An</w:t>
      </w:r>
      <w:r w:rsidR="00D70AFA">
        <w:rPr>
          <w:rFonts w:ascii="Century Gothic" w:hAnsi="Century Gothic"/>
          <w:sz w:val="20"/>
          <w:szCs w:val="20"/>
          <w:lang w:val="en-US"/>
        </w:rPr>
        <w:t>other</w:t>
      </w:r>
      <w:r w:rsidR="00A2478D">
        <w:rPr>
          <w:rFonts w:ascii="Century Gothic" w:hAnsi="Century Gothic"/>
          <w:sz w:val="20"/>
          <w:szCs w:val="20"/>
          <w:lang w:val="en-US"/>
        </w:rPr>
        <w:t xml:space="preserve"> important gap in</w:t>
      </w:r>
      <w:r>
        <w:rPr>
          <w:rFonts w:ascii="Century Gothic" w:hAnsi="Century Gothic"/>
          <w:sz w:val="20"/>
          <w:szCs w:val="20"/>
          <w:lang w:val="en-US"/>
        </w:rPr>
        <w:t xml:space="preserve"> the presented document is </w:t>
      </w:r>
      <w:r w:rsidR="00A2478D">
        <w:rPr>
          <w:rFonts w:ascii="Century Gothic" w:hAnsi="Century Gothic"/>
          <w:sz w:val="20"/>
          <w:szCs w:val="20"/>
          <w:lang w:val="en-US"/>
        </w:rPr>
        <w:t>missed</w:t>
      </w:r>
      <w:r>
        <w:rPr>
          <w:rFonts w:ascii="Century Gothic" w:hAnsi="Century Gothic"/>
          <w:sz w:val="20"/>
          <w:szCs w:val="20"/>
          <w:lang w:val="en-US"/>
        </w:rPr>
        <w:t xml:space="preserve"> definitions </w:t>
      </w:r>
      <w:r w:rsidRPr="00393112">
        <w:rPr>
          <w:rFonts w:ascii="Century Gothic" w:hAnsi="Century Gothic"/>
          <w:sz w:val="20"/>
          <w:szCs w:val="20"/>
          <w:lang w:val="en-US"/>
        </w:rPr>
        <w:t>of valuation adjustments</w:t>
      </w:r>
      <w:r w:rsidR="00A2478D">
        <w:rPr>
          <w:rFonts w:ascii="Century Gothic" w:hAnsi="Century Gothic"/>
          <w:sz w:val="20"/>
          <w:szCs w:val="20"/>
          <w:lang w:val="en-US"/>
        </w:rPr>
        <w:t xml:space="preserve"> itself</w:t>
      </w:r>
      <w:r w:rsidRPr="00393112">
        <w:rPr>
          <w:rFonts w:ascii="Century Gothic" w:hAnsi="Century Gothic"/>
          <w:sz w:val="20"/>
          <w:szCs w:val="20"/>
          <w:lang w:val="en-US"/>
        </w:rPr>
        <w:t>, which may cause misunderstanding and mistreatment of certain AVAs among different institutions.</w:t>
      </w:r>
    </w:p>
    <w:p w14:paraId="33B2CA7F" w14:textId="5ACFA972" w:rsidR="00393112" w:rsidRDefault="00393112" w:rsidP="0060713A">
      <w:pPr>
        <w:ind w:firstLine="708"/>
        <w:jc w:val="both"/>
        <w:rPr>
          <w:rFonts w:ascii="Century Gothic" w:hAnsi="Century Gothic"/>
          <w:sz w:val="20"/>
          <w:szCs w:val="20"/>
          <w:lang w:val="en-US"/>
        </w:rPr>
      </w:pPr>
      <w:r>
        <w:rPr>
          <w:rFonts w:ascii="Century Gothic" w:hAnsi="Century Gothic"/>
          <w:sz w:val="20"/>
          <w:szCs w:val="20"/>
          <w:lang w:val="en-US"/>
        </w:rPr>
        <w:t xml:space="preserve"> </w:t>
      </w:r>
    </w:p>
    <w:p w14:paraId="6D0F4818" w14:textId="28CE09DF" w:rsidR="00393112" w:rsidRDefault="00A2478D" w:rsidP="0060713A">
      <w:pPr>
        <w:ind w:firstLine="708"/>
        <w:jc w:val="both"/>
        <w:rPr>
          <w:rFonts w:ascii="Century Gothic" w:hAnsi="Century Gothic"/>
          <w:sz w:val="20"/>
          <w:szCs w:val="20"/>
          <w:lang w:val="en-US"/>
        </w:rPr>
      </w:pPr>
      <w:r>
        <w:rPr>
          <w:rFonts w:ascii="Century Gothic" w:hAnsi="Century Gothic"/>
          <w:sz w:val="20"/>
          <w:szCs w:val="20"/>
          <w:lang w:val="en-US"/>
        </w:rPr>
        <w:t>We have summarized ou</w:t>
      </w:r>
      <w:r w:rsidR="00D70AFA">
        <w:rPr>
          <w:rFonts w:ascii="Century Gothic" w:hAnsi="Century Gothic"/>
          <w:sz w:val="20"/>
          <w:szCs w:val="20"/>
          <w:lang w:val="en-US"/>
        </w:rPr>
        <w:t>r</w:t>
      </w:r>
      <w:r>
        <w:rPr>
          <w:rFonts w:ascii="Century Gothic" w:hAnsi="Century Gothic"/>
          <w:sz w:val="20"/>
          <w:szCs w:val="20"/>
          <w:lang w:val="en-US"/>
        </w:rPr>
        <w:t xml:space="preserve"> ideas about prudent valuation </w:t>
      </w:r>
      <w:r w:rsidR="004F7CD6">
        <w:rPr>
          <w:rFonts w:ascii="Century Gothic" w:hAnsi="Century Gothic"/>
          <w:sz w:val="20"/>
          <w:szCs w:val="20"/>
          <w:lang w:val="en-US"/>
        </w:rPr>
        <w:t>approach</w:t>
      </w:r>
      <w:r>
        <w:rPr>
          <w:rFonts w:ascii="Century Gothic" w:hAnsi="Century Gothic"/>
          <w:sz w:val="20"/>
          <w:szCs w:val="20"/>
          <w:lang w:val="en-US"/>
        </w:rPr>
        <w:t xml:space="preserve"> not only in </w:t>
      </w:r>
      <w:r w:rsidR="00D70AFA">
        <w:rPr>
          <w:rFonts w:ascii="Century Gothic" w:hAnsi="Century Gothic"/>
          <w:sz w:val="20"/>
          <w:szCs w:val="20"/>
          <w:lang w:val="en-US"/>
        </w:rPr>
        <w:t xml:space="preserve">the </w:t>
      </w:r>
      <w:r>
        <w:rPr>
          <w:rFonts w:ascii="Century Gothic" w:hAnsi="Century Gothic"/>
          <w:sz w:val="20"/>
          <w:szCs w:val="20"/>
          <w:lang w:val="en-US"/>
        </w:rPr>
        <w:t xml:space="preserve">answers to the proposed questions, but also in the </w:t>
      </w:r>
      <w:r w:rsidR="004F7CD6" w:rsidRPr="004F7CD6">
        <w:rPr>
          <w:rFonts w:ascii="Century Gothic" w:hAnsi="Century Gothic"/>
          <w:i/>
          <w:sz w:val="20"/>
          <w:szCs w:val="20"/>
          <w:lang w:val="en-US"/>
        </w:rPr>
        <w:t>Proposals about Prudent valuation treatment and Valuation adjustments calculation</w:t>
      </w:r>
      <w:r w:rsidR="004F7CD6">
        <w:rPr>
          <w:rFonts w:ascii="Century Gothic" w:hAnsi="Century Gothic"/>
          <w:sz w:val="20"/>
          <w:szCs w:val="20"/>
          <w:lang w:val="en-US"/>
        </w:rPr>
        <w:t xml:space="preserve"> (Proposals hereafter). In this section we have tried to express our understanding of prudent valuation adjustment nature as well as bring some ideas about AVAs calculation. </w:t>
      </w:r>
      <w:r>
        <w:rPr>
          <w:rFonts w:ascii="Century Gothic" w:hAnsi="Century Gothic"/>
          <w:sz w:val="20"/>
          <w:szCs w:val="20"/>
          <w:lang w:val="en-US"/>
        </w:rPr>
        <w:t>Answers can be found in the next section.</w:t>
      </w:r>
    </w:p>
    <w:p w14:paraId="32973656" w14:textId="77777777" w:rsidR="00A2478D" w:rsidRDefault="00A2478D" w:rsidP="0060713A">
      <w:pPr>
        <w:ind w:firstLine="708"/>
        <w:jc w:val="both"/>
        <w:rPr>
          <w:rFonts w:ascii="Century Gothic" w:hAnsi="Century Gothic"/>
          <w:sz w:val="20"/>
          <w:szCs w:val="20"/>
          <w:lang w:val="en-US"/>
        </w:rPr>
      </w:pPr>
    </w:p>
    <w:p w14:paraId="69F2731A" w14:textId="586AF714" w:rsidR="00A2478D" w:rsidRDefault="00A2478D" w:rsidP="0060713A">
      <w:pPr>
        <w:ind w:firstLine="708"/>
        <w:jc w:val="both"/>
        <w:rPr>
          <w:rFonts w:ascii="Century Gothic" w:hAnsi="Century Gothic"/>
          <w:sz w:val="20"/>
          <w:szCs w:val="20"/>
          <w:lang w:val="en-US"/>
        </w:rPr>
      </w:pPr>
      <w:r>
        <w:rPr>
          <w:rFonts w:ascii="Century Gothic" w:hAnsi="Century Gothic"/>
          <w:sz w:val="20"/>
          <w:szCs w:val="20"/>
          <w:lang w:val="en-US"/>
        </w:rPr>
        <w:t>We would be pleased if our ideas may be used in order to improve the introduction of prudential valuation regime.</w:t>
      </w:r>
    </w:p>
    <w:p w14:paraId="1A959708" w14:textId="77777777" w:rsidR="00A2478D" w:rsidRDefault="00A2478D" w:rsidP="0060713A">
      <w:pPr>
        <w:ind w:firstLine="708"/>
        <w:jc w:val="both"/>
        <w:rPr>
          <w:rFonts w:ascii="Century Gothic" w:hAnsi="Century Gothic"/>
          <w:sz w:val="20"/>
          <w:szCs w:val="20"/>
          <w:lang w:val="en-US"/>
        </w:rPr>
      </w:pPr>
    </w:p>
    <w:p w14:paraId="77CFBC6F" w14:textId="7AF29C89" w:rsidR="00A2478D" w:rsidRPr="00A2478D" w:rsidRDefault="00DD2401" w:rsidP="0060713A">
      <w:pPr>
        <w:pStyle w:val="Heading1"/>
        <w:jc w:val="both"/>
        <w:rPr>
          <w:rStyle w:val="IntenseEmphasis"/>
          <w:rFonts w:ascii="Futura" w:hAnsi="Futura"/>
          <w:lang w:val="en-GB"/>
        </w:rPr>
      </w:pPr>
      <w:r>
        <w:rPr>
          <w:rStyle w:val="IntenseEmphasis"/>
          <w:rFonts w:ascii="Futura" w:hAnsi="Futura"/>
          <w:lang w:val="en-GB"/>
        </w:rPr>
        <w:t>Proposals</w:t>
      </w:r>
      <w:r w:rsidR="00A2478D" w:rsidRPr="00A2478D">
        <w:rPr>
          <w:rStyle w:val="IntenseEmphasis"/>
          <w:rFonts w:ascii="Futura" w:hAnsi="Futura"/>
          <w:lang w:val="en-GB"/>
        </w:rPr>
        <w:t xml:space="preserve"> about Prudent valuation</w:t>
      </w:r>
      <w:r>
        <w:rPr>
          <w:rStyle w:val="IntenseEmphasis"/>
          <w:rFonts w:ascii="Futura" w:hAnsi="Futura"/>
          <w:lang w:val="en-GB"/>
        </w:rPr>
        <w:t xml:space="preserve"> treatment</w:t>
      </w:r>
      <w:r w:rsidR="00A2478D" w:rsidRPr="00A2478D">
        <w:rPr>
          <w:rStyle w:val="IntenseEmphasis"/>
          <w:rFonts w:ascii="Futura" w:hAnsi="Futura"/>
          <w:lang w:val="en-GB"/>
        </w:rPr>
        <w:t xml:space="preserve"> and Valuation adjustments</w:t>
      </w:r>
      <w:r>
        <w:rPr>
          <w:rStyle w:val="IntenseEmphasis"/>
          <w:rFonts w:ascii="Futura" w:hAnsi="Futura"/>
          <w:lang w:val="en-GB"/>
        </w:rPr>
        <w:t xml:space="preserve"> calculation</w:t>
      </w:r>
    </w:p>
    <w:p w14:paraId="5B4C8D66" w14:textId="77777777" w:rsidR="00A2478D" w:rsidRPr="00A2478D" w:rsidRDefault="00A2478D" w:rsidP="0060713A">
      <w:pPr>
        <w:jc w:val="both"/>
        <w:rPr>
          <w:lang w:val="en-GB"/>
        </w:rPr>
      </w:pPr>
    </w:p>
    <w:p w14:paraId="5A4413BF" w14:textId="3788A890" w:rsidR="00A2478D" w:rsidRPr="00393112" w:rsidRDefault="00A2478D" w:rsidP="0060713A">
      <w:pPr>
        <w:ind w:firstLine="708"/>
        <w:jc w:val="both"/>
        <w:rPr>
          <w:rFonts w:ascii="Century Gothic" w:hAnsi="Century Gothic"/>
          <w:sz w:val="20"/>
          <w:szCs w:val="20"/>
          <w:lang w:val="en-US"/>
        </w:rPr>
      </w:pPr>
      <w:r w:rsidRPr="00393112">
        <w:rPr>
          <w:rFonts w:ascii="Century Gothic" w:hAnsi="Century Gothic"/>
          <w:sz w:val="20"/>
          <w:szCs w:val="20"/>
          <w:lang w:val="en-US"/>
        </w:rPr>
        <w:t xml:space="preserve">Thinking about prudent valuation and valuation adjustments we understand it as </w:t>
      </w:r>
      <w:r w:rsidR="001C3E8D">
        <w:rPr>
          <w:rFonts w:ascii="Century Gothic" w:hAnsi="Century Gothic"/>
          <w:sz w:val="20"/>
          <w:szCs w:val="20"/>
          <w:lang w:val="en-US"/>
        </w:rPr>
        <w:t xml:space="preserve">adjustment for </w:t>
      </w:r>
      <w:r w:rsidR="004F7CD6">
        <w:rPr>
          <w:rFonts w:ascii="Century Gothic" w:hAnsi="Century Gothic"/>
          <w:sz w:val="20"/>
          <w:szCs w:val="20"/>
          <w:lang w:val="en-US"/>
        </w:rPr>
        <w:t xml:space="preserve">covering </w:t>
      </w:r>
      <w:r w:rsidR="004F7CD6" w:rsidRPr="004F7CD6">
        <w:rPr>
          <w:rFonts w:ascii="Century Gothic" w:hAnsi="Century Gothic"/>
          <w:b/>
          <w:sz w:val="20"/>
          <w:szCs w:val="20"/>
          <w:lang w:val="en-US"/>
        </w:rPr>
        <w:t>risk</w:t>
      </w:r>
      <w:r w:rsidRPr="00393112">
        <w:rPr>
          <w:rFonts w:ascii="Century Gothic" w:hAnsi="Century Gothic"/>
          <w:sz w:val="20"/>
          <w:szCs w:val="20"/>
          <w:lang w:val="en-US"/>
        </w:rPr>
        <w:t xml:space="preserve"> connected with non-precise or inaccurate valuation of positions caused mainly by the following factors:</w:t>
      </w:r>
    </w:p>
    <w:p w14:paraId="00B660FB" w14:textId="77777777" w:rsidR="00A2478D" w:rsidRPr="00393112" w:rsidRDefault="00A2478D" w:rsidP="0060713A">
      <w:pPr>
        <w:pStyle w:val="ListParagraph"/>
        <w:numPr>
          <w:ilvl w:val="0"/>
          <w:numId w:val="1"/>
        </w:numPr>
        <w:jc w:val="both"/>
        <w:rPr>
          <w:rFonts w:ascii="Century Gothic" w:hAnsi="Century Gothic"/>
          <w:sz w:val="20"/>
          <w:szCs w:val="20"/>
          <w:lang w:val="en-US"/>
        </w:rPr>
      </w:pPr>
      <w:r w:rsidRPr="00393112">
        <w:rPr>
          <w:rFonts w:ascii="Century Gothic" w:hAnsi="Century Gothic"/>
          <w:i/>
          <w:sz w:val="20"/>
          <w:szCs w:val="20"/>
          <w:lang w:val="en-US"/>
        </w:rPr>
        <w:t>Product complexity</w:t>
      </w:r>
      <w:r w:rsidRPr="00393112">
        <w:rPr>
          <w:rFonts w:ascii="Century Gothic" w:hAnsi="Century Gothic"/>
          <w:sz w:val="20"/>
          <w:szCs w:val="20"/>
          <w:lang w:val="en-US"/>
        </w:rPr>
        <w:t xml:space="preserve"> (which implies market price uncertainty, model risk and operational risk);</w:t>
      </w:r>
    </w:p>
    <w:p w14:paraId="6FB32172" w14:textId="77777777" w:rsidR="00A2478D" w:rsidRPr="00393112" w:rsidRDefault="00A2478D" w:rsidP="0060713A">
      <w:pPr>
        <w:pStyle w:val="ListParagraph"/>
        <w:numPr>
          <w:ilvl w:val="0"/>
          <w:numId w:val="1"/>
        </w:numPr>
        <w:jc w:val="both"/>
        <w:rPr>
          <w:rFonts w:ascii="Century Gothic" w:hAnsi="Century Gothic"/>
          <w:sz w:val="20"/>
          <w:szCs w:val="20"/>
          <w:lang w:val="en-US"/>
        </w:rPr>
      </w:pPr>
      <w:r w:rsidRPr="00393112">
        <w:rPr>
          <w:rFonts w:ascii="Century Gothic" w:hAnsi="Century Gothic"/>
          <w:i/>
          <w:sz w:val="20"/>
          <w:szCs w:val="20"/>
          <w:lang w:val="en-US"/>
        </w:rPr>
        <w:lastRenderedPageBreak/>
        <w:t>Position liquidity</w:t>
      </w:r>
      <w:r w:rsidRPr="00393112">
        <w:rPr>
          <w:rFonts w:ascii="Century Gothic" w:hAnsi="Century Gothic"/>
          <w:sz w:val="20"/>
          <w:szCs w:val="20"/>
          <w:lang w:val="en-US"/>
        </w:rPr>
        <w:t xml:space="preserve"> (caused both by market specifics or evens as well as by institution related situation like concentration and implying market price uncertainty as well as close out costs, model risk).</w:t>
      </w:r>
    </w:p>
    <w:p w14:paraId="46170F52" w14:textId="77777777" w:rsidR="00A2478D" w:rsidRPr="00393112" w:rsidRDefault="00A2478D" w:rsidP="0060713A">
      <w:pPr>
        <w:pStyle w:val="ListParagraph"/>
        <w:ind w:left="0" w:firstLine="708"/>
        <w:jc w:val="both"/>
        <w:rPr>
          <w:rFonts w:ascii="Century Gothic" w:hAnsi="Century Gothic"/>
          <w:sz w:val="20"/>
          <w:szCs w:val="20"/>
          <w:lang w:val="en-US"/>
        </w:rPr>
      </w:pPr>
      <w:r w:rsidRPr="00393112">
        <w:rPr>
          <w:rFonts w:ascii="Century Gothic" w:hAnsi="Century Gothic"/>
          <w:sz w:val="20"/>
          <w:szCs w:val="20"/>
          <w:lang w:val="en-US"/>
        </w:rPr>
        <w:t xml:space="preserve">Thus to evaluate the necessity for the additional valuation adjustment, as well as to quantify the valuation adjustment all positions should be examined against above mentioned factors (as it is mentioned in the on </w:t>
      </w:r>
      <w:r w:rsidRPr="00393112">
        <w:rPr>
          <w:rFonts w:ascii="Century Gothic" w:hAnsi="Century Gothic"/>
          <w:i/>
          <w:sz w:val="20"/>
          <w:szCs w:val="20"/>
          <w:lang w:val="en-US"/>
        </w:rPr>
        <w:t xml:space="preserve">Regulation on prudential requirements for credit institutions and investment firms, </w:t>
      </w:r>
      <w:r w:rsidRPr="00393112">
        <w:rPr>
          <w:rFonts w:ascii="Century Gothic" w:hAnsi="Century Gothic"/>
          <w:sz w:val="20"/>
          <w:szCs w:val="20"/>
          <w:lang w:val="en-US"/>
        </w:rPr>
        <w:t>article 105, paragraphs 11-13).</w:t>
      </w:r>
    </w:p>
    <w:p w14:paraId="22D96350" w14:textId="77777777" w:rsidR="00A2478D" w:rsidRPr="00A2478D" w:rsidRDefault="00A2478D" w:rsidP="0060713A">
      <w:pPr>
        <w:jc w:val="both"/>
        <w:rPr>
          <w:lang w:val="en-US"/>
        </w:rPr>
      </w:pPr>
    </w:p>
    <w:p w14:paraId="1E731E82" w14:textId="77777777" w:rsidR="00A2478D" w:rsidRPr="00393112" w:rsidRDefault="00A2478D" w:rsidP="0060713A">
      <w:pPr>
        <w:ind w:firstLine="708"/>
        <w:jc w:val="both"/>
        <w:rPr>
          <w:rFonts w:ascii="Century Gothic" w:hAnsi="Century Gothic"/>
          <w:sz w:val="20"/>
          <w:szCs w:val="20"/>
          <w:lang w:val="en-US"/>
        </w:rPr>
      </w:pPr>
    </w:p>
    <w:p w14:paraId="38F53BD6" w14:textId="1EE09CDB" w:rsidR="00393112" w:rsidRP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Having</w:t>
      </w:r>
      <w:r w:rsidR="00BB5948">
        <w:rPr>
          <w:rFonts w:ascii="Century Gothic" w:hAnsi="Century Gothic"/>
          <w:sz w:val="20"/>
          <w:szCs w:val="20"/>
          <w:lang w:val="en-US"/>
        </w:rPr>
        <w:t xml:space="preserve"> in</w:t>
      </w:r>
      <w:r w:rsidRPr="00393112">
        <w:rPr>
          <w:rFonts w:ascii="Century Gothic" w:hAnsi="Century Gothic"/>
          <w:sz w:val="20"/>
          <w:szCs w:val="20"/>
          <w:lang w:val="en-US"/>
        </w:rPr>
        <w:t xml:space="preserve"> mind</w:t>
      </w:r>
      <w:r w:rsidR="00A2478D">
        <w:rPr>
          <w:rFonts w:ascii="Century Gothic" w:hAnsi="Century Gothic"/>
          <w:sz w:val="20"/>
          <w:szCs w:val="20"/>
          <w:lang w:val="en-US"/>
        </w:rPr>
        <w:t xml:space="preserve"> stated</w:t>
      </w:r>
      <w:r w:rsidR="004F7CD6">
        <w:rPr>
          <w:rFonts w:ascii="Century Gothic" w:hAnsi="Century Gothic"/>
          <w:sz w:val="20"/>
          <w:szCs w:val="20"/>
          <w:lang w:val="en-US"/>
        </w:rPr>
        <w:t xml:space="preserve"> in the </w:t>
      </w:r>
      <w:r w:rsidR="004F7CD6" w:rsidRPr="004F7CD6">
        <w:rPr>
          <w:rFonts w:ascii="Century Gothic" w:hAnsi="Century Gothic"/>
          <w:i/>
          <w:sz w:val="20"/>
          <w:szCs w:val="20"/>
          <w:lang w:val="en-US"/>
        </w:rPr>
        <w:t>G</w:t>
      </w:r>
      <w:r w:rsidR="00A2478D" w:rsidRPr="004F7CD6">
        <w:rPr>
          <w:rFonts w:ascii="Century Gothic" w:hAnsi="Century Gothic"/>
          <w:i/>
          <w:sz w:val="20"/>
          <w:szCs w:val="20"/>
          <w:lang w:val="en-US"/>
        </w:rPr>
        <w:t>eneral comment</w:t>
      </w:r>
      <w:r w:rsidR="00A2478D">
        <w:rPr>
          <w:rFonts w:ascii="Century Gothic" w:hAnsi="Century Gothic"/>
          <w:sz w:val="20"/>
          <w:szCs w:val="20"/>
          <w:lang w:val="en-US"/>
        </w:rPr>
        <w:t xml:space="preserve"> necessity to keep the capital requirement system harmonized and to avoid additional complexity</w:t>
      </w:r>
      <w:r w:rsidRPr="00393112">
        <w:rPr>
          <w:rFonts w:ascii="Century Gothic" w:hAnsi="Century Gothic"/>
          <w:sz w:val="20"/>
          <w:szCs w:val="20"/>
          <w:lang w:val="en-US"/>
        </w:rPr>
        <w:t xml:space="preserve"> we think it would be appropriate to introduce along with a core approach </w:t>
      </w:r>
      <w:r w:rsidRPr="00393112">
        <w:rPr>
          <w:rFonts w:ascii="Century Gothic" w:hAnsi="Century Gothic"/>
          <w:b/>
          <w:sz w:val="20"/>
          <w:szCs w:val="20"/>
          <w:lang w:val="en-US"/>
        </w:rPr>
        <w:t xml:space="preserve">the </w:t>
      </w:r>
      <w:r w:rsidR="004F7CD6">
        <w:rPr>
          <w:rFonts w:ascii="Century Gothic" w:hAnsi="Century Gothic"/>
          <w:b/>
          <w:sz w:val="20"/>
          <w:szCs w:val="20"/>
          <w:lang w:val="en-US"/>
        </w:rPr>
        <w:t>standard</w:t>
      </w:r>
      <w:r w:rsidRPr="00393112">
        <w:rPr>
          <w:rFonts w:ascii="Century Gothic" w:hAnsi="Century Gothic"/>
          <w:b/>
          <w:sz w:val="20"/>
          <w:szCs w:val="20"/>
          <w:lang w:val="en-US"/>
        </w:rPr>
        <w:t xml:space="preserve"> approach of additional valuation adjustments calculation</w:t>
      </w:r>
      <w:r w:rsidR="00BB5948">
        <w:rPr>
          <w:rFonts w:ascii="Century Gothic" w:hAnsi="Century Gothic"/>
          <w:b/>
          <w:sz w:val="20"/>
          <w:szCs w:val="20"/>
          <w:lang w:val="en-US"/>
        </w:rPr>
        <w:t xml:space="preserve"> as well as advanced approach </w:t>
      </w:r>
      <w:r w:rsidR="00BB5948" w:rsidRPr="00BB5948">
        <w:rPr>
          <w:rFonts w:ascii="Century Gothic" w:hAnsi="Century Gothic"/>
          <w:sz w:val="20"/>
          <w:szCs w:val="20"/>
          <w:lang w:val="en-US"/>
        </w:rPr>
        <w:t>for some valuation adjustment</w:t>
      </w:r>
      <w:r w:rsidR="00BB5948">
        <w:rPr>
          <w:rFonts w:ascii="Century Gothic" w:hAnsi="Century Gothic"/>
          <w:sz w:val="20"/>
          <w:szCs w:val="20"/>
          <w:lang w:val="en-US"/>
        </w:rPr>
        <w:t xml:space="preserve">, where the gradual </w:t>
      </w:r>
      <w:r w:rsidR="004F7CD6">
        <w:rPr>
          <w:rFonts w:ascii="Century Gothic" w:hAnsi="Century Gothic"/>
          <w:sz w:val="20"/>
          <w:szCs w:val="20"/>
          <w:lang w:val="en-US"/>
        </w:rPr>
        <w:t>complication</w:t>
      </w:r>
      <w:r w:rsidR="00BB5948">
        <w:rPr>
          <w:rFonts w:ascii="Century Gothic" w:hAnsi="Century Gothic"/>
          <w:sz w:val="20"/>
          <w:szCs w:val="20"/>
          <w:lang w:val="en-US"/>
        </w:rPr>
        <w:t xml:space="preserve"> of calculation logic</w:t>
      </w:r>
      <w:r w:rsidR="004F7CD6">
        <w:rPr>
          <w:rFonts w:ascii="Century Gothic" w:hAnsi="Century Gothic"/>
          <w:sz w:val="20"/>
          <w:szCs w:val="20"/>
          <w:lang w:val="en-US"/>
        </w:rPr>
        <w:t xml:space="preserve"> </w:t>
      </w:r>
      <w:r w:rsidR="00BB5948">
        <w:rPr>
          <w:rFonts w:ascii="Century Gothic" w:hAnsi="Century Gothic"/>
          <w:sz w:val="20"/>
          <w:szCs w:val="20"/>
          <w:lang w:val="en-US"/>
        </w:rPr>
        <w:t>is appropriate</w:t>
      </w:r>
      <w:r w:rsidRPr="00393112">
        <w:rPr>
          <w:rFonts w:ascii="Century Gothic" w:hAnsi="Century Gothic"/>
          <w:sz w:val="20"/>
          <w:szCs w:val="20"/>
          <w:lang w:val="en-US"/>
        </w:rPr>
        <w:t xml:space="preserve"> and to let institutions decide which methods fits the best to its business </w:t>
      </w:r>
      <w:r w:rsidR="004F7CD6">
        <w:rPr>
          <w:rFonts w:ascii="Century Gothic" w:hAnsi="Century Gothic"/>
          <w:sz w:val="20"/>
          <w:szCs w:val="20"/>
          <w:lang w:val="en-US"/>
        </w:rPr>
        <w:t>model</w:t>
      </w:r>
      <w:r w:rsidRPr="00393112">
        <w:rPr>
          <w:rFonts w:ascii="Century Gothic" w:hAnsi="Century Gothic"/>
          <w:sz w:val="20"/>
          <w:szCs w:val="20"/>
          <w:lang w:val="en-US"/>
        </w:rPr>
        <w:t xml:space="preserve"> and allocated internal resources. We also believe that introduction of widely accepted standard approach will help for the local supervisory process, make the AVAs comparable along different credit institutions and contribute to the more smooth change of valuation regime.</w:t>
      </w:r>
    </w:p>
    <w:p w14:paraId="1FC9E879" w14:textId="77777777" w:rsidR="00393112" w:rsidRPr="00BB5948" w:rsidRDefault="00393112" w:rsidP="0060713A">
      <w:pPr>
        <w:jc w:val="both"/>
        <w:rPr>
          <w:rFonts w:ascii="Century Gothic" w:hAnsi="Century Gothic"/>
          <w:sz w:val="20"/>
          <w:szCs w:val="20"/>
          <w:lang w:val="en-US"/>
        </w:rPr>
      </w:pPr>
    </w:p>
    <w:p w14:paraId="1FE83963" w14:textId="77777777" w:rsidR="00393112" w:rsidRPr="00BB5948" w:rsidRDefault="00393112" w:rsidP="0060713A">
      <w:pPr>
        <w:pStyle w:val="ListParagraph"/>
        <w:ind w:left="0" w:firstLine="708"/>
        <w:jc w:val="both"/>
        <w:rPr>
          <w:rStyle w:val="Emphasis"/>
          <w:rFonts w:ascii="Futura" w:hAnsi="Futura"/>
          <w:lang w:val="en-GB"/>
        </w:rPr>
      </w:pPr>
      <w:r w:rsidRPr="00BB5948">
        <w:rPr>
          <w:rStyle w:val="Emphasis"/>
          <w:rFonts w:ascii="Futura" w:hAnsi="Futura"/>
          <w:lang w:val="en-GB"/>
        </w:rPr>
        <w:t>Market price uncertainty</w:t>
      </w:r>
    </w:p>
    <w:p w14:paraId="2AEE43C3" w14:textId="77777777" w:rsidR="00393112" w:rsidRPr="00393112" w:rsidRDefault="00393112" w:rsidP="0060713A">
      <w:pPr>
        <w:pStyle w:val="ListParagraph"/>
        <w:ind w:left="0" w:firstLine="708"/>
        <w:jc w:val="both"/>
        <w:rPr>
          <w:rFonts w:ascii="Century Gothic" w:hAnsi="Century Gothic"/>
          <w:sz w:val="20"/>
          <w:szCs w:val="20"/>
          <w:lang w:val="en-US"/>
        </w:rPr>
      </w:pPr>
    </w:p>
    <w:p w14:paraId="11AA5D8B" w14:textId="2346B1E3" w:rsidR="00393112" w:rsidRPr="00393112" w:rsidRDefault="00393112" w:rsidP="0060713A">
      <w:pPr>
        <w:pStyle w:val="ListParagraph"/>
        <w:ind w:left="0" w:firstLine="708"/>
        <w:jc w:val="both"/>
        <w:rPr>
          <w:rFonts w:ascii="Century Gothic" w:hAnsi="Century Gothic"/>
          <w:sz w:val="20"/>
          <w:szCs w:val="20"/>
          <w:lang w:val="en-US"/>
        </w:rPr>
      </w:pPr>
      <w:r w:rsidRPr="00393112">
        <w:rPr>
          <w:rFonts w:ascii="Century Gothic" w:hAnsi="Century Gothic"/>
          <w:sz w:val="20"/>
          <w:szCs w:val="20"/>
          <w:lang w:val="en-US"/>
        </w:rPr>
        <w:t xml:space="preserve">Market price uncertainty is a state when market price cannot be defined precisely due to market-specific </w:t>
      </w:r>
      <w:r w:rsidR="004F7CD6">
        <w:rPr>
          <w:rFonts w:ascii="Century Gothic" w:hAnsi="Century Gothic"/>
          <w:sz w:val="20"/>
          <w:szCs w:val="20"/>
          <w:lang w:val="en-US"/>
        </w:rPr>
        <w:t>situations or event</w:t>
      </w:r>
      <w:r w:rsidRPr="00393112">
        <w:rPr>
          <w:rFonts w:ascii="Century Gothic" w:hAnsi="Century Gothic"/>
          <w:sz w:val="20"/>
          <w:szCs w:val="20"/>
          <w:lang w:val="en-US"/>
        </w:rPr>
        <w:t xml:space="preserve">. Market price uncertainty should be identified based on the liquidity of the underlying market on the </w:t>
      </w:r>
      <w:r w:rsidRPr="004F7CD6">
        <w:rPr>
          <w:rFonts w:ascii="Century Gothic" w:hAnsi="Century Gothic"/>
          <w:i/>
          <w:sz w:val="20"/>
          <w:szCs w:val="20"/>
          <w:lang w:val="en-US"/>
        </w:rPr>
        <w:t>valuation input level</w:t>
      </w:r>
      <w:r w:rsidRPr="00393112">
        <w:rPr>
          <w:rFonts w:ascii="Century Gothic" w:hAnsi="Century Gothic"/>
          <w:sz w:val="20"/>
          <w:szCs w:val="20"/>
          <w:lang w:val="en-US"/>
        </w:rPr>
        <w:t>. Market price uncertainty does not depend from the institution related situations like concentration.</w:t>
      </w:r>
    </w:p>
    <w:p w14:paraId="4FD35ED5" w14:textId="77777777" w:rsidR="00393112" w:rsidRPr="00393112" w:rsidRDefault="00393112" w:rsidP="0060713A">
      <w:pPr>
        <w:pStyle w:val="ListParagraph"/>
        <w:ind w:left="0" w:firstLine="708"/>
        <w:jc w:val="both"/>
        <w:rPr>
          <w:rFonts w:ascii="Century Gothic" w:hAnsi="Century Gothic"/>
          <w:sz w:val="20"/>
          <w:szCs w:val="20"/>
          <w:lang w:val="en-US"/>
        </w:rPr>
      </w:pPr>
      <w:r w:rsidRPr="00DE1E18">
        <w:rPr>
          <w:rFonts w:ascii="Century Gothic" w:hAnsi="Century Gothic"/>
          <w:i/>
          <w:sz w:val="20"/>
          <w:szCs w:val="20"/>
          <w:lang w:val="en-US"/>
        </w:rPr>
        <w:t>Example 1.</w:t>
      </w:r>
      <w:r w:rsidRPr="00393112">
        <w:rPr>
          <w:rFonts w:ascii="Century Gothic" w:hAnsi="Century Gothic"/>
          <w:sz w:val="20"/>
          <w:szCs w:val="20"/>
          <w:lang w:val="en-US"/>
        </w:rPr>
        <w:t xml:space="preserve"> Low liquidity of the long term interest rate market in Russia implies exposure of Russian rubble swap rates to the market price uncertainty.</w:t>
      </w:r>
    </w:p>
    <w:p w14:paraId="7AE9FA33" w14:textId="74DF38E6" w:rsidR="00393112" w:rsidRDefault="00393112" w:rsidP="0060713A">
      <w:pPr>
        <w:pStyle w:val="ListParagraph"/>
        <w:ind w:left="0" w:firstLine="708"/>
        <w:jc w:val="both"/>
        <w:rPr>
          <w:rFonts w:ascii="Century Gothic" w:hAnsi="Century Gothic"/>
          <w:sz w:val="20"/>
          <w:szCs w:val="20"/>
          <w:lang w:val="en-US"/>
        </w:rPr>
      </w:pPr>
      <w:r w:rsidRPr="00DE1E18">
        <w:rPr>
          <w:rFonts w:ascii="Century Gothic" w:hAnsi="Century Gothic"/>
          <w:i/>
          <w:sz w:val="20"/>
          <w:szCs w:val="20"/>
          <w:lang w:val="en-US"/>
        </w:rPr>
        <w:t>Example 2.</w:t>
      </w:r>
      <w:r w:rsidRPr="00393112">
        <w:rPr>
          <w:rFonts w:ascii="Century Gothic" w:hAnsi="Century Gothic"/>
          <w:sz w:val="20"/>
          <w:szCs w:val="20"/>
          <w:lang w:val="en-US"/>
        </w:rPr>
        <w:t xml:space="preserve"> High liquidity of German government bonds implies abse</w:t>
      </w:r>
      <w:r w:rsidR="00DE1E18">
        <w:rPr>
          <w:rFonts w:ascii="Century Gothic" w:hAnsi="Century Gothic"/>
          <w:sz w:val="20"/>
          <w:szCs w:val="20"/>
          <w:lang w:val="en-US"/>
        </w:rPr>
        <w:t>nce of market price uncertainty for positions in German government bonds.</w:t>
      </w:r>
    </w:p>
    <w:p w14:paraId="3FD1F636" w14:textId="200B1B31" w:rsidR="00DE1E18" w:rsidRPr="00393112" w:rsidRDefault="00DE1E18" w:rsidP="0060713A">
      <w:pPr>
        <w:pStyle w:val="ListParagraph"/>
        <w:ind w:left="0" w:firstLine="708"/>
        <w:jc w:val="both"/>
        <w:rPr>
          <w:rFonts w:ascii="Century Gothic" w:hAnsi="Century Gothic"/>
          <w:sz w:val="20"/>
          <w:szCs w:val="20"/>
          <w:lang w:val="en-US"/>
        </w:rPr>
      </w:pPr>
      <w:r w:rsidRPr="00DE1E18">
        <w:rPr>
          <w:rFonts w:ascii="Century Gothic" w:hAnsi="Century Gothic"/>
          <w:i/>
          <w:sz w:val="20"/>
          <w:szCs w:val="20"/>
          <w:lang w:val="en-US"/>
        </w:rPr>
        <w:t>Example 3.</w:t>
      </w:r>
      <w:r>
        <w:rPr>
          <w:rFonts w:ascii="Century Gothic" w:hAnsi="Century Gothic"/>
          <w:sz w:val="20"/>
          <w:szCs w:val="20"/>
          <w:lang w:val="en-US"/>
        </w:rPr>
        <w:t xml:space="preserve"> Position in private placement bonds of European corporate issue XXX is exposed to the market price uncertainty, although the corporate bonds market is rather liquid.</w:t>
      </w:r>
    </w:p>
    <w:p w14:paraId="7D307B26" w14:textId="0BDBE345" w:rsidR="00393112" w:rsidRPr="00393112" w:rsidRDefault="00393112" w:rsidP="0060713A">
      <w:pPr>
        <w:pStyle w:val="ListParagraph"/>
        <w:ind w:left="0" w:firstLine="708"/>
        <w:jc w:val="both"/>
        <w:rPr>
          <w:rFonts w:ascii="Century Gothic" w:hAnsi="Century Gothic"/>
          <w:sz w:val="20"/>
          <w:szCs w:val="20"/>
          <w:lang w:val="en-US"/>
        </w:rPr>
      </w:pPr>
      <w:r w:rsidRPr="00393112">
        <w:rPr>
          <w:rFonts w:ascii="Century Gothic" w:hAnsi="Century Gothic"/>
          <w:sz w:val="20"/>
          <w:szCs w:val="20"/>
          <w:lang w:val="en-US"/>
        </w:rPr>
        <w:t xml:space="preserve">Under the </w:t>
      </w:r>
      <w:r w:rsidR="00DE1E18">
        <w:rPr>
          <w:rFonts w:ascii="Century Gothic" w:hAnsi="Century Gothic"/>
          <w:b/>
          <w:sz w:val="20"/>
          <w:szCs w:val="20"/>
          <w:lang w:val="en-US"/>
        </w:rPr>
        <w:t>standard</w:t>
      </w:r>
      <w:r w:rsidRPr="00393112">
        <w:rPr>
          <w:rFonts w:ascii="Century Gothic" w:hAnsi="Century Gothic"/>
          <w:b/>
          <w:sz w:val="20"/>
          <w:szCs w:val="20"/>
          <w:lang w:val="en-US"/>
        </w:rPr>
        <w:t xml:space="preserve"> approach</w:t>
      </w:r>
      <w:r w:rsidRPr="00393112">
        <w:rPr>
          <w:rFonts w:ascii="Century Gothic" w:hAnsi="Century Gothic"/>
          <w:sz w:val="20"/>
          <w:szCs w:val="20"/>
          <w:lang w:val="en-US"/>
        </w:rPr>
        <w:t xml:space="preserve"> institutions are asked to estimate market price uncertainty AVA as </w:t>
      </w:r>
      <w:r w:rsidR="00DE1E18">
        <w:rPr>
          <w:rFonts w:ascii="Century Gothic" w:hAnsi="Century Gothic"/>
          <w:sz w:val="20"/>
          <w:szCs w:val="20"/>
          <w:lang w:val="en-US"/>
        </w:rPr>
        <w:t xml:space="preserve">net </w:t>
      </w:r>
      <w:r w:rsidRPr="00393112">
        <w:rPr>
          <w:rFonts w:ascii="Century Gothic" w:hAnsi="Century Gothic"/>
          <w:sz w:val="20"/>
          <w:szCs w:val="20"/>
          <w:lang w:val="en-US"/>
        </w:rPr>
        <w:t>notional value of financial instrument multiplied by:</w:t>
      </w:r>
    </w:p>
    <w:p w14:paraId="47F14DFA" w14:textId="31A30D84" w:rsidR="00393112" w:rsidRPr="00393112" w:rsidRDefault="00393112" w:rsidP="0060713A">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100</w:t>
      </w:r>
      <w:r w:rsidR="00D64CF7">
        <w:rPr>
          <w:rStyle w:val="FootnoteReference"/>
          <w:rFonts w:ascii="Century Gothic" w:hAnsi="Century Gothic"/>
          <w:sz w:val="20"/>
          <w:szCs w:val="20"/>
          <w:lang w:val="en-US"/>
        </w:rPr>
        <w:footnoteReference w:id="1"/>
      </w:r>
      <w:r w:rsidRPr="00393112">
        <w:rPr>
          <w:rFonts w:ascii="Century Gothic" w:hAnsi="Century Gothic"/>
          <w:sz w:val="20"/>
          <w:szCs w:val="20"/>
          <w:lang w:val="en-US"/>
        </w:rPr>
        <w:t xml:space="preserve"> basis points in case of non-derivative instrument</w:t>
      </w:r>
    </w:p>
    <w:p w14:paraId="0F493C53" w14:textId="77777777" w:rsidR="00393112" w:rsidRPr="00393112" w:rsidRDefault="00393112" w:rsidP="0060713A">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10 basis point in case of derivative instrument</w:t>
      </w:r>
    </w:p>
    <w:p w14:paraId="079C0117" w14:textId="77777777"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 xml:space="preserve">if and only if the financial instrument is </w:t>
      </w:r>
      <w:r w:rsidRPr="00DE1E18">
        <w:rPr>
          <w:rFonts w:ascii="Century Gothic" w:hAnsi="Century Gothic"/>
          <w:i/>
          <w:sz w:val="20"/>
          <w:szCs w:val="20"/>
          <w:lang w:val="en-US"/>
        </w:rPr>
        <w:t>denominated, indexed or depends in any other way from currency, which is not home currency for countries, representing Advanced economies according to the IMF classification</w:t>
      </w:r>
      <w:r w:rsidRPr="00393112">
        <w:rPr>
          <w:rFonts w:ascii="Century Gothic" w:hAnsi="Century Gothic"/>
          <w:sz w:val="20"/>
          <w:szCs w:val="20"/>
          <w:lang w:val="en-US"/>
        </w:rPr>
        <w:t>.</w:t>
      </w:r>
    </w:p>
    <w:p w14:paraId="06E28708" w14:textId="615E0B39"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 xml:space="preserve">Under the </w:t>
      </w:r>
      <w:r w:rsidRPr="00393112">
        <w:rPr>
          <w:rFonts w:ascii="Century Gothic" w:hAnsi="Century Gothic"/>
          <w:b/>
          <w:sz w:val="20"/>
          <w:szCs w:val="20"/>
          <w:lang w:val="en-US"/>
        </w:rPr>
        <w:t>advanced approach</w:t>
      </w:r>
      <w:r w:rsidRPr="00393112">
        <w:rPr>
          <w:rFonts w:ascii="Century Gothic" w:hAnsi="Century Gothic"/>
          <w:sz w:val="20"/>
          <w:szCs w:val="20"/>
          <w:lang w:val="en-US"/>
        </w:rPr>
        <w:t xml:space="preserve"> the institution should develop internal definitions of market price liquidity</w:t>
      </w:r>
      <w:r w:rsidR="004F7CD6">
        <w:rPr>
          <w:rFonts w:ascii="Century Gothic" w:hAnsi="Century Gothic"/>
          <w:sz w:val="20"/>
          <w:szCs w:val="20"/>
          <w:lang w:val="en-US"/>
        </w:rPr>
        <w:t xml:space="preserve"> (liquidity grades)</w:t>
      </w:r>
      <w:r w:rsidRPr="00393112">
        <w:rPr>
          <w:rFonts w:ascii="Century Gothic" w:hAnsi="Century Gothic"/>
          <w:sz w:val="20"/>
          <w:szCs w:val="20"/>
          <w:lang w:val="en-US"/>
        </w:rPr>
        <w:t xml:space="preserve"> and map all valuation inputs to the market liquidity grades from 1 to 5, where:</w:t>
      </w:r>
    </w:p>
    <w:p w14:paraId="3B62EFCF" w14:textId="77777777" w:rsidR="00393112" w:rsidRPr="00393112" w:rsidRDefault="00393112" w:rsidP="0060713A">
      <w:pPr>
        <w:ind w:left="708"/>
        <w:jc w:val="both"/>
        <w:rPr>
          <w:rFonts w:ascii="Century Gothic" w:hAnsi="Century Gothic"/>
          <w:sz w:val="20"/>
          <w:szCs w:val="20"/>
          <w:lang w:val="en-US"/>
        </w:rPr>
      </w:pPr>
      <w:r w:rsidRPr="00393112">
        <w:rPr>
          <w:rFonts w:ascii="Century Gothic" w:hAnsi="Century Gothic"/>
          <w:sz w:val="20"/>
          <w:szCs w:val="20"/>
          <w:lang w:val="en-US"/>
        </w:rPr>
        <w:t>1 – very liquid</w:t>
      </w:r>
    </w:p>
    <w:p w14:paraId="5D96B0FD" w14:textId="77777777" w:rsidR="00393112" w:rsidRPr="00393112" w:rsidRDefault="00393112" w:rsidP="0060713A">
      <w:pPr>
        <w:ind w:left="708"/>
        <w:jc w:val="both"/>
        <w:rPr>
          <w:rFonts w:ascii="Century Gothic" w:hAnsi="Century Gothic"/>
          <w:sz w:val="20"/>
          <w:szCs w:val="20"/>
          <w:lang w:val="en-US"/>
        </w:rPr>
      </w:pPr>
      <w:r w:rsidRPr="00393112">
        <w:rPr>
          <w:rFonts w:ascii="Century Gothic" w:hAnsi="Century Gothic"/>
          <w:sz w:val="20"/>
          <w:szCs w:val="20"/>
          <w:lang w:val="en-US"/>
        </w:rPr>
        <w:t>2 – liquid</w:t>
      </w:r>
    </w:p>
    <w:p w14:paraId="7910BD1D" w14:textId="77777777" w:rsidR="00393112" w:rsidRPr="00393112" w:rsidRDefault="00393112" w:rsidP="0060713A">
      <w:pPr>
        <w:ind w:left="708"/>
        <w:jc w:val="both"/>
        <w:rPr>
          <w:rFonts w:ascii="Century Gothic" w:hAnsi="Century Gothic"/>
          <w:sz w:val="20"/>
          <w:szCs w:val="20"/>
          <w:lang w:val="en-US"/>
        </w:rPr>
      </w:pPr>
      <w:r w:rsidRPr="00393112">
        <w:rPr>
          <w:rFonts w:ascii="Century Gothic" w:hAnsi="Century Gothic"/>
          <w:sz w:val="20"/>
          <w:szCs w:val="20"/>
          <w:lang w:val="en-US"/>
        </w:rPr>
        <w:t>3 – less liquid</w:t>
      </w:r>
    </w:p>
    <w:p w14:paraId="1233EE42" w14:textId="77777777" w:rsidR="00393112" w:rsidRPr="00393112" w:rsidRDefault="00393112" w:rsidP="0060713A">
      <w:pPr>
        <w:ind w:left="708"/>
        <w:jc w:val="both"/>
        <w:rPr>
          <w:rFonts w:ascii="Century Gothic" w:hAnsi="Century Gothic"/>
          <w:sz w:val="20"/>
          <w:szCs w:val="20"/>
          <w:lang w:val="en-US"/>
        </w:rPr>
      </w:pPr>
      <w:r w:rsidRPr="00393112">
        <w:rPr>
          <w:rFonts w:ascii="Century Gothic" w:hAnsi="Century Gothic"/>
          <w:sz w:val="20"/>
          <w:szCs w:val="20"/>
          <w:lang w:val="en-US"/>
        </w:rPr>
        <w:t>4 – not so liquid</w:t>
      </w:r>
    </w:p>
    <w:p w14:paraId="6D482307" w14:textId="77777777" w:rsidR="00393112" w:rsidRPr="00393112" w:rsidRDefault="00393112" w:rsidP="0060713A">
      <w:pPr>
        <w:ind w:left="708"/>
        <w:jc w:val="both"/>
        <w:rPr>
          <w:rFonts w:ascii="Century Gothic" w:hAnsi="Century Gothic"/>
          <w:sz w:val="20"/>
          <w:szCs w:val="20"/>
          <w:lang w:val="en-US"/>
        </w:rPr>
      </w:pPr>
      <w:r w:rsidRPr="00393112">
        <w:rPr>
          <w:rFonts w:ascii="Century Gothic" w:hAnsi="Century Gothic"/>
          <w:sz w:val="20"/>
          <w:szCs w:val="20"/>
          <w:lang w:val="en-US"/>
        </w:rPr>
        <w:t>5 – illiquid</w:t>
      </w:r>
    </w:p>
    <w:p w14:paraId="0374C792" w14:textId="2F452CFE"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 xml:space="preserve">The definition should be constructed in a way, that valuation inputs mapped to liquidity grades 1 and 2 are representing </w:t>
      </w:r>
      <w:r w:rsidRPr="00393112">
        <w:rPr>
          <w:rFonts w:ascii="Century Gothic" w:hAnsi="Century Gothic"/>
          <w:i/>
          <w:sz w:val="20"/>
          <w:szCs w:val="20"/>
          <w:lang w:val="en-US"/>
        </w:rPr>
        <w:t>active market</w:t>
      </w:r>
      <w:r w:rsidRPr="00393112">
        <w:rPr>
          <w:rFonts w:ascii="Century Gothic" w:hAnsi="Century Gothic"/>
          <w:sz w:val="20"/>
          <w:szCs w:val="20"/>
          <w:lang w:val="en-US"/>
        </w:rPr>
        <w:t xml:space="preserve"> according to the IFRS13 term. The market price uncertainty AVA is then to be calculated as </w:t>
      </w:r>
      <w:r w:rsidR="00DE1E18">
        <w:rPr>
          <w:rFonts w:ascii="Century Gothic" w:hAnsi="Century Gothic"/>
          <w:sz w:val="20"/>
          <w:szCs w:val="20"/>
          <w:lang w:val="en-US"/>
        </w:rPr>
        <w:t xml:space="preserve">net </w:t>
      </w:r>
      <w:r w:rsidRPr="00393112">
        <w:rPr>
          <w:rFonts w:ascii="Century Gothic" w:hAnsi="Century Gothic"/>
          <w:sz w:val="20"/>
          <w:szCs w:val="20"/>
          <w:lang w:val="en-US"/>
        </w:rPr>
        <w:t>notional value of financial instrument multiplied by:</w:t>
      </w:r>
    </w:p>
    <w:p w14:paraId="3218E177" w14:textId="77777777" w:rsidR="00393112" w:rsidRP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0 – if financial instrument depends only from valuation inputs with assessed liquidity level 1 or 2</w:t>
      </w:r>
    </w:p>
    <w:p w14:paraId="7F8E5942" w14:textId="77777777" w:rsidR="00393112" w:rsidRP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lastRenderedPageBreak/>
        <w:t>10 basis points – if the lowest market liquidity class of valuation inputs which financial instrument depends from is 3 and the financial instrument is not derivative;</w:t>
      </w:r>
    </w:p>
    <w:p w14:paraId="130340AD" w14:textId="77777777" w:rsidR="00393112" w:rsidRP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1 basis point – if the lowest market liquidity class of valuation inputs, which financial instrument depends from, is 3 and the financial instrument is derivative;</w:t>
      </w:r>
    </w:p>
    <w:p w14:paraId="7ED4DE86" w14:textId="77777777" w:rsidR="00393112" w:rsidRP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50 basis points – if the lowest market liquidity class of valuation inputs, which financial instrument depends from, is 4 and the financial instrument is not derivative;</w:t>
      </w:r>
    </w:p>
    <w:p w14:paraId="4769A4EE" w14:textId="77777777" w:rsidR="00393112" w:rsidRP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5 basis points  - if the lowest market liquidity class of valuation inputs, which financial instrument depends from, is 4 and the financial instrument is derivative;</w:t>
      </w:r>
    </w:p>
    <w:p w14:paraId="3AE907AB" w14:textId="77777777" w:rsidR="00393112" w:rsidRP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100 basis points – if the lowest market liquidity class of valuation inputs, which financial instrument depends from, is 5 and the financial instrument is not derivative;</w:t>
      </w:r>
    </w:p>
    <w:p w14:paraId="18D7F05C" w14:textId="77777777" w:rsidR="00393112" w:rsidRP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10 basis points – all other instruments.</w:t>
      </w:r>
    </w:p>
    <w:p w14:paraId="0696E46F" w14:textId="77777777" w:rsidR="001C2ABC"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 xml:space="preserve">Under the </w:t>
      </w:r>
      <w:r w:rsidRPr="00393112">
        <w:rPr>
          <w:rFonts w:ascii="Century Gothic" w:hAnsi="Century Gothic"/>
          <w:b/>
          <w:sz w:val="20"/>
          <w:szCs w:val="20"/>
          <w:lang w:val="en-US"/>
        </w:rPr>
        <w:t>core approach</w:t>
      </w:r>
      <w:r w:rsidRPr="00393112">
        <w:rPr>
          <w:rFonts w:ascii="Century Gothic" w:hAnsi="Century Gothic"/>
          <w:sz w:val="20"/>
          <w:szCs w:val="20"/>
          <w:lang w:val="en-US"/>
        </w:rPr>
        <w:t xml:space="preserve"> the institution should develop internal definitions of market price liquidity and map all valuation inputs to the market liquidity grades from 1 to 5, identically to the standard approach. For each m</w:t>
      </w:r>
      <w:r w:rsidR="001C2ABC">
        <w:rPr>
          <w:rFonts w:ascii="Century Gothic" w:hAnsi="Century Gothic"/>
          <w:sz w:val="20"/>
          <w:szCs w:val="20"/>
          <w:lang w:val="en-US"/>
        </w:rPr>
        <w:t xml:space="preserve">arket liquidity class the </w:t>
      </w:r>
      <w:r w:rsidR="001C2ABC" w:rsidRPr="001C2ABC">
        <w:rPr>
          <w:rFonts w:ascii="Century Gothic" w:hAnsi="Century Gothic"/>
          <w:i/>
          <w:sz w:val="20"/>
          <w:szCs w:val="20"/>
          <w:lang w:val="en-US"/>
        </w:rPr>
        <w:t>uncertainty factor</w:t>
      </w:r>
      <w:r w:rsidRPr="00393112">
        <w:rPr>
          <w:rFonts w:ascii="Century Gothic" w:hAnsi="Century Gothic"/>
          <w:sz w:val="20"/>
          <w:szCs w:val="20"/>
          <w:lang w:val="en-US"/>
        </w:rPr>
        <w:t xml:space="preserve"> of market price should be defined based on the institution experience on the market</w:t>
      </w:r>
      <w:r w:rsidR="001C2ABC">
        <w:rPr>
          <w:rFonts w:ascii="Century Gothic" w:hAnsi="Century Gothic"/>
          <w:sz w:val="20"/>
          <w:szCs w:val="20"/>
          <w:lang w:val="en-US"/>
        </w:rPr>
        <w:t>.</w:t>
      </w:r>
    </w:p>
    <w:p w14:paraId="7ED1088C" w14:textId="5BDF2EF2" w:rsidR="001C2ABC" w:rsidRDefault="001C2ABC" w:rsidP="0060713A">
      <w:pPr>
        <w:ind w:firstLine="708"/>
        <w:jc w:val="both"/>
        <w:rPr>
          <w:rFonts w:ascii="Century Gothic" w:hAnsi="Century Gothic"/>
          <w:sz w:val="20"/>
          <w:szCs w:val="20"/>
          <w:lang w:val="en-US"/>
        </w:rPr>
      </w:pPr>
      <w:r w:rsidRPr="001C2ABC">
        <w:rPr>
          <w:rFonts w:ascii="Century Gothic" w:hAnsi="Century Gothic"/>
          <w:i/>
          <w:sz w:val="20"/>
          <w:szCs w:val="20"/>
          <w:lang w:val="en-US"/>
        </w:rPr>
        <w:t>Example</w:t>
      </w:r>
      <w:r>
        <w:rPr>
          <w:rFonts w:ascii="Century Gothic" w:hAnsi="Century Gothic"/>
          <w:sz w:val="20"/>
          <w:szCs w:val="20"/>
          <w:lang w:val="en-US"/>
        </w:rPr>
        <w:t>: interest rates in Ukraine are usually defined with exactness of 50 basis points, thus the market uncertainty factor for UAH interest rates is 50 basis points.</w:t>
      </w:r>
    </w:p>
    <w:p w14:paraId="2F2CA69B" w14:textId="5166A6D8" w:rsid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 xml:space="preserve">The respective AVA should be calculated as a sensitivity of </w:t>
      </w:r>
      <w:r w:rsidR="001C2ABC">
        <w:rPr>
          <w:rFonts w:ascii="Century Gothic" w:hAnsi="Century Gothic"/>
          <w:sz w:val="20"/>
          <w:szCs w:val="20"/>
          <w:lang w:val="en-US"/>
        </w:rPr>
        <w:t xml:space="preserve">portfolio </w:t>
      </w:r>
      <w:r w:rsidRPr="00393112">
        <w:rPr>
          <w:rFonts w:ascii="Century Gothic" w:hAnsi="Century Gothic"/>
          <w:sz w:val="20"/>
          <w:szCs w:val="20"/>
          <w:lang w:val="en-US"/>
        </w:rPr>
        <w:t>market value</w:t>
      </w:r>
      <w:r w:rsidR="00DE1E18">
        <w:rPr>
          <w:rFonts w:ascii="Century Gothic" w:hAnsi="Century Gothic"/>
          <w:sz w:val="20"/>
          <w:szCs w:val="20"/>
          <w:lang w:val="en-US"/>
        </w:rPr>
        <w:t xml:space="preserve"> to the valuation input shift </w:t>
      </w:r>
      <w:r w:rsidRPr="00393112">
        <w:rPr>
          <w:rFonts w:ascii="Century Gothic" w:hAnsi="Century Gothic"/>
          <w:sz w:val="20"/>
          <w:szCs w:val="20"/>
          <w:lang w:val="en-US"/>
        </w:rPr>
        <w:t xml:space="preserve">by the defined </w:t>
      </w:r>
      <w:r w:rsidR="001C2ABC">
        <w:rPr>
          <w:rFonts w:ascii="Century Gothic" w:hAnsi="Century Gothic"/>
          <w:sz w:val="20"/>
          <w:szCs w:val="20"/>
          <w:lang w:val="en-US"/>
        </w:rPr>
        <w:t>market uncertainty factor</w:t>
      </w:r>
      <w:r w:rsidRPr="00393112">
        <w:rPr>
          <w:rFonts w:ascii="Century Gothic" w:hAnsi="Century Gothic"/>
          <w:sz w:val="20"/>
          <w:szCs w:val="20"/>
          <w:lang w:val="en-US"/>
        </w:rPr>
        <w:t>.</w:t>
      </w:r>
      <w:r w:rsidR="00DE1E18">
        <w:rPr>
          <w:rFonts w:ascii="Century Gothic" w:hAnsi="Century Gothic"/>
          <w:sz w:val="20"/>
          <w:szCs w:val="20"/>
          <w:lang w:val="en-US"/>
        </w:rPr>
        <w:t xml:space="preserve"> The direction of shift should be </w:t>
      </w:r>
      <w:r w:rsidR="001C2ABC">
        <w:rPr>
          <w:rFonts w:ascii="Century Gothic" w:hAnsi="Century Gothic"/>
          <w:sz w:val="20"/>
          <w:szCs w:val="20"/>
          <w:lang w:val="en-US"/>
        </w:rPr>
        <w:t xml:space="preserve">the one, </w:t>
      </w:r>
      <w:r w:rsidR="00DE1E18">
        <w:rPr>
          <w:rFonts w:ascii="Century Gothic" w:hAnsi="Century Gothic"/>
          <w:sz w:val="20"/>
          <w:szCs w:val="20"/>
          <w:lang w:val="en-US"/>
        </w:rPr>
        <w:t>where the sensitivity is higher.</w:t>
      </w:r>
    </w:p>
    <w:p w14:paraId="609AB991" w14:textId="77777777" w:rsidR="00DE1E18" w:rsidRPr="00393112" w:rsidRDefault="00DE1E18" w:rsidP="0060713A">
      <w:pPr>
        <w:ind w:firstLine="708"/>
        <w:jc w:val="both"/>
        <w:rPr>
          <w:rFonts w:ascii="Century Gothic" w:hAnsi="Century Gothic"/>
          <w:sz w:val="20"/>
          <w:szCs w:val="20"/>
          <w:lang w:val="en-US"/>
        </w:rPr>
      </w:pPr>
    </w:p>
    <w:p w14:paraId="5F005017" w14:textId="77777777" w:rsidR="00393112" w:rsidRPr="00393112" w:rsidRDefault="00393112" w:rsidP="0060713A">
      <w:pPr>
        <w:ind w:firstLine="708"/>
        <w:jc w:val="both"/>
        <w:rPr>
          <w:rFonts w:ascii="Century Gothic" w:hAnsi="Century Gothic"/>
          <w:sz w:val="20"/>
          <w:szCs w:val="20"/>
          <w:lang w:val="en-US"/>
        </w:rPr>
      </w:pPr>
    </w:p>
    <w:p w14:paraId="2A0D5CA5" w14:textId="77777777" w:rsidR="00393112" w:rsidRPr="006F1663" w:rsidRDefault="00393112" w:rsidP="006F1663">
      <w:pPr>
        <w:pStyle w:val="ListParagraph"/>
        <w:ind w:left="0" w:firstLine="708"/>
        <w:jc w:val="both"/>
        <w:rPr>
          <w:rStyle w:val="Emphasis"/>
          <w:rFonts w:ascii="Futura" w:hAnsi="Futura"/>
          <w:lang w:val="en-GB"/>
        </w:rPr>
      </w:pPr>
      <w:r w:rsidRPr="006F1663">
        <w:rPr>
          <w:rStyle w:val="Emphasis"/>
          <w:rFonts w:ascii="Futura" w:hAnsi="Futura"/>
          <w:lang w:val="en-GB"/>
        </w:rPr>
        <w:t>Close out costs</w:t>
      </w:r>
    </w:p>
    <w:p w14:paraId="5DA7FB0F" w14:textId="77777777" w:rsidR="00393112" w:rsidRPr="00393112" w:rsidRDefault="00393112" w:rsidP="0060713A">
      <w:pPr>
        <w:ind w:firstLine="708"/>
        <w:jc w:val="both"/>
        <w:rPr>
          <w:rFonts w:ascii="Century Gothic" w:hAnsi="Century Gothic"/>
          <w:sz w:val="20"/>
          <w:szCs w:val="20"/>
          <w:lang w:val="en-US"/>
        </w:rPr>
      </w:pPr>
    </w:p>
    <w:p w14:paraId="1057557B" w14:textId="5A6F5895" w:rsid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Close out costs are costs which appear in case of position liquidation under the circumstances different from the normal market circumstances. In other words, close out costs appear if the liquidation of position is influencing the market price. Thus, close out costs are rele</w:t>
      </w:r>
      <w:r w:rsidR="00DE1E18">
        <w:rPr>
          <w:rFonts w:ascii="Century Gothic" w:hAnsi="Century Gothic"/>
          <w:sz w:val="20"/>
          <w:szCs w:val="20"/>
          <w:lang w:val="en-US"/>
        </w:rPr>
        <w:t>vant for concentrated positions and for position where the originally intended holding period</w:t>
      </w:r>
      <w:r w:rsidR="00BC5C52">
        <w:rPr>
          <w:rFonts w:ascii="Century Gothic" w:hAnsi="Century Gothic"/>
          <w:sz w:val="20"/>
          <w:szCs w:val="20"/>
          <w:lang w:val="en-US"/>
        </w:rPr>
        <w:t xml:space="preserve"> is exceeded.</w:t>
      </w:r>
    </w:p>
    <w:p w14:paraId="7CA63D0B" w14:textId="45B84CE8" w:rsidR="00BC5C52" w:rsidRPr="00BC5C52" w:rsidRDefault="00BC5C52" w:rsidP="0060713A">
      <w:pPr>
        <w:ind w:firstLine="708"/>
        <w:jc w:val="both"/>
        <w:rPr>
          <w:rFonts w:ascii="Century Gothic" w:hAnsi="Century Gothic"/>
          <w:sz w:val="20"/>
          <w:szCs w:val="20"/>
          <w:lang w:val="en-US"/>
        </w:rPr>
      </w:pPr>
      <w:r w:rsidRPr="00BC5C52">
        <w:rPr>
          <w:rFonts w:ascii="Century Gothic" w:hAnsi="Century Gothic"/>
          <w:i/>
          <w:sz w:val="20"/>
          <w:szCs w:val="20"/>
          <w:lang w:val="en-US"/>
        </w:rPr>
        <w:t xml:space="preserve">Explanation: </w:t>
      </w:r>
      <w:r>
        <w:rPr>
          <w:rFonts w:ascii="Century Gothic" w:hAnsi="Century Gothic"/>
          <w:sz w:val="20"/>
          <w:szCs w:val="20"/>
          <w:lang w:val="en-US"/>
        </w:rPr>
        <w:t>we differentiate between market liquidity and position liquidity. In a liquid market the position kept by the institution can be illiquid due to the concentration.</w:t>
      </w:r>
    </w:p>
    <w:p w14:paraId="0176F9CC" w14:textId="446C32B3" w:rsidR="00393112" w:rsidRPr="00393112" w:rsidRDefault="00393112" w:rsidP="0060713A">
      <w:pPr>
        <w:ind w:firstLine="708"/>
        <w:jc w:val="both"/>
        <w:rPr>
          <w:rFonts w:ascii="Century Gothic" w:hAnsi="Century Gothic"/>
          <w:sz w:val="20"/>
          <w:szCs w:val="20"/>
          <w:lang w:val="en-US"/>
        </w:rPr>
      </w:pPr>
      <w:r w:rsidRPr="00393112">
        <w:rPr>
          <w:rFonts w:ascii="Century Gothic" w:hAnsi="Century Gothic"/>
          <w:sz w:val="20"/>
          <w:szCs w:val="20"/>
          <w:lang w:val="en-US"/>
        </w:rPr>
        <w:t xml:space="preserve">Under the </w:t>
      </w:r>
      <w:r w:rsidR="00DE1E18" w:rsidRPr="00DE1E18">
        <w:rPr>
          <w:rFonts w:ascii="Century Gothic" w:hAnsi="Century Gothic"/>
          <w:b/>
          <w:sz w:val="20"/>
          <w:szCs w:val="20"/>
          <w:lang w:val="en-US"/>
        </w:rPr>
        <w:t>standard</w:t>
      </w:r>
      <w:r w:rsidRPr="00393112">
        <w:rPr>
          <w:rFonts w:ascii="Century Gothic" w:hAnsi="Century Gothic"/>
          <w:sz w:val="20"/>
          <w:szCs w:val="20"/>
          <w:lang w:val="en-US"/>
        </w:rPr>
        <w:t xml:space="preserve"> approach the close out costs AVA should be calculated as </w:t>
      </w:r>
      <w:r w:rsidR="00E36BEB">
        <w:rPr>
          <w:rFonts w:ascii="Century Gothic" w:hAnsi="Century Gothic"/>
          <w:sz w:val="20"/>
          <w:szCs w:val="20"/>
          <w:lang w:val="en-US"/>
        </w:rPr>
        <w:t xml:space="preserve">net </w:t>
      </w:r>
      <w:r w:rsidRPr="00393112">
        <w:rPr>
          <w:rFonts w:ascii="Century Gothic" w:hAnsi="Century Gothic"/>
          <w:sz w:val="20"/>
          <w:szCs w:val="20"/>
          <w:lang w:val="en-US"/>
        </w:rPr>
        <w:t>notional value of financial instrument multiplied by</w:t>
      </w:r>
    </w:p>
    <w:p w14:paraId="4C59BDBB" w14:textId="77777777" w:rsidR="00393112" w:rsidRPr="00393112" w:rsidRDefault="00393112" w:rsidP="0060713A">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100 basis points in case of non-derivative instrument</w:t>
      </w:r>
    </w:p>
    <w:p w14:paraId="29D098BC" w14:textId="77777777" w:rsidR="00393112" w:rsidRPr="00393112" w:rsidRDefault="00393112" w:rsidP="0060713A">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10 basis point in case of derivative instrument</w:t>
      </w:r>
    </w:p>
    <w:p w14:paraId="42803585" w14:textId="77777777"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 xml:space="preserve">if and only if the financial instrument is recognized in the any of groups of </w:t>
      </w:r>
      <w:r w:rsidRPr="00BC5C52">
        <w:rPr>
          <w:rFonts w:ascii="Century Gothic" w:hAnsi="Century Gothic"/>
          <w:i/>
          <w:sz w:val="20"/>
          <w:szCs w:val="20"/>
          <w:lang w:val="en-US"/>
        </w:rPr>
        <w:t>concentrated exposures</w:t>
      </w:r>
      <w:r w:rsidRPr="00393112">
        <w:rPr>
          <w:rFonts w:ascii="Century Gothic" w:hAnsi="Century Gothic"/>
          <w:sz w:val="20"/>
          <w:szCs w:val="20"/>
          <w:lang w:val="en-US"/>
        </w:rPr>
        <w:t>. The group of concentrated exposures is defined as group of financial instruments with the same customer / issuer / counterpart, where the sum of book values of such instruments exceeds 5% of institution’s equity tier 1.</w:t>
      </w:r>
    </w:p>
    <w:p w14:paraId="4B920542" w14:textId="058640EC"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 xml:space="preserve">Under the </w:t>
      </w:r>
      <w:r w:rsidRPr="009E4610">
        <w:rPr>
          <w:rFonts w:ascii="Century Gothic" w:hAnsi="Century Gothic"/>
          <w:b/>
          <w:sz w:val="20"/>
          <w:szCs w:val="20"/>
          <w:lang w:val="en-US"/>
        </w:rPr>
        <w:t>advanced</w:t>
      </w:r>
      <w:r w:rsidRPr="00393112">
        <w:rPr>
          <w:rFonts w:ascii="Century Gothic" w:hAnsi="Century Gothic"/>
          <w:sz w:val="20"/>
          <w:szCs w:val="20"/>
          <w:lang w:val="en-US"/>
        </w:rPr>
        <w:t xml:space="preserve"> approach the institution should define the concentration from the credit risk prospective and allocate financial instruments to one of the categories:</w:t>
      </w:r>
    </w:p>
    <w:p w14:paraId="3BE09BEE" w14:textId="3084F891"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 xml:space="preserve">1 – </w:t>
      </w:r>
      <w:r w:rsidR="00E36BEB">
        <w:rPr>
          <w:rFonts w:ascii="Century Gothic" w:hAnsi="Century Gothic"/>
          <w:sz w:val="20"/>
          <w:szCs w:val="20"/>
          <w:lang w:val="en-US"/>
        </w:rPr>
        <w:t xml:space="preserve">position can be liquidated </w:t>
      </w:r>
      <w:r w:rsidR="00BC5C52">
        <w:rPr>
          <w:rFonts w:ascii="Century Gothic" w:hAnsi="Century Gothic"/>
          <w:sz w:val="20"/>
          <w:szCs w:val="20"/>
          <w:lang w:val="en-US"/>
        </w:rPr>
        <w:t>within</w:t>
      </w:r>
      <w:r w:rsidR="00E36BEB">
        <w:rPr>
          <w:rFonts w:ascii="Century Gothic" w:hAnsi="Century Gothic"/>
          <w:sz w:val="20"/>
          <w:szCs w:val="20"/>
          <w:lang w:val="en-US"/>
        </w:rPr>
        <w:t xml:space="preserve"> 5 working days</w:t>
      </w:r>
    </w:p>
    <w:p w14:paraId="5108A235" w14:textId="27AF63BA" w:rsidR="00E36BEB"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 xml:space="preserve">2 – </w:t>
      </w:r>
      <w:r w:rsidR="00E36BEB">
        <w:rPr>
          <w:rFonts w:ascii="Century Gothic" w:hAnsi="Century Gothic"/>
          <w:sz w:val="20"/>
          <w:szCs w:val="20"/>
          <w:lang w:val="en-US"/>
        </w:rPr>
        <w:t xml:space="preserve">position can be liquidated </w:t>
      </w:r>
      <w:r w:rsidR="00BC5C52">
        <w:rPr>
          <w:rFonts w:ascii="Century Gothic" w:hAnsi="Century Gothic"/>
          <w:sz w:val="20"/>
          <w:szCs w:val="20"/>
          <w:lang w:val="en-US"/>
        </w:rPr>
        <w:t xml:space="preserve">within </w:t>
      </w:r>
      <w:r w:rsidR="00E36BEB">
        <w:rPr>
          <w:rFonts w:ascii="Century Gothic" w:hAnsi="Century Gothic"/>
          <w:sz w:val="20"/>
          <w:szCs w:val="20"/>
          <w:lang w:val="en-US"/>
        </w:rPr>
        <w:t>20 working days</w:t>
      </w:r>
    </w:p>
    <w:p w14:paraId="27A65ED7" w14:textId="18A9C80C" w:rsidR="00393112" w:rsidRDefault="00E36BEB" w:rsidP="0060713A">
      <w:pPr>
        <w:jc w:val="both"/>
        <w:rPr>
          <w:rFonts w:ascii="Century Gothic" w:hAnsi="Century Gothic"/>
          <w:sz w:val="20"/>
          <w:szCs w:val="20"/>
          <w:lang w:val="en-US"/>
        </w:rPr>
      </w:pPr>
      <w:r>
        <w:rPr>
          <w:rFonts w:ascii="Century Gothic" w:hAnsi="Century Gothic"/>
          <w:sz w:val="20"/>
          <w:szCs w:val="20"/>
          <w:lang w:val="en-US"/>
        </w:rPr>
        <w:tab/>
        <w:t>3 – more than 20 working days are needed for the liquidation of position.</w:t>
      </w:r>
    </w:p>
    <w:p w14:paraId="09AD06D9" w14:textId="0A75502A" w:rsidR="00E36BEB" w:rsidRPr="00393112" w:rsidRDefault="00E36BEB" w:rsidP="00E36BEB">
      <w:pPr>
        <w:ind w:firstLine="708"/>
        <w:jc w:val="both"/>
        <w:rPr>
          <w:rFonts w:ascii="Century Gothic" w:hAnsi="Century Gothic"/>
          <w:sz w:val="20"/>
          <w:szCs w:val="20"/>
          <w:lang w:val="en-US"/>
        </w:rPr>
      </w:pPr>
      <w:r>
        <w:rPr>
          <w:rFonts w:ascii="Century Gothic" w:hAnsi="Century Gothic"/>
          <w:sz w:val="20"/>
          <w:szCs w:val="20"/>
          <w:lang w:val="en-US"/>
        </w:rPr>
        <w:t xml:space="preserve">The AVA should be calculated as net </w:t>
      </w:r>
      <w:r w:rsidRPr="00393112">
        <w:rPr>
          <w:rFonts w:ascii="Century Gothic" w:hAnsi="Century Gothic"/>
          <w:sz w:val="20"/>
          <w:szCs w:val="20"/>
          <w:lang w:val="en-US"/>
        </w:rPr>
        <w:t>notional value of financial instrument multiplied by</w:t>
      </w:r>
    </w:p>
    <w:p w14:paraId="4DEC579F" w14:textId="40CB172E" w:rsidR="00E36BEB" w:rsidRPr="00393112" w:rsidRDefault="00E36BEB" w:rsidP="00E36BEB">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5</w:t>
      </w:r>
      <w:r w:rsidRPr="00393112">
        <w:rPr>
          <w:rFonts w:ascii="Century Gothic" w:hAnsi="Century Gothic"/>
          <w:sz w:val="20"/>
          <w:szCs w:val="20"/>
          <w:lang w:val="en-US"/>
        </w:rPr>
        <w:t xml:space="preserve"> basis points in case of non-derivative instrument</w:t>
      </w:r>
      <w:r>
        <w:rPr>
          <w:rFonts w:ascii="Century Gothic" w:hAnsi="Century Gothic"/>
          <w:sz w:val="20"/>
          <w:szCs w:val="20"/>
          <w:lang w:val="en-US"/>
        </w:rPr>
        <w:t xml:space="preserve"> from the 1</w:t>
      </w:r>
      <w:r w:rsidRPr="00E36BEB">
        <w:rPr>
          <w:rFonts w:ascii="Century Gothic" w:hAnsi="Century Gothic"/>
          <w:sz w:val="20"/>
          <w:szCs w:val="20"/>
          <w:vertAlign w:val="superscript"/>
          <w:lang w:val="en-US"/>
        </w:rPr>
        <w:t>st</w:t>
      </w:r>
      <w:r>
        <w:rPr>
          <w:rFonts w:ascii="Century Gothic" w:hAnsi="Century Gothic"/>
          <w:sz w:val="20"/>
          <w:szCs w:val="20"/>
          <w:lang w:val="en-US"/>
        </w:rPr>
        <w:t xml:space="preserve"> category;</w:t>
      </w:r>
    </w:p>
    <w:p w14:paraId="7EEA4FB7" w14:textId="58736213" w:rsidR="00E36BEB" w:rsidRDefault="00E36BEB" w:rsidP="00E36BEB">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 basis point in case of derivative instrument</w:t>
      </w:r>
      <w:r>
        <w:rPr>
          <w:rFonts w:ascii="Century Gothic" w:hAnsi="Century Gothic"/>
          <w:sz w:val="20"/>
          <w:szCs w:val="20"/>
          <w:lang w:val="en-US"/>
        </w:rPr>
        <w:t xml:space="preserve"> from the 1</w:t>
      </w:r>
      <w:r w:rsidRPr="00E36BEB">
        <w:rPr>
          <w:rFonts w:ascii="Century Gothic" w:hAnsi="Century Gothic"/>
          <w:sz w:val="20"/>
          <w:szCs w:val="20"/>
          <w:vertAlign w:val="superscript"/>
          <w:lang w:val="en-US"/>
        </w:rPr>
        <w:t>st</w:t>
      </w:r>
      <w:r>
        <w:rPr>
          <w:rFonts w:ascii="Century Gothic" w:hAnsi="Century Gothic"/>
          <w:sz w:val="20"/>
          <w:szCs w:val="20"/>
          <w:lang w:val="en-US"/>
        </w:rPr>
        <w:t xml:space="preserve"> category;</w:t>
      </w:r>
    </w:p>
    <w:p w14:paraId="42E7EB54" w14:textId="0823845D" w:rsidR="00E36BEB" w:rsidRPr="00393112" w:rsidRDefault="00E36BEB" w:rsidP="00E36BEB">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10</w:t>
      </w:r>
      <w:r w:rsidRPr="00393112">
        <w:rPr>
          <w:rFonts w:ascii="Century Gothic" w:hAnsi="Century Gothic"/>
          <w:sz w:val="20"/>
          <w:szCs w:val="20"/>
          <w:lang w:val="en-US"/>
        </w:rPr>
        <w:t xml:space="preserve"> basis points in case of non-derivative instrument</w:t>
      </w:r>
      <w:r>
        <w:rPr>
          <w:rFonts w:ascii="Century Gothic" w:hAnsi="Century Gothic"/>
          <w:sz w:val="20"/>
          <w:szCs w:val="20"/>
          <w:lang w:val="en-US"/>
        </w:rPr>
        <w:t xml:space="preserve"> from the 2</w:t>
      </w:r>
      <w:r w:rsidRPr="00E36BEB">
        <w:rPr>
          <w:rFonts w:ascii="Century Gothic" w:hAnsi="Century Gothic"/>
          <w:sz w:val="20"/>
          <w:szCs w:val="20"/>
          <w:vertAlign w:val="superscript"/>
          <w:lang w:val="en-US"/>
        </w:rPr>
        <w:t>nd</w:t>
      </w:r>
      <w:r>
        <w:rPr>
          <w:rFonts w:ascii="Century Gothic" w:hAnsi="Century Gothic"/>
          <w:sz w:val="20"/>
          <w:szCs w:val="20"/>
          <w:lang w:val="en-US"/>
        </w:rPr>
        <w:t xml:space="preserve"> category;</w:t>
      </w:r>
    </w:p>
    <w:p w14:paraId="563BDDF7" w14:textId="35889490" w:rsidR="00E36BEB" w:rsidRDefault="00E36BEB" w:rsidP="00E36BEB">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5</w:t>
      </w:r>
      <w:r w:rsidRPr="00393112">
        <w:rPr>
          <w:rFonts w:ascii="Century Gothic" w:hAnsi="Century Gothic"/>
          <w:sz w:val="20"/>
          <w:szCs w:val="20"/>
          <w:lang w:val="en-US"/>
        </w:rPr>
        <w:t xml:space="preserve"> basis point in case of derivative instrument</w:t>
      </w:r>
      <w:r>
        <w:rPr>
          <w:rFonts w:ascii="Century Gothic" w:hAnsi="Century Gothic"/>
          <w:sz w:val="20"/>
          <w:szCs w:val="20"/>
          <w:lang w:val="en-US"/>
        </w:rPr>
        <w:t xml:space="preserve"> from the 2</w:t>
      </w:r>
      <w:r w:rsidRPr="00E36BEB">
        <w:rPr>
          <w:rFonts w:ascii="Century Gothic" w:hAnsi="Century Gothic"/>
          <w:sz w:val="20"/>
          <w:szCs w:val="20"/>
          <w:vertAlign w:val="superscript"/>
          <w:lang w:val="en-US"/>
        </w:rPr>
        <w:t>nd</w:t>
      </w:r>
      <w:r>
        <w:rPr>
          <w:rFonts w:ascii="Century Gothic" w:hAnsi="Century Gothic"/>
          <w:sz w:val="20"/>
          <w:szCs w:val="20"/>
          <w:lang w:val="en-US"/>
        </w:rPr>
        <w:t xml:space="preserve"> category;</w:t>
      </w:r>
    </w:p>
    <w:p w14:paraId="7442F06B" w14:textId="182542EB" w:rsidR="00E36BEB" w:rsidRPr="00393112" w:rsidRDefault="00E36BEB" w:rsidP="00E36BEB">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100</w:t>
      </w:r>
      <w:r w:rsidRPr="00393112">
        <w:rPr>
          <w:rFonts w:ascii="Century Gothic" w:hAnsi="Century Gothic"/>
          <w:sz w:val="20"/>
          <w:szCs w:val="20"/>
          <w:lang w:val="en-US"/>
        </w:rPr>
        <w:t xml:space="preserve"> basis points in case of non-derivative instrument</w:t>
      </w:r>
      <w:r>
        <w:rPr>
          <w:rFonts w:ascii="Century Gothic" w:hAnsi="Century Gothic"/>
          <w:sz w:val="20"/>
          <w:szCs w:val="20"/>
          <w:lang w:val="en-US"/>
        </w:rPr>
        <w:t xml:space="preserve"> from the 3</w:t>
      </w:r>
      <w:r w:rsidRPr="00E36BEB">
        <w:rPr>
          <w:rFonts w:ascii="Century Gothic" w:hAnsi="Century Gothic"/>
          <w:sz w:val="20"/>
          <w:szCs w:val="20"/>
          <w:vertAlign w:val="superscript"/>
          <w:lang w:val="en-US"/>
        </w:rPr>
        <w:t>rd</w:t>
      </w:r>
      <w:r>
        <w:rPr>
          <w:rFonts w:ascii="Century Gothic" w:hAnsi="Century Gothic"/>
          <w:sz w:val="20"/>
          <w:szCs w:val="20"/>
          <w:lang w:val="en-US"/>
        </w:rPr>
        <w:t xml:space="preserve"> category;</w:t>
      </w:r>
    </w:p>
    <w:p w14:paraId="4A451CEC" w14:textId="6B8E3A38" w:rsidR="00E36BEB" w:rsidRDefault="00E36BEB" w:rsidP="00E36BEB">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10</w:t>
      </w:r>
      <w:r w:rsidRPr="00393112">
        <w:rPr>
          <w:rFonts w:ascii="Century Gothic" w:hAnsi="Century Gothic"/>
          <w:sz w:val="20"/>
          <w:szCs w:val="20"/>
          <w:lang w:val="en-US"/>
        </w:rPr>
        <w:t xml:space="preserve"> basis point in case of derivative instrument</w:t>
      </w:r>
      <w:r>
        <w:rPr>
          <w:rFonts w:ascii="Century Gothic" w:hAnsi="Century Gothic"/>
          <w:sz w:val="20"/>
          <w:szCs w:val="20"/>
          <w:lang w:val="en-US"/>
        </w:rPr>
        <w:t xml:space="preserve"> from the 3rd category.</w:t>
      </w:r>
    </w:p>
    <w:p w14:paraId="3571D892" w14:textId="48E471F6" w:rsidR="00E36BEB" w:rsidRPr="00E36BEB" w:rsidRDefault="00E36BEB" w:rsidP="00E36BEB">
      <w:pPr>
        <w:pStyle w:val="ListParagraph"/>
        <w:ind w:left="0" w:firstLine="708"/>
        <w:jc w:val="both"/>
        <w:rPr>
          <w:rFonts w:ascii="Century Gothic" w:hAnsi="Century Gothic"/>
          <w:sz w:val="20"/>
          <w:szCs w:val="20"/>
          <w:lang w:val="en-US"/>
        </w:rPr>
      </w:pPr>
      <w:r>
        <w:rPr>
          <w:rFonts w:ascii="Century Gothic" w:hAnsi="Century Gothic"/>
          <w:sz w:val="20"/>
          <w:szCs w:val="20"/>
          <w:lang w:val="en-US"/>
        </w:rPr>
        <w:t xml:space="preserve">Under the </w:t>
      </w:r>
      <w:r w:rsidRPr="00E36BEB">
        <w:rPr>
          <w:rFonts w:ascii="Century Gothic" w:hAnsi="Century Gothic"/>
          <w:b/>
          <w:sz w:val="20"/>
          <w:szCs w:val="20"/>
          <w:lang w:val="en-US"/>
        </w:rPr>
        <w:t>core</w:t>
      </w:r>
      <w:r>
        <w:rPr>
          <w:rFonts w:ascii="Century Gothic" w:hAnsi="Century Gothic"/>
          <w:sz w:val="20"/>
          <w:szCs w:val="20"/>
          <w:lang w:val="en-US"/>
        </w:rPr>
        <w:t xml:space="preserve"> approach the institution should allocate all concentrated positions into the groups according the number of days needed for the position liquidation and calculate respective valuation adjustment as a Liquidity Value-at-Risk for the respective liquidation period.</w:t>
      </w:r>
    </w:p>
    <w:p w14:paraId="05E1DBAA" w14:textId="602861D6" w:rsidR="00E36BEB" w:rsidRDefault="00E36BEB" w:rsidP="0060713A">
      <w:pPr>
        <w:jc w:val="both"/>
        <w:rPr>
          <w:rFonts w:ascii="Century Gothic" w:hAnsi="Century Gothic"/>
          <w:sz w:val="20"/>
          <w:szCs w:val="20"/>
          <w:lang w:val="en-US"/>
        </w:rPr>
      </w:pPr>
    </w:p>
    <w:p w14:paraId="0E1DE38F" w14:textId="0BFB6DD0" w:rsidR="00E36BEB" w:rsidRPr="00393112" w:rsidRDefault="00E36BEB" w:rsidP="0060713A">
      <w:pPr>
        <w:jc w:val="both"/>
        <w:rPr>
          <w:rFonts w:ascii="Century Gothic" w:hAnsi="Century Gothic"/>
          <w:sz w:val="20"/>
          <w:szCs w:val="20"/>
          <w:lang w:val="en-US"/>
        </w:rPr>
      </w:pPr>
      <w:r>
        <w:rPr>
          <w:rFonts w:ascii="Century Gothic" w:hAnsi="Century Gothic"/>
          <w:sz w:val="20"/>
          <w:szCs w:val="20"/>
          <w:lang w:val="en-US"/>
        </w:rPr>
        <w:lastRenderedPageBreak/>
        <w:tab/>
      </w:r>
    </w:p>
    <w:p w14:paraId="3491212B" w14:textId="77777777" w:rsidR="00393112" w:rsidRPr="00393112" w:rsidRDefault="00393112" w:rsidP="0060713A">
      <w:pPr>
        <w:jc w:val="both"/>
        <w:rPr>
          <w:rFonts w:ascii="Century Gothic" w:hAnsi="Century Gothic"/>
          <w:sz w:val="20"/>
          <w:szCs w:val="20"/>
          <w:lang w:val="en-US"/>
        </w:rPr>
      </w:pPr>
    </w:p>
    <w:p w14:paraId="3EB237E7" w14:textId="77777777" w:rsidR="00393112" w:rsidRPr="00393112" w:rsidRDefault="00393112" w:rsidP="0060713A">
      <w:pPr>
        <w:jc w:val="both"/>
        <w:rPr>
          <w:rFonts w:ascii="Century Gothic" w:hAnsi="Century Gothic"/>
          <w:sz w:val="20"/>
          <w:szCs w:val="20"/>
          <w:lang w:val="en-US"/>
        </w:rPr>
      </w:pPr>
    </w:p>
    <w:p w14:paraId="5617651E" w14:textId="171F117E" w:rsidR="00393112" w:rsidRPr="006F1663" w:rsidRDefault="00393112" w:rsidP="006F1663">
      <w:pPr>
        <w:pStyle w:val="ListParagraph"/>
        <w:ind w:left="0" w:firstLine="708"/>
        <w:jc w:val="both"/>
        <w:rPr>
          <w:rStyle w:val="Emphasis"/>
          <w:rFonts w:ascii="Futura" w:hAnsi="Futura"/>
          <w:lang w:val="en-GB"/>
        </w:rPr>
      </w:pPr>
      <w:r w:rsidRPr="006F1663">
        <w:rPr>
          <w:rStyle w:val="Emphasis"/>
          <w:rFonts w:ascii="Futura" w:hAnsi="Futura"/>
          <w:lang w:val="en-GB"/>
        </w:rPr>
        <w:t>Unearned credit spread</w:t>
      </w:r>
    </w:p>
    <w:p w14:paraId="5A8F25AF" w14:textId="77777777" w:rsidR="00393112" w:rsidRPr="00393112" w:rsidRDefault="00393112" w:rsidP="0060713A">
      <w:pPr>
        <w:jc w:val="both"/>
        <w:rPr>
          <w:rFonts w:ascii="Century Gothic" w:hAnsi="Century Gothic"/>
          <w:sz w:val="20"/>
          <w:szCs w:val="20"/>
          <w:lang w:val="en-US"/>
        </w:rPr>
      </w:pPr>
    </w:p>
    <w:p w14:paraId="40A59918" w14:textId="26B82362"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Unearned credit spread reflects the possibility of losses because the counterpart fail</w:t>
      </w:r>
      <w:r w:rsidR="00EA554F">
        <w:rPr>
          <w:rFonts w:ascii="Century Gothic" w:hAnsi="Century Gothic"/>
          <w:sz w:val="20"/>
          <w:szCs w:val="20"/>
          <w:lang w:val="en-US"/>
        </w:rPr>
        <w:t>s</w:t>
      </w:r>
      <w:r w:rsidRPr="00393112">
        <w:rPr>
          <w:rFonts w:ascii="Century Gothic" w:hAnsi="Century Gothic"/>
          <w:sz w:val="20"/>
          <w:szCs w:val="20"/>
          <w:lang w:val="en-US"/>
        </w:rPr>
        <w:t xml:space="preserve"> to execute its payment obligations and is </w:t>
      </w:r>
      <w:r w:rsidR="00EA554F">
        <w:rPr>
          <w:rFonts w:ascii="Century Gothic" w:hAnsi="Century Gothic"/>
          <w:sz w:val="20"/>
          <w:szCs w:val="20"/>
          <w:lang w:val="en-US"/>
        </w:rPr>
        <w:t>applied to</w:t>
      </w:r>
      <w:r w:rsidRPr="00393112">
        <w:rPr>
          <w:rFonts w:ascii="Century Gothic" w:hAnsi="Century Gothic"/>
          <w:sz w:val="20"/>
          <w:szCs w:val="20"/>
          <w:lang w:val="en-US"/>
        </w:rPr>
        <w:t xml:space="preserve"> derivatives transactions. This risk is reflected by the institution in the Credit Value Adjustment  (CVA). The CVA calculation bears market price uncertainty risk, thus AVA connected with unearned credit spread should be defined in the same manner as AVA for market price uncertainty and using the same approaches.</w:t>
      </w:r>
    </w:p>
    <w:p w14:paraId="2BEF047D" w14:textId="77777777" w:rsidR="00393112" w:rsidRDefault="00393112" w:rsidP="0060713A">
      <w:pPr>
        <w:jc w:val="both"/>
        <w:rPr>
          <w:rFonts w:ascii="Century Gothic" w:hAnsi="Century Gothic"/>
          <w:sz w:val="20"/>
          <w:szCs w:val="20"/>
          <w:lang w:val="en-US"/>
        </w:rPr>
      </w:pPr>
    </w:p>
    <w:p w14:paraId="14CD574C" w14:textId="77777777" w:rsidR="00D64CF7" w:rsidRPr="00393112" w:rsidRDefault="00D64CF7" w:rsidP="0060713A">
      <w:pPr>
        <w:jc w:val="both"/>
        <w:rPr>
          <w:rFonts w:ascii="Century Gothic" w:hAnsi="Century Gothic"/>
          <w:sz w:val="20"/>
          <w:szCs w:val="20"/>
          <w:lang w:val="en-US"/>
        </w:rPr>
      </w:pPr>
    </w:p>
    <w:p w14:paraId="0B8BEFED" w14:textId="6C4B7811" w:rsidR="00393112" w:rsidRPr="00393112" w:rsidRDefault="00393112" w:rsidP="006F1663">
      <w:pPr>
        <w:pStyle w:val="ListParagraph"/>
        <w:ind w:left="0" w:firstLine="708"/>
        <w:jc w:val="both"/>
        <w:rPr>
          <w:rFonts w:ascii="Century Gothic" w:hAnsi="Century Gothic"/>
          <w:sz w:val="20"/>
          <w:szCs w:val="20"/>
          <w:lang w:val="en-US"/>
        </w:rPr>
      </w:pPr>
      <w:r w:rsidRPr="006F1663">
        <w:rPr>
          <w:rStyle w:val="Emphasis"/>
          <w:rFonts w:ascii="Futura" w:hAnsi="Futura"/>
          <w:lang w:val="en-GB"/>
        </w:rPr>
        <w:t>Model risk</w:t>
      </w:r>
    </w:p>
    <w:p w14:paraId="128019A3" w14:textId="77777777" w:rsidR="00393112" w:rsidRPr="00393112" w:rsidRDefault="00393112" w:rsidP="0060713A">
      <w:pPr>
        <w:jc w:val="both"/>
        <w:rPr>
          <w:rFonts w:ascii="Century Gothic" w:hAnsi="Century Gothic"/>
          <w:sz w:val="20"/>
          <w:szCs w:val="20"/>
          <w:lang w:val="en-US"/>
        </w:rPr>
      </w:pPr>
    </w:p>
    <w:p w14:paraId="57644114" w14:textId="0132343B"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 xml:space="preserve">Model risk is the risk of losses due to incorrect valuation caused by wrongly used or wrongly calibrated valuation model. Model risk is increasing with a complexity of product and therefore should be identified depending from the </w:t>
      </w:r>
      <w:r w:rsidR="00EA554F">
        <w:rPr>
          <w:rFonts w:ascii="Century Gothic" w:hAnsi="Century Gothic"/>
          <w:sz w:val="20"/>
          <w:szCs w:val="20"/>
          <w:lang w:val="en-US"/>
        </w:rPr>
        <w:t xml:space="preserve">product </w:t>
      </w:r>
      <w:r w:rsidRPr="00393112">
        <w:rPr>
          <w:rFonts w:ascii="Century Gothic" w:hAnsi="Century Gothic"/>
          <w:sz w:val="20"/>
          <w:szCs w:val="20"/>
          <w:lang w:val="en-US"/>
        </w:rPr>
        <w:t>complexity.</w:t>
      </w:r>
    </w:p>
    <w:p w14:paraId="3C218551" w14:textId="6E0541C8"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 xml:space="preserve">Under the </w:t>
      </w:r>
      <w:r w:rsidR="009E4610" w:rsidRPr="009E4610">
        <w:rPr>
          <w:rFonts w:ascii="Century Gothic" w:hAnsi="Century Gothic"/>
          <w:b/>
          <w:sz w:val="20"/>
          <w:szCs w:val="20"/>
          <w:lang w:val="en-US"/>
        </w:rPr>
        <w:t>standard</w:t>
      </w:r>
      <w:r w:rsidRPr="00393112">
        <w:rPr>
          <w:rFonts w:ascii="Century Gothic" w:hAnsi="Century Gothic"/>
          <w:sz w:val="20"/>
          <w:szCs w:val="20"/>
          <w:lang w:val="en-US"/>
        </w:rPr>
        <w:t xml:space="preserve"> approach the institution should calculate model risk AVA as </w:t>
      </w:r>
      <w:r w:rsidR="009E4610">
        <w:rPr>
          <w:rFonts w:ascii="Century Gothic" w:hAnsi="Century Gothic"/>
          <w:sz w:val="20"/>
          <w:szCs w:val="20"/>
          <w:lang w:val="en-US"/>
        </w:rPr>
        <w:t xml:space="preserve">net </w:t>
      </w:r>
      <w:r w:rsidRPr="00393112">
        <w:rPr>
          <w:rFonts w:ascii="Century Gothic" w:hAnsi="Century Gothic"/>
          <w:sz w:val="20"/>
          <w:szCs w:val="20"/>
          <w:lang w:val="en-US"/>
        </w:rPr>
        <w:t>notional value of financial instruments multiplied with</w:t>
      </w:r>
    </w:p>
    <w:p w14:paraId="6D04413A" w14:textId="77777777" w:rsidR="00393112" w:rsidRPr="00393112" w:rsidRDefault="00393112" w:rsidP="0060713A">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100 basis points in case of non-derivative instrument</w:t>
      </w:r>
    </w:p>
    <w:p w14:paraId="57472EE0" w14:textId="77777777" w:rsidR="00393112" w:rsidRPr="00393112" w:rsidRDefault="00393112" w:rsidP="0060713A">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10 basis point in case of derivative instrument</w:t>
      </w:r>
    </w:p>
    <w:p w14:paraId="60DE3B4A" w14:textId="77777777"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if and only of the respective instrument is priced using the valuation model and is allocated to complex products according to MiFiD classification</w:t>
      </w:r>
      <w:r w:rsidRPr="00393112">
        <w:rPr>
          <w:rStyle w:val="FootnoteReference"/>
          <w:rFonts w:ascii="Century Gothic" w:hAnsi="Century Gothic"/>
          <w:sz w:val="20"/>
          <w:szCs w:val="20"/>
          <w:lang w:val="en-US"/>
        </w:rPr>
        <w:footnoteReference w:id="2"/>
      </w:r>
      <w:r w:rsidRPr="00393112">
        <w:rPr>
          <w:rFonts w:ascii="Century Gothic" w:hAnsi="Century Gothic"/>
          <w:sz w:val="20"/>
          <w:szCs w:val="20"/>
          <w:lang w:val="en-US"/>
        </w:rPr>
        <w:t>.</w:t>
      </w:r>
    </w:p>
    <w:p w14:paraId="25832E03" w14:textId="6E0CC04B"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 xml:space="preserve">Under the </w:t>
      </w:r>
      <w:r w:rsidRPr="009E4610">
        <w:rPr>
          <w:rFonts w:ascii="Century Gothic" w:hAnsi="Century Gothic"/>
          <w:b/>
          <w:sz w:val="20"/>
          <w:szCs w:val="20"/>
          <w:lang w:val="en-US"/>
        </w:rPr>
        <w:t>advanced</w:t>
      </w:r>
      <w:r w:rsidRPr="00393112">
        <w:rPr>
          <w:rFonts w:ascii="Century Gothic" w:hAnsi="Century Gothic"/>
          <w:sz w:val="20"/>
          <w:szCs w:val="20"/>
          <w:lang w:val="en-US"/>
        </w:rPr>
        <w:t xml:space="preserve"> approach the </w:t>
      </w:r>
      <w:r w:rsidR="009E4610">
        <w:rPr>
          <w:rFonts w:ascii="Century Gothic" w:hAnsi="Century Gothic"/>
          <w:sz w:val="20"/>
          <w:szCs w:val="20"/>
          <w:lang w:val="en-US"/>
        </w:rPr>
        <w:t xml:space="preserve">institution </w:t>
      </w:r>
      <w:r w:rsidRPr="00393112">
        <w:rPr>
          <w:rFonts w:ascii="Century Gothic" w:hAnsi="Century Gothic"/>
          <w:sz w:val="20"/>
          <w:szCs w:val="20"/>
          <w:lang w:val="en-US"/>
        </w:rPr>
        <w:t xml:space="preserve">should categorize </w:t>
      </w:r>
      <w:r w:rsidR="00EA554F">
        <w:rPr>
          <w:rFonts w:ascii="Century Gothic" w:hAnsi="Century Gothic"/>
          <w:sz w:val="20"/>
          <w:szCs w:val="20"/>
          <w:lang w:val="en-US"/>
        </w:rPr>
        <w:t>into following froups</w:t>
      </w:r>
      <w:r w:rsidRPr="00393112">
        <w:rPr>
          <w:rFonts w:ascii="Century Gothic" w:hAnsi="Century Gothic"/>
          <w:sz w:val="20"/>
          <w:szCs w:val="20"/>
          <w:lang w:val="en-US"/>
        </w:rPr>
        <w:t>:</w:t>
      </w:r>
    </w:p>
    <w:p w14:paraId="020F5204" w14:textId="77777777" w:rsidR="00393112" w:rsidRPr="00393112" w:rsidRDefault="00393112" w:rsidP="0060713A">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non-complex valuation models with fixed parameters</w:t>
      </w:r>
    </w:p>
    <w:p w14:paraId="7A39ECF6" w14:textId="69968EF0" w:rsidR="00EA554F" w:rsidRPr="00EA554F" w:rsidRDefault="00393112" w:rsidP="00EA554F">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complex valuation models wit</w:t>
      </w:r>
      <w:r w:rsidR="00EA554F">
        <w:rPr>
          <w:rFonts w:ascii="Century Gothic" w:hAnsi="Century Gothic"/>
          <w:sz w:val="20"/>
          <w:szCs w:val="20"/>
          <w:lang w:val="en-US"/>
        </w:rPr>
        <w:t>h</w:t>
      </w:r>
      <w:r w:rsidRPr="00393112">
        <w:rPr>
          <w:rFonts w:ascii="Century Gothic" w:hAnsi="Century Gothic"/>
          <w:sz w:val="20"/>
          <w:szCs w:val="20"/>
          <w:lang w:val="en-US"/>
        </w:rPr>
        <w:t xml:space="preserve"> fixed parameters</w:t>
      </w:r>
    </w:p>
    <w:p w14:paraId="02492C60" w14:textId="4FF68273" w:rsidR="00393112" w:rsidRPr="00393112" w:rsidRDefault="00393112" w:rsidP="0060713A">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complex valuation models with</w:t>
      </w:r>
      <w:r w:rsidR="00EA554F">
        <w:rPr>
          <w:rFonts w:ascii="Century Gothic" w:hAnsi="Century Gothic"/>
          <w:sz w:val="20"/>
          <w:szCs w:val="20"/>
          <w:lang w:val="en-US"/>
        </w:rPr>
        <w:t>out</w:t>
      </w:r>
      <w:r w:rsidRPr="00393112">
        <w:rPr>
          <w:rFonts w:ascii="Century Gothic" w:hAnsi="Century Gothic"/>
          <w:sz w:val="20"/>
          <w:szCs w:val="20"/>
          <w:lang w:val="en-US"/>
        </w:rPr>
        <w:t xml:space="preserve"> fixed parameters.</w:t>
      </w:r>
    </w:p>
    <w:p w14:paraId="44A8CFE4" w14:textId="63E0E2F0" w:rsidR="009E4610" w:rsidRPr="00393112" w:rsidRDefault="00393112" w:rsidP="009E4610">
      <w:pPr>
        <w:jc w:val="both"/>
        <w:rPr>
          <w:rFonts w:ascii="Century Gothic" w:hAnsi="Century Gothic"/>
          <w:sz w:val="20"/>
          <w:szCs w:val="20"/>
          <w:lang w:val="en-US"/>
        </w:rPr>
      </w:pPr>
      <w:r w:rsidRPr="00393112">
        <w:rPr>
          <w:rFonts w:ascii="Century Gothic" w:hAnsi="Century Gothic"/>
          <w:sz w:val="20"/>
          <w:szCs w:val="20"/>
          <w:lang w:val="en-US"/>
        </w:rPr>
        <w:t xml:space="preserve">For all </w:t>
      </w:r>
      <w:r w:rsidR="009E4610">
        <w:rPr>
          <w:rFonts w:ascii="Century Gothic" w:hAnsi="Century Gothic"/>
          <w:sz w:val="20"/>
          <w:szCs w:val="20"/>
          <w:lang w:val="en-US"/>
        </w:rPr>
        <w:t xml:space="preserve">portfolios of </w:t>
      </w:r>
      <w:r w:rsidRPr="00393112">
        <w:rPr>
          <w:rFonts w:ascii="Century Gothic" w:hAnsi="Century Gothic"/>
          <w:sz w:val="20"/>
          <w:szCs w:val="20"/>
          <w:lang w:val="en-US"/>
        </w:rPr>
        <w:t>products measured with models with fixed parameters the price of model parameter change by 1 b</w:t>
      </w:r>
      <w:r w:rsidR="009E4610">
        <w:rPr>
          <w:rFonts w:ascii="Century Gothic" w:hAnsi="Century Gothic"/>
          <w:sz w:val="20"/>
          <w:szCs w:val="20"/>
          <w:lang w:val="en-US"/>
        </w:rPr>
        <w:t xml:space="preserve">asis point should be evaluated, respective results are to be sum up. The valuation adjustment for complex products are to be defined on the level of net </w:t>
      </w:r>
      <w:r w:rsidR="009E4610" w:rsidRPr="00393112">
        <w:rPr>
          <w:rFonts w:ascii="Century Gothic" w:hAnsi="Century Gothic"/>
          <w:sz w:val="20"/>
          <w:szCs w:val="20"/>
          <w:lang w:val="en-US"/>
        </w:rPr>
        <w:t>notional value of financial instruments multiplied with</w:t>
      </w:r>
    </w:p>
    <w:p w14:paraId="1B3C25FD" w14:textId="3E37CE49" w:rsidR="009E4610" w:rsidRPr="00393112" w:rsidRDefault="009E4610" w:rsidP="009E4610">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50</w:t>
      </w:r>
      <w:r w:rsidRPr="00393112">
        <w:rPr>
          <w:rFonts w:ascii="Century Gothic" w:hAnsi="Century Gothic"/>
          <w:sz w:val="20"/>
          <w:szCs w:val="20"/>
          <w:lang w:val="en-US"/>
        </w:rPr>
        <w:t xml:space="preserve"> basis points in case of non-derivative instrument</w:t>
      </w:r>
    </w:p>
    <w:p w14:paraId="6D8A0B50" w14:textId="401779A9" w:rsidR="009E4610" w:rsidRDefault="009E4610" w:rsidP="009E4610">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5</w:t>
      </w:r>
      <w:r w:rsidRPr="00393112">
        <w:rPr>
          <w:rFonts w:ascii="Century Gothic" w:hAnsi="Century Gothic"/>
          <w:sz w:val="20"/>
          <w:szCs w:val="20"/>
          <w:lang w:val="en-US"/>
        </w:rPr>
        <w:t xml:space="preserve"> basis point in case of derivative instrument</w:t>
      </w:r>
    </w:p>
    <w:p w14:paraId="5E3AC510" w14:textId="79B3BF51" w:rsidR="009E4610" w:rsidRDefault="009E4610" w:rsidP="009E4610">
      <w:pPr>
        <w:ind w:firstLine="708"/>
        <w:jc w:val="both"/>
        <w:rPr>
          <w:rFonts w:ascii="Century Gothic" w:hAnsi="Century Gothic"/>
          <w:sz w:val="20"/>
          <w:szCs w:val="20"/>
          <w:lang w:val="en-US"/>
        </w:rPr>
      </w:pPr>
      <w:r w:rsidRPr="00393112">
        <w:rPr>
          <w:rFonts w:ascii="Century Gothic" w:hAnsi="Century Gothic"/>
          <w:sz w:val="20"/>
          <w:szCs w:val="20"/>
          <w:lang w:val="en-US"/>
        </w:rPr>
        <w:t xml:space="preserve">Under the </w:t>
      </w:r>
      <w:r>
        <w:rPr>
          <w:rFonts w:ascii="Century Gothic" w:hAnsi="Century Gothic"/>
          <w:b/>
          <w:sz w:val="20"/>
          <w:szCs w:val="20"/>
          <w:lang w:val="en-US"/>
        </w:rPr>
        <w:t>core</w:t>
      </w:r>
      <w:r w:rsidRPr="00393112">
        <w:rPr>
          <w:rFonts w:ascii="Century Gothic" w:hAnsi="Century Gothic"/>
          <w:sz w:val="20"/>
          <w:szCs w:val="20"/>
          <w:lang w:val="en-US"/>
        </w:rPr>
        <w:t xml:space="preserve"> approach the </w:t>
      </w:r>
      <w:r>
        <w:rPr>
          <w:rFonts w:ascii="Century Gothic" w:hAnsi="Century Gothic"/>
          <w:sz w:val="20"/>
          <w:szCs w:val="20"/>
          <w:lang w:val="en-US"/>
        </w:rPr>
        <w:t xml:space="preserve">institution </w:t>
      </w:r>
      <w:r w:rsidRPr="00393112">
        <w:rPr>
          <w:rFonts w:ascii="Century Gothic" w:hAnsi="Century Gothic"/>
          <w:sz w:val="20"/>
          <w:szCs w:val="20"/>
          <w:lang w:val="en-US"/>
        </w:rPr>
        <w:t xml:space="preserve">should categorize all valuation models </w:t>
      </w:r>
      <w:r>
        <w:rPr>
          <w:rFonts w:ascii="Century Gothic" w:hAnsi="Century Gothic"/>
          <w:sz w:val="20"/>
          <w:szCs w:val="20"/>
          <w:lang w:val="en-US"/>
        </w:rPr>
        <w:t>according to their complexity and dependency from fixed parameters in the following categories:</w:t>
      </w:r>
    </w:p>
    <w:p w14:paraId="20C80F92" w14:textId="78EA6BC7" w:rsidR="009E4610" w:rsidRDefault="009E4610" w:rsidP="009E4610">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Valuation models with fixed parameters (1)</w:t>
      </w:r>
    </w:p>
    <w:p w14:paraId="7805DCE0" w14:textId="1BEF49D4" w:rsidR="009E4610" w:rsidRPr="009E4610" w:rsidRDefault="009E4610" w:rsidP="009E4610">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Valuation models without fixed parameters: non-complex (2), rather complex (3), complex</w:t>
      </w:r>
      <w:r w:rsidR="006E6E04">
        <w:rPr>
          <w:rFonts w:ascii="Century Gothic" w:hAnsi="Century Gothic"/>
          <w:sz w:val="20"/>
          <w:szCs w:val="20"/>
          <w:lang w:val="en-US"/>
        </w:rPr>
        <w:t xml:space="preserve"> (4</w:t>
      </w:r>
      <w:r>
        <w:rPr>
          <w:rFonts w:ascii="Century Gothic" w:hAnsi="Century Gothic"/>
          <w:sz w:val="20"/>
          <w:szCs w:val="20"/>
          <w:lang w:val="en-US"/>
        </w:rPr>
        <w:t>), very complex</w:t>
      </w:r>
      <w:r w:rsidR="006E6E04">
        <w:rPr>
          <w:rFonts w:ascii="Century Gothic" w:hAnsi="Century Gothic"/>
          <w:sz w:val="20"/>
          <w:szCs w:val="20"/>
          <w:lang w:val="en-US"/>
        </w:rPr>
        <w:t xml:space="preserve"> (5</w:t>
      </w:r>
      <w:r>
        <w:rPr>
          <w:rFonts w:ascii="Century Gothic" w:hAnsi="Century Gothic"/>
          <w:sz w:val="20"/>
          <w:szCs w:val="20"/>
          <w:lang w:val="en-US"/>
        </w:rPr>
        <w:t>).</w:t>
      </w:r>
    </w:p>
    <w:p w14:paraId="594CB8CF" w14:textId="34260B61" w:rsidR="009E4610" w:rsidRDefault="009E4610" w:rsidP="009E4610">
      <w:pPr>
        <w:ind w:firstLine="708"/>
        <w:jc w:val="both"/>
        <w:rPr>
          <w:rFonts w:ascii="Century Gothic" w:hAnsi="Century Gothic"/>
          <w:sz w:val="20"/>
          <w:szCs w:val="20"/>
          <w:lang w:val="en-US"/>
        </w:rPr>
      </w:pPr>
      <w:r w:rsidRPr="00393112">
        <w:rPr>
          <w:rFonts w:ascii="Century Gothic" w:hAnsi="Century Gothic"/>
          <w:sz w:val="20"/>
          <w:szCs w:val="20"/>
          <w:lang w:val="en-US"/>
        </w:rPr>
        <w:t xml:space="preserve">For all </w:t>
      </w:r>
      <w:r>
        <w:rPr>
          <w:rFonts w:ascii="Century Gothic" w:hAnsi="Century Gothic"/>
          <w:sz w:val="20"/>
          <w:szCs w:val="20"/>
          <w:lang w:val="en-US"/>
        </w:rPr>
        <w:t xml:space="preserve">portfolios of </w:t>
      </w:r>
      <w:r w:rsidRPr="00393112">
        <w:rPr>
          <w:rFonts w:ascii="Century Gothic" w:hAnsi="Century Gothic"/>
          <w:sz w:val="20"/>
          <w:szCs w:val="20"/>
          <w:lang w:val="en-US"/>
        </w:rPr>
        <w:t xml:space="preserve">products </w:t>
      </w:r>
      <w:r>
        <w:rPr>
          <w:rFonts w:ascii="Century Gothic" w:hAnsi="Century Gothic"/>
          <w:sz w:val="20"/>
          <w:szCs w:val="20"/>
          <w:lang w:val="en-US"/>
        </w:rPr>
        <w:t xml:space="preserve">from the category 1 </w:t>
      </w:r>
      <w:r w:rsidRPr="00393112">
        <w:rPr>
          <w:rFonts w:ascii="Century Gothic" w:hAnsi="Century Gothic"/>
          <w:sz w:val="20"/>
          <w:szCs w:val="20"/>
          <w:lang w:val="en-US"/>
        </w:rPr>
        <w:t xml:space="preserve">the price of model parameter change by </w:t>
      </w:r>
      <w:r>
        <w:rPr>
          <w:rFonts w:ascii="Century Gothic" w:hAnsi="Century Gothic"/>
          <w:sz w:val="20"/>
          <w:szCs w:val="20"/>
          <w:lang w:val="en-US"/>
        </w:rPr>
        <w:t>level justified by the institution should be evaluated, respective results are to be sum up.</w:t>
      </w:r>
      <w:r w:rsidR="006E6E04">
        <w:rPr>
          <w:rFonts w:ascii="Century Gothic" w:hAnsi="Century Gothic"/>
          <w:sz w:val="20"/>
          <w:szCs w:val="20"/>
          <w:lang w:val="en-US"/>
        </w:rPr>
        <w:t xml:space="preserve"> For all products valued with models 2 to 5 the model risk AVAs is to be calculated as a difference of between product price in Front Office / Accounting systems and product price in Risk management systems if any. If products are not priced in the risk management systems separately, the respective different should be set to 1 basis point of net notional value for each valuation model category. The AVA should be calculated as derived difference multiplied by:</w:t>
      </w:r>
    </w:p>
    <w:p w14:paraId="166ECFC9" w14:textId="3F4743AC" w:rsidR="006E6E04" w:rsidRDefault="006E6E04" w:rsidP="009E4610">
      <w:pPr>
        <w:ind w:firstLine="708"/>
        <w:jc w:val="both"/>
        <w:rPr>
          <w:rFonts w:ascii="Century Gothic" w:hAnsi="Century Gothic"/>
          <w:sz w:val="20"/>
          <w:szCs w:val="20"/>
          <w:lang w:val="en-US"/>
        </w:rPr>
      </w:pPr>
      <w:r>
        <w:rPr>
          <w:rFonts w:ascii="Century Gothic" w:hAnsi="Century Gothic"/>
          <w:sz w:val="20"/>
          <w:szCs w:val="20"/>
          <w:lang w:val="en-US"/>
        </w:rPr>
        <w:t>1 basis point for valuation models from 2</w:t>
      </w:r>
      <w:r w:rsidRPr="006E6E04">
        <w:rPr>
          <w:rFonts w:ascii="Century Gothic" w:hAnsi="Century Gothic"/>
          <w:sz w:val="20"/>
          <w:szCs w:val="20"/>
          <w:vertAlign w:val="superscript"/>
          <w:lang w:val="en-US"/>
        </w:rPr>
        <w:t>nd</w:t>
      </w:r>
      <w:r>
        <w:rPr>
          <w:rFonts w:ascii="Century Gothic" w:hAnsi="Century Gothic"/>
          <w:sz w:val="20"/>
          <w:szCs w:val="20"/>
          <w:lang w:val="en-US"/>
        </w:rPr>
        <w:t xml:space="preserve"> category;</w:t>
      </w:r>
    </w:p>
    <w:p w14:paraId="148B441D" w14:textId="57B3B977" w:rsidR="006E6E04" w:rsidRDefault="006E6E04" w:rsidP="006E6E04">
      <w:pPr>
        <w:ind w:firstLine="708"/>
        <w:jc w:val="both"/>
        <w:rPr>
          <w:rFonts w:ascii="Century Gothic" w:hAnsi="Century Gothic"/>
          <w:sz w:val="20"/>
          <w:szCs w:val="20"/>
          <w:lang w:val="en-US"/>
        </w:rPr>
      </w:pPr>
      <w:r>
        <w:rPr>
          <w:rFonts w:ascii="Century Gothic" w:hAnsi="Century Gothic"/>
          <w:sz w:val="20"/>
          <w:szCs w:val="20"/>
          <w:lang w:val="en-US"/>
        </w:rPr>
        <w:t>2 basis point for valuation models from 3</w:t>
      </w:r>
      <w:r w:rsidRPr="006E6E04">
        <w:rPr>
          <w:rFonts w:ascii="Century Gothic" w:hAnsi="Century Gothic"/>
          <w:sz w:val="20"/>
          <w:szCs w:val="20"/>
          <w:vertAlign w:val="superscript"/>
          <w:lang w:val="en-US"/>
        </w:rPr>
        <w:t>rd</w:t>
      </w:r>
      <w:r>
        <w:rPr>
          <w:rFonts w:ascii="Century Gothic" w:hAnsi="Century Gothic"/>
          <w:sz w:val="20"/>
          <w:szCs w:val="20"/>
          <w:lang w:val="en-US"/>
        </w:rPr>
        <w:t xml:space="preserve"> category;</w:t>
      </w:r>
    </w:p>
    <w:p w14:paraId="0BC5A8FF" w14:textId="16DD4F9E" w:rsidR="006E6E04" w:rsidRDefault="006E6E04" w:rsidP="006E6E04">
      <w:pPr>
        <w:ind w:firstLine="708"/>
        <w:jc w:val="both"/>
        <w:rPr>
          <w:rFonts w:ascii="Century Gothic" w:hAnsi="Century Gothic"/>
          <w:sz w:val="20"/>
          <w:szCs w:val="20"/>
          <w:lang w:val="en-US"/>
        </w:rPr>
      </w:pPr>
      <w:r>
        <w:rPr>
          <w:rFonts w:ascii="Century Gothic" w:hAnsi="Century Gothic"/>
          <w:sz w:val="20"/>
          <w:szCs w:val="20"/>
          <w:lang w:val="en-US"/>
        </w:rPr>
        <w:t>5 basis point for valuation models from 4</w:t>
      </w:r>
      <w:r w:rsidRPr="006E6E04">
        <w:rPr>
          <w:rFonts w:ascii="Century Gothic" w:hAnsi="Century Gothic"/>
          <w:sz w:val="20"/>
          <w:szCs w:val="20"/>
          <w:vertAlign w:val="superscript"/>
          <w:lang w:val="en-US"/>
        </w:rPr>
        <w:t>th</w:t>
      </w:r>
      <w:r>
        <w:rPr>
          <w:rFonts w:ascii="Century Gothic" w:hAnsi="Century Gothic"/>
          <w:sz w:val="20"/>
          <w:szCs w:val="20"/>
          <w:lang w:val="en-US"/>
        </w:rPr>
        <w:t xml:space="preserve"> category;</w:t>
      </w:r>
    </w:p>
    <w:p w14:paraId="4C8C9DE3" w14:textId="02FFA80E" w:rsidR="006E6E04" w:rsidRDefault="006E6E04" w:rsidP="006E6E04">
      <w:pPr>
        <w:ind w:firstLine="708"/>
        <w:jc w:val="both"/>
        <w:rPr>
          <w:rFonts w:ascii="Century Gothic" w:hAnsi="Century Gothic"/>
          <w:sz w:val="20"/>
          <w:szCs w:val="20"/>
          <w:lang w:val="en-US"/>
        </w:rPr>
      </w:pPr>
      <w:r>
        <w:rPr>
          <w:rFonts w:ascii="Century Gothic" w:hAnsi="Century Gothic"/>
          <w:sz w:val="20"/>
          <w:szCs w:val="20"/>
          <w:lang w:val="en-US"/>
        </w:rPr>
        <w:t>10 basis point for valuation models from 4</w:t>
      </w:r>
      <w:r w:rsidRPr="006E6E04">
        <w:rPr>
          <w:rFonts w:ascii="Century Gothic" w:hAnsi="Century Gothic"/>
          <w:sz w:val="20"/>
          <w:szCs w:val="20"/>
          <w:vertAlign w:val="superscript"/>
          <w:lang w:val="en-US"/>
        </w:rPr>
        <w:t>th</w:t>
      </w:r>
      <w:r>
        <w:rPr>
          <w:rFonts w:ascii="Century Gothic" w:hAnsi="Century Gothic"/>
          <w:sz w:val="20"/>
          <w:szCs w:val="20"/>
          <w:lang w:val="en-US"/>
        </w:rPr>
        <w:t xml:space="preserve"> category.</w:t>
      </w:r>
    </w:p>
    <w:p w14:paraId="38255E09" w14:textId="155EC822" w:rsidR="006E6E04" w:rsidRPr="00393112" w:rsidRDefault="006E6E04" w:rsidP="006E6E04">
      <w:pPr>
        <w:jc w:val="both"/>
        <w:rPr>
          <w:rFonts w:ascii="Century Gothic" w:hAnsi="Century Gothic"/>
          <w:sz w:val="20"/>
          <w:szCs w:val="20"/>
          <w:lang w:val="en-US"/>
        </w:rPr>
      </w:pPr>
      <w:r>
        <w:rPr>
          <w:rFonts w:ascii="Century Gothic" w:hAnsi="Century Gothic"/>
          <w:sz w:val="20"/>
          <w:szCs w:val="20"/>
          <w:lang w:val="en-US"/>
        </w:rPr>
        <w:lastRenderedPageBreak/>
        <w:t xml:space="preserve">Whenever the valuation model is not accomplished by the appropriate documentation, it is a subject for additional model risk valuation adjustment in amount of net </w:t>
      </w:r>
      <w:r w:rsidRPr="00393112">
        <w:rPr>
          <w:rFonts w:ascii="Century Gothic" w:hAnsi="Century Gothic"/>
          <w:sz w:val="20"/>
          <w:szCs w:val="20"/>
          <w:lang w:val="en-US"/>
        </w:rPr>
        <w:t xml:space="preserve">notional value of </w:t>
      </w:r>
      <w:r>
        <w:rPr>
          <w:rFonts w:ascii="Century Gothic" w:hAnsi="Century Gothic"/>
          <w:sz w:val="20"/>
          <w:szCs w:val="20"/>
          <w:lang w:val="en-US"/>
        </w:rPr>
        <w:t xml:space="preserve">respective </w:t>
      </w:r>
      <w:r w:rsidRPr="00393112">
        <w:rPr>
          <w:rFonts w:ascii="Century Gothic" w:hAnsi="Century Gothic"/>
          <w:sz w:val="20"/>
          <w:szCs w:val="20"/>
          <w:lang w:val="en-US"/>
        </w:rPr>
        <w:t>financial instruments multiplied with</w:t>
      </w:r>
    </w:p>
    <w:p w14:paraId="0C954FD2" w14:textId="77777777" w:rsidR="006E6E04" w:rsidRPr="00393112" w:rsidRDefault="006E6E04" w:rsidP="006E6E04">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100 basis points in case of non-derivative instrument</w:t>
      </w:r>
    </w:p>
    <w:p w14:paraId="5723E8E1" w14:textId="77777777" w:rsidR="006E6E04" w:rsidRPr="00393112" w:rsidRDefault="006E6E04" w:rsidP="006E6E04">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10 basis point in case of derivative instrument</w:t>
      </w:r>
    </w:p>
    <w:p w14:paraId="24DED430" w14:textId="2E594515" w:rsidR="006E6E04" w:rsidRDefault="006E6E04" w:rsidP="006E6E04">
      <w:pPr>
        <w:jc w:val="both"/>
        <w:rPr>
          <w:rFonts w:ascii="Century Gothic" w:hAnsi="Century Gothic"/>
          <w:sz w:val="20"/>
          <w:szCs w:val="20"/>
          <w:lang w:val="en-US"/>
        </w:rPr>
      </w:pPr>
      <w:r>
        <w:rPr>
          <w:rFonts w:ascii="Century Gothic" w:hAnsi="Century Gothic"/>
          <w:sz w:val="20"/>
          <w:szCs w:val="20"/>
          <w:lang w:val="en-US"/>
        </w:rPr>
        <w:t>This adjustment is to be added in top of defined above model risk AVAs.</w:t>
      </w:r>
    </w:p>
    <w:p w14:paraId="24DEE831" w14:textId="77777777" w:rsidR="006E6E04" w:rsidRDefault="006E6E04" w:rsidP="006E6E04">
      <w:pPr>
        <w:ind w:firstLine="708"/>
        <w:jc w:val="both"/>
        <w:rPr>
          <w:rFonts w:ascii="Century Gothic" w:hAnsi="Century Gothic"/>
          <w:sz w:val="20"/>
          <w:szCs w:val="20"/>
          <w:lang w:val="en-US"/>
        </w:rPr>
      </w:pPr>
    </w:p>
    <w:p w14:paraId="1C9DE9F6" w14:textId="7C4A2CE2" w:rsidR="00393112" w:rsidRDefault="00393112" w:rsidP="0060713A">
      <w:pPr>
        <w:jc w:val="both"/>
        <w:rPr>
          <w:rFonts w:ascii="Century Gothic" w:hAnsi="Century Gothic"/>
          <w:sz w:val="20"/>
          <w:szCs w:val="20"/>
          <w:lang w:val="en-US"/>
        </w:rPr>
      </w:pPr>
    </w:p>
    <w:p w14:paraId="71253D68" w14:textId="72E9F79E" w:rsidR="00393112" w:rsidRPr="00393112" w:rsidRDefault="00D64CF7" w:rsidP="006F1663">
      <w:pPr>
        <w:pStyle w:val="ListParagraph"/>
        <w:ind w:left="0" w:firstLine="708"/>
        <w:jc w:val="both"/>
        <w:rPr>
          <w:rFonts w:ascii="Century Gothic" w:hAnsi="Century Gothic"/>
          <w:sz w:val="20"/>
          <w:szCs w:val="20"/>
          <w:lang w:val="en-US"/>
        </w:rPr>
      </w:pPr>
      <w:r>
        <w:rPr>
          <w:rStyle w:val="Emphasis"/>
          <w:rFonts w:ascii="Futura" w:hAnsi="Futura"/>
          <w:lang w:val="en-GB"/>
        </w:rPr>
        <w:t>I</w:t>
      </w:r>
      <w:r w:rsidR="00393112" w:rsidRPr="006F1663">
        <w:rPr>
          <w:rStyle w:val="Emphasis"/>
          <w:rFonts w:ascii="Futura" w:hAnsi="Futura"/>
          <w:lang w:val="en-GB"/>
        </w:rPr>
        <w:t>nvesting and funding costs</w:t>
      </w:r>
    </w:p>
    <w:p w14:paraId="3CB1C414" w14:textId="77777777"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r>
    </w:p>
    <w:p w14:paraId="0ABC1281" w14:textId="67BF2993" w:rsid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Investing and funding cost is a cost of borrowing or investing funds required or produced due to the cash flows mismatch during the lifetime of derivative transaction.</w:t>
      </w:r>
      <w:r w:rsidR="00052F8E">
        <w:rPr>
          <w:rFonts w:ascii="Century Gothic" w:hAnsi="Century Gothic"/>
          <w:sz w:val="20"/>
          <w:szCs w:val="20"/>
          <w:lang w:val="en-US"/>
        </w:rPr>
        <w:t xml:space="preserve"> Investment and funding costs therefore is connected with market price uncertainty of collateralized transactions. The respective valuation adjustment should be calculated as market price uncertainty AVA for collateralized derivatives (defined within standard, advanced or core approach)</w:t>
      </w:r>
      <w:r w:rsidR="00A87D6F">
        <w:rPr>
          <w:rFonts w:ascii="Century Gothic" w:hAnsi="Century Gothic"/>
          <w:sz w:val="20"/>
          <w:szCs w:val="20"/>
          <w:lang w:val="en-US"/>
        </w:rPr>
        <w:t xml:space="preserve"> multiplied by the funding costs in the reporting currency and scaled for 5 working days horizon.</w:t>
      </w:r>
    </w:p>
    <w:p w14:paraId="6C1E8D2B" w14:textId="77777777" w:rsidR="00393112" w:rsidRDefault="00393112" w:rsidP="0060713A">
      <w:pPr>
        <w:jc w:val="both"/>
        <w:rPr>
          <w:rFonts w:ascii="Century Gothic" w:hAnsi="Century Gothic"/>
          <w:sz w:val="20"/>
          <w:szCs w:val="20"/>
          <w:lang w:val="en-US"/>
        </w:rPr>
      </w:pPr>
    </w:p>
    <w:p w14:paraId="249AAB7E" w14:textId="77777777" w:rsidR="00D64CF7" w:rsidRPr="00393112" w:rsidRDefault="00D64CF7" w:rsidP="0060713A">
      <w:pPr>
        <w:jc w:val="both"/>
        <w:rPr>
          <w:rFonts w:ascii="Century Gothic" w:hAnsi="Century Gothic"/>
          <w:sz w:val="20"/>
          <w:szCs w:val="20"/>
          <w:lang w:val="en-US"/>
        </w:rPr>
      </w:pPr>
    </w:p>
    <w:p w14:paraId="6B1A8E33" w14:textId="7F856BE2" w:rsidR="00393112" w:rsidRPr="00393112" w:rsidRDefault="00393112" w:rsidP="006F1663">
      <w:pPr>
        <w:pStyle w:val="ListParagraph"/>
        <w:ind w:left="0" w:firstLine="708"/>
        <w:jc w:val="both"/>
        <w:rPr>
          <w:rFonts w:ascii="Century Gothic" w:hAnsi="Century Gothic"/>
          <w:sz w:val="20"/>
          <w:szCs w:val="20"/>
          <w:lang w:val="en-US"/>
        </w:rPr>
      </w:pPr>
      <w:r w:rsidRPr="006F1663">
        <w:rPr>
          <w:rStyle w:val="Emphasis"/>
          <w:rFonts w:ascii="Futura" w:hAnsi="Futura"/>
          <w:lang w:val="en-GB"/>
        </w:rPr>
        <w:t>Future administrative costs</w:t>
      </w:r>
    </w:p>
    <w:p w14:paraId="74CE23CC" w14:textId="77777777" w:rsidR="00393112" w:rsidRPr="00393112" w:rsidRDefault="00393112" w:rsidP="0060713A">
      <w:pPr>
        <w:jc w:val="both"/>
        <w:rPr>
          <w:rFonts w:ascii="Century Gothic" w:hAnsi="Century Gothic"/>
          <w:sz w:val="20"/>
          <w:szCs w:val="20"/>
          <w:lang w:val="en-US"/>
        </w:rPr>
      </w:pPr>
    </w:p>
    <w:p w14:paraId="23405142" w14:textId="756D41BA"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 xml:space="preserve">Future administrative costs reflect the costs of </w:t>
      </w:r>
      <w:r w:rsidR="007A12AE" w:rsidRPr="00393112">
        <w:rPr>
          <w:rFonts w:ascii="Century Gothic" w:hAnsi="Century Gothic"/>
          <w:sz w:val="20"/>
          <w:szCs w:val="20"/>
          <w:lang w:val="en-US"/>
        </w:rPr>
        <w:t xml:space="preserve">transactions </w:t>
      </w:r>
      <w:r w:rsidRPr="00393112">
        <w:rPr>
          <w:rFonts w:ascii="Century Gothic" w:hAnsi="Century Gothic"/>
          <w:sz w:val="20"/>
          <w:szCs w:val="20"/>
          <w:lang w:val="en-US"/>
        </w:rPr>
        <w:t>servicing. These costs include in particular system costs, payments processing costs as well as costs for preparing and revising documentation and legal costs. The future administrative costs therefore depends from the fact whether standard or nonstandard processes are associated with certain products as well as from the complexity of the product.</w:t>
      </w:r>
    </w:p>
    <w:p w14:paraId="757A0619" w14:textId="5B9BF0B3" w:rsid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 xml:space="preserve">In the </w:t>
      </w:r>
      <w:r w:rsidR="00FF1715" w:rsidRPr="00FF1715">
        <w:rPr>
          <w:rFonts w:ascii="Century Gothic" w:hAnsi="Century Gothic"/>
          <w:b/>
          <w:sz w:val="20"/>
          <w:szCs w:val="20"/>
          <w:lang w:val="en-US"/>
        </w:rPr>
        <w:t>standard</w:t>
      </w:r>
      <w:r w:rsidRPr="00393112">
        <w:rPr>
          <w:rFonts w:ascii="Century Gothic" w:hAnsi="Century Gothic"/>
          <w:sz w:val="20"/>
          <w:szCs w:val="20"/>
          <w:lang w:val="en-US"/>
        </w:rPr>
        <w:t xml:space="preserve"> </w:t>
      </w:r>
      <w:r w:rsidR="00FF1715">
        <w:rPr>
          <w:rFonts w:ascii="Century Gothic" w:hAnsi="Century Gothic"/>
          <w:sz w:val="20"/>
          <w:szCs w:val="20"/>
          <w:lang w:val="en-US"/>
        </w:rPr>
        <w:t xml:space="preserve">and </w:t>
      </w:r>
      <w:r w:rsidR="00FF1715" w:rsidRPr="00FF1715">
        <w:rPr>
          <w:rFonts w:ascii="Century Gothic" w:hAnsi="Century Gothic"/>
          <w:b/>
          <w:sz w:val="20"/>
          <w:szCs w:val="20"/>
          <w:lang w:val="en-US"/>
        </w:rPr>
        <w:t>advanced</w:t>
      </w:r>
      <w:r w:rsidR="00FF1715">
        <w:rPr>
          <w:rFonts w:ascii="Century Gothic" w:hAnsi="Century Gothic"/>
          <w:sz w:val="20"/>
          <w:szCs w:val="20"/>
          <w:lang w:val="en-US"/>
        </w:rPr>
        <w:t xml:space="preserve"> </w:t>
      </w:r>
      <w:r w:rsidRPr="00393112">
        <w:rPr>
          <w:rFonts w:ascii="Century Gothic" w:hAnsi="Century Gothic"/>
          <w:sz w:val="20"/>
          <w:szCs w:val="20"/>
          <w:lang w:val="en-US"/>
        </w:rPr>
        <w:t xml:space="preserve">approach institution should assess future administrative costs as notional amount of </w:t>
      </w:r>
      <w:bookmarkStart w:id="1" w:name="OLE_LINK1"/>
      <w:bookmarkStart w:id="2" w:name="OLE_LINK2"/>
      <w:r w:rsidRPr="00393112">
        <w:rPr>
          <w:rFonts w:ascii="Century Gothic" w:hAnsi="Century Gothic"/>
          <w:sz w:val="20"/>
          <w:szCs w:val="20"/>
          <w:lang w:val="en-US"/>
        </w:rPr>
        <w:t xml:space="preserve">non-ISDA derivative transactions </w:t>
      </w:r>
      <w:bookmarkEnd w:id="1"/>
      <w:bookmarkEnd w:id="2"/>
      <w:r w:rsidRPr="00393112">
        <w:rPr>
          <w:rFonts w:ascii="Century Gothic" w:hAnsi="Century Gothic"/>
          <w:sz w:val="20"/>
          <w:szCs w:val="20"/>
          <w:lang w:val="en-US"/>
        </w:rPr>
        <w:t>multiplied by 0,</w:t>
      </w:r>
      <w:r w:rsidR="00150E5C">
        <w:rPr>
          <w:rFonts w:ascii="Century Gothic" w:hAnsi="Century Gothic"/>
          <w:sz w:val="20"/>
          <w:szCs w:val="20"/>
          <w:lang w:val="en-US"/>
        </w:rPr>
        <w:t>1</w:t>
      </w:r>
      <w:r w:rsidRPr="00393112">
        <w:rPr>
          <w:rFonts w:ascii="Century Gothic" w:hAnsi="Century Gothic"/>
          <w:sz w:val="20"/>
          <w:szCs w:val="20"/>
          <w:lang w:val="en-US"/>
        </w:rPr>
        <w:t xml:space="preserve"> basis point.</w:t>
      </w:r>
    </w:p>
    <w:p w14:paraId="45B197BF" w14:textId="05BFDDB2" w:rsidR="00FF1715" w:rsidRDefault="00FF1715" w:rsidP="0060713A">
      <w:pPr>
        <w:jc w:val="both"/>
        <w:rPr>
          <w:rFonts w:ascii="Century Gothic" w:hAnsi="Century Gothic"/>
          <w:sz w:val="20"/>
          <w:szCs w:val="20"/>
          <w:lang w:val="en-US"/>
        </w:rPr>
      </w:pPr>
      <w:r>
        <w:rPr>
          <w:rFonts w:ascii="Century Gothic" w:hAnsi="Century Gothic"/>
          <w:sz w:val="20"/>
          <w:szCs w:val="20"/>
          <w:lang w:val="en-US"/>
        </w:rPr>
        <w:t xml:space="preserve">Under the </w:t>
      </w:r>
      <w:r w:rsidRPr="00150E5C">
        <w:rPr>
          <w:rFonts w:ascii="Century Gothic" w:hAnsi="Century Gothic"/>
          <w:b/>
          <w:sz w:val="20"/>
          <w:szCs w:val="20"/>
          <w:lang w:val="en-US"/>
        </w:rPr>
        <w:t>core</w:t>
      </w:r>
      <w:r>
        <w:rPr>
          <w:rFonts w:ascii="Century Gothic" w:hAnsi="Century Gothic"/>
          <w:sz w:val="20"/>
          <w:szCs w:val="20"/>
          <w:lang w:val="en-US"/>
        </w:rPr>
        <w:t xml:space="preserve"> approach the volume mentioned can be reduced, if the institution can justify the </w:t>
      </w:r>
      <w:r w:rsidR="00150E5C">
        <w:rPr>
          <w:rFonts w:ascii="Century Gothic" w:hAnsi="Century Gothic"/>
          <w:sz w:val="20"/>
          <w:szCs w:val="20"/>
          <w:lang w:val="en-US"/>
        </w:rPr>
        <w:t xml:space="preserve">availability of standard processes for </w:t>
      </w:r>
      <w:r w:rsidR="00150E5C" w:rsidRPr="00393112">
        <w:rPr>
          <w:rFonts w:ascii="Century Gothic" w:hAnsi="Century Gothic"/>
          <w:sz w:val="20"/>
          <w:szCs w:val="20"/>
          <w:lang w:val="en-US"/>
        </w:rPr>
        <w:t>non-ISDA derivative transactions</w:t>
      </w:r>
      <w:r w:rsidR="00150E5C">
        <w:rPr>
          <w:rFonts w:ascii="Century Gothic" w:hAnsi="Century Gothic"/>
          <w:sz w:val="20"/>
          <w:szCs w:val="20"/>
          <w:lang w:val="en-US"/>
        </w:rPr>
        <w:t xml:space="preserve"> support.</w:t>
      </w:r>
    </w:p>
    <w:p w14:paraId="086DEBDB" w14:textId="77777777" w:rsidR="00150E5C" w:rsidRPr="00393112" w:rsidRDefault="00150E5C" w:rsidP="0060713A">
      <w:pPr>
        <w:jc w:val="both"/>
        <w:rPr>
          <w:rFonts w:ascii="Century Gothic" w:hAnsi="Century Gothic"/>
          <w:sz w:val="20"/>
          <w:szCs w:val="20"/>
          <w:lang w:val="en-US"/>
        </w:rPr>
      </w:pPr>
    </w:p>
    <w:p w14:paraId="6548E4F7" w14:textId="77777777"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r>
    </w:p>
    <w:p w14:paraId="3884C98C" w14:textId="31F99493" w:rsidR="00393112" w:rsidRPr="00393112" w:rsidRDefault="00393112" w:rsidP="006F1663">
      <w:pPr>
        <w:pStyle w:val="ListParagraph"/>
        <w:ind w:left="0" w:firstLine="708"/>
        <w:jc w:val="both"/>
        <w:rPr>
          <w:rFonts w:ascii="Century Gothic" w:hAnsi="Century Gothic"/>
          <w:sz w:val="20"/>
          <w:szCs w:val="20"/>
          <w:lang w:val="en-US"/>
        </w:rPr>
      </w:pPr>
      <w:r w:rsidRPr="006F1663">
        <w:rPr>
          <w:rStyle w:val="Emphasis"/>
          <w:rFonts w:ascii="Futura" w:hAnsi="Futura"/>
          <w:lang w:val="en-GB"/>
        </w:rPr>
        <w:t>Early termination costs</w:t>
      </w:r>
    </w:p>
    <w:p w14:paraId="5934D653" w14:textId="77777777" w:rsidR="00393112" w:rsidRPr="00393112" w:rsidRDefault="00393112" w:rsidP="0060713A">
      <w:pPr>
        <w:jc w:val="both"/>
        <w:rPr>
          <w:rFonts w:ascii="Century Gothic" w:hAnsi="Century Gothic"/>
          <w:sz w:val="20"/>
          <w:szCs w:val="20"/>
          <w:lang w:val="en-US"/>
        </w:rPr>
      </w:pPr>
    </w:p>
    <w:p w14:paraId="5B0F1F84" w14:textId="21CF17A9" w:rsid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Early termination costs are additional costs which institution should bear in case of early termination of transaction. Examples of these costs are unearned interested income or administration fee and costs of hedging of open positions which arise because of early termination. The risk of early termination is higher in client business.</w:t>
      </w:r>
    </w:p>
    <w:p w14:paraId="6D3C4C69" w14:textId="1EAD3166" w:rsidR="00052F8E" w:rsidRDefault="00150E5C" w:rsidP="0060713A">
      <w:pPr>
        <w:jc w:val="both"/>
        <w:rPr>
          <w:rFonts w:ascii="Century Gothic" w:hAnsi="Century Gothic"/>
          <w:sz w:val="20"/>
          <w:szCs w:val="20"/>
          <w:lang w:val="en-US"/>
        </w:rPr>
      </w:pPr>
      <w:r>
        <w:rPr>
          <w:rFonts w:ascii="Century Gothic" w:hAnsi="Century Gothic"/>
          <w:sz w:val="20"/>
          <w:szCs w:val="20"/>
          <w:lang w:val="en-US"/>
        </w:rPr>
        <w:tab/>
        <w:t xml:space="preserve">Under the </w:t>
      </w:r>
      <w:r w:rsidRPr="00150E5C">
        <w:rPr>
          <w:rFonts w:ascii="Century Gothic" w:hAnsi="Century Gothic"/>
          <w:b/>
          <w:sz w:val="20"/>
          <w:szCs w:val="20"/>
          <w:lang w:val="en-US"/>
        </w:rPr>
        <w:t>standard</w:t>
      </w:r>
      <w:r>
        <w:rPr>
          <w:rFonts w:ascii="Century Gothic" w:hAnsi="Century Gothic"/>
          <w:sz w:val="20"/>
          <w:szCs w:val="20"/>
          <w:lang w:val="en-US"/>
        </w:rPr>
        <w:t xml:space="preserve"> approach the institution should evaluate valuation adjustment as net notional value of client transactions multiplied with 0.1 basis point. Under the </w:t>
      </w:r>
      <w:r w:rsidR="00052F8E" w:rsidRPr="00052F8E">
        <w:rPr>
          <w:rFonts w:ascii="Century Gothic" w:hAnsi="Century Gothic"/>
          <w:b/>
          <w:sz w:val="20"/>
          <w:szCs w:val="20"/>
          <w:lang w:val="en-US"/>
        </w:rPr>
        <w:t>advanced</w:t>
      </w:r>
      <w:r>
        <w:rPr>
          <w:rFonts w:ascii="Century Gothic" w:hAnsi="Century Gothic"/>
          <w:sz w:val="20"/>
          <w:szCs w:val="20"/>
          <w:lang w:val="en-US"/>
        </w:rPr>
        <w:t xml:space="preserve"> approach </w:t>
      </w:r>
      <w:r w:rsidR="00052F8E">
        <w:rPr>
          <w:rFonts w:ascii="Century Gothic" w:hAnsi="Century Gothic"/>
          <w:sz w:val="20"/>
          <w:szCs w:val="20"/>
          <w:lang w:val="en-US"/>
        </w:rPr>
        <w:t>the institution should categorize its customer products into the following categories:</w:t>
      </w:r>
    </w:p>
    <w:p w14:paraId="10A673D4" w14:textId="52013162" w:rsidR="00052F8E" w:rsidRDefault="00052F8E" w:rsidP="00052F8E">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Early termination / prepayment is highly probable (1)</w:t>
      </w:r>
    </w:p>
    <w:p w14:paraId="5DF332C6" w14:textId="5FBEA5A2" w:rsidR="00052F8E" w:rsidRDefault="00052F8E" w:rsidP="00052F8E">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Early termination / prepayment is less probable (2)</w:t>
      </w:r>
    </w:p>
    <w:p w14:paraId="16E65F67" w14:textId="2FE51763" w:rsidR="00052F8E" w:rsidRPr="00052F8E" w:rsidRDefault="00052F8E" w:rsidP="00052F8E">
      <w:pPr>
        <w:pStyle w:val="ListParagraph"/>
        <w:numPr>
          <w:ilvl w:val="0"/>
          <w:numId w:val="1"/>
        </w:numPr>
        <w:jc w:val="both"/>
        <w:rPr>
          <w:rFonts w:ascii="Century Gothic" w:hAnsi="Century Gothic"/>
          <w:sz w:val="20"/>
          <w:szCs w:val="20"/>
          <w:lang w:val="en-US"/>
        </w:rPr>
      </w:pPr>
      <w:r>
        <w:rPr>
          <w:rFonts w:ascii="Century Gothic" w:hAnsi="Century Gothic"/>
          <w:sz w:val="20"/>
          <w:szCs w:val="20"/>
          <w:lang w:val="en-US"/>
        </w:rPr>
        <w:t>Early termination / prepayment is not possible (3)</w:t>
      </w:r>
    </w:p>
    <w:p w14:paraId="206E7A77" w14:textId="752A34DA" w:rsidR="00052F8E" w:rsidRDefault="00052F8E" w:rsidP="00052F8E">
      <w:pPr>
        <w:jc w:val="both"/>
        <w:rPr>
          <w:rFonts w:ascii="Century Gothic" w:hAnsi="Century Gothic"/>
          <w:sz w:val="20"/>
          <w:szCs w:val="20"/>
          <w:lang w:val="en-US"/>
        </w:rPr>
      </w:pPr>
      <w:r>
        <w:rPr>
          <w:rFonts w:ascii="Century Gothic" w:hAnsi="Century Gothic"/>
          <w:sz w:val="20"/>
          <w:szCs w:val="20"/>
          <w:lang w:val="en-US"/>
        </w:rPr>
        <w:t>The respective valuation adjustment should be calculated as net notional value of client transactions multiplied with</w:t>
      </w:r>
    </w:p>
    <w:p w14:paraId="6FE9BDFB" w14:textId="04E06F04" w:rsidR="00052F8E" w:rsidRDefault="00052F8E" w:rsidP="00052F8E">
      <w:pPr>
        <w:pStyle w:val="ListParagraph"/>
        <w:numPr>
          <w:ilvl w:val="0"/>
          <w:numId w:val="1"/>
        </w:numPr>
        <w:jc w:val="both"/>
        <w:rPr>
          <w:rFonts w:ascii="Century Gothic" w:hAnsi="Century Gothic"/>
          <w:sz w:val="20"/>
          <w:szCs w:val="20"/>
          <w:lang w:val="en-US"/>
        </w:rPr>
      </w:pPr>
      <w:r w:rsidRPr="00052F8E">
        <w:rPr>
          <w:rFonts w:ascii="Century Gothic" w:hAnsi="Century Gothic"/>
          <w:sz w:val="20"/>
          <w:szCs w:val="20"/>
          <w:lang w:val="en-US"/>
        </w:rPr>
        <w:t>0.1 basis point for products from 1</w:t>
      </w:r>
      <w:r w:rsidRPr="00052F8E">
        <w:rPr>
          <w:rFonts w:ascii="Century Gothic" w:hAnsi="Century Gothic"/>
          <w:sz w:val="20"/>
          <w:szCs w:val="20"/>
          <w:vertAlign w:val="superscript"/>
          <w:lang w:val="en-US"/>
        </w:rPr>
        <w:t>st</w:t>
      </w:r>
      <w:r w:rsidRPr="00052F8E">
        <w:rPr>
          <w:rFonts w:ascii="Century Gothic" w:hAnsi="Century Gothic"/>
          <w:sz w:val="20"/>
          <w:szCs w:val="20"/>
          <w:lang w:val="en-US"/>
        </w:rPr>
        <w:t xml:space="preserve"> category</w:t>
      </w:r>
      <w:r>
        <w:rPr>
          <w:rFonts w:ascii="Century Gothic" w:hAnsi="Century Gothic"/>
          <w:sz w:val="20"/>
          <w:szCs w:val="20"/>
          <w:lang w:val="en-US"/>
        </w:rPr>
        <w:t>.</w:t>
      </w:r>
    </w:p>
    <w:p w14:paraId="6FB49105" w14:textId="415FE926" w:rsidR="00052F8E" w:rsidRDefault="00052F8E" w:rsidP="00052F8E">
      <w:pPr>
        <w:pStyle w:val="ListParagraph"/>
        <w:numPr>
          <w:ilvl w:val="0"/>
          <w:numId w:val="1"/>
        </w:numPr>
        <w:jc w:val="both"/>
        <w:rPr>
          <w:rFonts w:ascii="Century Gothic" w:hAnsi="Century Gothic"/>
          <w:sz w:val="20"/>
          <w:szCs w:val="20"/>
          <w:lang w:val="en-US"/>
        </w:rPr>
      </w:pPr>
      <w:r w:rsidRPr="00052F8E">
        <w:rPr>
          <w:rFonts w:ascii="Century Gothic" w:hAnsi="Century Gothic"/>
          <w:sz w:val="20"/>
          <w:szCs w:val="20"/>
          <w:lang w:val="en-US"/>
        </w:rPr>
        <w:t xml:space="preserve">0.01 basis point for products from </w:t>
      </w:r>
      <w:r>
        <w:rPr>
          <w:rFonts w:ascii="Century Gothic" w:hAnsi="Century Gothic"/>
          <w:sz w:val="20"/>
          <w:szCs w:val="20"/>
          <w:lang w:val="en-US"/>
        </w:rPr>
        <w:t>2nd</w:t>
      </w:r>
      <w:r w:rsidRPr="00052F8E">
        <w:rPr>
          <w:rFonts w:ascii="Century Gothic" w:hAnsi="Century Gothic"/>
          <w:sz w:val="20"/>
          <w:szCs w:val="20"/>
          <w:lang w:val="en-US"/>
        </w:rPr>
        <w:t xml:space="preserve"> category</w:t>
      </w:r>
      <w:r>
        <w:rPr>
          <w:rFonts w:ascii="Century Gothic" w:hAnsi="Century Gothic"/>
          <w:sz w:val="20"/>
          <w:szCs w:val="20"/>
          <w:lang w:val="en-US"/>
        </w:rPr>
        <w:t>.</w:t>
      </w:r>
    </w:p>
    <w:p w14:paraId="310FACAB" w14:textId="6352FB93" w:rsidR="00052F8E" w:rsidRPr="00052F8E" w:rsidRDefault="00052F8E" w:rsidP="00052F8E">
      <w:pPr>
        <w:jc w:val="both"/>
        <w:rPr>
          <w:rFonts w:ascii="Century Gothic" w:hAnsi="Century Gothic"/>
          <w:sz w:val="20"/>
          <w:szCs w:val="20"/>
          <w:lang w:val="en-US"/>
        </w:rPr>
      </w:pPr>
      <w:r>
        <w:rPr>
          <w:rFonts w:ascii="Century Gothic" w:hAnsi="Century Gothic"/>
          <w:sz w:val="20"/>
          <w:szCs w:val="20"/>
          <w:lang w:val="en-US"/>
        </w:rPr>
        <w:t xml:space="preserve">Under the </w:t>
      </w:r>
      <w:r w:rsidRPr="00052F8E">
        <w:rPr>
          <w:rFonts w:ascii="Century Gothic" w:hAnsi="Century Gothic"/>
          <w:b/>
          <w:sz w:val="20"/>
          <w:szCs w:val="20"/>
          <w:lang w:val="en-US"/>
        </w:rPr>
        <w:t>core</w:t>
      </w:r>
      <w:r>
        <w:rPr>
          <w:rFonts w:ascii="Century Gothic" w:hAnsi="Century Gothic"/>
          <w:sz w:val="20"/>
          <w:szCs w:val="20"/>
          <w:lang w:val="en-US"/>
        </w:rPr>
        <w:t xml:space="preserve"> approach the institution should categories its customer products according to the categories mentioned</w:t>
      </w:r>
      <w:r w:rsidR="007A12AE">
        <w:rPr>
          <w:rFonts w:ascii="Century Gothic" w:hAnsi="Century Gothic"/>
          <w:sz w:val="20"/>
          <w:szCs w:val="20"/>
          <w:lang w:val="en-US"/>
        </w:rPr>
        <w:t xml:space="preserve"> above</w:t>
      </w:r>
      <w:r>
        <w:rPr>
          <w:rFonts w:ascii="Century Gothic" w:hAnsi="Century Gothic"/>
          <w:sz w:val="20"/>
          <w:szCs w:val="20"/>
          <w:lang w:val="en-US"/>
        </w:rPr>
        <w:t xml:space="preserve"> and define valuation adjustment as an estimation of potential loss over the 1 year horizon given the expected prepayment / early termination of respective category.</w:t>
      </w:r>
    </w:p>
    <w:p w14:paraId="391EEDEC" w14:textId="77777777" w:rsidR="00052F8E" w:rsidRPr="00052F8E" w:rsidRDefault="00052F8E" w:rsidP="00052F8E">
      <w:pPr>
        <w:jc w:val="both"/>
        <w:rPr>
          <w:rFonts w:ascii="Century Gothic" w:hAnsi="Century Gothic"/>
          <w:sz w:val="20"/>
          <w:szCs w:val="20"/>
          <w:lang w:val="en-US"/>
        </w:rPr>
      </w:pPr>
    </w:p>
    <w:p w14:paraId="20CB6744" w14:textId="5CB63D2B" w:rsidR="00150E5C" w:rsidRPr="00052F8E" w:rsidRDefault="00150E5C" w:rsidP="00052F8E">
      <w:pPr>
        <w:ind w:left="360"/>
        <w:jc w:val="both"/>
        <w:rPr>
          <w:rFonts w:ascii="Century Gothic" w:hAnsi="Century Gothic"/>
          <w:sz w:val="20"/>
          <w:szCs w:val="20"/>
          <w:lang w:val="en-US"/>
        </w:rPr>
      </w:pPr>
    </w:p>
    <w:p w14:paraId="7870FE0C" w14:textId="77777777" w:rsidR="00150E5C" w:rsidRPr="00393112" w:rsidRDefault="00150E5C" w:rsidP="0060713A">
      <w:pPr>
        <w:jc w:val="both"/>
        <w:rPr>
          <w:rFonts w:ascii="Century Gothic" w:hAnsi="Century Gothic"/>
          <w:sz w:val="20"/>
          <w:szCs w:val="20"/>
          <w:lang w:val="en-US"/>
        </w:rPr>
      </w:pPr>
    </w:p>
    <w:p w14:paraId="6E390456" w14:textId="77777777" w:rsidR="00393112" w:rsidRPr="00393112" w:rsidRDefault="00393112" w:rsidP="0060713A">
      <w:pPr>
        <w:jc w:val="both"/>
        <w:rPr>
          <w:rFonts w:ascii="Century Gothic" w:hAnsi="Century Gothic"/>
          <w:sz w:val="20"/>
          <w:szCs w:val="20"/>
          <w:lang w:val="en-US"/>
        </w:rPr>
      </w:pPr>
    </w:p>
    <w:p w14:paraId="1C683AF9" w14:textId="1BE5A343" w:rsidR="00393112" w:rsidRPr="00393112" w:rsidRDefault="00393112" w:rsidP="006F1663">
      <w:pPr>
        <w:pStyle w:val="ListParagraph"/>
        <w:ind w:left="0" w:firstLine="708"/>
        <w:jc w:val="both"/>
        <w:rPr>
          <w:rFonts w:ascii="Century Gothic" w:hAnsi="Century Gothic"/>
          <w:sz w:val="20"/>
          <w:szCs w:val="20"/>
          <w:lang w:val="en-US"/>
        </w:rPr>
      </w:pPr>
      <w:r w:rsidRPr="006F1663">
        <w:rPr>
          <w:rStyle w:val="Emphasis"/>
          <w:rFonts w:ascii="Futura" w:hAnsi="Futura"/>
          <w:lang w:val="en-GB"/>
        </w:rPr>
        <w:t>Operation risk</w:t>
      </w:r>
    </w:p>
    <w:p w14:paraId="65AB334D" w14:textId="77777777"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r>
    </w:p>
    <w:p w14:paraId="73DC10CC" w14:textId="798EDAE8" w:rsidR="00393112" w:rsidRPr="00393112" w:rsidRDefault="00393112" w:rsidP="0060713A">
      <w:pPr>
        <w:jc w:val="both"/>
        <w:rPr>
          <w:rFonts w:ascii="Century Gothic" w:hAnsi="Century Gothic"/>
          <w:sz w:val="20"/>
          <w:szCs w:val="20"/>
          <w:lang w:val="en-US"/>
        </w:rPr>
      </w:pPr>
      <w:r w:rsidRPr="00393112">
        <w:rPr>
          <w:rFonts w:ascii="Century Gothic" w:hAnsi="Century Gothic"/>
          <w:sz w:val="20"/>
          <w:szCs w:val="20"/>
          <w:lang w:val="en-US"/>
        </w:rPr>
        <w:tab/>
        <w:t>Risk of mispricing of position due to operational risk related event (human or system mistake). Operational risk is attached to the each particular activity and is covered on general by capital requirement for operational risk.</w:t>
      </w:r>
      <w:r w:rsidR="00150E5C">
        <w:rPr>
          <w:rFonts w:ascii="Century Gothic" w:hAnsi="Century Gothic"/>
          <w:sz w:val="20"/>
          <w:szCs w:val="20"/>
          <w:lang w:val="en-US"/>
        </w:rPr>
        <w:t xml:space="preserve"> Thus operational risk normally should not be included into the valuation adjustments.</w:t>
      </w:r>
    </w:p>
    <w:p w14:paraId="5C7D5DAA" w14:textId="77777777" w:rsidR="00393112" w:rsidRPr="00393112" w:rsidRDefault="00393112" w:rsidP="0060713A">
      <w:pPr>
        <w:ind w:firstLine="708"/>
        <w:jc w:val="both"/>
        <w:rPr>
          <w:rFonts w:ascii="Century Gothic" w:hAnsi="Century Gothic"/>
          <w:sz w:val="20"/>
          <w:szCs w:val="20"/>
          <w:lang w:val="en-US"/>
        </w:rPr>
      </w:pPr>
    </w:p>
    <w:p w14:paraId="507F30D4" w14:textId="77777777" w:rsidR="00393112" w:rsidRPr="00393112" w:rsidRDefault="00393112" w:rsidP="0060713A">
      <w:pPr>
        <w:jc w:val="both"/>
        <w:rPr>
          <w:rFonts w:ascii="Century Gothic" w:hAnsi="Century Gothic"/>
          <w:sz w:val="20"/>
          <w:szCs w:val="20"/>
          <w:lang w:val="en-US"/>
        </w:rPr>
      </w:pPr>
    </w:p>
    <w:p w14:paraId="4034FC5D" w14:textId="29CBF57F" w:rsidR="001C3E8D" w:rsidRPr="00A2478D" w:rsidRDefault="001C3E8D" w:rsidP="0060713A">
      <w:pPr>
        <w:pStyle w:val="Heading1"/>
        <w:jc w:val="both"/>
        <w:rPr>
          <w:rStyle w:val="IntenseEmphasis"/>
          <w:rFonts w:ascii="Futura" w:hAnsi="Futura"/>
          <w:lang w:val="en-GB"/>
        </w:rPr>
      </w:pPr>
      <w:r>
        <w:rPr>
          <w:rStyle w:val="IntenseEmphasis"/>
          <w:rFonts w:ascii="Futura" w:hAnsi="Futura"/>
          <w:lang w:val="en-GB"/>
        </w:rPr>
        <w:t>Answers on proposed questions</w:t>
      </w:r>
    </w:p>
    <w:p w14:paraId="446B112A" w14:textId="77777777" w:rsidR="00CF7E5D" w:rsidRPr="00393112" w:rsidRDefault="00CF7E5D" w:rsidP="0060713A">
      <w:pPr>
        <w:pStyle w:val="Default"/>
        <w:jc w:val="both"/>
        <w:rPr>
          <w:rFonts w:ascii="Century Gothic" w:hAnsi="Century Gothic"/>
          <w:sz w:val="20"/>
          <w:szCs w:val="20"/>
          <w:lang w:val="en-US"/>
        </w:rPr>
      </w:pPr>
    </w:p>
    <w:p w14:paraId="5A7E4AE7" w14:textId="77777777" w:rsidR="00CF7E5D" w:rsidRPr="00393112" w:rsidRDefault="00CF7E5D" w:rsidP="0060713A">
      <w:pPr>
        <w:pStyle w:val="Default"/>
        <w:jc w:val="both"/>
        <w:rPr>
          <w:rFonts w:ascii="Century Gothic" w:hAnsi="Century Gothic"/>
          <w:sz w:val="20"/>
          <w:szCs w:val="20"/>
          <w:lang w:val="en-US"/>
        </w:rPr>
      </w:pPr>
    </w:p>
    <w:p w14:paraId="3A0C672B" w14:textId="77777777" w:rsidR="00CF7E5D" w:rsidRPr="00393112" w:rsidRDefault="00CF7E5D" w:rsidP="0060713A">
      <w:pPr>
        <w:pStyle w:val="Default"/>
        <w:jc w:val="both"/>
        <w:rPr>
          <w:rFonts w:ascii="Century Gothic" w:hAnsi="Century Gothic"/>
          <w:i/>
          <w:sz w:val="20"/>
          <w:szCs w:val="20"/>
          <w:lang w:val="en-US"/>
        </w:rPr>
      </w:pPr>
      <w:r w:rsidRPr="00393112">
        <w:rPr>
          <w:rFonts w:ascii="Century Gothic" w:hAnsi="Century Gothic"/>
          <w:i/>
          <w:color w:val="1F497D" w:themeColor="text2"/>
          <w:sz w:val="20"/>
          <w:szCs w:val="20"/>
          <w:lang w:val="en-US"/>
        </w:rPr>
        <w:t>Q1. Do you agree with the minimum list of alternative methods and sources of information defined above for expert based approaches? If not, what others could be included, or which points from the current list should be removed? State your reasons</w:t>
      </w:r>
      <w:r w:rsidRPr="00393112">
        <w:rPr>
          <w:rFonts w:ascii="Century Gothic" w:hAnsi="Century Gothic"/>
          <w:i/>
          <w:sz w:val="20"/>
          <w:szCs w:val="20"/>
          <w:lang w:val="en-US"/>
        </w:rPr>
        <w:t xml:space="preserve">. </w:t>
      </w:r>
    </w:p>
    <w:p w14:paraId="08DEC201" w14:textId="77777777" w:rsidR="00CF7E5D" w:rsidRPr="00393112" w:rsidRDefault="00CF7E5D" w:rsidP="0060713A">
      <w:pPr>
        <w:pStyle w:val="Default"/>
        <w:jc w:val="both"/>
        <w:rPr>
          <w:rFonts w:ascii="Century Gothic" w:hAnsi="Century Gothic"/>
          <w:sz w:val="20"/>
          <w:szCs w:val="20"/>
          <w:lang w:val="en-US"/>
        </w:rPr>
      </w:pPr>
    </w:p>
    <w:p w14:paraId="64C54A9F" w14:textId="0B77BFEC" w:rsidR="00CF7E5D" w:rsidRPr="00393112" w:rsidRDefault="001C3E8D" w:rsidP="0060713A">
      <w:pPr>
        <w:pStyle w:val="Default"/>
        <w:jc w:val="both"/>
        <w:rPr>
          <w:rFonts w:ascii="Century Gothic" w:hAnsi="Century Gothic"/>
          <w:sz w:val="20"/>
          <w:szCs w:val="20"/>
          <w:lang w:val="en-US"/>
        </w:rPr>
      </w:pPr>
      <w:r>
        <w:rPr>
          <w:rFonts w:ascii="Century Gothic" w:hAnsi="Century Gothic"/>
          <w:sz w:val="20"/>
          <w:szCs w:val="20"/>
          <w:lang w:val="en-US"/>
        </w:rPr>
        <w:t xml:space="preserve">No, we do not agree. </w:t>
      </w:r>
      <w:r w:rsidR="00CF7E5D" w:rsidRPr="00393112">
        <w:rPr>
          <w:rFonts w:ascii="Century Gothic" w:hAnsi="Century Gothic"/>
          <w:sz w:val="20"/>
          <w:szCs w:val="20"/>
          <w:lang w:val="en-US"/>
        </w:rPr>
        <w:t xml:space="preserve"> As of alternative </w:t>
      </w:r>
      <w:r w:rsidR="00CF7E5D" w:rsidRPr="00393112">
        <w:rPr>
          <w:rFonts w:ascii="Century Gothic" w:hAnsi="Century Gothic"/>
          <w:b/>
          <w:sz w:val="20"/>
          <w:szCs w:val="20"/>
          <w:lang w:val="en-US"/>
        </w:rPr>
        <w:t>methods</w:t>
      </w:r>
      <w:r w:rsidR="00CF7E5D" w:rsidRPr="00393112">
        <w:rPr>
          <w:rFonts w:ascii="Century Gothic" w:hAnsi="Century Gothic"/>
          <w:sz w:val="20"/>
          <w:szCs w:val="20"/>
          <w:lang w:val="en-US"/>
        </w:rPr>
        <w:t xml:space="preserve"> we propose to use approaches based on the one defined in the IFRS 13 </w:t>
      </w:r>
      <w:r w:rsidR="00CF7E5D" w:rsidRPr="00393112">
        <w:rPr>
          <w:rFonts w:ascii="Century Gothic" w:hAnsi="Century Gothic"/>
          <w:i/>
          <w:sz w:val="20"/>
          <w:szCs w:val="20"/>
          <w:lang w:val="en-US"/>
        </w:rPr>
        <w:t>Fair Value Measurement</w:t>
      </w:r>
      <w:r w:rsidR="00CF7E5D" w:rsidRPr="00393112">
        <w:rPr>
          <w:rFonts w:ascii="Century Gothic" w:hAnsi="Century Gothic"/>
          <w:sz w:val="20"/>
          <w:szCs w:val="20"/>
          <w:lang w:val="en-US"/>
        </w:rPr>
        <w:t>, namely:</w:t>
      </w:r>
    </w:p>
    <w:p w14:paraId="7FCCA0AE" w14:textId="77777777" w:rsidR="00CF7E5D" w:rsidRPr="00393112" w:rsidRDefault="008D1867" w:rsidP="0060713A">
      <w:pPr>
        <w:pStyle w:val="Default"/>
        <w:numPr>
          <w:ilvl w:val="0"/>
          <w:numId w:val="1"/>
        </w:numPr>
        <w:jc w:val="both"/>
        <w:rPr>
          <w:rFonts w:ascii="Century Gothic" w:hAnsi="Century Gothic"/>
          <w:sz w:val="20"/>
          <w:szCs w:val="20"/>
          <w:lang w:val="en-US"/>
        </w:rPr>
      </w:pPr>
      <w:r w:rsidRPr="00393112">
        <w:rPr>
          <w:rFonts w:ascii="Century Gothic" w:hAnsi="Century Gothic"/>
          <w:sz w:val="20"/>
          <w:szCs w:val="20"/>
          <w:lang w:val="en-US"/>
        </w:rPr>
        <w:t>Market approach, including the usage of proxies for the valuation</w:t>
      </w:r>
      <w:r w:rsidR="00CF7E5D" w:rsidRPr="00393112">
        <w:rPr>
          <w:rFonts w:ascii="Century Gothic" w:hAnsi="Century Gothic"/>
          <w:sz w:val="20"/>
          <w:szCs w:val="20"/>
          <w:lang w:val="en-US"/>
        </w:rPr>
        <w:t>;</w:t>
      </w:r>
    </w:p>
    <w:p w14:paraId="683D3B21" w14:textId="77777777" w:rsidR="00CF7E5D" w:rsidRPr="00393112" w:rsidRDefault="008D1867" w:rsidP="0060713A">
      <w:pPr>
        <w:pStyle w:val="Default"/>
        <w:numPr>
          <w:ilvl w:val="0"/>
          <w:numId w:val="1"/>
        </w:numPr>
        <w:jc w:val="both"/>
        <w:rPr>
          <w:rFonts w:ascii="Century Gothic" w:hAnsi="Century Gothic"/>
          <w:sz w:val="20"/>
          <w:szCs w:val="20"/>
          <w:lang w:val="en-US"/>
        </w:rPr>
      </w:pPr>
      <w:r w:rsidRPr="00393112">
        <w:rPr>
          <w:rFonts w:ascii="Century Gothic" w:hAnsi="Century Gothic"/>
          <w:sz w:val="20"/>
          <w:szCs w:val="20"/>
          <w:lang w:val="en-US"/>
        </w:rPr>
        <w:t>Cost approach;</w:t>
      </w:r>
    </w:p>
    <w:p w14:paraId="10124E03" w14:textId="77777777" w:rsidR="008D1867" w:rsidRPr="00393112" w:rsidRDefault="008D1867" w:rsidP="0060713A">
      <w:pPr>
        <w:pStyle w:val="Default"/>
        <w:numPr>
          <w:ilvl w:val="0"/>
          <w:numId w:val="1"/>
        </w:numPr>
        <w:jc w:val="both"/>
        <w:rPr>
          <w:rFonts w:ascii="Century Gothic" w:hAnsi="Century Gothic"/>
          <w:sz w:val="20"/>
          <w:szCs w:val="20"/>
          <w:lang w:val="en-US"/>
        </w:rPr>
      </w:pPr>
      <w:r w:rsidRPr="00393112">
        <w:rPr>
          <w:rFonts w:ascii="Century Gothic" w:hAnsi="Century Gothic"/>
          <w:sz w:val="20"/>
          <w:szCs w:val="20"/>
          <w:lang w:val="en-US"/>
        </w:rPr>
        <w:t>Income approach.</w:t>
      </w:r>
    </w:p>
    <w:p w14:paraId="29478795" w14:textId="77777777" w:rsidR="008D1867" w:rsidRPr="00393112" w:rsidRDefault="008D1867" w:rsidP="0060713A">
      <w:pPr>
        <w:pStyle w:val="Default"/>
        <w:jc w:val="both"/>
        <w:rPr>
          <w:rFonts w:ascii="Century Gothic" w:hAnsi="Century Gothic"/>
          <w:sz w:val="20"/>
          <w:szCs w:val="20"/>
          <w:lang w:val="en-US"/>
        </w:rPr>
      </w:pPr>
      <w:r w:rsidRPr="00393112">
        <w:rPr>
          <w:rFonts w:ascii="Century Gothic" w:hAnsi="Century Gothic"/>
          <w:sz w:val="20"/>
          <w:szCs w:val="20"/>
          <w:lang w:val="en-US"/>
        </w:rPr>
        <w:t>Each of the methods stated can be enhanced to reflect the prudential consideration (for example, the entity can use market approach with prudential shifts of the valuation inputs).</w:t>
      </w:r>
    </w:p>
    <w:p w14:paraId="38292556" w14:textId="77777777" w:rsidR="008D1867" w:rsidRPr="00393112" w:rsidRDefault="008D1867" w:rsidP="0060713A">
      <w:pPr>
        <w:pStyle w:val="Default"/>
        <w:jc w:val="both"/>
        <w:rPr>
          <w:rFonts w:ascii="Century Gothic" w:hAnsi="Century Gothic"/>
          <w:sz w:val="20"/>
          <w:szCs w:val="20"/>
          <w:lang w:val="en-US"/>
        </w:rPr>
      </w:pPr>
      <w:r w:rsidRPr="00393112">
        <w:rPr>
          <w:rFonts w:ascii="Century Gothic" w:hAnsi="Century Gothic"/>
          <w:sz w:val="20"/>
          <w:szCs w:val="20"/>
          <w:lang w:val="en-US"/>
        </w:rPr>
        <w:t xml:space="preserve">Consequently alternative </w:t>
      </w:r>
      <w:r w:rsidRPr="00393112">
        <w:rPr>
          <w:rFonts w:ascii="Century Gothic" w:hAnsi="Century Gothic"/>
          <w:b/>
          <w:sz w:val="20"/>
          <w:szCs w:val="20"/>
          <w:lang w:val="en-US"/>
        </w:rPr>
        <w:t>sources of information</w:t>
      </w:r>
      <w:r w:rsidRPr="00393112">
        <w:rPr>
          <w:rFonts w:ascii="Century Gothic" w:hAnsi="Century Gothic"/>
          <w:sz w:val="20"/>
          <w:szCs w:val="20"/>
          <w:lang w:val="en-US"/>
        </w:rPr>
        <w:t xml:space="preserve"> may include:</w:t>
      </w:r>
    </w:p>
    <w:p w14:paraId="1D8A35A7" w14:textId="77777777" w:rsidR="008D1867" w:rsidRPr="00393112" w:rsidRDefault="008D1867" w:rsidP="0060713A">
      <w:pPr>
        <w:pStyle w:val="Default"/>
        <w:numPr>
          <w:ilvl w:val="0"/>
          <w:numId w:val="1"/>
        </w:numPr>
        <w:jc w:val="both"/>
        <w:rPr>
          <w:rFonts w:ascii="Century Gothic" w:hAnsi="Century Gothic"/>
          <w:sz w:val="20"/>
          <w:szCs w:val="20"/>
          <w:lang w:val="en-US"/>
        </w:rPr>
      </w:pPr>
      <w:r w:rsidRPr="00393112">
        <w:rPr>
          <w:rFonts w:ascii="Century Gothic" w:hAnsi="Century Gothic"/>
          <w:sz w:val="20"/>
          <w:szCs w:val="20"/>
          <w:lang w:val="en-US"/>
        </w:rPr>
        <w:t xml:space="preserve">Market indexes, </w:t>
      </w:r>
      <w:r w:rsidR="008216C2" w:rsidRPr="00393112">
        <w:rPr>
          <w:rFonts w:ascii="Century Gothic" w:hAnsi="Century Gothic"/>
          <w:sz w:val="20"/>
          <w:szCs w:val="20"/>
          <w:lang w:val="en-US"/>
        </w:rPr>
        <w:t>interest rates and yield curves</w:t>
      </w:r>
      <w:r w:rsidRPr="00393112">
        <w:rPr>
          <w:rFonts w:ascii="Century Gothic" w:hAnsi="Century Gothic"/>
          <w:sz w:val="20"/>
          <w:szCs w:val="20"/>
          <w:lang w:val="en-US"/>
        </w:rPr>
        <w:t xml:space="preserve">, </w:t>
      </w:r>
      <w:r w:rsidR="00356FD5" w:rsidRPr="00393112">
        <w:rPr>
          <w:rFonts w:ascii="Century Gothic" w:hAnsi="Century Gothic"/>
          <w:sz w:val="20"/>
          <w:szCs w:val="20"/>
          <w:lang w:val="en-US"/>
        </w:rPr>
        <w:t>benchmark curves, market estimation of def</w:t>
      </w:r>
      <w:r w:rsidR="003A04B7" w:rsidRPr="00393112">
        <w:rPr>
          <w:rFonts w:ascii="Century Gothic" w:hAnsi="Century Gothic"/>
          <w:sz w:val="20"/>
          <w:szCs w:val="20"/>
          <w:lang w:val="en-US"/>
        </w:rPr>
        <w:t xml:space="preserve">ault probabilities (CDs curves), </w:t>
      </w:r>
      <w:r w:rsidR="008216C2" w:rsidRPr="00393112">
        <w:rPr>
          <w:rFonts w:ascii="Century Gothic" w:hAnsi="Century Gothic"/>
          <w:sz w:val="20"/>
          <w:szCs w:val="20"/>
          <w:lang w:val="en-US"/>
        </w:rPr>
        <w:t>implied volatilities;</w:t>
      </w:r>
    </w:p>
    <w:p w14:paraId="5A39003D" w14:textId="77777777" w:rsidR="008216C2" w:rsidRPr="00393112" w:rsidRDefault="008216C2" w:rsidP="0060713A">
      <w:pPr>
        <w:pStyle w:val="Default"/>
        <w:numPr>
          <w:ilvl w:val="0"/>
          <w:numId w:val="1"/>
        </w:numPr>
        <w:jc w:val="both"/>
        <w:rPr>
          <w:rFonts w:ascii="Century Gothic" w:hAnsi="Century Gothic"/>
          <w:sz w:val="20"/>
          <w:szCs w:val="20"/>
          <w:lang w:val="en-US"/>
        </w:rPr>
      </w:pPr>
      <w:r w:rsidRPr="00393112">
        <w:rPr>
          <w:rFonts w:ascii="Century Gothic" w:hAnsi="Century Gothic"/>
          <w:sz w:val="20"/>
          <w:szCs w:val="20"/>
          <w:lang w:val="en-US"/>
        </w:rPr>
        <w:t>Historical volatilities;</w:t>
      </w:r>
    </w:p>
    <w:p w14:paraId="57CB0351" w14:textId="77777777" w:rsidR="008D1867" w:rsidRPr="00393112" w:rsidRDefault="008D1867" w:rsidP="0060713A">
      <w:pPr>
        <w:pStyle w:val="Default"/>
        <w:numPr>
          <w:ilvl w:val="0"/>
          <w:numId w:val="1"/>
        </w:numPr>
        <w:jc w:val="both"/>
        <w:rPr>
          <w:rFonts w:ascii="Century Gothic" w:hAnsi="Century Gothic"/>
          <w:sz w:val="20"/>
          <w:szCs w:val="20"/>
          <w:lang w:val="en-US"/>
        </w:rPr>
      </w:pPr>
      <w:r w:rsidRPr="00393112">
        <w:rPr>
          <w:rFonts w:ascii="Century Gothic" w:hAnsi="Century Gothic"/>
          <w:sz w:val="20"/>
          <w:szCs w:val="20"/>
          <w:lang w:val="en-US"/>
        </w:rPr>
        <w:t>Statement about credit worthiness of issuer / counterpart, including internal/external rating and financial statements of issuer / counterpart;</w:t>
      </w:r>
    </w:p>
    <w:p w14:paraId="224B2E7E" w14:textId="77777777" w:rsidR="008D1867" w:rsidRPr="00393112" w:rsidRDefault="00356FD5" w:rsidP="0060713A">
      <w:pPr>
        <w:pStyle w:val="Default"/>
        <w:numPr>
          <w:ilvl w:val="0"/>
          <w:numId w:val="1"/>
        </w:numPr>
        <w:jc w:val="both"/>
        <w:rPr>
          <w:rFonts w:ascii="Century Gothic" w:hAnsi="Century Gothic"/>
          <w:sz w:val="20"/>
          <w:szCs w:val="20"/>
          <w:lang w:val="en-US"/>
        </w:rPr>
      </w:pPr>
      <w:r w:rsidRPr="00393112">
        <w:rPr>
          <w:rFonts w:ascii="Century Gothic" w:hAnsi="Century Gothic"/>
          <w:sz w:val="20"/>
          <w:szCs w:val="20"/>
          <w:lang w:val="en-US"/>
        </w:rPr>
        <w:t>Probabilities of default attached to internal / external ratings;</w:t>
      </w:r>
    </w:p>
    <w:p w14:paraId="3943591D" w14:textId="77777777" w:rsidR="00356FD5" w:rsidRPr="00393112" w:rsidRDefault="00356FD5" w:rsidP="0060713A">
      <w:pPr>
        <w:pStyle w:val="Default"/>
        <w:numPr>
          <w:ilvl w:val="0"/>
          <w:numId w:val="1"/>
        </w:numPr>
        <w:jc w:val="both"/>
        <w:rPr>
          <w:rFonts w:ascii="Century Gothic" w:hAnsi="Century Gothic"/>
          <w:sz w:val="20"/>
          <w:szCs w:val="20"/>
          <w:lang w:val="en-US"/>
        </w:rPr>
      </w:pPr>
      <w:r w:rsidRPr="00393112">
        <w:rPr>
          <w:rFonts w:ascii="Century Gothic" w:hAnsi="Century Gothic"/>
          <w:sz w:val="20"/>
          <w:szCs w:val="20"/>
          <w:lang w:val="en-US"/>
        </w:rPr>
        <w:t>Statement about creditworthiness of issuer / counterpart industry sector</w:t>
      </w:r>
      <w:r w:rsidR="003A04B7" w:rsidRPr="00393112">
        <w:rPr>
          <w:rFonts w:ascii="Century Gothic" w:hAnsi="Century Gothic"/>
          <w:sz w:val="20"/>
          <w:szCs w:val="20"/>
          <w:lang w:val="en-US"/>
        </w:rPr>
        <w:t xml:space="preserve"> / country, their internal / external ratings and probabilities of default.</w:t>
      </w:r>
    </w:p>
    <w:p w14:paraId="0FDB67E6" w14:textId="77777777" w:rsidR="00CF7E5D" w:rsidRPr="00393112" w:rsidRDefault="00CF7E5D" w:rsidP="0060713A">
      <w:pPr>
        <w:pStyle w:val="Default"/>
        <w:jc w:val="both"/>
        <w:rPr>
          <w:rFonts w:ascii="Century Gothic" w:hAnsi="Century Gothic"/>
          <w:sz w:val="20"/>
          <w:szCs w:val="20"/>
          <w:lang w:val="en-US"/>
        </w:rPr>
      </w:pPr>
    </w:p>
    <w:p w14:paraId="6F2DA95C" w14:textId="77777777" w:rsidR="00CF7E5D" w:rsidRPr="00393112" w:rsidRDefault="00CF7E5D" w:rsidP="0060713A">
      <w:pPr>
        <w:pStyle w:val="Default"/>
        <w:jc w:val="both"/>
        <w:rPr>
          <w:rFonts w:ascii="Century Gothic" w:hAnsi="Century Gothic"/>
          <w:sz w:val="20"/>
          <w:szCs w:val="20"/>
          <w:lang w:val="en-US"/>
        </w:rPr>
      </w:pPr>
    </w:p>
    <w:p w14:paraId="45C72136" w14:textId="77777777" w:rsidR="00CF7E5D" w:rsidRPr="00393112" w:rsidRDefault="00CF7E5D" w:rsidP="0060713A">
      <w:pPr>
        <w:pStyle w:val="Default"/>
        <w:jc w:val="both"/>
        <w:rPr>
          <w:rFonts w:ascii="Century Gothic" w:hAnsi="Century Gothic"/>
          <w:i/>
          <w:color w:val="1F497D" w:themeColor="text2"/>
          <w:sz w:val="20"/>
          <w:szCs w:val="20"/>
          <w:lang w:val="en-US"/>
        </w:rPr>
      </w:pPr>
      <w:r w:rsidRPr="00393112">
        <w:rPr>
          <w:rFonts w:ascii="Century Gothic" w:hAnsi="Century Gothic"/>
          <w:i/>
          <w:color w:val="1F497D" w:themeColor="text2"/>
          <w:sz w:val="20"/>
          <w:szCs w:val="20"/>
          <w:lang w:val="en-US"/>
        </w:rPr>
        <w:t xml:space="preserve">Q2. Do you agree with the introduction of a threshold below which a simplified approach can be applied to calculate AVAs? If so, do you agree that the threshold should be defined as above? State your reasons. </w:t>
      </w:r>
    </w:p>
    <w:p w14:paraId="0351F8F3" w14:textId="77777777" w:rsidR="00FD530D" w:rsidRPr="00393112" w:rsidRDefault="00FD530D" w:rsidP="0060713A">
      <w:pPr>
        <w:pStyle w:val="Default"/>
        <w:jc w:val="both"/>
        <w:rPr>
          <w:rFonts w:ascii="Century Gothic" w:hAnsi="Century Gothic"/>
          <w:sz w:val="20"/>
          <w:szCs w:val="20"/>
          <w:lang w:val="en-US"/>
        </w:rPr>
      </w:pPr>
    </w:p>
    <w:p w14:paraId="7AC83E11" w14:textId="18701F51" w:rsidR="00FD530D" w:rsidRPr="00393112" w:rsidRDefault="00FD530D" w:rsidP="0060713A">
      <w:pPr>
        <w:pStyle w:val="Default"/>
        <w:jc w:val="both"/>
        <w:rPr>
          <w:rFonts w:ascii="Century Gothic" w:hAnsi="Century Gothic"/>
          <w:sz w:val="20"/>
          <w:szCs w:val="20"/>
          <w:lang w:val="en-US"/>
        </w:rPr>
      </w:pPr>
      <w:r w:rsidRPr="00393112">
        <w:rPr>
          <w:rFonts w:ascii="Century Gothic" w:hAnsi="Century Gothic"/>
          <w:sz w:val="20"/>
          <w:szCs w:val="20"/>
          <w:lang w:val="en-US"/>
        </w:rPr>
        <w:t>Yes, we believe that institutions which do not have significant exposures measured at Fair Value should apply the simplified approach. From the other side we found more reasonable to define a threshold as a percentage of total assets</w:t>
      </w:r>
      <w:r w:rsidR="001C3E8D">
        <w:rPr>
          <w:rFonts w:ascii="Century Gothic" w:hAnsi="Century Gothic"/>
          <w:sz w:val="20"/>
          <w:szCs w:val="20"/>
          <w:lang w:val="en-US"/>
        </w:rPr>
        <w:t xml:space="preserve"> OR minimum </w:t>
      </w:r>
      <w:r w:rsidRPr="00393112">
        <w:rPr>
          <w:rFonts w:ascii="Century Gothic" w:hAnsi="Century Gothic"/>
          <w:sz w:val="20"/>
          <w:szCs w:val="20"/>
          <w:lang w:val="en-US"/>
        </w:rPr>
        <w:t>absolute value.</w:t>
      </w:r>
      <w:r w:rsidR="001C3E8D">
        <w:rPr>
          <w:rFonts w:ascii="Century Gothic" w:hAnsi="Century Gothic"/>
          <w:sz w:val="20"/>
          <w:szCs w:val="20"/>
          <w:lang w:val="en-US"/>
        </w:rPr>
        <w:t xml:space="preserve"> (For example: the simplified approach cannot be applied of  the sum of absolute values of on- and off-balance sheet fair value positions is more than 25% of total assets or more than EUR 15 bn.)</w:t>
      </w:r>
    </w:p>
    <w:p w14:paraId="3D3D3F47" w14:textId="77777777" w:rsidR="00FD530D" w:rsidRDefault="00FD530D" w:rsidP="0060713A">
      <w:pPr>
        <w:pStyle w:val="Default"/>
        <w:jc w:val="both"/>
        <w:rPr>
          <w:rFonts w:ascii="Century Gothic" w:hAnsi="Century Gothic"/>
          <w:sz w:val="20"/>
          <w:szCs w:val="20"/>
          <w:lang w:val="en-US"/>
        </w:rPr>
      </w:pPr>
    </w:p>
    <w:p w14:paraId="0C0A7F27" w14:textId="77777777" w:rsidR="001C3E8D" w:rsidRPr="00393112" w:rsidRDefault="001C3E8D" w:rsidP="0060713A">
      <w:pPr>
        <w:pStyle w:val="Default"/>
        <w:jc w:val="both"/>
        <w:rPr>
          <w:rFonts w:ascii="Century Gothic" w:hAnsi="Century Gothic"/>
          <w:sz w:val="20"/>
          <w:szCs w:val="20"/>
          <w:lang w:val="en-US"/>
        </w:rPr>
      </w:pPr>
    </w:p>
    <w:p w14:paraId="71B14F3F" w14:textId="77777777" w:rsidR="00FD530D" w:rsidRPr="00393112" w:rsidRDefault="00CF7E5D" w:rsidP="0060713A">
      <w:pPr>
        <w:pStyle w:val="Default"/>
        <w:jc w:val="both"/>
        <w:rPr>
          <w:rFonts w:ascii="Century Gothic" w:hAnsi="Century Gothic"/>
          <w:i/>
          <w:color w:val="1F497D" w:themeColor="text2"/>
          <w:sz w:val="20"/>
          <w:szCs w:val="20"/>
          <w:lang w:val="en-US"/>
        </w:rPr>
      </w:pPr>
      <w:r w:rsidRPr="00393112">
        <w:rPr>
          <w:rFonts w:ascii="Century Gothic" w:hAnsi="Century Gothic"/>
          <w:i/>
          <w:color w:val="1F497D" w:themeColor="text2"/>
          <w:sz w:val="20"/>
          <w:szCs w:val="20"/>
          <w:lang w:val="en-US"/>
        </w:rPr>
        <w:t xml:space="preserve">Q3. Do you believe there are any practical issues with a parent institution being required to apply the ‘core approach’ to all fair value positions whilst a subsidiary is allowed to apply the simplified approach? State your reasons. </w:t>
      </w:r>
    </w:p>
    <w:p w14:paraId="3A3A1687" w14:textId="77777777" w:rsidR="00FD530D" w:rsidRPr="00393112" w:rsidRDefault="00FD530D" w:rsidP="0060713A">
      <w:pPr>
        <w:pStyle w:val="Default"/>
        <w:jc w:val="both"/>
        <w:rPr>
          <w:rFonts w:ascii="Century Gothic" w:hAnsi="Century Gothic"/>
          <w:sz w:val="20"/>
          <w:szCs w:val="20"/>
          <w:lang w:val="en-US"/>
        </w:rPr>
      </w:pPr>
    </w:p>
    <w:p w14:paraId="7EDC046C" w14:textId="4EACD9B6" w:rsidR="001C3E8D" w:rsidRDefault="001C3E8D" w:rsidP="0060713A">
      <w:pPr>
        <w:pStyle w:val="Default"/>
        <w:tabs>
          <w:tab w:val="left" w:pos="2717"/>
        </w:tabs>
        <w:jc w:val="both"/>
        <w:rPr>
          <w:rFonts w:ascii="Century Gothic" w:hAnsi="Century Gothic"/>
          <w:sz w:val="20"/>
          <w:szCs w:val="20"/>
          <w:lang w:val="en-US"/>
        </w:rPr>
      </w:pPr>
      <w:r>
        <w:rPr>
          <w:rFonts w:ascii="Century Gothic" w:hAnsi="Century Gothic"/>
          <w:sz w:val="20"/>
          <w:szCs w:val="20"/>
          <w:lang w:val="en-US"/>
        </w:rPr>
        <w:t>We do not see any issues here.</w:t>
      </w:r>
    </w:p>
    <w:p w14:paraId="59A29EA4" w14:textId="77777777" w:rsidR="001C3E8D" w:rsidRDefault="001C3E8D" w:rsidP="0060713A">
      <w:pPr>
        <w:pStyle w:val="Default"/>
        <w:tabs>
          <w:tab w:val="left" w:pos="2717"/>
        </w:tabs>
        <w:jc w:val="both"/>
        <w:rPr>
          <w:rFonts w:ascii="Century Gothic" w:hAnsi="Century Gothic"/>
          <w:sz w:val="20"/>
          <w:szCs w:val="20"/>
          <w:lang w:val="en-US"/>
        </w:rPr>
      </w:pPr>
    </w:p>
    <w:p w14:paraId="6285BF76" w14:textId="77777777" w:rsidR="00FD530D" w:rsidRPr="00393112" w:rsidRDefault="00FD530D" w:rsidP="0060713A">
      <w:pPr>
        <w:pStyle w:val="Default"/>
        <w:tabs>
          <w:tab w:val="left" w:pos="2717"/>
        </w:tabs>
        <w:jc w:val="both"/>
        <w:rPr>
          <w:rFonts w:ascii="Century Gothic" w:hAnsi="Century Gothic"/>
          <w:sz w:val="20"/>
          <w:szCs w:val="20"/>
          <w:lang w:val="en-US"/>
        </w:rPr>
      </w:pPr>
      <w:r w:rsidRPr="00393112">
        <w:rPr>
          <w:rFonts w:ascii="Century Gothic" w:hAnsi="Century Gothic"/>
          <w:sz w:val="20"/>
          <w:szCs w:val="20"/>
          <w:lang w:val="en-US"/>
        </w:rPr>
        <w:tab/>
      </w:r>
    </w:p>
    <w:p w14:paraId="400F0721" w14:textId="77777777" w:rsidR="00CF7E5D" w:rsidRPr="00393112" w:rsidRDefault="00CF7E5D" w:rsidP="0060713A">
      <w:pPr>
        <w:pStyle w:val="Default"/>
        <w:jc w:val="both"/>
        <w:rPr>
          <w:rFonts w:ascii="Century Gothic" w:hAnsi="Century Gothic"/>
          <w:i/>
          <w:color w:val="1F497D" w:themeColor="text2"/>
          <w:sz w:val="20"/>
          <w:szCs w:val="20"/>
          <w:lang w:val="en-US"/>
        </w:rPr>
      </w:pPr>
      <w:r w:rsidRPr="00393112">
        <w:rPr>
          <w:rFonts w:ascii="Century Gothic" w:hAnsi="Century Gothic"/>
          <w:i/>
          <w:color w:val="1F497D" w:themeColor="text2"/>
          <w:sz w:val="20"/>
          <w:szCs w:val="20"/>
          <w:lang w:val="en-US"/>
        </w:rPr>
        <w:lastRenderedPageBreak/>
        <w:t>Q4. Do you agree with the proposed simplified approach? Do you think the risk sensitiveness of the approach is appropriate? Are there alternative approaches that you believe would be more a</w:t>
      </w:r>
      <w:r w:rsidR="00FB70B4" w:rsidRPr="00393112">
        <w:rPr>
          <w:rFonts w:ascii="Century Gothic" w:hAnsi="Century Gothic"/>
          <w:i/>
          <w:color w:val="1F497D" w:themeColor="text2"/>
          <w:sz w:val="20"/>
          <w:szCs w:val="20"/>
          <w:lang w:val="en-US"/>
        </w:rPr>
        <w:t>ppropriate? State your reasons.</w:t>
      </w:r>
    </w:p>
    <w:p w14:paraId="1B916118" w14:textId="77777777" w:rsidR="00FB70B4" w:rsidRPr="00393112" w:rsidRDefault="00FB70B4" w:rsidP="0060713A">
      <w:pPr>
        <w:pStyle w:val="Default"/>
        <w:jc w:val="both"/>
        <w:rPr>
          <w:rFonts w:ascii="Century Gothic" w:hAnsi="Century Gothic"/>
          <w:i/>
          <w:sz w:val="20"/>
          <w:szCs w:val="20"/>
          <w:lang w:val="en-US"/>
        </w:rPr>
      </w:pPr>
    </w:p>
    <w:p w14:paraId="3346A2F9" w14:textId="1F4E4FF3" w:rsidR="00FB70B4" w:rsidRDefault="00FB70B4" w:rsidP="0060713A">
      <w:pPr>
        <w:pStyle w:val="Default"/>
        <w:jc w:val="both"/>
        <w:rPr>
          <w:rFonts w:ascii="Century Gothic" w:hAnsi="Century Gothic"/>
          <w:sz w:val="20"/>
          <w:szCs w:val="20"/>
          <w:lang w:val="en-US"/>
        </w:rPr>
      </w:pPr>
      <w:r w:rsidRPr="00393112">
        <w:rPr>
          <w:rFonts w:ascii="Century Gothic" w:hAnsi="Century Gothic"/>
          <w:sz w:val="20"/>
          <w:szCs w:val="20"/>
          <w:lang w:val="en-US"/>
        </w:rPr>
        <w:t xml:space="preserve">No, we do not agree. </w:t>
      </w:r>
      <w:r w:rsidR="001C3E8D">
        <w:rPr>
          <w:rFonts w:ascii="Century Gothic" w:hAnsi="Century Gothic"/>
          <w:sz w:val="20"/>
          <w:szCs w:val="20"/>
          <w:lang w:val="en-US"/>
        </w:rPr>
        <w:t xml:space="preserve">As we have stated in the section </w:t>
      </w:r>
      <w:r w:rsidR="001C3E8D">
        <w:rPr>
          <w:rFonts w:ascii="Century Gothic" w:hAnsi="Century Gothic"/>
          <w:i/>
          <w:sz w:val="20"/>
          <w:szCs w:val="20"/>
          <w:lang w:val="en-US"/>
        </w:rPr>
        <w:t>Proposals</w:t>
      </w:r>
      <w:r w:rsidR="001C3E8D">
        <w:rPr>
          <w:rFonts w:ascii="Century Gothic" w:hAnsi="Century Gothic"/>
          <w:sz w:val="20"/>
          <w:szCs w:val="20"/>
          <w:lang w:val="en-US"/>
        </w:rPr>
        <w:t xml:space="preserve"> we understand</w:t>
      </w:r>
      <w:r w:rsidR="000338E3">
        <w:rPr>
          <w:rFonts w:ascii="Century Gothic" w:hAnsi="Century Gothic"/>
          <w:sz w:val="20"/>
          <w:szCs w:val="20"/>
          <w:lang w:val="en-US"/>
        </w:rPr>
        <w:t xml:space="preserve"> valuation adjustments as adjustments needed to cover</w:t>
      </w:r>
      <w:r w:rsidR="001C3E8D">
        <w:rPr>
          <w:rFonts w:ascii="Century Gothic" w:hAnsi="Century Gothic"/>
          <w:sz w:val="20"/>
          <w:szCs w:val="20"/>
          <w:lang w:val="en-US"/>
        </w:rPr>
        <w:t xml:space="preserve"> the </w:t>
      </w:r>
      <w:r w:rsidR="001C3E8D" w:rsidRPr="001C3E8D">
        <w:rPr>
          <w:rFonts w:ascii="Century Gothic" w:hAnsi="Century Gothic"/>
          <w:sz w:val="20"/>
          <w:szCs w:val="20"/>
          <w:lang w:val="en-US"/>
        </w:rPr>
        <w:t>risk connected with non-precise or inaccurate valuation of positions caused</w:t>
      </w:r>
      <w:r w:rsidR="000338E3">
        <w:rPr>
          <w:rFonts w:ascii="Century Gothic" w:hAnsi="Century Gothic"/>
          <w:sz w:val="20"/>
          <w:szCs w:val="20"/>
          <w:lang w:val="en-US"/>
        </w:rPr>
        <w:t xml:space="preserve"> by product complexity or illiquidity. Therefore we do not see any connections of abovementioned factors with unrealized profit or market value of underlying positions. According to the proposed approach the position with unrealized loss will not produce any valuation adjustment which is not logical on our opinion. We would notice that position with significant unrealized losses quite often represents illiquid positions, subject to market uncertainty. To summarize, the proposed simplified approach on our view will lead to distorted estimation of valuation uncertainty in the institution’s balance sheet.</w:t>
      </w:r>
    </w:p>
    <w:p w14:paraId="7A1C3009" w14:textId="03088414" w:rsidR="00AA5DB6" w:rsidRPr="00393112" w:rsidRDefault="000338E3" w:rsidP="0060713A">
      <w:pPr>
        <w:pStyle w:val="ListParagraph"/>
        <w:ind w:left="0" w:firstLine="708"/>
        <w:jc w:val="both"/>
        <w:rPr>
          <w:rFonts w:ascii="Century Gothic" w:hAnsi="Century Gothic"/>
          <w:sz w:val="20"/>
          <w:szCs w:val="20"/>
          <w:lang w:val="en-US"/>
        </w:rPr>
      </w:pPr>
      <w:r>
        <w:rPr>
          <w:rFonts w:ascii="Century Gothic" w:hAnsi="Century Gothic"/>
          <w:sz w:val="20"/>
          <w:szCs w:val="20"/>
          <w:lang w:val="en-US"/>
        </w:rPr>
        <w:t xml:space="preserve">As an alternative approach </w:t>
      </w:r>
      <w:r w:rsidR="00AA5DB6">
        <w:rPr>
          <w:rFonts w:ascii="Century Gothic" w:hAnsi="Century Gothic"/>
          <w:sz w:val="20"/>
          <w:szCs w:val="20"/>
          <w:lang w:val="en-US"/>
        </w:rPr>
        <w:t xml:space="preserve">we would propose to use the following (similar to the standard approach for </w:t>
      </w:r>
      <w:r w:rsidR="00AA5DB6" w:rsidRPr="00AA5DB6">
        <w:rPr>
          <w:rFonts w:ascii="Century Gothic" w:hAnsi="Century Gothic"/>
          <w:i/>
          <w:sz w:val="20"/>
          <w:szCs w:val="20"/>
          <w:lang w:val="en-US"/>
        </w:rPr>
        <w:t>market price uncertainty</w:t>
      </w:r>
      <w:r w:rsidR="00AA5DB6">
        <w:rPr>
          <w:rFonts w:ascii="Century Gothic" w:hAnsi="Century Gothic"/>
          <w:sz w:val="20"/>
          <w:szCs w:val="20"/>
          <w:lang w:val="en-US"/>
        </w:rPr>
        <w:t xml:space="preserve"> in our proposals) algorithm: </w:t>
      </w:r>
      <w:r w:rsidR="00AA5DB6" w:rsidRPr="00393112">
        <w:rPr>
          <w:rFonts w:ascii="Century Gothic" w:hAnsi="Century Gothic"/>
          <w:sz w:val="20"/>
          <w:szCs w:val="20"/>
          <w:lang w:val="en-US"/>
        </w:rPr>
        <w:t xml:space="preserve">notional </w:t>
      </w:r>
      <w:r w:rsidR="00AA5DB6">
        <w:rPr>
          <w:rFonts w:ascii="Century Gothic" w:hAnsi="Century Gothic"/>
          <w:sz w:val="20"/>
          <w:szCs w:val="20"/>
          <w:lang w:val="en-US"/>
        </w:rPr>
        <w:t xml:space="preserve">netted </w:t>
      </w:r>
      <w:r w:rsidR="00AA5DB6" w:rsidRPr="00393112">
        <w:rPr>
          <w:rFonts w:ascii="Century Gothic" w:hAnsi="Century Gothic"/>
          <w:sz w:val="20"/>
          <w:szCs w:val="20"/>
          <w:lang w:val="en-US"/>
        </w:rPr>
        <w:t>value of financial instrument multiplied by:</w:t>
      </w:r>
    </w:p>
    <w:p w14:paraId="57836B5D" w14:textId="5B66DF7C" w:rsidR="00AA5DB6" w:rsidRDefault="00AA5DB6" w:rsidP="0060713A">
      <w:pPr>
        <w:pStyle w:val="ListParagraph"/>
        <w:numPr>
          <w:ilvl w:val="0"/>
          <w:numId w:val="1"/>
        </w:numPr>
        <w:jc w:val="both"/>
        <w:rPr>
          <w:rFonts w:ascii="Century Gothic" w:hAnsi="Century Gothic"/>
          <w:sz w:val="20"/>
          <w:szCs w:val="20"/>
          <w:lang w:val="en-US"/>
        </w:rPr>
      </w:pPr>
      <w:r w:rsidRPr="00393112">
        <w:rPr>
          <w:rFonts w:ascii="Century Gothic" w:hAnsi="Century Gothic"/>
          <w:sz w:val="20"/>
          <w:szCs w:val="20"/>
          <w:lang w:val="en-US"/>
        </w:rPr>
        <w:t>1 basis points in case of non-derivative instrument</w:t>
      </w:r>
      <w:r>
        <w:rPr>
          <w:rFonts w:ascii="Century Gothic" w:hAnsi="Century Gothic"/>
          <w:sz w:val="20"/>
          <w:szCs w:val="20"/>
          <w:lang w:val="en-US"/>
        </w:rPr>
        <w:t>;</w:t>
      </w:r>
    </w:p>
    <w:p w14:paraId="618485BB" w14:textId="788E520D" w:rsidR="00AA5DB6" w:rsidRDefault="00AA5DB6" w:rsidP="0060713A">
      <w:pPr>
        <w:pStyle w:val="ListParagraph"/>
        <w:numPr>
          <w:ilvl w:val="0"/>
          <w:numId w:val="1"/>
        </w:numPr>
        <w:jc w:val="both"/>
        <w:rPr>
          <w:rFonts w:ascii="Century Gothic" w:hAnsi="Century Gothic"/>
          <w:sz w:val="20"/>
          <w:szCs w:val="20"/>
          <w:lang w:val="en-US"/>
        </w:rPr>
      </w:pPr>
      <w:r w:rsidRPr="00AA5DB6">
        <w:rPr>
          <w:rFonts w:ascii="Century Gothic" w:hAnsi="Century Gothic"/>
          <w:sz w:val="20"/>
          <w:szCs w:val="20"/>
          <w:lang w:val="en-US"/>
        </w:rPr>
        <w:t>5 basis point in case of derivative instrument</w:t>
      </w:r>
    </w:p>
    <w:p w14:paraId="06EEA819" w14:textId="357DF7DE" w:rsidR="00AA5DB6" w:rsidRDefault="00AA5DB6" w:rsidP="0060713A">
      <w:pPr>
        <w:jc w:val="both"/>
        <w:rPr>
          <w:rFonts w:ascii="Century Gothic" w:hAnsi="Century Gothic"/>
          <w:sz w:val="20"/>
          <w:szCs w:val="20"/>
          <w:lang w:val="en-US"/>
        </w:rPr>
      </w:pPr>
      <w:r>
        <w:rPr>
          <w:rFonts w:ascii="Century Gothic" w:hAnsi="Century Gothic"/>
          <w:sz w:val="20"/>
          <w:szCs w:val="20"/>
          <w:lang w:val="en-US"/>
        </w:rPr>
        <w:t xml:space="preserve">If and only if the financial instrument is attributed to the </w:t>
      </w:r>
      <w:r w:rsidR="005650FF">
        <w:rPr>
          <w:rFonts w:ascii="Century Gothic" w:hAnsi="Century Gothic"/>
          <w:sz w:val="20"/>
          <w:szCs w:val="20"/>
          <w:lang w:val="en-US"/>
        </w:rPr>
        <w:t xml:space="preserve">Fair Value </w:t>
      </w:r>
      <w:r>
        <w:rPr>
          <w:rFonts w:ascii="Century Gothic" w:hAnsi="Century Gothic"/>
          <w:sz w:val="20"/>
          <w:szCs w:val="20"/>
          <w:lang w:val="en-US"/>
        </w:rPr>
        <w:t xml:space="preserve">Level 2 or Level 3 </w:t>
      </w:r>
      <w:r w:rsidR="005650FF">
        <w:rPr>
          <w:rFonts w:ascii="Century Gothic" w:hAnsi="Century Gothic"/>
          <w:sz w:val="20"/>
          <w:szCs w:val="20"/>
          <w:lang w:val="en-US"/>
        </w:rPr>
        <w:t>according to IFRS 12 Fair Value management Hierarchy.</w:t>
      </w:r>
    </w:p>
    <w:p w14:paraId="3C9AC868" w14:textId="1A5DE805" w:rsidR="005650FF" w:rsidRDefault="005650FF" w:rsidP="0060713A">
      <w:pPr>
        <w:jc w:val="both"/>
        <w:rPr>
          <w:rFonts w:ascii="Century Gothic" w:hAnsi="Century Gothic"/>
          <w:sz w:val="20"/>
          <w:szCs w:val="20"/>
          <w:lang w:val="en-US"/>
        </w:rPr>
      </w:pPr>
      <w:r>
        <w:rPr>
          <w:rFonts w:ascii="Century Gothic" w:hAnsi="Century Gothic"/>
          <w:sz w:val="20"/>
          <w:szCs w:val="20"/>
          <w:lang w:val="en-US"/>
        </w:rPr>
        <w:tab/>
        <w:t>Although the proposed approach is very simple, it is covering the most essential valuation uncertainty risks – products and model complexity (via differentiation between non-derivative and derivative positions and Fair value levels) as well as indirectly liquidity, via Fair value hierarchy.</w:t>
      </w:r>
    </w:p>
    <w:p w14:paraId="3FA75A22" w14:textId="77777777" w:rsidR="005650FF" w:rsidRPr="00AA5DB6" w:rsidRDefault="005650FF" w:rsidP="0060713A">
      <w:pPr>
        <w:jc w:val="both"/>
        <w:rPr>
          <w:rFonts w:ascii="Century Gothic" w:hAnsi="Century Gothic"/>
          <w:sz w:val="20"/>
          <w:szCs w:val="20"/>
          <w:lang w:val="en-US"/>
        </w:rPr>
      </w:pPr>
    </w:p>
    <w:p w14:paraId="306C7985" w14:textId="77777777" w:rsidR="00FB70B4" w:rsidRPr="00393112" w:rsidRDefault="00FB70B4" w:rsidP="0060713A">
      <w:pPr>
        <w:pStyle w:val="Default"/>
        <w:jc w:val="both"/>
        <w:rPr>
          <w:rFonts w:ascii="Century Gothic" w:hAnsi="Century Gothic"/>
          <w:sz w:val="20"/>
          <w:szCs w:val="20"/>
          <w:lang w:val="en-US"/>
        </w:rPr>
      </w:pPr>
    </w:p>
    <w:p w14:paraId="357ED574" w14:textId="77777777" w:rsidR="003A04B7" w:rsidRDefault="00CF7E5D" w:rsidP="0060713A">
      <w:pPr>
        <w:pStyle w:val="Default"/>
        <w:jc w:val="both"/>
        <w:rPr>
          <w:rFonts w:ascii="Century Gothic" w:hAnsi="Century Gothic"/>
          <w:i/>
          <w:color w:val="1F497D" w:themeColor="text2"/>
          <w:sz w:val="20"/>
          <w:szCs w:val="20"/>
          <w:lang w:val="en-US"/>
        </w:rPr>
      </w:pPr>
      <w:r w:rsidRPr="005650FF">
        <w:rPr>
          <w:rFonts w:ascii="Century Gothic" w:hAnsi="Century Gothic"/>
          <w:i/>
          <w:color w:val="1F497D" w:themeColor="text2"/>
          <w:sz w:val="20"/>
          <w:szCs w:val="20"/>
          <w:lang w:val="en-US"/>
        </w:rPr>
        <w:t>Q5. Could a differentiated treatment for some asset/liability classes be considered, for example with regard to their liquidity? Please state the pros and cons of such a differentiation. How would you define the degree of liquidity of an asset/liability class (e.g. fair value hierarchy, eligibility for the LCR, other)?</w:t>
      </w:r>
    </w:p>
    <w:p w14:paraId="435E097A" w14:textId="77777777" w:rsidR="005650FF" w:rsidRDefault="005650FF" w:rsidP="0060713A">
      <w:pPr>
        <w:pStyle w:val="Default"/>
        <w:jc w:val="both"/>
        <w:rPr>
          <w:rFonts w:ascii="Century Gothic" w:hAnsi="Century Gothic"/>
          <w:i/>
          <w:color w:val="1F497D" w:themeColor="text2"/>
          <w:sz w:val="20"/>
          <w:szCs w:val="20"/>
          <w:lang w:val="en-US"/>
        </w:rPr>
      </w:pPr>
    </w:p>
    <w:p w14:paraId="099E69B6" w14:textId="4EFEFC28" w:rsidR="005650FF" w:rsidRDefault="005650FF" w:rsidP="0060713A">
      <w:pPr>
        <w:pStyle w:val="Default"/>
        <w:jc w:val="both"/>
        <w:rPr>
          <w:rFonts w:ascii="Century Gothic" w:hAnsi="Century Gothic"/>
          <w:color w:val="auto"/>
          <w:sz w:val="20"/>
          <w:szCs w:val="20"/>
          <w:lang w:val="en-US"/>
        </w:rPr>
      </w:pPr>
      <w:r>
        <w:rPr>
          <w:rFonts w:ascii="Century Gothic" w:hAnsi="Century Gothic"/>
          <w:color w:val="auto"/>
          <w:sz w:val="20"/>
          <w:szCs w:val="20"/>
          <w:lang w:val="en-US"/>
        </w:rPr>
        <w:t xml:space="preserve">On our opinion the liquidity is one of the essential </w:t>
      </w:r>
      <w:r w:rsidR="007A12AE">
        <w:rPr>
          <w:rFonts w:ascii="Century Gothic" w:hAnsi="Century Gothic"/>
          <w:color w:val="auto"/>
          <w:sz w:val="20"/>
          <w:szCs w:val="20"/>
          <w:lang w:val="en-US"/>
        </w:rPr>
        <w:t>inputs</w:t>
      </w:r>
      <w:r>
        <w:rPr>
          <w:rFonts w:ascii="Century Gothic" w:hAnsi="Century Gothic"/>
          <w:color w:val="auto"/>
          <w:sz w:val="20"/>
          <w:szCs w:val="20"/>
          <w:lang w:val="en-US"/>
        </w:rPr>
        <w:t xml:space="preserve"> to the valuation uncertainty. However for the simplified approach we would recommend to keep the algorithm rather s</w:t>
      </w:r>
      <w:r w:rsidR="007A12AE">
        <w:rPr>
          <w:rFonts w:ascii="Century Gothic" w:hAnsi="Century Gothic"/>
          <w:color w:val="auto"/>
          <w:sz w:val="20"/>
          <w:szCs w:val="20"/>
          <w:lang w:val="en-US"/>
        </w:rPr>
        <w:t>imple</w:t>
      </w:r>
      <w:r>
        <w:rPr>
          <w:rFonts w:ascii="Century Gothic" w:hAnsi="Century Gothic"/>
          <w:color w:val="auto"/>
          <w:sz w:val="20"/>
          <w:szCs w:val="20"/>
          <w:lang w:val="en-US"/>
        </w:rPr>
        <w:t>, and count the liquidity of position in the indirect way via Fair Value Hierarchy. According to the IFRS 13 Fair Value management Level 1 of Fair Value position means positions valued with observable inputs without any adjustment, which impl</w:t>
      </w:r>
      <w:r w:rsidR="007A12AE">
        <w:rPr>
          <w:rFonts w:ascii="Century Gothic" w:hAnsi="Century Gothic"/>
          <w:color w:val="auto"/>
          <w:sz w:val="20"/>
          <w:szCs w:val="20"/>
          <w:lang w:val="en-US"/>
        </w:rPr>
        <w:t>ies</w:t>
      </w:r>
      <w:r>
        <w:rPr>
          <w:rFonts w:ascii="Century Gothic" w:hAnsi="Century Gothic"/>
          <w:color w:val="auto"/>
          <w:sz w:val="20"/>
          <w:szCs w:val="20"/>
          <w:lang w:val="en-US"/>
        </w:rPr>
        <w:t xml:space="preserve"> high liquidity of the valuation inputs and less valuation uncertainty.</w:t>
      </w:r>
      <w:r w:rsidR="00CB0EDA">
        <w:rPr>
          <w:rFonts w:ascii="Century Gothic" w:hAnsi="Century Gothic"/>
          <w:color w:val="auto"/>
          <w:sz w:val="20"/>
          <w:szCs w:val="20"/>
          <w:lang w:val="en-US"/>
        </w:rPr>
        <w:t xml:space="preserve"> Please look at our comment to the previous question.</w:t>
      </w:r>
    </w:p>
    <w:p w14:paraId="1F6B33DD" w14:textId="288B643E" w:rsidR="005650FF" w:rsidRPr="005650FF" w:rsidRDefault="00CB0EDA" w:rsidP="0060713A">
      <w:pPr>
        <w:pStyle w:val="Default"/>
        <w:tabs>
          <w:tab w:val="left" w:pos="3600"/>
        </w:tabs>
        <w:jc w:val="both"/>
        <w:rPr>
          <w:rFonts w:ascii="Century Gothic" w:hAnsi="Century Gothic"/>
          <w:color w:val="auto"/>
          <w:sz w:val="20"/>
          <w:szCs w:val="20"/>
          <w:lang w:val="en-US"/>
        </w:rPr>
      </w:pPr>
      <w:r>
        <w:rPr>
          <w:rFonts w:ascii="Century Gothic" w:hAnsi="Century Gothic"/>
          <w:color w:val="auto"/>
          <w:sz w:val="20"/>
          <w:szCs w:val="20"/>
          <w:lang w:val="en-US"/>
        </w:rPr>
        <w:tab/>
      </w:r>
    </w:p>
    <w:p w14:paraId="5DCF981C" w14:textId="77777777" w:rsidR="00CF7E5D" w:rsidRPr="00393112" w:rsidRDefault="00CF7E5D" w:rsidP="0060713A">
      <w:pPr>
        <w:pStyle w:val="Default"/>
        <w:jc w:val="both"/>
        <w:rPr>
          <w:rFonts w:ascii="Century Gothic" w:hAnsi="Century Gothic"/>
          <w:sz w:val="20"/>
          <w:szCs w:val="20"/>
          <w:lang w:val="en-US"/>
        </w:rPr>
      </w:pPr>
      <w:r w:rsidRPr="00393112">
        <w:rPr>
          <w:rFonts w:ascii="Century Gothic" w:hAnsi="Century Gothic"/>
          <w:sz w:val="20"/>
          <w:szCs w:val="20"/>
          <w:lang w:val="en-US"/>
        </w:rPr>
        <w:t xml:space="preserve"> </w:t>
      </w:r>
    </w:p>
    <w:p w14:paraId="4B203A0E" w14:textId="77C932FE" w:rsidR="003A04B7" w:rsidRDefault="00CB0EDA" w:rsidP="0060713A">
      <w:pPr>
        <w:pStyle w:val="Default"/>
        <w:jc w:val="both"/>
        <w:rPr>
          <w:rFonts w:ascii="Century Gothic" w:hAnsi="Century Gothic"/>
          <w:i/>
          <w:color w:val="1F497D" w:themeColor="text2"/>
          <w:sz w:val="20"/>
          <w:szCs w:val="20"/>
          <w:lang w:val="en-US"/>
        </w:rPr>
      </w:pPr>
      <w:r w:rsidRPr="00CB0EDA">
        <w:rPr>
          <w:rFonts w:ascii="Century Gothic" w:hAnsi="Century Gothic"/>
          <w:i/>
          <w:color w:val="1F497D" w:themeColor="text2"/>
          <w:sz w:val="20"/>
          <w:szCs w:val="20"/>
          <w:lang w:val="en-US"/>
        </w:rPr>
        <w:t>Q6. Do you agree with the approach defined above to calculate an AVA where the approaches in Articles 8 to 16 are not possible for a valuation exposure? If not, what other approach could be prescribed? State your reasons.</w:t>
      </w:r>
    </w:p>
    <w:p w14:paraId="7CB61F93" w14:textId="77777777" w:rsidR="00CB0EDA" w:rsidRPr="00393112" w:rsidRDefault="00CB0EDA" w:rsidP="0060713A">
      <w:pPr>
        <w:pStyle w:val="Default"/>
        <w:jc w:val="both"/>
        <w:rPr>
          <w:rFonts w:ascii="Century Gothic" w:hAnsi="Century Gothic"/>
          <w:sz w:val="20"/>
          <w:szCs w:val="20"/>
          <w:lang w:val="en-US"/>
        </w:rPr>
      </w:pPr>
    </w:p>
    <w:p w14:paraId="2E600753" w14:textId="77777777" w:rsidR="003A04B7" w:rsidRPr="00393112" w:rsidRDefault="008D503D" w:rsidP="0060713A">
      <w:pPr>
        <w:pStyle w:val="Default"/>
        <w:jc w:val="both"/>
        <w:rPr>
          <w:rFonts w:ascii="Century Gothic" w:hAnsi="Century Gothic"/>
          <w:sz w:val="20"/>
          <w:szCs w:val="20"/>
          <w:lang w:val="en-US"/>
        </w:rPr>
      </w:pPr>
      <w:r w:rsidRPr="00393112">
        <w:rPr>
          <w:rFonts w:ascii="Century Gothic" w:hAnsi="Century Gothic"/>
          <w:sz w:val="20"/>
          <w:szCs w:val="20"/>
          <w:lang w:val="en-US"/>
        </w:rPr>
        <w:t>No, we do not agree. We assume that either the wording of Article 6 paragraph 4 is unclear, or, if to understand the statement literally, the big room for the manipulation is available. We would propose to consider as an example the core-approach relevant bank with only non-derivatives positions</w:t>
      </w:r>
      <w:r w:rsidR="00660427" w:rsidRPr="00393112">
        <w:rPr>
          <w:rFonts w:ascii="Century Gothic" w:hAnsi="Century Gothic"/>
          <w:sz w:val="20"/>
          <w:szCs w:val="20"/>
          <w:lang w:val="en-US"/>
        </w:rPr>
        <w:t xml:space="preserve"> (bonds)</w:t>
      </w:r>
      <w:r w:rsidRPr="00393112">
        <w:rPr>
          <w:rFonts w:ascii="Century Gothic" w:hAnsi="Century Gothic"/>
          <w:sz w:val="20"/>
          <w:szCs w:val="20"/>
          <w:lang w:val="en-US"/>
        </w:rPr>
        <w:t>, measured at fair value; an assumption also is that there is no profit out of these positions, but only loss</w:t>
      </w:r>
      <w:r w:rsidR="00660427" w:rsidRPr="00393112">
        <w:rPr>
          <w:rFonts w:ascii="Century Gothic" w:hAnsi="Century Gothic"/>
          <w:sz w:val="20"/>
          <w:szCs w:val="20"/>
          <w:lang w:val="en-US"/>
        </w:rPr>
        <w:t>es</w:t>
      </w:r>
      <w:r w:rsidRPr="00393112">
        <w:rPr>
          <w:rFonts w:ascii="Century Gothic" w:hAnsi="Century Gothic"/>
          <w:sz w:val="20"/>
          <w:szCs w:val="20"/>
          <w:lang w:val="en-US"/>
        </w:rPr>
        <w:t>.</w:t>
      </w:r>
      <w:r w:rsidR="00660427" w:rsidRPr="00393112">
        <w:rPr>
          <w:rFonts w:ascii="Century Gothic" w:hAnsi="Century Gothic"/>
          <w:sz w:val="20"/>
          <w:szCs w:val="20"/>
          <w:lang w:val="en-US"/>
        </w:rPr>
        <w:t xml:space="preserve"> Following the wording the mentioned paragraph:</w:t>
      </w:r>
    </w:p>
    <w:p w14:paraId="3505D345" w14:textId="77777777" w:rsidR="00660427" w:rsidRPr="00393112" w:rsidRDefault="00660427" w:rsidP="0060713A">
      <w:pPr>
        <w:pStyle w:val="Default"/>
        <w:numPr>
          <w:ilvl w:val="0"/>
          <w:numId w:val="1"/>
        </w:numPr>
        <w:jc w:val="both"/>
        <w:rPr>
          <w:rFonts w:ascii="Century Gothic" w:hAnsi="Century Gothic"/>
          <w:sz w:val="20"/>
          <w:szCs w:val="20"/>
          <w:lang w:val="en-US"/>
        </w:rPr>
      </w:pPr>
      <w:r w:rsidRPr="00393112">
        <w:rPr>
          <w:rFonts w:ascii="Century Gothic" w:hAnsi="Century Gothic"/>
          <w:i/>
          <w:sz w:val="20"/>
          <w:szCs w:val="20"/>
          <w:lang w:val="en-US"/>
        </w:rPr>
        <w:t>100% of the net unrealised profit on the related financial instruments</w:t>
      </w:r>
      <w:r w:rsidRPr="00393112">
        <w:rPr>
          <w:rFonts w:ascii="Century Gothic" w:hAnsi="Century Gothic"/>
          <w:sz w:val="20"/>
          <w:szCs w:val="20"/>
          <w:lang w:val="en-US"/>
        </w:rPr>
        <w:t xml:space="preserve"> – is 0, since there is no profit;</w:t>
      </w:r>
    </w:p>
    <w:p w14:paraId="3B86C8EC" w14:textId="77777777" w:rsidR="00660427" w:rsidRPr="00393112" w:rsidRDefault="00660427" w:rsidP="0060713A">
      <w:pPr>
        <w:pStyle w:val="Default"/>
        <w:numPr>
          <w:ilvl w:val="0"/>
          <w:numId w:val="1"/>
        </w:numPr>
        <w:jc w:val="both"/>
        <w:rPr>
          <w:rFonts w:ascii="Century Gothic" w:hAnsi="Century Gothic"/>
          <w:sz w:val="20"/>
          <w:szCs w:val="20"/>
          <w:lang w:val="en-US"/>
        </w:rPr>
      </w:pPr>
      <w:r w:rsidRPr="00393112">
        <w:rPr>
          <w:rFonts w:ascii="Century Gothic" w:hAnsi="Century Gothic"/>
          <w:b/>
          <w:i/>
          <w:sz w:val="20"/>
          <w:szCs w:val="20"/>
          <w:lang w:val="en-US"/>
        </w:rPr>
        <w:t>Either</w:t>
      </w:r>
      <w:r w:rsidRPr="00393112">
        <w:rPr>
          <w:rFonts w:ascii="Century Gothic" w:hAnsi="Century Gothic"/>
          <w:i/>
          <w:sz w:val="20"/>
          <w:szCs w:val="20"/>
          <w:lang w:val="en-US"/>
        </w:rPr>
        <w:t xml:space="preserve">: 10% of the notional value of the related financial instruments in the case of derivatives, </w:t>
      </w:r>
      <w:r w:rsidRPr="00393112">
        <w:rPr>
          <w:rFonts w:ascii="Century Gothic" w:hAnsi="Century Gothic"/>
          <w:b/>
          <w:i/>
          <w:sz w:val="20"/>
          <w:szCs w:val="20"/>
          <w:lang w:val="en-US"/>
        </w:rPr>
        <w:t>or</w:t>
      </w:r>
      <w:r w:rsidRPr="00393112">
        <w:rPr>
          <w:rFonts w:ascii="Century Gothic" w:hAnsi="Century Gothic"/>
          <w:i/>
          <w:sz w:val="20"/>
          <w:szCs w:val="20"/>
          <w:lang w:val="en-US"/>
        </w:rPr>
        <w:t xml:space="preserve"> 25% of the market value reduced by the amount determined in (a) of the related financial instruments in the case of non-derivatives</w:t>
      </w:r>
      <w:r w:rsidRPr="00393112">
        <w:rPr>
          <w:rFonts w:ascii="Century Gothic" w:hAnsi="Century Gothic"/>
          <w:sz w:val="20"/>
          <w:szCs w:val="20"/>
          <w:lang w:val="en-US"/>
        </w:rPr>
        <w:t xml:space="preserve"> – is also 0, since the institution may claim to measure AVA based on the first option, although the exposure in derivatives is 0.</w:t>
      </w:r>
    </w:p>
    <w:p w14:paraId="172F9FE6" w14:textId="271C75AE" w:rsidR="00586CC3" w:rsidRPr="00CB0EDA" w:rsidRDefault="00586CC3" w:rsidP="0060713A">
      <w:pPr>
        <w:pStyle w:val="Default"/>
        <w:jc w:val="both"/>
        <w:rPr>
          <w:rFonts w:ascii="Century Gothic" w:hAnsi="Century Gothic"/>
          <w:sz w:val="20"/>
          <w:szCs w:val="20"/>
          <w:lang w:val="en-US"/>
        </w:rPr>
      </w:pPr>
      <w:r w:rsidRPr="00393112">
        <w:rPr>
          <w:rFonts w:ascii="Century Gothic" w:hAnsi="Century Gothic"/>
          <w:sz w:val="20"/>
          <w:szCs w:val="20"/>
          <w:lang w:val="en-US"/>
        </w:rPr>
        <w:t xml:space="preserve">Assuming that in the second statement not </w:t>
      </w:r>
      <w:r w:rsidRPr="00393112">
        <w:rPr>
          <w:rFonts w:ascii="Century Gothic" w:hAnsi="Century Gothic"/>
          <w:i/>
          <w:sz w:val="20"/>
          <w:szCs w:val="20"/>
          <w:lang w:val="en-US"/>
        </w:rPr>
        <w:t>either.. or</w:t>
      </w:r>
      <w:r w:rsidRPr="00393112">
        <w:rPr>
          <w:rFonts w:ascii="Century Gothic" w:hAnsi="Century Gothic"/>
          <w:sz w:val="20"/>
          <w:szCs w:val="20"/>
          <w:lang w:val="en-US"/>
        </w:rPr>
        <w:t xml:space="preserve"> is meant, but </w:t>
      </w:r>
      <w:r w:rsidRPr="00393112">
        <w:rPr>
          <w:rFonts w:ascii="Century Gothic" w:hAnsi="Century Gothic"/>
          <w:i/>
          <w:sz w:val="20"/>
          <w:szCs w:val="20"/>
          <w:lang w:val="en-US"/>
        </w:rPr>
        <w:t>end</w:t>
      </w:r>
      <w:r w:rsidRPr="00393112">
        <w:rPr>
          <w:rFonts w:ascii="Century Gothic" w:hAnsi="Century Gothic"/>
          <w:sz w:val="20"/>
          <w:szCs w:val="20"/>
          <w:lang w:val="en-US"/>
        </w:rPr>
        <w:t>, we find proposed volumes of AVAs too big</w:t>
      </w:r>
      <w:r w:rsidR="00CB0EDA">
        <w:rPr>
          <w:rFonts w:ascii="Century Gothic" w:hAnsi="Century Gothic"/>
          <w:sz w:val="20"/>
          <w:szCs w:val="20"/>
          <w:lang w:val="en-US"/>
        </w:rPr>
        <w:t xml:space="preserve"> and the dependency of AVAs from unrealized profit as not proved. </w:t>
      </w:r>
      <w:r w:rsidR="00CB0EDA">
        <w:rPr>
          <w:rFonts w:ascii="Century Gothic" w:hAnsi="Century Gothic"/>
          <w:sz w:val="20"/>
          <w:szCs w:val="20"/>
          <w:lang w:val="en-US"/>
        </w:rPr>
        <w:lastRenderedPageBreak/>
        <w:t xml:space="preserve">As an alternative approach we would propose the standard approach for AVA measurement for each valuation adjustment separately. Please refer to section </w:t>
      </w:r>
      <w:r w:rsidR="00CB0EDA" w:rsidRPr="00CB0EDA">
        <w:rPr>
          <w:rFonts w:ascii="Century Gothic" w:hAnsi="Century Gothic"/>
          <w:i/>
          <w:sz w:val="20"/>
          <w:szCs w:val="20"/>
          <w:lang w:val="en-US"/>
        </w:rPr>
        <w:t xml:space="preserve">Proposals </w:t>
      </w:r>
      <w:r w:rsidR="00CB0EDA">
        <w:rPr>
          <w:rFonts w:ascii="Century Gothic" w:hAnsi="Century Gothic"/>
          <w:sz w:val="20"/>
          <w:szCs w:val="20"/>
          <w:lang w:val="en-US"/>
        </w:rPr>
        <w:t>for more details.</w:t>
      </w:r>
    </w:p>
    <w:p w14:paraId="19160A95" w14:textId="77777777" w:rsidR="003A04B7" w:rsidRPr="00393112" w:rsidRDefault="003A04B7" w:rsidP="0060713A">
      <w:pPr>
        <w:pStyle w:val="Default"/>
        <w:jc w:val="both"/>
        <w:rPr>
          <w:rFonts w:ascii="Century Gothic" w:hAnsi="Century Gothic"/>
          <w:sz w:val="20"/>
          <w:szCs w:val="20"/>
          <w:lang w:val="en-US"/>
        </w:rPr>
      </w:pPr>
    </w:p>
    <w:p w14:paraId="7DA0A94D" w14:textId="77777777" w:rsidR="003A04B7" w:rsidRPr="00393112" w:rsidRDefault="003A04B7" w:rsidP="0060713A">
      <w:pPr>
        <w:pStyle w:val="Default"/>
        <w:jc w:val="both"/>
        <w:rPr>
          <w:rFonts w:ascii="Century Gothic" w:hAnsi="Century Gothic"/>
          <w:sz w:val="20"/>
          <w:szCs w:val="20"/>
          <w:lang w:val="en-US"/>
        </w:rPr>
      </w:pPr>
    </w:p>
    <w:p w14:paraId="285C09FE" w14:textId="77777777" w:rsidR="00CB0EDA" w:rsidRPr="00CB0EDA" w:rsidRDefault="00CF7E5D" w:rsidP="0060713A">
      <w:pPr>
        <w:pStyle w:val="Default"/>
        <w:jc w:val="both"/>
        <w:rPr>
          <w:rFonts w:ascii="Century Gothic" w:hAnsi="Century Gothic"/>
          <w:i/>
          <w:color w:val="1F497D" w:themeColor="text2"/>
          <w:sz w:val="20"/>
          <w:szCs w:val="20"/>
          <w:lang w:val="en-US"/>
        </w:rPr>
      </w:pPr>
      <w:r w:rsidRPr="00CB0EDA">
        <w:rPr>
          <w:rFonts w:ascii="Century Gothic" w:hAnsi="Century Gothic"/>
          <w:i/>
          <w:color w:val="1F497D" w:themeColor="text2"/>
          <w:sz w:val="20"/>
          <w:szCs w:val="20"/>
          <w:lang w:val="en-US"/>
        </w:rPr>
        <w:t xml:space="preserve">Q7. Do you agree with the approaches defined above to calculate AVAs for market price uncertainty, close-out costs, and unearned credit spreads? If not, what other approach could be prescribed? State your reasons. </w:t>
      </w:r>
    </w:p>
    <w:p w14:paraId="619C6697" w14:textId="77777777" w:rsidR="00CB0EDA" w:rsidRDefault="00CB0EDA" w:rsidP="0060713A">
      <w:pPr>
        <w:pStyle w:val="Default"/>
        <w:jc w:val="both"/>
        <w:rPr>
          <w:rFonts w:ascii="Century Gothic" w:hAnsi="Century Gothic"/>
          <w:sz w:val="20"/>
          <w:szCs w:val="20"/>
          <w:lang w:val="en-US"/>
        </w:rPr>
      </w:pPr>
    </w:p>
    <w:p w14:paraId="481896A2" w14:textId="704EC84B" w:rsidR="00CB0EDA" w:rsidRDefault="00CB0EDA" w:rsidP="0060713A">
      <w:pPr>
        <w:pStyle w:val="Default"/>
        <w:jc w:val="both"/>
        <w:rPr>
          <w:rFonts w:ascii="Century Gothic" w:hAnsi="Century Gothic"/>
          <w:i/>
          <w:sz w:val="20"/>
          <w:szCs w:val="20"/>
          <w:lang w:val="en-US"/>
        </w:rPr>
      </w:pPr>
      <w:r>
        <w:rPr>
          <w:rFonts w:ascii="Century Gothic" w:hAnsi="Century Gothic"/>
          <w:sz w:val="20"/>
          <w:szCs w:val="20"/>
          <w:lang w:val="en-US"/>
        </w:rPr>
        <w:t>No, we do not agree.  We would state that proposed approach under the condition of sufficient market data is rather artificial and can be rarely applied in the practice, since the necessity of the valuation adjustments is increasing with a decreasing of market and position liquidity.</w:t>
      </w:r>
      <w:r w:rsidR="00950B5D">
        <w:rPr>
          <w:rFonts w:ascii="Century Gothic" w:hAnsi="Century Gothic"/>
          <w:sz w:val="20"/>
          <w:szCs w:val="20"/>
          <w:lang w:val="en-US"/>
        </w:rPr>
        <w:t xml:space="preserve"> As we mentioned in section </w:t>
      </w:r>
      <w:r w:rsidR="00950B5D" w:rsidRPr="00CB0EDA">
        <w:rPr>
          <w:rFonts w:ascii="Century Gothic" w:hAnsi="Century Gothic"/>
          <w:i/>
          <w:sz w:val="20"/>
          <w:szCs w:val="20"/>
          <w:lang w:val="en-US"/>
        </w:rPr>
        <w:t>Proposals about Prudent valuation treatment and Valuation adjustments calculation</w:t>
      </w:r>
      <w:r w:rsidR="00950B5D">
        <w:rPr>
          <w:rFonts w:ascii="Century Gothic" w:hAnsi="Century Gothic"/>
          <w:sz w:val="20"/>
          <w:szCs w:val="20"/>
          <w:lang w:val="en-US"/>
        </w:rPr>
        <w:t xml:space="preserve"> we would propose institution to decide between standard, advanced and core approach for the AVAs calculation and would set the clear dependency between respective AVAs and market liquidity of valuation input and concentration of position. Please refer to the respective paragraphs in section </w:t>
      </w:r>
      <w:r w:rsidR="00950B5D">
        <w:rPr>
          <w:rFonts w:ascii="Century Gothic" w:hAnsi="Century Gothic"/>
          <w:i/>
          <w:sz w:val="20"/>
          <w:szCs w:val="20"/>
          <w:lang w:val="en-US"/>
        </w:rPr>
        <w:t>Proposals</w:t>
      </w:r>
      <w:r w:rsidR="007A12AE">
        <w:rPr>
          <w:rFonts w:ascii="Century Gothic" w:hAnsi="Century Gothic"/>
          <w:i/>
          <w:sz w:val="20"/>
          <w:szCs w:val="20"/>
          <w:lang w:val="en-US"/>
        </w:rPr>
        <w:t>.</w:t>
      </w:r>
    </w:p>
    <w:p w14:paraId="109F2534" w14:textId="77777777" w:rsidR="00950B5D" w:rsidRPr="00950B5D" w:rsidRDefault="00950B5D" w:rsidP="0060713A">
      <w:pPr>
        <w:pStyle w:val="Default"/>
        <w:jc w:val="both"/>
        <w:rPr>
          <w:rFonts w:ascii="Century Gothic" w:hAnsi="Century Gothic"/>
          <w:i/>
          <w:sz w:val="20"/>
          <w:szCs w:val="20"/>
          <w:lang w:val="en-US"/>
        </w:rPr>
      </w:pPr>
    </w:p>
    <w:p w14:paraId="72578E47" w14:textId="77777777" w:rsidR="00CB0EDA" w:rsidRDefault="00CB0EDA" w:rsidP="0060713A">
      <w:pPr>
        <w:pStyle w:val="Default"/>
        <w:jc w:val="both"/>
        <w:rPr>
          <w:rFonts w:ascii="Century Gothic" w:hAnsi="Century Gothic"/>
          <w:sz w:val="20"/>
          <w:szCs w:val="20"/>
          <w:lang w:val="en-US"/>
        </w:rPr>
      </w:pPr>
    </w:p>
    <w:p w14:paraId="6EBC7F28" w14:textId="6DF81722" w:rsidR="00CF7E5D" w:rsidRDefault="00CF7E5D" w:rsidP="0060713A">
      <w:pPr>
        <w:pStyle w:val="Default"/>
        <w:jc w:val="both"/>
        <w:rPr>
          <w:rFonts w:ascii="Century Gothic" w:hAnsi="Century Gothic"/>
          <w:sz w:val="20"/>
          <w:szCs w:val="20"/>
          <w:lang w:val="en-US"/>
        </w:rPr>
      </w:pPr>
      <w:r w:rsidRPr="00950B5D">
        <w:rPr>
          <w:rFonts w:ascii="Century Gothic" w:hAnsi="Century Gothic"/>
          <w:i/>
          <w:color w:val="1F497D" w:themeColor="text2"/>
          <w:sz w:val="20"/>
          <w:szCs w:val="20"/>
          <w:lang w:val="en-US"/>
        </w:rPr>
        <w:t>Q8. Do you agree with the approaches defined in Articles 11 to 16 to calculate the various categories of AVAs? If not, what other approach could be prescribed for each AVA? State your reasons</w:t>
      </w:r>
      <w:r w:rsidRPr="00393112">
        <w:rPr>
          <w:rFonts w:ascii="Century Gothic" w:hAnsi="Century Gothic"/>
          <w:sz w:val="20"/>
          <w:szCs w:val="20"/>
          <w:lang w:val="en-US"/>
        </w:rPr>
        <w:t xml:space="preserve">. </w:t>
      </w:r>
    </w:p>
    <w:p w14:paraId="1966CF7F" w14:textId="77777777" w:rsidR="007A12AE" w:rsidRDefault="007A12AE" w:rsidP="0060713A">
      <w:pPr>
        <w:pStyle w:val="Default"/>
        <w:jc w:val="both"/>
        <w:rPr>
          <w:rFonts w:ascii="Century Gothic" w:hAnsi="Century Gothic"/>
          <w:sz w:val="20"/>
          <w:szCs w:val="20"/>
          <w:lang w:val="en-US"/>
        </w:rPr>
      </w:pPr>
    </w:p>
    <w:p w14:paraId="2EAC9C63" w14:textId="18330458" w:rsidR="0060713A" w:rsidRPr="0060713A" w:rsidRDefault="0060713A" w:rsidP="0060713A">
      <w:pPr>
        <w:pStyle w:val="Default"/>
        <w:jc w:val="both"/>
        <w:rPr>
          <w:rFonts w:ascii="Century Gothic" w:hAnsi="Century Gothic"/>
          <w:sz w:val="20"/>
          <w:szCs w:val="20"/>
          <w:lang w:val="en-US"/>
        </w:rPr>
      </w:pPr>
      <w:r>
        <w:rPr>
          <w:rFonts w:ascii="Century Gothic" w:hAnsi="Century Gothic"/>
          <w:sz w:val="20"/>
          <w:szCs w:val="20"/>
          <w:lang w:val="en-US"/>
        </w:rPr>
        <w:t xml:space="preserve">We do not agree in general, since we do not see any clear guideline on AVAs calculation in the mentioned articles. Please refer to section </w:t>
      </w:r>
      <w:r>
        <w:rPr>
          <w:rFonts w:ascii="Century Gothic" w:hAnsi="Century Gothic"/>
          <w:i/>
          <w:sz w:val="20"/>
          <w:szCs w:val="20"/>
          <w:lang w:val="en-US"/>
        </w:rPr>
        <w:t>Proposals</w:t>
      </w:r>
      <w:r>
        <w:rPr>
          <w:rFonts w:ascii="Century Gothic" w:hAnsi="Century Gothic"/>
          <w:sz w:val="20"/>
          <w:szCs w:val="20"/>
          <w:lang w:val="en-US"/>
        </w:rPr>
        <w:t xml:space="preserve"> regarding our view of respective AVA calculation.</w:t>
      </w:r>
    </w:p>
    <w:p w14:paraId="3EA7ABDC" w14:textId="33BCB6EF" w:rsidR="00950B5D" w:rsidRDefault="0060713A" w:rsidP="0060713A">
      <w:pPr>
        <w:pStyle w:val="Default"/>
        <w:jc w:val="both"/>
        <w:rPr>
          <w:rFonts w:ascii="Century Gothic" w:hAnsi="Century Gothic"/>
          <w:sz w:val="20"/>
          <w:szCs w:val="20"/>
          <w:lang w:val="en-US"/>
        </w:rPr>
      </w:pPr>
      <w:r>
        <w:rPr>
          <w:rFonts w:ascii="Century Gothic" w:hAnsi="Century Gothic"/>
          <w:sz w:val="20"/>
          <w:szCs w:val="20"/>
          <w:lang w:val="en-US"/>
        </w:rPr>
        <w:t xml:space="preserve">Moreover we do not agree with a separation of Concentration positions AVA into a different category, as we see the concentration risk as an integral part </w:t>
      </w:r>
      <w:r w:rsidR="0007131A">
        <w:rPr>
          <w:rFonts w:ascii="Century Gothic" w:hAnsi="Century Gothic"/>
          <w:sz w:val="20"/>
          <w:szCs w:val="20"/>
          <w:lang w:val="en-US"/>
        </w:rPr>
        <w:t>of close out costs.</w:t>
      </w:r>
    </w:p>
    <w:p w14:paraId="20DC4DF6" w14:textId="77777777" w:rsidR="00950B5D" w:rsidRDefault="00950B5D" w:rsidP="0060713A">
      <w:pPr>
        <w:pStyle w:val="Default"/>
        <w:jc w:val="both"/>
        <w:rPr>
          <w:rFonts w:ascii="Century Gothic" w:hAnsi="Century Gothic"/>
          <w:sz w:val="20"/>
          <w:szCs w:val="20"/>
          <w:lang w:val="en-US"/>
        </w:rPr>
      </w:pPr>
    </w:p>
    <w:p w14:paraId="783A6933" w14:textId="77777777" w:rsidR="007A12AE" w:rsidRPr="00393112" w:rsidRDefault="007A12AE" w:rsidP="0060713A">
      <w:pPr>
        <w:pStyle w:val="Default"/>
        <w:jc w:val="both"/>
        <w:rPr>
          <w:rFonts w:ascii="Century Gothic" w:hAnsi="Century Gothic"/>
          <w:sz w:val="20"/>
          <w:szCs w:val="20"/>
          <w:lang w:val="en-US"/>
        </w:rPr>
      </w:pPr>
    </w:p>
    <w:p w14:paraId="5067228F" w14:textId="77777777" w:rsidR="00CF7E5D" w:rsidRPr="0007131A" w:rsidRDefault="00CF7E5D" w:rsidP="0060713A">
      <w:pPr>
        <w:pStyle w:val="Default"/>
        <w:jc w:val="both"/>
        <w:rPr>
          <w:rFonts w:ascii="Century Gothic" w:hAnsi="Century Gothic"/>
          <w:i/>
          <w:sz w:val="20"/>
          <w:szCs w:val="20"/>
          <w:lang w:val="en-US"/>
        </w:rPr>
      </w:pPr>
      <w:r w:rsidRPr="0007131A">
        <w:rPr>
          <w:rFonts w:ascii="Century Gothic" w:hAnsi="Century Gothic"/>
          <w:i/>
          <w:color w:val="1F497D" w:themeColor="text2"/>
          <w:sz w:val="20"/>
          <w:szCs w:val="20"/>
          <w:lang w:val="en-US"/>
        </w:rPr>
        <w:t xml:space="preserve">Q9. Are there cases where the above AVAs may have a zero value that could be defined in the RTS? If yes, please specify. </w:t>
      </w:r>
    </w:p>
    <w:p w14:paraId="4178FA6D" w14:textId="77777777" w:rsidR="00950B5D" w:rsidRDefault="00950B5D" w:rsidP="0060713A">
      <w:pPr>
        <w:pStyle w:val="Default"/>
        <w:jc w:val="both"/>
        <w:rPr>
          <w:rFonts w:ascii="Century Gothic" w:hAnsi="Century Gothic"/>
          <w:sz w:val="20"/>
          <w:szCs w:val="20"/>
          <w:lang w:val="en-US"/>
        </w:rPr>
      </w:pPr>
    </w:p>
    <w:p w14:paraId="69C2CDAE" w14:textId="728AF5AE" w:rsidR="0007131A" w:rsidRDefault="0007131A" w:rsidP="0060713A">
      <w:pPr>
        <w:pStyle w:val="Default"/>
        <w:jc w:val="both"/>
        <w:rPr>
          <w:rFonts w:ascii="Century Gothic" w:hAnsi="Century Gothic"/>
          <w:sz w:val="20"/>
          <w:szCs w:val="20"/>
          <w:lang w:val="en-US"/>
        </w:rPr>
      </w:pPr>
      <w:r>
        <w:rPr>
          <w:rFonts w:ascii="Century Gothic" w:hAnsi="Century Gothic"/>
          <w:sz w:val="20"/>
          <w:szCs w:val="20"/>
          <w:lang w:val="en-US"/>
        </w:rPr>
        <w:t>We do not find appropriate to mention any specific cases when 0 AVA can be assessed, since usually it is financial institution specific and market specific.</w:t>
      </w:r>
    </w:p>
    <w:p w14:paraId="71598AC3" w14:textId="77777777" w:rsidR="0007131A" w:rsidRDefault="0007131A" w:rsidP="0060713A">
      <w:pPr>
        <w:pStyle w:val="Default"/>
        <w:jc w:val="both"/>
        <w:rPr>
          <w:rFonts w:ascii="Century Gothic" w:hAnsi="Century Gothic"/>
          <w:sz w:val="20"/>
          <w:szCs w:val="20"/>
          <w:lang w:val="en-US"/>
        </w:rPr>
      </w:pPr>
    </w:p>
    <w:p w14:paraId="592C09D4" w14:textId="77777777" w:rsidR="00950B5D" w:rsidRPr="00393112" w:rsidRDefault="00950B5D" w:rsidP="0060713A">
      <w:pPr>
        <w:pStyle w:val="Default"/>
        <w:jc w:val="both"/>
        <w:rPr>
          <w:rFonts w:ascii="Century Gothic" w:hAnsi="Century Gothic"/>
          <w:sz w:val="20"/>
          <w:szCs w:val="20"/>
          <w:lang w:val="en-US"/>
        </w:rPr>
      </w:pPr>
    </w:p>
    <w:p w14:paraId="1FA599B3" w14:textId="77777777" w:rsidR="00CF7E5D" w:rsidRPr="00C666B9" w:rsidRDefault="00CF7E5D" w:rsidP="0060713A">
      <w:pPr>
        <w:pStyle w:val="Default"/>
        <w:jc w:val="both"/>
        <w:rPr>
          <w:rFonts w:ascii="Century Gothic" w:hAnsi="Century Gothic"/>
          <w:i/>
          <w:color w:val="1F497D" w:themeColor="text2"/>
          <w:sz w:val="20"/>
          <w:szCs w:val="20"/>
          <w:lang w:val="en-US"/>
        </w:rPr>
      </w:pPr>
      <w:r w:rsidRPr="00C666B9">
        <w:rPr>
          <w:rFonts w:ascii="Century Gothic" w:hAnsi="Century Gothic"/>
          <w:i/>
          <w:color w:val="1F497D" w:themeColor="text2"/>
          <w:sz w:val="20"/>
          <w:szCs w:val="20"/>
          <w:lang w:val="en-US"/>
        </w:rPr>
        <w:t xml:space="preserve">Q10. Do you agree with the approach defined above for the aggregation of valuation exposure level AVAs within the market price uncertainty and close-out cost AVA categories? If not, what other approach could be prescribed? State your reasons. </w:t>
      </w:r>
    </w:p>
    <w:p w14:paraId="0793F98B" w14:textId="77777777" w:rsidR="00C666B9" w:rsidRDefault="00C666B9" w:rsidP="0060713A">
      <w:pPr>
        <w:pStyle w:val="Default"/>
        <w:jc w:val="both"/>
        <w:rPr>
          <w:rFonts w:ascii="Century Gothic" w:hAnsi="Century Gothic"/>
          <w:sz w:val="20"/>
          <w:szCs w:val="20"/>
          <w:lang w:val="en-US"/>
        </w:rPr>
      </w:pPr>
    </w:p>
    <w:p w14:paraId="2F45CBEB" w14:textId="5D70678B" w:rsidR="00C666B9" w:rsidRPr="00C666B9" w:rsidRDefault="00C666B9" w:rsidP="0060713A">
      <w:pPr>
        <w:pStyle w:val="Default"/>
        <w:jc w:val="both"/>
        <w:rPr>
          <w:rFonts w:ascii="Century Gothic" w:hAnsi="Century Gothic"/>
          <w:sz w:val="20"/>
          <w:szCs w:val="20"/>
          <w:lang w:val="en-US"/>
        </w:rPr>
      </w:pPr>
      <w:r>
        <w:rPr>
          <w:rFonts w:ascii="Century Gothic" w:hAnsi="Century Gothic"/>
          <w:sz w:val="20"/>
          <w:szCs w:val="20"/>
          <w:lang w:val="en-US"/>
        </w:rPr>
        <w:t xml:space="preserve">We do not agree with a proposed aggregation approach, as well as we do not agree to the proposed methodology of respective AVA calculation. On the valuation adjustment level risks related market price uncertainty / unearned credit spread and close out costs have different origination, thus respective AVAs can be summed up. Our view on the aggregation within the AVA category is prescribed in the respective part of section </w:t>
      </w:r>
      <w:r>
        <w:rPr>
          <w:rFonts w:ascii="Century Gothic" w:hAnsi="Century Gothic"/>
          <w:i/>
          <w:sz w:val="20"/>
          <w:szCs w:val="20"/>
          <w:lang w:val="en-US"/>
        </w:rPr>
        <w:t>Proposals</w:t>
      </w:r>
      <w:r w:rsidR="007A12AE">
        <w:rPr>
          <w:rFonts w:ascii="Century Gothic" w:hAnsi="Century Gothic"/>
          <w:i/>
          <w:sz w:val="20"/>
          <w:szCs w:val="20"/>
          <w:lang w:val="en-US"/>
        </w:rPr>
        <w:t>.</w:t>
      </w:r>
    </w:p>
    <w:p w14:paraId="66DE4B9D" w14:textId="02938BC7" w:rsidR="00C666B9" w:rsidRPr="00393112" w:rsidRDefault="00C666B9" w:rsidP="0060713A">
      <w:pPr>
        <w:pStyle w:val="Default"/>
        <w:jc w:val="both"/>
        <w:rPr>
          <w:rFonts w:ascii="Century Gothic" w:hAnsi="Century Gothic"/>
          <w:sz w:val="20"/>
          <w:szCs w:val="20"/>
          <w:lang w:val="en-US"/>
        </w:rPr>
      </w:pPr>
    </w:p>
    <w:p w14:paraId="2F062206" w14:textId="77777777" w:rsidR="003A04B7" w:rsidRPr="00393112" w:rsidRDefault="003A04B7" w:rsidP="0060713A">
      <w:pPr>
        <w:pStyle w:val="Default"/>
        <w:jc w:val="both"/>
        <w:rPr>
          <w:rFonts w:ascii="Century Gothic" w:hAnsi="Century Gothic"/>
          <w:sz w:val="20"/>
          <w:szCs w:val="20"/>
          <w:lang w:val="en-US"/>
        </w:rPr>
      </w:pPr>
    </w:p>
    <w:p w14:paraId="19540A49" w14:textId="77777777" w:rsidR="00CF7E5D" w:rsidRPr="00392A4A" w:rsidRDefault="00CF7E5D" w:rsidP="0060713A">
      <w:pPr>
        <w:pStyle w:val="Default"/>
        <w:jc w:val="both"/>
        <w:rPr>
          <w:rFonts w:ascii="Century Gothic" w:hAnsi="Century Gothic"/>
          <w:i/>
          <w:sz w:val="20"/>
          <w:szCs w:val="20"/>
          <w:lang w:val="en-US"/>
        </w:rPr>
      </w:pPr>
      <w:r w:rsidRPr="00392A4A">
        <w:rPr>
          <w:rFonts w:ascii="Century Gothic" w:hAnsi="Century Gothic"/>
          <w:i/>
          <w:color w:val="1F497D" w:themeColor="text2"/>
          <w:sz w:val="20"/>
          <w:szCs w:val="20"/>
          <w:lang w:val="en-US"/>
        </w:rPr>
        <w:t>Q11. Do you agree that category level AVAs described in Articles 11 to 16 within the core approach should be aggregated as a simple sum? If not, what other approach could be prescribed? State your reasons.</w:t>
      </w:r>
      <w:r w:rsidRPr="00392A4A">
        <w:rPr>
          <w:rFonts w:ascii="Century Gothic" w:hAnsi="Century Gothic"/>
          <w:i/>
          <w:sz w:val="20"/>
          <w:szCs w:val="20"/>
          <w:lang w:val="en-US"/>
        </w:rPr>
        <w:t xml:space="preserve"> </w:t>
      </w:r>
    </w:p>
    <w:p w14:paraId="76D23D0E" w14:textId="77777777" w:rsidR="00392A4A" w:rsidRDefault="00392A4A" w:rsidP="0060713A">
      <w:pPr>
        <w:pStyle w:val="Default"/>
        <w:jc w:val="both"/>
        <w:rPr>
          <w:rFonts w:ascii="Century Gothic" w:hAnsi="Century Gothic"/>
          <w:sz w:val="20"/>
          <w:szCs w:val="20"/>
          <w:lang w:val="en-US"/>
        </w:rPr>
      </w:pPr>
    </w:p>
    <w:p w14:paraId="7A7D3BB1" w14:textId="29953CFC" w:rsidR="00392A4A" w:rsidRPr="00C666B9" w:rsidRDefault="00392A4A" w:rsidP="0060713A">
      <w:pPr>
        <w:pStyle w:val="Default"/>
        <w:jc w:val="both"/>
        <w:rPr>
          <w:rFonts w:ascii="Century Gothic" w:hAnsi="Century Gothic"/>
          <w:sz w:val="20"/>
          <w:szCs w:val="20"/>
          <w:lang w:val="en-US"/>
        </w:rPr>
      </w:pPr>
      <w:r>
        <w:rPr>
          <w:rFonts w:ascii="Century Gothic" w:hAnsi="Century Gothic"/>
          <w:sz w:val="20"/>
          <w:szCs w:val="20"/>
          <w:lang w:val="en-US"/>
        </w:rPr>
        <w:t>We agree that valuation adjustments related to model risk, operational risk, investment and funding costs, future administrative costs and early termination have an independent nature and are the</w:t>
      </w:r>
      <w:r w:rsidR="00C666B9">
        <w:rPr>
          <w:rFonts w:ascii="Century Gothic" w:hAnsi="Century Gothic"/>
          <w:sz w:val="20"/>
          <w:szCs w:val="20"/>
          <w:lang w:val="en-US"/>
        </w:rPr>
        <w:t>re</w:t>
      </w:r>
      <w:r>
        <w:rPr>
          <w:rFonts w:ascii="Century Gothic" w:hAnsi="Century Gothic"/>
          <w:sz w:val="20"/>
          <w:szCs w:val="20"/>
          <w:lang w:val="en-US"/>
        </w:rPr>
        <w:t xml:space="preserve">fore additive. </w:t>
      </w:r>
      <w:r w:rsidR="00C666B9">
        <w:rPr>
          <w:rFonts w:ascii="Century Gothic" w:hAnsi="Century Gothic"/>
          <w:sz w:val="20"/>
          <w:szCs w:val="20"/>
          <w:lang w:val="en-US"/>
        </w:rPr>
        <w:t xml:space="preserve">We do not agree with a separation of concentrated position AVA in a separate valuation adjustment, and consequently do not agree with summing up respective AVA value. Please refer to paragraph </w:t>
      </w:r>
      <w:r w:rsidR="00C666B9">
        <w:rPr>
          <w:rFonts w:ascii="Century Gothic" w:hAnsi="Century Gothic"/>
          <w:i/>
          <w:sz w:val="20"/>
          <w:szCs w:val="20"/>
          <w:lang w:val="en-US"/>
        </w:rPr>
        <w:t>Close out costs</w:t>
      </w:r>
      <w:r w:rsidR="00C666B9">
        <w:rPr>
          <w:rFonts w:ascii="Century Gothic" w:hAnsi="Century Gothic"/>
          <w:sz w:val="20"/>
          <w:szCs w:val="20"/>
          <w:lang w:val="en-US"/>
        </w:rPr>
        <w:t xml:space="preserve"> in section </w:t>
      </w:r>
      <w:r w:rsidR="00C666B9">
        <w:rPr>
          <w:rFonts w:ascii="Century Gothic" w:hAnsi="Century Gothic"/>
          <w:i/>
          <w:sz w:val="20"/>
          <w:szCs w:val="20"/>
          <w:lang w:val="en-US"/>
        </w:rPr>
        <w:t>Proposals</w:t>
      </w:r>
      <w:r w:rsidR="007A12AE">
        <w:rPr>
          <w:rFonts w:ascii="Century Gothic" w:hAnsi="Century Gothic"/>
          <w:i/>
          <w:sz w:val="20"/>
          <w:szCs w:val="20"/>
          <w:lang w:val="en-US"/>
        </w:rPr>
        <w:t>.</w:t>
      </w:r>
    </w:p>
    <w:p w14:paraId="3167EE03" w14:textId="77777777" w:rsidR="00392A4A" w:rsidRDefault="00392A4A" w:rsidP="0060713A">
      <w:pPr>
        <w:pStyle w:val="Default"/>
        <w:jc w:val="both"/>
        <w:rPr>
          <w:rFonts w:ascii="Century Gothic" w:hAnsi="Century Gothic"/>
          <w:sz w:val="20"/>
          <w:szCs w:val="20"/>
          <w:lang w:val="en-US"/>
        </w:rPr>
      </w:pPr>
    </w:p>
    <w:p w14:paraId="55DBD97F" w14:textId="77777777" w:rsidR="00950B5D" w:rsidRPr="00393112" w:rsidRDefault="00950B5D" w:rsidP="0060713A">
      <w:pPr>
        <w:pStyle w:val="Default"/>
        <w:jc w:val="both"/>
        <w:rPr>
          <w:rFonts w:ascii="Century Gothic" w:hAnsi="Century Gothic"/>
          <w:sz w:val="20"/>
          <w:szCs w:val="20"/>
          <w:lang w:val="en-US"/>
        </w:rPr>
      </w:pPr>
    </w:p>
    <w:p w14:paraId="481B5EA6" w14:textId="77777777" w:rsidR="00CF7E5D" w:rsidRPr="00950B5D" w:rsidRDefault="00CF7E5D" w:rsidP="0060713A">
      <w:pPr>
        <w:pStyle w:val="Default"/>
        <w:jc w:val="both"/>
        <w:rPr>
          <w:rFonts w:ascii="Century Gothic" w:hAnsi="Century Gothic"/>
          <w:i/>
          <w:color w:val="1F497D" w:themeColor="text2"/>
          <w:sz w:val="20"/>
          <w:szCs w:val="20"/>
          <w:lang w:val="en-US"/>
        </w:rPr>
      </w:pPr>
      <w:r w:rsidRPr="00950B5D">
        <w:rPr>
          <w:rFonts w:ascii="Century Gothic" w:hAnsi="Century Gothic"/>
          <w:i/>
          <w:color w:val="1F497D" w:themeColor="text2"/>
          <w:sz w:val="20"/>
          <w:szCs w:val="20"/>
          <w:lang w:val="en-US"/>
        </w:rPr>
        <w:t xml:space="preserve">Q12. Do you agree with the requirement for institutions using the core approach to implement the above ongoing monitoring tool as an indicator of the adequacy of data sources of valuation inputs used to calculate the AVAs described in Articles 8 to 10? If not, what other approach could be prescribed? State your reasons. </w:t>
      </w:r>
    </w:p>
    <w:p w14:paraId="0981E8E1" w14:textId="77777777" w:rsidR="00950B5D" w:rsidRDefault="00950B5D" w:rsidP="0060713A">
      <w:pPr>
        <w:pStyle w:val="Default"/>
        <w:jc w:val="both"/>
        <w:rPr>
          <w:rFonts w:ascii="Century Gothic" w:hAnsi="Century Gothic"/>
          <w:sz w:val="20"/>
          <w:szCs w:val="20"/>
          <w:lang w:val="en-US"/>
        </w:rPr>
      </w:pPr>
    </w:p>
    <w:p w14:paraId="57538212" w14:textId="388D7117" w:rsidR="00950B5D" w:rsidRDefault="00950B5D" w:rsidP="0060713A">
      <w:pPr>
        <w:pStyle w:val="Default"/>
        <w:jc w:val="both"/>
        <w:rPr>
          <w:rFonts w:ascii="Century Gothic" w:hAnsi="Century Gothic"/>
          <w:sz w:val="20"/>
          <w:szCs w:val="20"/>
          <w:lang w:val="en-US"/>
        </w:rPr>
      </w:pPr>
      <w:r>
        <w:rPr>
          <w:rFonts w:ascii="Century Gothic" w:hAnsi="Century Gothic"/>
          <w:sz w:val="20"/>
          <w:szCs w:val="20"/>
          <w:lang w:val="en-US"/>
        </w:rPr>
        <w:t>We agree that the calculation of prudential valuation adjustments should be back tested on a regular basis</w:t>
      </w:r>
      <w:r w:rsidR="00C25DD2">
        <w:rPr>
          <w:rFonts w:ascii="Century Gothic" w:hAnsi="Century Gothic"/>
          <w:sz w:val="20"/>
          <w:szCs w:val="20"/>
          <w:lang w:val="en-US"/>
        </w:rPr>
        <w:t xml:space="preserve">. We would also notice that not only AVAs mentioned in Articles 8 to 10 are relevant for back testing </w:t>
      </w:r>
      <w:r w:rsidR="007A12AE">
        <w:rPr>
          <w:rFonts w:ascii="Century Gothic" w:hAnsi="Century Gothic"/>
          <w:sz w:val="20"/>
          <w:szCs w:val="20"/>
          <w:lang w:val="en-US"/>
        </w:rPr>
        <w:t>check</w:t>
      </w:r>
      <w:r w:rsidR="00C25DD2">
        <w:rPr>
          <w:rFonts w:ascii="Century Gothic" w:hAnsi="Century Gothic"/>
          <w:sz w:val="20"/>
          <w:szCs w:val="20"/>
          <w:lang w:val="en-US"/>
        </w:rPr>
        <w:t>, but also model risk and other.</w:t>
      </w:r>
    </w:p>
    <w:p w14:paraId="450D1926" w14:textId="3FE97D3C" w:rsidR="00C25DD2" w:rsidRDefault="00C25DD2" w:rsidP="0060713A">
      <w:pPr>
        <w:pStyle w:val="Default"/>
        <w:jc w:val="both"/>
        <w:rPr>
          <w:rFonts w:ascii="Century Gothic" w:hAnsi="Century Gothic"/>
          <w:sz w:val="20"/>
          <w:szCs w:val="20"/>
          <w:lang w:val="en-US"/>
        </w:rPr>
      </w:pPr>
      <w:r>
        <w:rPr>
          <w:rFonts w:ascii="Century Gothic" w:hAnsi="Century Gothic"/>
          <w:sz w:val="20"/>
          <w:szCs w:val="20"/>
          <w:lang w:val="en-US"/>
        </w:rPr>
        <w:t xml:space="preserve">We would generalize the requirement: for the institution applying core approach prudent values of At Fair Value positions should be properly documented and back tested using actual exit prices </w:t>
      </w:r>
      <w:r w:rsidR="007D799C">
        <w:rPr>
          <w:rFonts w:ascii="Century Gothic" w:hAnsi="Century Gothic"/>
          <w:sz w:val="20"/>
          <w:szCs w:val="20"/>
          <w:lang w:val="en-US"/>
        </w:rPr>
        <w:t>for</w:t>
      </w:r>
      <w:r>
        <w:rPr>
          <w:rFonts w:ascii="Century Gothic" w:hAnsi="Century Gothic"/>
          <w:sz w:val="20"/>
          <w:szCs w:val="20"/>
          <w:lang w:val="en-US"/>
        </w:rPr>
        <w:t xml:space="preserve"> the institution. In case of significant back testing violations results should be reported to management and adjustment in the calculation should be done if necessary.</w:t>
      </w:r>
    </w:p>
    <w:p w14:paraId="7FB23115" w14:textId="77777777" w:rsidR="00C25DD2" w:rsidRDefault="00C25DD2" w:rsidP="0060713A">
      <w:pPr>
        <w:pStyle w:val="Default"/>
        <w:jc w:val="both"/>
        <w:rPr>
          <w:rFonts w:ascii="Century Gothic" w:hAnsi="Century Gothic"/>
          <w:sz w:val="20"/>
          <w:szCs w:val="20"/>
          <w:lang w:val="en-US"/>
        </w:rPr>
      </w:pPr>
    </w:p>
    <w:p w14:paraId="57CFB191" w14:textId="77777777" w:rsidR="00950B5D" w:rsidRPr="00393112" w:rsidRDefault="00950B5D" w:rsidP="0060713A">
      <w:pPr>
        <w:pStyle w:val="Default"/>
        <w:jc w:val="both"/>
        <w:rPr>
          <w:rFonts w:ascii="Century Gothic" w:hAnsi="Century Gothic"/>
          <w:sz w:val="20"/>
          <w:szCs w:val="20"/>
          <w:lang w:val="en-US"/>
        </w:rPr>
      </w:pPr>
    </w:p>
    <w:p w14:paraId="5D0ACEC2" w14:textId="77777777" w:rsidR="00B621BD" w:rsidRPr="00C25DD2" w:rsidRDefault="00CF7E5D" w:rsidP="0060713A">
      <w:pPr>
        <w:jc w:val="both"/>
        <w:rPr>
          <w:rFonts w:ascii="Century Gothic" w:hAnsi="Century Gothic"/>
          <w:i/>
          <w:color w:val="1F497D" w:themeColor="text2"/>
          <w:sz w:val="20"/>
          <w:szCs w:val="20"/>
          <w:lang w:val="en-US"/>
        </w:rPr>
      </w:pPr>
      <w:r w:rsidRPr="00C25DD2">
        <w:rPr>
          <w:rFonts w:ascii="Century Gothic" w:hAnsi="Century Gothic"/>
          <w:i/>
          <w:color w:val="1F497D" w:themeColor="text2"/>
          <w:sz w:val="20"/>
          <w:szCs w:val="20"/>
          <w:lang w:val="en-US"/>
        </w:rPr>
        <w:t>Q13. Do you agree with our analysis of the impact of the proposals in this CP? If not, can you provide any evidence or data that would explain why you disagree or might further inform our analysis of the likely impacts of the proposals?</w:t>
      </w:r>
    </w:p>
    <w:p w14:paraId="02AADB1F" w14:textId="77777777" w:rsidR="00BC4F94" w:rsidRPr="00393112" w:rsidRDefault="00BC4F94" w:rsidP="0060713A">
      <w:pPr>
        <w:jc w:val="both"/>
        <w:rPr>
          <w:rFonts w:ascii="Century Gothic" w:hAnsi="Century Gothic"/>
          <w:sz w:val="20"/>
          <w:szCs w:val="20"/>
          <w:lang w:val="en-US"/>
        </w:rPr>
      </w:pPr>
    </w:p>
    <w:p w14:paraId="6FA4E44A" w14:textId="55E984BC" w:rsidR="00BC4F94" w:rsidRDefault="000946D3" w:rsidP="0060713A">
      <w:pPr>
        <w:jc w:val="both"/>
        <w:rPr>
          <w:rFonts w:ascii="Century Gothic" w:hAnsi="Century Gothic"/>
          <w:sz w:val="20"/>
          <w:szCs w:val="20"/>
          <w:lang w:val="en-US"/>
        </w:rPr>
      </w:pPr>
      <w:r>
        <w:rPr>
          <w:rFonts w:ascii="Century Gothic" w:hAnsi="Century Gothic"/>
          <w:sz w:val="20"/>
          <w:szCs w:val="20"/>
          <w:lang w:val="en-US"/>
        </w:rPr>
        <w:t>We agree with stated costs and benefits in general; however we think it is important to notice also the following:</w:t>
      </w:r>
    </w:p>
    <w:p w14:paraId="6327D8B1" w14:textId="35CF5CF3" w:rsidR="000946D3" w:rsidRPr="00274FA5" w:rsidRDefault="000946D3" w:rsidP="0060713A">
      <w:pPr>
        <w:pStyle w:val="ListParagraph"/>
        <w:numPr>
          <w:ilvl w:val="0"/>
          <w:numId w:val="1"/>
        </w:numPr>
        <w:jc w:val="both"/>
        <w:rPr>
          <w:rFonts w:ascii="Century Gothic" w:hAnsi="Century Gothic"/>
          <w:b/>
          <w:sz w:val="20"/>
          <w:szCs w:val="20"/>
          <w:lang w:val="en-US"/>
        </w:rPr>
      </w:pPr>
      <w:r>
        <w:rPr>
          <w:rFonts w:ascii="Century Gothic" w:hAnsi="Century Gothic"/>
          <w:b/>
          <w:sz w:val="20"/>
          <w:szCs w:val="20"/>
          <w:lang w:val="en-US"/>
        </w:rPr>
        <w:t>Indirect costs</w:t>
      </w:r>
      <w:r w:rsidR="003C66F2">
        <w:rPr>
          <w:rFonts w:ascii="Century Gothic" w:hAnsi="Century Gothic"/>
          <w:b/>
          <w:sz w:val="20"/>
          <w:szCs w:val="20"/>
          <w:lang w:val="en-US"/>
        </w:rPr>
        <w:t xml:space="preserve"> – ineffective management</w:t>
      </w:r>
      <w:r w:rsidRPr="000946D3">
        <w:rPr>
          <w:rFonts w:ascii="Century Gothic" w:hAnsi="Century Gothic"/>
          <w:b/>
          <w:sz w:val="20"/>
          <w:szCs w:val="20"/>
          <w:lang w:val="en-US"/>
        </w:rPr>
        <w:t xml:space="preserve">: </w:t>
      </w:r>
      <w:r>
        <w:rPr>
          <w:rFonts w:ascii="Century Gothic" w:hAnsi="Century Gothic"/>
          <w:sz w:val="20"/>
          <w:szCs w:val="20"/>
          <w:lang w:val="en-US"/>
        </w:rPr>
        <w:t xml:space="preserve">the new increasing complexity of capital requirements calculation may lead to less effective bank management. Prudent valuation regime following the good intention of the regulator to protect taxpayers against hidden valuation distortion in bank’s balance sheet </w:t>
      </w:r>
      <w:r w:rsidR="00274FA5">
        <w:rPr>
          <w:rFonts w:ascii="Century Gothic" w:hAnsi="Century Gothic"/>
          <w:sz w:val="20"/>
          <w:szCs w:val="20"/>
          <w:lang w:val="en-US"/>
        </w:rPr>
        <w:t xml:space="preserve">should be therefore introduced smoothly, gradually and in the consistent way. </w:t>
      </w:r>
      <w:r>
        <w:rPr>
          <w:rFonts w:ascii="Century Gothic" w:hAnsi="Century Gothic"/>
          <w:sz w:val="20"/>
          <w:szCs w:val="20"/>
          <w:lang w:val="en-US"/>
        </w:rPr>
        <w:t xml:space="preserve"> </w:t>
      </w:r>
      <w:r w:rsidR="00274FA5">
        <w:rPr>
          <w:rFonts w:ascii="Century Gothic" w:hAnsi="Century Gothic"/>
          <w:sz w:val="20"/>
          <w:szCs w:val="20"/>
          <w:lang w:val="en-US"/>
        </w:rPr>
        <w:t>We would underline once more that unfortunately in the current version of Technical standards we did not find a clear guideline about the calculation of AVAs.</w:t>
      </w:r>
    </w:p>
    <w:p w14:paraId="0BD0D9FB" w14:textId="5E58F0F9" w:rsidR="00274FA5" w:rsidRPr="000946D3" w:rsidRDefault="00274FA5" w:rsidP="0060713A">
      <w:pPr>
        <w:pStyle w:val="ListParagraph"/>
        <w:numPr>
          <w:ilvl w:val="0"/>
          <w:numId w:val="1"/>
        </w:numPr>
        <w:jc w:val="both"/>
        <w:rPr>
          <w:rFonts w:ascii="Century Gothic" w:hAnsi="Century Gothic"/>
          <w:b/>
          <w:sz w:val="20"/>
          <w:szCs w:val="20"/>
          <w:lang w:val="en-US"/>
        </w:rPr>
      </w:pPr>
      <w:r>
        <w:rPr>
          <w:rFonts w:ascii="Century Gothic" w:hAnsi="Century Gothic"/>
          <w:b/>
          <w:sz w:val="20"/>
          <w:szCs w:val="20"/>
          <w:lang w:val="en-US"/>
        </w:rPr>
        <w:t>Indirect costs</w:t>
      </w:r>
      <w:r w:rsidR="003C66F2">
        <w:rPr>
          <w:rFonts w:ascii="Century Gothic" w:hAnsi="Century Gothic"/>
          <w:b/>
          <w:sz w:val="20"/>
          <w:szCs w:val="20"/>
          <w:lang w:val="en-US"/>
        </w:rPr>
        <w:t xml:space="preserve"> – unattractive markets</w:t>
      </w:r>
      <w:r>
        <w:rPr>
          <w:rFonts w:ascii="Century Gothic" w:hAnsi="Century Gothic"/>
          <w:b/>
          <w:sz w:val="20"/>
          <w:szCs w:val="20"/>
          <w:lang w:val="en-US"/>
        </w:rPr>
        <w:t xml:space="preserve">: </w:t>
      </w:r>
      <w:r>
        <w:rPr>
          <w:rFonts w:ascii="Century Gothic" w:hAnsi="Century Gothic"/>
          <w:sz w:val="20"/>
          <w:szCs w:val="20"/>
          <w:lang w:val="en-US"/>
        </w:rPr>
        <w:t>introduction of AVAs for less liquid positions will make investment into developing and emerging markets less attractive, which can contribute to the slowdown of respective economies development speed. Charging AVAs for complex products may also decrease the innovation on the financial markets</w:t>
      </w:r>
      <w:r w:rsidR="007D799C">
        <w:rPr>
          <w:rFonts w:ascii="Century Gothic" w:hAnsi="Century Gothic"/>
          <w:sz w:val="20"/>
          <w:szCs w:val="20"/>
          <w:lang w:val="en-US"/>
        </w:rPr>
        <w:t xml:space="preserve"> and will not help customers to solve their financial needs</w:t>
      </w:r>
      <w:r>
        <w:rPr>
          <w:rFonts w:ascii="Century Gothic" w:hAnsi="Century Gothic"/>
          <w:sz w:val="20"/>
          <w:szCs w:val="20"/>
          <w:lang w:val="en-US"/>
        </w:rPr>
        <w:t>.</w:t>
      </w:r>
    </w:p>
    <w:p w14:paraId="33C07C98" w14:textId="77777777" w:rsidR="00C25DD2" w:rsidRPr="00393112" w:rsidRDefault="00C25DD2" w:rsidP="0060713A">
      <w:pPr>
        <w:jc w:val="both"/>
        <w:rPr>
          <w:rFonts w:ascii="Century Gothic" w:hAnsi="Century Gothic"/>
          <w:sz w:val="20"/>
          <w:szCs w:val="20"/>
          <w:lang w:val="en-US"/>
        </w:rPr>
      </w:pPr>
    </w:p>
    <w:p w14:paraId="2A6F1AC3" w14:textId="77777777" w:rsidR="004E2C94" w:rsidRPr="00393112" w:rsidRDefault="004E2C94" w:rsidP="0060713A">
      <w:pPr>
        <w:pStyle w:val="ListParagraph"/>
        <w:ind w:left="0" w:firstLine="708"/>
        <w:jc w:val="both"/>
        <w:rPr>
          <w:rFonts w:ascii="Century Gothic" w:hAnsi="Century Gothic"/>
          <w:lang w:val="en-US"/>
        </w:rPr>
      </w:pPr>
    </w:p>
    <w:sectPr w:rsidR="004E2C94" w:rsidRPr="0039311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8455C" w14:textId="77777777" w:rsidR="008C0480" w:rsidRDefault="008C0480" w:rsidP="00992B04">
      <w:r>
        <w:separator/>
      </w:r>
    </w:p>
  </w:endnote>
  <w:endnote w:type="continuationSeparator" w:id="0">
    <w:p w14:paraId="7AA81BA1" w14:textId="77777777" w:rsidR="008C0480" w:rsidRDefault="008C0480" w:rsidP="0099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Futura">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CE Book">
    <w:panose1 w:val="02000504030000020003"/>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17843"/>
      <w:docPartObj>
        <w:docPartGallery w:val="Page Numbers (Bottom of Page)"/>
        <w:docPartUnique/>
      </w:docPartObj>
    </w:sdtPr>
    <w:sdtEndPr>
      <w:rPr>
        <w:noProof/>
      </w:rPr>
    </w:sdtEndPr>
    <w:sdtContent>
      <w:p w14:paraId="00E1C3D3" w14:textId="6A48A062" w:rsidR="00052F8E" w:rsidRDefault="00052F8E">
        <w:pPr>
          <w:pStyle w:val="Footer"/>
          <w:jc w:val="right"/>
        </w:pPr>
        <w:r>
          <w:fldChar w:fldCharType="begin"/>
        </w:r>
        <w:r>
          <w:instrText xml:space="preserve"> PAGE   \* MERGEFORMAT </w:instrText>
        </w:r>
        <w:r>
          <w:fldChar w:fldCharType="separate"/>
        </w:r>
        <w:r w:rsidR="00CA006C">
          <w:rPr>
            <w:noProof/>
          </w:rPr>
          <w:t>6</w:t>
        </w:r>
        <w:r>
          <w:rPr>
            <w:noProof/>
          </w:rPr>
          <w:fldChar w:fldCharType="end"/>
        </w:r>
      </w:p>
    </w:sdtContent>
  </w:sdt>
  <w:p w14:paraId="1CC694B0" w14:textId="77777777" w:rsidR="00052F8E" w:rsidRDefault="00052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E594" w14:textId="77777777" w:rsidR="008C0480" w:rsidRDefault="008C0480" w:rsidP="00992B04">
      <w:r>
        <w:separator/>
      </w:r>
    </w:p>
  </w:footnote>
  <w:footnote w:type="continuationSeparator" w:id="0">
    <w:p w14:paraId="2A8D6B48" w14:textId="77777777" w:rsidR="008C0480" w:rsidRDefault="008C0480" w:rsidP="00992B04">
      <w:r>
        <w:continuationSeparator/>
      </w:r>
    </w:p>
  </w:footnote>
  <w:footnote w:id="1">
    <w:p w14:paraId="574A60B6" w14:textId="037DC200" w:rsidR="00052F8E" w:rsidRPr="00D64CF7" w:rsidRDefault="00052F8E">
      <w:pPr>
        <w:pStyle w:val="FootnoteText"/>
        <w:rPr>
          <w:lang w:val="en-US"/>
        </w:rPr>
      </w:pPr>
      <w:r>
        <w:rPr>
          <w:rStyle w:val="FootnoteReference"/>
        </w:rPr>
        <w:footnoteRef/>
      </w:r>
      <w:r w:rsidRPr="00D64CF7">
        <w:rPr>
          <w:lang w:val="en-US"/>
        </w:rPr>
        <w:t xml:space="preserve"> </w:t>
      </w:r>
      <w:r w:rsidRPr="00E36BEB">
        <w:rPr>
          <w:rFonts w:ascii="Century Gothic" w:hAnsi="Century Gothic"/>
          <w:sz w:val="16"/>
          <w:lang w:val="en-US"/>
        </w:rPr>
        <w:t>All proposed multipliers are rather indicative and are subject to review for the Supervisor. We would recommend to access the level of multipliers during the accomplishing of Quantitative Impact Study.</w:t>
      </w:r>
    </w:p>
  </w:footnote>
  <w:footnote w:id="2">
    <w:p w14:paraId="6A4B452F" w14:textId="77777777" w:rsidR="00052F8E" w:rsidRPr="00E36BEB" w:rsidRDefault="00052F8E" w:rsidP="00393112">
      <w:pPr>
        <w:pStyle w:val="FootnoteText"/>
        <w:rPr>
          <w:rFonts w:ascii="Century Gothic" w:hAnsi="Century Gothic"/>
          <w:sz w:val="20"/>
          <w:lang w:val="en-US"/>
        </w:rPr>
      </w:pPr>
      <w:r w:rsidRPr="00DD2401">
        <w:rPr>
          <w:rStyle w:val="FootnoteReference"/>
          <w:rFonts w:ascii="Futura CE Book" w:hAnsi="Futura CE Book"/>
          <w:sz w:val="20"/>
        </w:rPr>
        <w:footnoteRef/>
      </w:r>
      <w:r w:rsidRPr="00DD2401">
        <w:rPr>
          <w:rFonts w:ascii="Futura CE Book" w:hAnsi="Futura CE Book"/>
          <w:sz w:val="20"/>
          <w:lang w:val="en-US"/>
        </w:rPr>
        <w:t xml:space="preserve"> </w:t>
      </w:r>
      <w:r w:rsidRPr="00E36BEB">
        <w:rPr>
          <w:rFonts w:ascii="Century Gothic" w:hAnsi="Century Gothic"/>
          <w:sz w:val="16"/>
          <w:lang w:val="en-US"/>
        </w:rPr>
        <w:t>MiFID complex and non complex financial instruments for the purposes of the Directive’s appropriateness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205"/>
    <w:multiLevelType w:val="hybridMultilevel"/>
    <w:tmpl w:val="FD146F6A"/>
    <w:lvl w:ilvl="0" w:tplc="C960EC1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287018E"/>
    <w:multiLevelType w:val="hybridMultilevel"/>
    <w:tmpl w:val="B0DA235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5D"/>
    <w:rsid w:val="000027FD"/>
    <w:rsid w:val="00007781"/>
    <w:rsid w:val="000338E3"/>
    <w:rsid w:val="00052F8E"/>
    <w:rsid w:val="0007131A"/>
    <w:rsid w:val="00083482"/>
    <w:rsid w:val="000946D3"/>
    <w:rsid w:val="001509FF"/>
    <w:rsid w:val="00150E5C"/>
    <w:rsid w:val="001579CB"/>
    <w:rsid w:val="00166A14"/>
    <w:rsid w:val="00187171"/>
    <w:rsid w:val="001B475C"/>
    <w:rsid w:val="001C157B"/>
    <w:rsid w:val="001C2ABC"/>
    <w:rsid w:val="001C30BB"/>
    <w:rsid w:val="001C3E8D"/>
    <w:rsid w:val="00274FA5"/>
    <w:rsid w:val="002B2872"/>
    <w:rsid w:val="00356FD5"/>
    <w:rsid w:val="0038650B"/>
    <w:rsid w:val="00392A4A"/>
    <w:rsid w:val="00393112"/>
    <w:rsid w:val="003A04B7"/>
    <w:rsid w:val="003C66F2"/>
    <w:rsid w:val="003E5226"/>
    <w:rsid w:val="004362CA"/>
    <w:rsid w:val="004A4BEA"/>
    <w:rsid w:val="004E2C94"/>
    <w:rsid w:val="004F7140"/>
    <w:rsid w:val="004F7CD6"/>
    <w:rsid w:val="0051413F"/>
    <w:rsid w:val="005650FF"/>
    <w:rsid w:val="00577A1A"/>
    <w:rsid w:val="00586CC3"/>
    <w:rsid w:val="005A3457"/>
    <w:rsid w:val="005A550F"/>
    <w:rsid w:val="005B0ADC"/>
    <w:rsid w:val="005E0670"/>
    <w:rsid w:val="006022AC"/>
    <w:rsid w:val="0060713A"/>
    <w:rsid w:val="006113CC"/>
    <w:rsid w:val="00643554"/>
    <w:rsid w:val="0064533B"/>
    <w:rsid w:val="00660427"/>
    <w:rsid w:val="006A5206"/>
    <w:rsid w:val="006E6E04"/>
    <w:rsid w:val="006F1663"/>
    <w:rsid w:val="007A12AE"/>
    <w:rsid w:val="007D799C"/>
    <w:rsid w:val="008216C2"/>
    <w:rsid w:val="008B480B"/>
    <w:rsid w:val="008C0480"/>
    <w:rsid w:val="008D1867"/>
    <w:rsid w:val="008D4857"/>
    <w:rsid w:val="008D503D"/>
    <w:rsid w:val="008E3A0C"/>
    <w:rsid w:val="00912574"/>
    <w:rsid w:val="00950B5D"/>
    <w:rsid w:val="00992B04"/>
    <w:rsid w:val="009D46B4"/>
    <w:rsid w:val="009E4610"/>
    <w:rsid w:val="00A2478D"/>
    <w:rsid w:val="00A24E0A"/>
    <w:rsid w:val="00A350CC"/>
    <w:rsid w:val="00A81987"/>
    <w:rsid w:val="00A87D6F"/>
    <w:rsid w:val="00A9675C"/>
    <w:rsid w:val="00AA5DB6"/>
    <w:rsid w:val="00AC530F"/>
    <w:rsid w:val="00B317F1"/>
    <w:rsid w:val="00B35EFF"/>
    <w:rsid w:val="00B621BD"/>
    <w:rsid w:val="00B718E3"/>
    <w:rsid w:val="00B73494"/>
    <w:rsid w:val="00BB5948"/>
    <w:rsid w:val="00BC4F94"/>
    <w:rsid w:val="00BC5C52"/>
    <w:rsid w:val="00C25DD2"/>
    <w:rsid w:val="00C666B9"/>
    <w:rsid w:val="00CA006C"/>
    <w:rsid w:val="00CB0EDA"/>
    <w:rsid w:val="00CF7E5D"/>
    <w:rsid w:val="00D63DCD"/>
    <w:rsid w:val="00D64CF7"/>
    <w:rsid w:val="00D70AFA"/>
    <w:rsid w:val="00D85F4D"/>
    <w:rsid w:val="00DD2401"/>
    <w:rsid w:val="00DE18CD"/>
    <w:rsid w:val="00DE1E18"/>
    <w:rsid w:val="00E36BEB"/>
    <w:rsid w:val="00EA554F"/>
    <w:rsid w:val="00F75488"/>
    <w:rsid w:val="00FB70B4"/>
    <w:rsid w:val="00FD530D"/>
    <w:rsid w:val="00FF1715"/>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de-AT"/>
    </w:rPr>
  </w:style>
  <w:style w:type="paragraph" w:styleId="Heading1">
    <w:name w:val="heading 1"/>
    <w:basedOn w:val="Normal"/>
    <w:next w:val="Normal"/>
    <w:link w:val="Heading1Char"/>
    <w:qFormat/>
    <w:rsid w:val="00BC4F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5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BC4F94"/>
    <w:rPr>
      <w:rFonts w:asciiTheme="majorHAnsi" w:eastAsiaTheme="majorEastAsia" w:hAnsiTheme="majorHAnsi" w:cstheme="majorBidi"/>
      <w:b/>
      <w:bCs/>
      <w:color w:val="365F91" w:themeColor="accent1" w:themeShade="BF"/>
      <w:sz w:val="28"/>
      <w:szCs w:val="28"/>
      <w:lang w:eastAsia="de-AT"/>
    </w:rPr>
  </w:style>
  <w:style w:type="paragraph" w:styleId="Subtitle">
    <w:name w:val="Subtitle"/>
    <w:basedOn w:val="Normal"/>
    <w:next w:val="Normal"/>
    <w:link w:val="SubtitleChar"/>
    <w:qFormat/>
    <w:rsid w:val="00AC53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C530F"/>
    <w:rPr>
      <w:rFonts w:asciiTheme="majorHAnsi" w:eastAsiaTheme="majorEastAsia" w:hAnsiTheme="majorHAnsi" w:cstheme="majorBidi"/>
      <w:i/>
      <w:iCs/>
      <w:color w:val="4F81BD" w:themeColor="accent1"/>
      <w:spacing w:val="15"/>
      <w:sz w:val="24"/>
      <w:szCs w:val="24"/>
      <w:lang w:eastAsia="de-AT"/>
    </w:rPr>
  </w:style>
  <w:style w:type="character" w:styleId="Emphasis">
    <w:name w:val="Emphasis"/>
    <w:basedOn w:val="DefaultParagraphFont"/>
    <w:qFormat/>
    <w:rsid w:val="00AC530F"/>
    <w:rPr>
      <w:i/>
      <w:iCs/>
    </w:rPr>
  </w:style>
  <w:style w:type="character" w:styleId="SubtleEmphasis">
    <w:name w:val="Subtle Emphasis"/>
    <w:basedOn w:val="DefaultParagraphFont"/>
    <w:uiPriority w:val="19"/>
    <w:qFormat/>
    <w:rsid w:val="00AC530F"/>
    <w:rPr>
      <w:i/>
      <w:iCs/>
      <w:color w:val="808080" w:themeColor="text1" w:themeTint="7F"/>
    </w:rPr>
  </w:style>
  <w:style w:type="paragraph" w:styleId="ListParagraph">
    <w:name w:val="List Paragraph"/>
    <w:basedOn w:val="Normal"/>
    <w:uiPriority w:val="34"/>
    <w:qFormat/>
    <w:rsid w:val="00083482"/>
    <w:pPr>
      <w:ind w:left="720"/>
      <w:contextualSpacing/>
    </w:pPr>
  </w:style>
  <w:style w:type="table" w:styleId="TableGrid">
    <w:name w:val="Table Grid"/>
    <w:basedOn w:val="TableNormal"/>
    <w:rsid w:val="00D85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92B04"/>
  </w:style>
  <w:style w:type="character" w:customStyle="1" w:styleId="FootnoteTextChar">
    <w:name w:val="Footnote Text Char"/>
    <w:basedOn w:val="DefaultParagraphFont"/>
    <w:link w:val="FootnoteText"/>
    <w:rsid w:val="00992B04"/>
    <w:rPr>
      <w:sz w:val="24"/>
      <w:szCs w:val="24"/>
      <w:lang w:eastAsia="de-AT"/>
    </w:rPr>
  </w:style>
  <w:style w:type="character" w:styleId="FootnoteReference">
    <w:name w:val="footnote reference"/>
    <w:basedOn w:val="DefaultParagraphFont"/>
    <w:rsid w:val="00992B04"/>
    <w:rPr>
      <w:vertAlign w:val="superscript"/>
    </w:rPr>
  </w:style>
  <w:style w:type="character" w:styleId="IntenseEmphasis">
    <w:name w:val="Intense Emphasis"/>
    <w:basedOn w:val="DefaultParagraphFont"/>
    <w:uiPriority w:val="21"/>
    <w:qFormat/>
    <w:rsid w:val="00A2478D"/>
    <w:rPr>
      <w:b/>
      <w:bCs/>
      <w:i/>
      <w:iCs/>
      <w:color w:val="4F81BD" w:themeColor="accent1"/>
    </w:rPr>
  </w:style>
  <w:style w:type="paragraph" w:styleId="Header">
    <w:name w:val="header"/>
    <w:basedOn w:val="Normal"/>
    <w:link w:val="HeaderChar"/>
    <w:rsid w:val="005650FF"/>
    <w:pPr>
      <w:tabs>
        <w:tab w:val="center" w:pos="4536"/>
        <w:tab w:val="right" w:pos="9072"/>
      </w:tabs>
    </w:pPr>
  </w:style>
  <w:style w:type="character" w:customStyle="1" w:styleId="HeaderChar">
    <w:name w:val="Header Char"/>
    <w:basedOn w:val="DefaultParagraphFont"/>
    <w:link w:val="Header"/>
    <w:rsid w:val="005650FF"/>
    <w:rPr>
      <w:sz w:val="24"/>
      <w:szCs w:val="24"/>
      <w:lang w:eastAsia="de-AT"/>
    </w:rPr>
  </w:style>
  <w:style w:type="paragraph" w:styleId="Footer">
    <w:name w:val="footer"/>
    <w:basedOn w:val="Normal"/>
    <w:link w:val="FooterChar"/>
    <w:uiPriority w:val="99"/>
    <w:rsid w:val="005650FF"/>
    <w:pPr>
      <w:tabs>
        <w:tab w:val="center" w:pos="4536"/>
        <w:tab w:val="right" w:pos="9072"/>
      </w:tabs>
    </w:pPr>
  </w:style>
  <w:style w:type="character" w:customStyle="1" w:styleId="FooterChar">
    <w:name w:val="Footer Char"/>
    <w:basedOn w:val="DefaultParagraphFont"/>
    <w:link w:val="Footer"/>
    <w:uiPriority w:val="99"/>
    <w:rsid w:val="005650FF"/>
    <w:rPr>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de-AT"/>
    </w:rPr>
  </w:style>
  <w:style w:type="paragraph" w:styleId="Heading1">
    <w:name w:val="heading 1"/>
    <w:basedOn w:val="Normal"/>
    <w:next w:val="Normal"/>
    <w:link w:val="Heading1Char"/>
    <w:qFormat/>
    <w:rsid w:val="00BC4F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5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BC4F94"/>
    <w:rPr>
      <w:rFonts w:asciiTheme="majorHAnsi" w:eastAsiaTheme="majorEastAsia" w:hAnsiTheme="majorHAnsi" w:cstheme="majorBidi"/>
      <w:b/>
      <w:bCs/>
      <w:color w:val="365F91" w:themeColor="accent1" w:themeShade="BF"/>
      <w:sz w:val="28"/>
      <w:szCs w:val="28"/>
      <w:lang w:eastAsia="de-AT"/>
    </w:rPr>
  </w:style>
  <w:style w:type="paragraph" w:styleId="Subtitle">
    <w:name w:val="Subtitle"/>
    <w:basedOn w:val="Normal"/>
    <w:next w:val="Normal"/>
    <w:link w:val="SubtitleChar"/>
    <w:qFormat/>
    <w:rsid w:val="00AC53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C530F"/>
    <w:rPr>
      <w:rFonts w:asciiTheme="majorHAnsi" w:eastAsiaTheme="majorEastAsia" w:hAnsiTheme="majorHAnsi" w:cstheme="majorBidi"/>
      <w:i/>
      <w:iCs/>
      <w:color w:val="4F81BD" w:themeColor="accent1"/>
      <w:spacing w:val="15"/>
      <w:sz w:val="24"/>
      <w:szCs w:val="24"/>
      <w:lang w:eastAsia="de-AT"/>
    </w:rPr>
  </w:style>
  <w:style w:type="character" w:styleId="Emphasis">
    <w:name w:val="Emphasis"/>
    <w:basedOn w:val="DefaultParagraphFont"/>
    <w:qFormat/>
    <w:rsid w:val="00AC530F"/>
    <w:rPr>
      <w:i/>
      <w:iCs/>
    </w:rPr>
  </w:style>
  <w:style w:type="character" w:styleId="SubtleEmphasis">
    <w:name w:val="Subtle Emphasis"/>
    <w:basedOn w:val="DefaultParagraphFont"/>
    <w:uiPriority w:val="19"/>
    <w:qFormat/>
    <w:rsid w:val="00AC530F"/>
    <w:rPr>
      <w:i/>
      <w:iCs/>
      <w:color w:val="808080" w:themeColor="text1" w:themeTint="7F"/>
    </w:rPr>
  </w:style>
  <w:style w:type="paragraph" w:styleId="ListParagraph">
    <w:name w:val="List Paragraph"/>
    <w:basedOn w:val="Normal"/>
    <w:uiPriority w:val="34"/>
    <w:qFormat/>
    <w:rsid w:val="00083482"/>
    <w:pPr>
      <w:ind w:left="720"/>
      <w:contextualSpacing/>
    </w:pPr>
  </w:style>
  <w:style w:type="table" w:styleId="TableGrid">
    <w:name w:val="Table Grid"/>
    <w:basedOn w:val="TableNormal"/>
    <w:rsid w:val="00D85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92B04"/>
  </w:style>
  <w:style w:type="character" w:customStyle="1" w:styleId="FootnoteTextChar">
    <w:name w:val="Footnote Text Char"/>
    <w:basedOn w:val="DefaultParagraphFont"/>
    <w:link w:val="FootnoteText"/>
    <w:rsid w:val="00992B04"/>
    <w:rPr>
      <w:sz w:val="24"/>
      <w:szCs w:val="24"/>
      <w:lang w:eastAsia="de-AT"/>
    </w:rPr>
  </w:style>
  <w:style w:type="character" w:styleId="FootnoteReference">
    <w:name w:val="footnote reference"/>
    <w:basedOn w:val="DefaultParagraphFont"/>
    <w:rsid w:val="00992B04"/>
    <w:rPr>
      <w:vertAlign w:val="superscript"/>
    </w:rPr>
  </w:style>
  <w:style w:type="character" w:styleId="IntenseEmphasis">
    <w:name w:val="Intense Emphasis"/>
    <w:basedOn w:val="DefaultParagraphFont"/>
    <w:uiPriority w:val="21"/>
    <w:qFormat/>
    <w:rsid w:val="00A2478D"/>
    <w:rPr>
      <w:b/>
      <w:bCs/>
      <w:i/>
      <w:iCs/>
      <w:color w:val="4F81BD" w:themeColor="accent1"/>
    </w:rPr>
  </w:style>
  <w:style w:type="paragraph" w:styleId="Header">
    <w:name w:val="header"/>
    <w:basedOn w:val="Normal"/>
    <w:link w:val="HeaderChar"/>
    <w:rsid w:val="005650FF"/>
    <w:pPr>
      <w:tabs>
        <w:tab w:val="center" w:pos="4536"/>
        <w:tab w:val="right" w:pos="9072"/>
      </w:tabs>
    </w:pPr>
  </w:style>
  <w:style w:type="character" w:customStyle="1" w:styleId="HeaderChar">
    <w:name w:val="Header Char"/>
    <w:basedOn w:val="DefaultParagraphFont"/>
    <w:link w:val="Header"/>
    <w:rsid w:val="005650FF"/>
    <w:rPr>
      <w:sz w:val="24"/>
      <w:szCs w:val="24"/>
      <w:lang w:eastAsia="de-AT"/>
    </w:rPr>
  </w:style>
  <w:style w:type="paragraph" w:styleId="Footer">
    <w:name w:val="footer"/>
    <w:basedOn w:val="Normal"/>
    <w:link w:val="FooterChar"/>
    <w:uiPriority w:val="99"/>
    <w:rsid w:val="005650FF"/>
    <w:pPr>
      <w:tabs>
        <w:tab w:val="center" w:pos="4536"/>
        <w:tab w:val="right" w:pos="9072"/>
      </w:tabs>
    </w:pPr>
  </w:style>
  <w:style w:type="character" w:customStyle="1" w:styleId="FooterChar">
    <w:name w:val="Footer Char"/>
    <w:basedOn w:val="DefaultParagraphFont"/>
    <w:link w:val="Footer"/>
    <w:uiPriority w:val="99"/>
    <w:rsid w:val="005650FF"/>
    <w:rPr>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196F-FF3D-4C7B-9BA0-203D370F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4331</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Raiffeisen</Company>
  <LinksUpToDate>false</LinksUpToDate>
  <CharactersWithSpaces>27967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KRYNYTSKA</dc:creator>
  <cp:lastModifiedBy>Kateryna KRYNYTSKA</cp:lastModifiedBy>
  <cp:revision>3</cp:revision>
  <cp:lastPrinted>2013-10-07T13:03:00Z</cp:lastPrinted>
  <dcterms:created xsi:type="dcterms:W3CDTF">2013-10-08T08:36:00Z</dcterms:created>
  <dcterms:modified xsi:type="dcterms:W3CDTF">2013-10-08T14:31:00Z</dcterms:modified>
</cp:coreProperties>
</file>