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2CCC" w:rsidRDefault="007E2CCC" w:rsidP="00C11690">
      <w:pPr>
        <w:spacing w:after="0" w:line="240" w:lineRule="auto"/>
        <w:jc w:val="center"/>
        <w:rPr>
          <w:rFonts w:ascii="Arial" w:hAnsi="Arial" w:cs="Arial"/>
          <w:b/>
          <w:sz w:val="32"/>
        </w:rPr>
      </w:pPr>
    </w:p>
    <w:p w:rsidR="009D4B33" w:rsidRDefault="009D4B33" w:rsidP="00C11690">
      <w:pPr>
        <w:spacing w:after="0" w:line="240" w:lineRule="auto"/>
        <w:jc w:val="center"/>
        <w:rPr>
          <w:rFonts w:ascii="Arial" w:hAnsi="Arial" w:cs="Arial"/>
          <w:b/>
          <w:sz w:val="32"/>
        </w:rPr>
      </w:pPr>
    </w:p>
    <w:p w:rsidR="009D4B33" w:rsidRDefault="009D4B33" w:rsidP="00C11690">
      <w:pPr>
        <w:spacing w:after="0" w:line="240" w:lineRule="auto"/>
        <w:jc w:val="center"/>
        <w:rPr>
          <w:rFonts w:ascii="Arial" w:hAnsi="Arial" w:cs="Arial"/>
          <w:b/>
          <w:sz w:val="32"/>
        </w:rPr>
      </w:pPr>
    </w:p>
    <w:p w:rsidR="00803738" w:rsidRPr="00B1503C" w:rsidRDefault="00803738" w:rsidP="00C11690">
      <w:pPr>
        <w:spacing w:after="0" w:line="240" w:lineRule="auto"/>
        <w:jc w:val="center"/>
        <w:rPr>
          <w:rFonts w:ascii="Arial" w:hAnsi="Arial" w:cs="Arial"/>
          <w:b/>
          <w:sz w:val="32"/>
        </w:rPr>
      </w:pPr>
    </w:p>
    <w:p w:rsidR="009D4B33" w:rsidRDefault="007E2CCC" w:rsidP="00C11690">
      <w:pPr>
        <w:spacing w:after="0" w:line="240" w:lineRule="auto"/>
        <w:jc w:val="center"/>
        <w:rPr>
          <w:rFonts w:ascii="Arial" w:hAnsi="Arial" w:cs="Arial"/>
          <w:b/>
          <w:sz w:val="32"/>
        </w:rPr>
      </w:pPr>
      <w:r w:rsidRPr="00BD7010">
        <w:rPr>
          <w:rFonts w:ascii="Arial" w:hAnsi="Arial" w:cs="Arial"/>
          <w:b/>
          <w:sz w:val="32"/>
        </w:rPr>
        <w:t>E</w:t>
      </w:r>
      <w:r w:rsidR="001C6C20" w:rsidRPr="00BD7010">
        <w:rPr>
          <w:rFonts w:ascii="Arial" w:hAnsi="Arial" w:cs="Arial"/>
          <w:b/>
          <w:sz w:val="32"/>
        </w:rPr>
        <w:t xml:space="preserve">uropean </w:t>
      </w:r>
      <w:r w:rsidRPr="00BD7010">
        <w:rPr>
          <w:rFonts w:ascii="Arial" w:hAnsi="Arial" w:cs="Arial"/>
          <w:b/>
          <w:sz w:val="32"/>
        </w:rPr>
        <w:t>B</w:t>
      </w:r>
      <w:r w:rsidR="001C6C20" w:rsidRPr="00BD7010">
        <w:rPr>
          <w:rFonts w:ascii="Arial" w:hAnsi="Arial" w:cs="Arial"/>
          <w:b/>
          <w:sz w:val="32"/>
        </w:rPr>
        <w:t xml:space="preserve">anking </w:t>
      </w:r>
      <w:r w:rsidRPr="00BD7010">
        <w:rPr>
          <w:rFonts w:ascii="Arial" w:hAnsi="Arial" w:cs="Arial"/>
          <w:b/>
          <w:sz w:val="32"/>
        </w:rPr>
        <w:t>A</w:t>
      </w:r>
      <w:r w:rsidR="001C6C20" w:rsidRPr="00BD7010">
        <w:rPr>
          <w:rFonts w:ascii="Arial" w:hAnsi="Arial" w:cs="Arial"/>
          <w:b/>
          <w:sz w:val="32"/>
        </w:rPr>
        <w:t>uthority (EBA)</w:t>
      </w:r>
      <w:r w:rsidRPr="00B1503C">
        <w:rPr>
          <w:rFonts w:ascii="Arial" w:hAnsi="Arial" w:cs="Arial"/>
          <w:b/>
          <w:sz w:val="32"/>
        </w:rPr>
        <w:t xml:space="preserve"> </w:t>
      </w:r>
      <w:r w:rsidR="00B73001">
        <w:rPr>
          <w:rFonts w:ascii="Arial" w:hAnsi="Arial" w:cs="Arial"/>
          <w:b/>
          <w:sz w:val="32"/>
        </w:rPr>
        <w:t>Consultation</w:t>
      </w:r>
      <w:r w:rsidR="000C1609" w:rsidRPr="000C1609">
        <w:rPr>
          <w:rFonts w:ascii="Arial" w:hAnsi="Arial" w:cs="Arial"/>
          <w:b/>
          <w:sz w:val="32"/>
        </w:rPr>
        <w:t xml:space="preserve"> Paper</w:t>
      </w:r>
    </w:p>
    <w:p w:rsidR="009D4B33" w:rsidRDefault="009D4B33" w:rsidP="00C11690">
      <w:pPr>
        <w:spacing w:after="0" w:line="240" w:lineRule="auto"/>
        <w:jc w:val="center"/>
        <w:rPr>
          <w:rFonts w:ascii="Arial" w:hAnsi="Arial" w:cs="Arial"/>
          <w:b/>
          <w:sz w:val="32"/>
        </w:rPr>
      </w:pPr>
    </w:p>
    <w:p w:rsidR="007E2CCC" w:rsidRDefault="009D4B33" w:rsidP="00C11690">
      <w:pPr>
        <w:spacing w:after="0" w:line="240" w:lineRule="auto"/>
        <w:jc w:val="center"/>
        <w:rPr>
          <w:rFonts w:ascii="Arial" w:hAnsi="Arial" w:cs="Arial"/>
          <w:b/>
          <w:sz w:val="32"/>
        </w:rPr>
      </w:pPr>
      <w:r w:rsidRPr="00B1503C">
        <w:rPr>
          <w:rFonts w:ascii="Arial" w:hAnsi="Arial" w:cs="Arial"/>
          <w:b/>
          <w:sz w:val="32"/>
        </w:rPr>
        <w:t>O</w:t>
      </w:r>
      <w:r w:rsidR="007E2CCC" w:rsidRPr="00B1503C">
        <w:rPr>
          <w:rFonts w:ascii="Arial" w:hAnsi="Arial" w:cs="Arial"/>
          <w:b/>
          <w:sz w:val="32"/>
        </w:rPr>
        <w:t>n</w:t>
      </w:r>
    </w:p>
    <w:p w:rsidR="009D4B33" w:rsidRPr="00B1503C" w:rsidRDefault="009D4B33" w:rsidP="00C11690">
      <w:pPr>
        <w:spacing w:after="0" w:line="240" w:lineRule="auto"/>
        <w:jc w:val="center"/>
        <w:rPr>
          <w:rFonts w:ascii="Arial" w:hAnsi="Arial" w:cs="Arial"/>
          <w:b/>
          <w:sz w:val="32"/>
        </w:rPr>
      </w:pPr>
    </w:p>
    <w:p w:rsidR="00B73001" w:rsidRDefault="000C1609" w:rsidP="00B73001">
      <w:pPr>
        <w:spacing w:after="0" w:line="240" w:lineRule="auto"/>
        <w:jc w:val="right"/>
        <w:rPr>
          <w:rFonts w:ascii="Arial" w:hAnsi="Arial" w:cs="Arial"/>
          <w:b/>
          <w:sz w:val="32"/>
        </w:rPr>
      </w:pPr>
      <w:r w:rsidRPr="000C1609">
        <w:rPr>
          <w:rFonts w:ascii="Arial" w:hAnsi="Arial" w:cs="Arial"/>
          <w:b/>
          <w:sz w:val="32"/>
        </w:rPr>
        <w:t>Draft Regulatory Technical</w:t>
      </w:r>
      <w:r w:rsidR="00B73001">
        <w:rPr>
          <w:rFonts w:ascii="Arial" w:hAnsi="Arial" w:cs="Arial"/>
          <w:b/>
          <w:sz w:val="32"/>
        </w:rPr>
        <w:t xml:space="preserve"> Standards on prudent valuation </w:t>
      </w:r>
      <w:r w:rsidRPr="000C1609">
        <w:rPr>
          <w:rFonts w:ascii="Arial" w:hAnsi="Arial" w:cs="Arial"/>
          <w:b/>
          <w:sz w:val="32"/>
        </w:rPr>
        <w:t>under Article 10</w:t>
      </w:r>
      <w:r w:rsidR="00B73001">
        <w:rPr>
          <w:rFonts w:ascii="Arial" w:hAnsi="Arial" w:cs="Arial"/>
          <w:b/>
          <w:sz w:val="32"/>
        </w:rPr>
        <w:t xml:space="preserve">5(14) </w:t>
      </w:r>
      <w:r w:rsidRPr="000C1609">
        <w:rPr>
          <w:rFonts w:ascii="Arial" w:hAnsi="Arial" w:cs="Arial"/>
          <w:b/>
          <w:sz w:val="32"/>
        </w:rPr>
        <w:t xml:space="preserve">of </w:t>
      </w:r>
      <w:r w:rsidR="00B73001">
        <w:rPr>
          <w:rFonts w:ascii="Arial" w:hAnsi="Arial" w:cs="Arial"/>
          <w:b/>
          <w:sz w:val="32"/>
        </w:rPr>
        <w:t>Regulation (EU) 575/2013 Capital</w:t>
      </w:r>
    </w:p>
    <w:p w:rsidR="007E2CCC" w:rsidRPr="00B1503C" w:rsidRDefault="00B73001" w:rsidP="00B73001">
      <w:pPr>
        <w:spacing w:after="0" w:line="240" w:lineRule="auto"/>
        <w:rPr>
          <w:rFonts w:ascii="Arial" w:hAnsi="Arial" w:cs="Arial"/>
          <w:b/>
          <w:sz w:val="32"/>
        </w:rPr>
      </w:pPr>
      <w:r>
        <w:rPr>
          <w:rFonts w:ascii="Arial" w:hAnsi="Arial" w:cs="Arial"/>
          <w:b/>
          <w:sz w:val="32"/>
        </w:rPr>
        <w:t xml:space="preserve">    </w:t>
      </w:r>
      <w:r w:rsidR="000C1609" w:rsidRPr="000C1609">
        <w:rPr>
          <w:rFonts w:ascii="Arial" w:hAnsi="Arial" w:cs="Arial"/>
          <w:b/>
          <w:sz w:val="32"/>
        </w:rPr>
        <w:t xml:space="preserve">Requirements Regulation (CRR) </w:t>
      </w:r>
      <w:r>
        <w:rPr>
          <w:rFonts w:ascii="Arial" w:hAnsi="Arial" w:cs="Arial"/>
          <w:b/>
          <w:sz w:val="32"/>
        </w:rPr>
        <w:t xml:space="preserve">- </w:t>
      </w:r>
      <w:r w:rsidR="007E2CCC" w:rsidRPr="00B1503C">
        <w:rPr>
          <w:rFonts w:ascii="Arial" w:hAnsi="Arial" w:cs="Arial"/>
          <w:b/>
          <w:sz w:val="32"/>
        </w:rPr>
        <w:t>(</w:t>
      </w:r>
      <w:r>
        <w:rPr>
          <w:rFonts w:ascii="Arial" w:hAnsi="Arial" w:cs="Arial"/>
          <w:b/>
          <w:sz w:val="32"/>
        </w:rPr>
        <w:t>EBA/C</w:t>
      </w:r>
      <w:r w:rsidR="000C1609" w:rsidRPr="000C1609">
        <w:rPr>
          <w:rFonts w:ascii="Arial" w:hAnsi="Arial" w:cs="Arial"/>
          <w:b/>
          <w:sz w:val="32"/>
        </w:rPr>
        <w:t>P/201</w:t>
      </w:r>
      <w:r>
        <w:rPr>
          <w:rFonts w:ascii="Arial" w:hAnsi="Arial" w:cs="Arial"/>
          <w:b/>
          <w:sz w:val="32"/>
        </w:rPr>
        <w:t>3</w:t>
      </w:r>
      <w:r w:rsidR="000C1609" w:rsidRPr="000C1609">
        <w:rPr>
          <w:rFonts w:ascii="Arial" w:hAnsi="Arial" w:cs="Arial"/>
          <w:b/>
          <w:sz w:val="32"/>
        </w:rPr>
        <w:t>/</w:t>
      </w:r>
      <w:r>
        <w:rPr>
          <w:rFonts w:ascii="Arial" w:hAnsi="Arial" w:cs="Arial"/>
          <w:b/>
          <w:sz w:val="32"/>
        </w:rPr>
        <w:t>28</w:t>
      </w:r>
      <w:r w:rsidR="007E2CCC" w:rsidRPr="00B1503C">
        <w:rPr>
          <w:rFonts w:ascii="Arial" w:hAnsi="Arial" w:cs="Arial"/>
          <w:b/>
          <w:sz w:val="32"/>
        </w:rPr>
        <w:t>)</w:t>
      </w:r>
    </w:p>
    <w:p w:rsidR="007E2CCC" w:rsidRPr="00B1503C" w:rsidRDefault="007E2CCC" w:rsidP="00C11690">
      <w:pPr>
        <w:spacing w:after="0" w:line="240" w:lineRule="auto"/>
        <w:jc w:val="center"/>
        <w:rPr>
          <w:rFonts w:ascii="Arial" w:hAnsi="Arial" w:cs="Arial"/>
          <w:b/>
          <w:sz w:val="32"/>
        </w:rPr>
      </w:pPr>
    </w:p>
    <w:p w:rsidR="007E2CCC" w:rsidRPr="00B1503C" w:rsidRDefault="007E2CCC" w:rsidP="00C11690">
      <w:pPr>
        <w:spacing w:after="0" w:line="240" w:lineRule="auto"/>
        <w:jc w:val="center"/>
        <w:rPr>
          <w:rFonts w:ascii="Arial" w:hAnsi="Arial" w:cs="Arial"/>
          <w:b/>
          <w:sz w:val="32"/>
        </w:rPr>
      </w:pPr>
      <w:r w:rsidRPr="00B1503C">
        <w:rPr>
          <w:rFonts w:ascii="Arial" w:hAnsi="Arial" w:cs="Arial"/>
          <w:b/>
          <w:sz w:val="32"/>
        </w:rPr>
        <w:t xml:space="preserve">Dated </w:t>
      </w:r>
      <w:r w:rsidR="00B73001">
        <w:rPr>
          <w:rFonts w:ascii="Arial" w:hAnsi="Arial" w:cs="Arial"/>
          <w:b/>
          <w:sz w:val="32"/>
        </w:rPr>
        <w:t>10 July</w:t>
      </w:r>
      <w:r w:rsidRPr="00B1503C">
        <w:rPr>
          <w:rFonts w:ascii="Arial" w:hAnsi="Arial" w:cs="Arial"/>
          <w:b/>
          <w:sz w:val="32"/>
        </w:rPr>
        <w:t xml:space="preserve"> 201</w:t>
      </w:r>
      <w:r w:rsidR="00B73001">
        <w:rPr>
          <w:rFonts w:ascii="Arial" w:hAnsi="Arial" w:cs="Arial"/>
          <w:b/>
          <w:sz w:val="32"/>
        </w:rPr>
        <w:t>3</w:t>
      </w:r>
    </w:p>
    <w:p w:rsidR="007E2CCC" w:rsidRPr="00B1503C" w:rsidRDefault="007E2CCC" w:rsidP="00C11690">
      <w:pPr>
        <w:spacing w:after="0" w:line="240" w:lineRule="auto"/>
        <w:jc w:val="center"/>
        <w:rPr>
          <w:rFonts w:ascii="Arial" w:hAnsi="Arial" w:cs="Arial"/>
          <w:b/>
          <w:sz w:val="32"/>
        </w:rPr>
      </w:pPr>
    </w:p>
    <w:p w:rsidR="007E2CCC" w:rsidRPr="00B1503C" w:rsidRDefault="007E2CCC" w:rsidP="00C11690">
      <w:pPr>
        <w:spacing w:after="0" w:line="240" w:lineRule="auto"/>
        <w:jc w:val="center"/>
        <w:rPr>
          <w:rFonts w:ascii="Arial" w:hAnsi="Arial" w:cs="Arial"/>
          <w:b/>
          <w:sz w:val="32"/>
        </w:rPr>
      </w:pPr>
    </w:p>
    <w:p w:rsidR="007E2CCC" w:rsidRPr="00B1503C" w:rsidRDefault="007E2CCC" w:rsidP="00C11690">
      <w:pPr>
        <w:spacing w:after="0" w:line="240" w:lineRule="auto"/>
        <w:jc w:val="center"/>
        <w:rPr>
          <w:rFonts w:ascii="Arial" w:hAnsi="Arial" w:cs="Arial"/>
          <w:b/>
          <w:sz w:val="26"/>
          <w:szCs w:val="26"/>
        </w:rPr>
      </w:pPr>
    </w:p>
    <w:p w:rsidR="007E2CCC" w:rsidRPr="00B1503C" w:rsidRDefault="007E2CCC" w:rsidP="00C11690">
      <w:pPr>
        <w:spacing w:after="0" w:line="240" w:lineRule="auto"/>
        <w:jc w:val="center"/>
        <w:rPr>
          <w:rFonts w:ascii="Arial" w:hAnsi="Arial" w:cs="Arial"/>
          <w:b/>
          <w:sz w:val="26"/>
          <w:szCs w:val="26"/>
        </w:rPr>
      </w:pPr>
    </w:p>
    <w:p w:rsidR="007E2CCC" w:rsidRDefault="007E2CCC" w:rsidP="00C11690">
      <w:pPr>
        <w:spacing w:after="0" w:line="240" w:lineRule="auto"/>
        <w:jc w:val="center"/>
        <w:rPr>
          <w:rFonts w:ascii="Arial" w:hAnsi="Arial" w:cs="Arial"/>
          <w:b/>
          <w:sz w:val="26"/>
          <w:szCs w:val="26"/>
        </w:rPr>
      </w:pPr>
      <w:r w:rsidRPr="00B1503C">
        <w:rPr>
          <w:rFonts w:ascii="Arial" w:hAnsi="Arial" w:cs="Arial"/>
          <w:b/>
          <w:sz w:val="26"/>
          <w:szCs w:val="26"/>
        </w:rPr>
        <w:t xml:space="preserve">Response of the </w:t>
      </w:r>
      <w:r w:rsidR="00B73001">
        <w:rPr>
          <w:rFonts w:ascii="Arial" w:hAnsi="Arial" w:cs="Arial"/>
          <w:b/>
          <w:sz w:val="26"/>
          <w:szCs w:val="26"/>
        </w:rPr>
        <w:t xml:space="preserve"> </w:t>
      </w:r>
    </w:p>
    <w:p w:rsidR="00B73001" w:rsidRPr="00B1503C" w:rsidRDefault="00B73001" w:rsidP="00C11690">
      <w:pPr>
        <w:spacing w:after="0" w:line="240" w:lineRule="auto"/>
        <w:jc w:val="center"/>
        <w:rPr>
          <w:rFonts w:ascii="Arial" w:hAnsi="Arial" w:cs="Arial"/>
          <w:b/>
          <w:sz w:val="26"/>
          <w:szCs w:val="26"/>
        </w:rPr>
      </w:pPr>
    </w:p>
    <w:p w:rsidR="006F13D0" w:rsidRDefault="007E2CCC" w:rsidP="00C11690">
      <w:pPr>
        <w:spacing w:after="0" w:line="240" w:lineRule="auto"/>
        <w:jc w:val="center"/>
        <w:rPr>
          <w:rFonts w:ascii="Arial" w:hAnsi="Arial" w:cs="Arial"/>
          <w:b/>
          <w:sz w:val="26"/>
          <w:szCs w:val="26"/>
        </w:rPr>
      </w:pPr>
      <w:r w:rsidRPr="00B1503C">
        <w:rPr>
          <w:rFonts w:ascii="Arial" w:hAnsi="Arial" w:cs="Arial"/>
          <w:b/>
          <w:sz w:val="26"/>
          <w:szCs w:val="26"/>
        </w:rPr>
        <w:t>Association for Financial Markets in Europe</w:t>
      </w:r>
      <w:r w:rsidR="00CC6A9A">
        <w:rPr>
          <w:rFonts w:ascii="Arial" w:hAnsi="Arial" w:cs="Arial"/>
          <w:b/>
          <w:sz w:val="26"/>
          <w:szCs w:val="26"/>
        </w:rPr>
        <w:t xml:space="preserve"> (AFME)</w:t>
      </w:r>
      <w:r w:rsidR="006F13D0">
        <w:rPr>
          <w:rFonts w:ascii="Arial" w:hAnsi="Arial" w:cs="Arial"/>
          <w:b/>
          <w:sz w:val="26"/>
          <w:szCs w:val="26"/>
        </w:rPr>
        <w:t xml:space="preserve"> and</w:t>
      </w:r>
    </w:p>
    <w:p w:rsidR="007E2CCC" w:rsidRPr="00B1503C" w:rsidRDefault="00B73001" w:rsidP="00C11690">
      <w:pPr>
        <w:spacing w:after="0" w:line="240" w:lineRule="auto"/>
        <w:jc w:val="center"/>
        <w:rPr>
          <w:rFonts w:ascii="Arial" w:hAnsi="Arial" w:cs="Arial"/>
          <w:b/>
          <w:sz w:val="26"/>
          <w:szCs w:val="26"/>
        </w:rPr>
      </w:pPr>
      <w:r w:rsidRPr="00B1503C">
        <w:rPr>
          <w:rFonts w:ascii="Arial" w:hAnsi="Arial" w:cs="Arial"/>
          <w:b/>
          <w:sz w:val="26"/>
          <w:szCs w:val="26"/>
        </w:rPr>
        <w:t>International Swaps and Derivatives Association, Inc</w:t>
      </w:r>
      <w:r>
        <w:rPr>
          <w:rFonts w:ascii="Arial" w:hAnsi="Arial" w:cs="Arial"/>
          <w:b/>
          <w:sz w:val="26"/>
          <w:szCs w:val="26"/>
        </w:rPr>
        <w:t>. (ISDA)</w:t>
      </w:r>
    </w:p>
    <w:p w:rsidR="007E2CCC" w:rsidRPr="00B1503C" w:rsidRDefault="007E2CCC" w:rsidP="00C11690">
      <w:pPr>
        <w:spacing w:after="0" w:line="240" w:lineRule="auto"/>
        <w:jc w:val="center"/>
        <w:rPr>
          <w:rFonts w:ascii="Arial" w:hAnsi="Arial" w:cs="Arial"/>
          <w:b/>
          <w:sz w:val="26"/>
          <w:szCs w:val="26"/>
        </w:rPr>
      </w:pPr>
    </w:p>
    <w:p w:rsidR="007E2CCC" w:rsidRPr="00B1503C" w:rsidRDefault="00803738" w:rsidP="00C11690">
      <w:pPr>
        <w:spacing w:after="0" w:line="240" w:lineRule="auto"/>
        <w:jc w:val="center"/>
        <w:rPr>
          <w:rFonts w:ascii="Arial" w:hAnsi="Arial" w:cs="Arial"/>
          <w:b/>
          <w:sz w:val="26"/>
          <w:szCs w:val="26"/>
        </w:rPr>
      </w:pPr>
      <w:r>
        <w:rPr>
          <w:rFonts w:ascii="Arial" w:hAnsi="Arial" w:cs="Arial"/>
          <w:b/>
          <w:sz w:val="26"/>
          <w:szCs w:val="26"/>
        </w:rPr>
        <w:t>8</w:t>
      </w:r>
      <w:r w:rsidR="003717BE">
        <w:rPr>
          <w:rFonts w:ascii="Arial" w:hAnsi="Arial" w:cs="Arial"/>
          <w:b/>
          <w:sz w:val="26"/>
          <w:szCs w:val="26"/>
        </w:rPr>
        <w:t>th</w:t>
      </w:r>
      <w:r w:rsidR="00B73001">
        <w:rPr>
          <w:rFonts w:ascii="Arial" w:hAnsi="Arial" w:cs="Arial"/>
          <w:b/>
          <w:sz w:val="26"/>
          <w:szCs w:val="26"/>
        </w:rPr>
        <w:t xml:space="preserve"> October </w:t>
      </w:r>
      <w:r w:rsidR="007E2CCC" w:rsidRPr="00B1503C">
        <w:rPr>
          <w:rFonts w:ascii="Arial" w:hAnsi="Arial" w:cs="Arial"/>
          <w:b/>
          <w:sz w:val="26"/>
          <w:szCs w:val="26"/>
        </w:rPr>
        <w:t>201</w:t>
      </w:r>
      <w:r w:rsidR="00931CF6">
        <w:rPr>
          <w:rFonts w:ascii="Arial" w:hAnsi="Arial" w:cs="Arial"/>
          <w:b/>
          <w:sz w:val="26"/>
          <w:szCs w:val="26"/>
        </w:rPr>
        <w:t>3</w:t>
      </w:r>
    </w:p>
    <w:p w:rsidR="007E2CCC" w:rsidRPr="00B1503C" w:rsidRDefault="007E2CCC" w:rsidP="00C11690">
      <w:pPr>
        <w:spacing w:after="0" w:line="240" w:lineRule="auto"/>
        <w:jc w:val="center"/>
        <w:rPr>
          <w:rFonts w:ascii="Arial" w:hAnsi="Arial" w:cs="Arial"/>
          <w:b/>
          <w:sz w:val="26"/>
          <w:szCs w:val="26"/>
        </w:rPr>
      </w:pPr>
    </w:p>
    <w:p w:rsidR="007E2CCC" w:rsidRPr="00B1503C" w:rsidRDefault="007E2CCC" w:rsidP="00C11690">
      <w:pPr>
        <w:spacing w:after="0" w:line="240" w:lineRule="auto"/>
        <w:jc w:val="both"/>
        <w:rPr>
          <w:rFonts w:ascii="Arial" w:hAnsi="Arial" w:cs="Arial"/>
          <w:b/>
          <w:sz w:val="28"/>
        </w:rPr>
      </w:pPr>
    </w:p>
    <w:p w:rsidR="007E2CCC" w:rsidRPr="00B1503C" w:rsidRDefault="007E2CCC" w:rsidP="00C11690">
      <w:pPr>
        <w:spacing w:after="0" w:line="240" w:lineRule="auto"/>
        <w:jc w:val="both"/>
        <w:rPr>
          <w:rFonts w:ascii="Arial" w:hAnsi="Arial" w:cs="Arial"/>
          <w:b/>
          <w:sz w:val="28"/>
        </w:rPr>
      </w:pPr>
    </w:p>
    <w:p w:rsidR="007E2CCC" w:rsidRPr="00B1503C" w:rsidRDefault="007E2CCC" w:rsidP="00C11690">
      <w:pPr>
        <w:spacing w:after="0" w:line="240" w:lineRule="auto"/>
        <w:jc w:val="both"/>
        <w:rPr>
          <w:rFonts w:ascii="Arial" w:hAnsi="Arial" w:cs="Arial"/>
          <w:b/>
          <w:sz w:val="28"/>
        </w:rPr>
      </w:pPr>
    </w:p>
    <w:p w:rsidR="007E2CCC" w:rsidRDefault="007E2CCC" w:rsidP="00C11690">
      <w:pPr>
        <w:spacing w:after="0" w:line="240" w:lineRule="auto"/>
        <w:jc w:val="both"/>
        <w:rPr>
          <w:rFonts w:cs="Calibri"/>
          <w:b/>
          <w:sz w:val="28"/>
        </w:rPr>
      </w:pPr>
    </w:p>
    <w:p w:rsidR="007E2CCC" w:rsidRDefault="007E2CCC" w:rsidP="00C11690">
      <w:pPr>
        <w:spacing w:after="0" w:line="240" w:lineRule="auto"/>
        <w:jc w:val="both"/>
        <w:rPr>
          <w:rFonts w:cs="Calibri"/>
          <w:b/>
          <w:sz w:val="28"/>
        </w:rPr>
      </w:pPr>
    </w:p>
    <w:p w:rsidR="0012625A" w:rsidRDefault="0012625A" w:rsidP="00C11690">
      <w:pPr>
        <w:spacing w:after="0" w:line="240" w:lineRule="auto"/>
        <w:jc w:val="both"/>
        <w:rPr>
          <w:rFonts w:cs="Calibri"/>
          <w:b/>
          <w:sz w:val="28"/>
        </w:rPr>
      </w:pPr>
    </w:p>
    <w:p w:rsidR="0012625A" w:rsidRDefault="0012625A" w:rsidP="00C11690">
      <w:pPr>
        <w:spacing w:after="0" w:line="240" w:lineRule="auto"/>
        <w:jc w:val="both"/>
        <w:rPr>
          <w:rFonts w:cs="Calibri"/>
          <w:b/>
          <w:sz w:val="28"/>
        </w:rPr>
      </w:pPr>
    </w:p>
    <w:p w:rsidR="0012625A" w:rsidRDefault="0012625A" w:rsidP="00C11690">
      <w:pPr>
        <w:spacing w:after="0" w:line="240" w:lineRule="auto"/>
        <w:jc w:val="both"/>
        <w:rPr>
          <w:rFonts w:cs="Calibri"/>
          <w:b/>
          <w:sz w:val="28"/>
        </w:rPr>
      </w:pPr>
    </w:p>
    <w:p w:rsidR="0012625A" w:rsidRDefault="0012625A" w:rsidP="00C11690">
      <w:pPr>
        <w:spacing w:after="0" w:line="240" w:lineRule="auto"/>
        <w:jc w:val="both"/>
        <w:rPr>
          <w:rFonts w:cs="Calibri"/>
          <w:b/>
          <w:sz w:val="28"/>
        </w:rPr>
      </w:pPr>
    </w:p>
    <w:p w:rsidR="0012625A" w:rsidRDefault="0012625A" w:rsidP="00C11690">
      <w:pPr>
        <w:spacing w:after="0" w:line="240" w:lineRule="auto"/>
        <w:jc w:val="both"/>
        <w:rPr>
          <w:rFonts w:cs="Calibri"/>
          <w:b/>
          <w:sz w:val="28"/>
        </w:rPr>
      </w:pPr>
    </w:p>
    <w:p w:rsidR="0012625A" w:rsidRDefault="0012625A" w:rsidP="00C11690">
      <w:pPr>
        <w:spacing w:after="0" w:line="240" w:lineRule="auto"/>
        <w:jc w:val="both"/>
        <w:rPr>
          <w:rFonts w:cs="Calibri"/>
          <w:b/>
          <w:color w:val="FF0000"/>
          <w:sz w:val="28"/>
        </w:rPr>
      </w:pPr>
    </w:p>
    <w:p w:rsidR="00C5161E" w:rsidRDefault="00C5161E" w:rsidP="00C11690">
      <w:pPr>
        <w:spacing w:after="0" w:line="240" w:lineRule="auto"/>
        <w:jc w:val="both"/>
        <w:rPr>
          <w:rFonts w:cs="Calibri"/>
          <w:b/>
          <w:color w:val="FF0000"/>
          <w:sz w:val="28"/>
        </w:rPr>
      </w:pPr>
    </w:p>
    <w:p w:rsidR="0012625A" w:rsidRDefault="0012625A" w:rsidP="00C11690">
      <w:pPr>
        <w:spacing w:after="0" w:line="240" w:lineRule="auto"/>
        <w:jc w:val="both"/>
        <w:rPr>
          <w:rFonts w:cs="Calibri"/>
          <w:b/>
          <w:color w:val="FF0000"/>
          <w:sz w:val="28"/>
        </w:rPr>
      </w:pPr>
    </w:p>
    <w:p w:rsidR="00261EB8" w:rsidRDefault="00261EB8" w:rsidP="00C11690">
      <w:pPr>
        <w:spacing w:after="0" w:line="240" w:lineRule="auto"/>
        <w:jc w:val="both"/>
        <w:rPr>
          <w:rFonts w:cs="Calibri"/>
          <w:b/>
          <w:color w:val="FF0000"/>
          <w:sz w:val="28"/>
        </w:rPr>
      </w:pPr>
    </w:p>
    <w:p w:rsidR="00BE3BCA" w:rsidRDefault="00BE3BCA" w:rsidP="00C11690">
      <w:pPr>
        <w:spacing w:after="0" w:line="240" w:lineRule="auto"/>
        <w:jc w:val="both"/>
        <w:rPr>
          <w:rFonts w:cs="Calibri"/>
          <w:b/>
          <w:color w:val="FF0000"/>
          <w:sz w:val="28"/>
        </w:rPr>
      </w:pPr>
    </w:p>
    <w:p w:rsidR="007F08B1" w:rsidRDefault="007F08B1" w:rsidP="00C11690">
      <w:pPr>
        <w:spacing w:after="0" w:line="240" w:lineRule="auto"/>
        <w:jc w:val="both"/>
        <w:rPr>
          <w:rFonts w:cs="Calibri"/>
          <w:b/>
          <w:sz w:val="28"/>
        </w:rPr>
      </w:pPr>
    </w:p>
    <w:p w:rsidR="00E13522" w:rsidRPr="00414D88" w:rsidRDefault="00E13522" w:rsidP="00C11690">
      <w:pPr>
        <w:spacing w:after="0" w:line="240" w:lineRule="auto"/>
        <w:jc w:val="both"/>
        <w:rPr>
          <w:rFonts w:cs="Calibri"/>
          <w:b/>
        </w:rPr>
      </w:pPr>
      <w:r w:rsidRPr="00414D88">
        <w:rPr>
          <w:rFonts w:cs="Calibri"/>
          <w:b/>
        </w:rPr>
        <w:lastRenderedPageBreak/>
        <w:t>A. Introduction</w:t>
      </w:r>
    </w:p>
    <w:p w:rsidR="00E13522" w:rsidRDefault="00E13522" w:rsidP="00C11690">
      <w:pPr>
        <w:spacing w:after="0" w:line="240" w:lineRule="auto"/>
        <w:jc w:val="both"/>
        <w:rPr>
          <w:rFonts w:cs="Calibri"/>
        </w:rPr>
      </w:pPr>
    </w:p>
    <w:p w:rsidR="00E13522" w:rsidRPr="006222DC" w:rsidRDefault="00E13522" w:rsidP="00C11690">
      <w:pPr>
        <w:spacing w:after="0" w:line="240" w:lineRule="auto"/>
        <w:jc w:val="both"/>
        <w:rPr>
          <w:rFonts w:cs="Calibri"/>
        </w:rPr>
      </w:pPr>
    </w:p>
    <w:p w:rsidR="006A30FE" w:rsidRPr="00614614" w:rsidRDefault="00E13522" w:rsidP="00C11690">
      <w:pPr>
        <w:spacing w:after="0" w:line="240" w:lineRule="auto"/>
        <w:jc w:val="both"/>
        <w:rPr>
          <w:rFonts w:cs="Calibri"/>
          <w:sz w:val="20"/>
          <w:szCs w:val="20"/>
        </w:rPr>
      </w:pPr>
      <w:r w:rsidRPr="00614614">
        <w:rPr>
          <w:rFonts w:cs="Calibri"/>
          <w:sz w:val="20"/>
          <w:szCs w:val="20"/>
        </w:rPr>
        <w:t>AFME</w:t>
      </w:r>
      <w:r w:rsidR="004051BA" w:rsidRPr="00614614">
        <w:rPr>
          <w:rStyle w:val="FootnoteReference"/>
          <w:sz w:val="20"/>
          <w:szCs w:val="20"/>
        </w:rPr>
        <w:footnoteReference w:id="1"/>
      </w:r>
      <w:r w:rsidR="004A462D" w:rsidRPr="00614614">
        <w:rPr>
          <w:rFonts w:cs="Calibri"/>
          <w:sz w:val="20"/>
          <w:szCs w:val="20"/>
        </w:rPr>
        <w:t>,</w:t>
      </w:r>
      <w:r w:rsidR="002574CD" w:rsidRPr="00614614">
        <w:rPr>
          <w:rFonts w:cs="Calibri"/>
          <w:sz w:val="20"/>
          <w:szCs w:val="20"/>
        </w:rPr>
        <w:t xml:space="preserve"> </w:t>
      </w:r>
      <w:r w:rsidR="0099250C" w:rsidRPr="00614614">
        <w:rPr>
          <w:rFonts w:cs="Calibri"/>
          <w:sz w:val="20"/>
          <w:szCs w:val="20"/>
        </w:rPr>
        <w:t>ISDA</w:t>
      </w:r>
      <w:r w:rsidR="002574CD" w:rsidRPr="00614614">
        <w:rPr>
          <w:rStyle w:val="FootnoteReference"/>
          <w:sz w:val="20"/>
          <w:szCs w:val="20"/>
        </w:rPr>
        <w:footnoteReference w:id="2"/>
      </w:r>
      <w:r w:rsidR="004A462D" w:rsidRPr="00614614">
        <w:rPr>
          <w:rFonts w:cs="Calibri"/>
          <w:sz w:val="20"/>
          <w:szCs w:val="20"/>
        </w:rPr>
        <w:t xml:space="preserve"> and their members</w:t>
      </w:r>
      <w:r w:rsidRPr="00614614">
        <w:rPr>
          <w:rFonts w:cs="Calibri"/>
          <w:sz w:val="20"/>
          <w:szCs w:val="20"/>
        </w:rPr>
        <w:t xml:space="preserve"> (“the </w:t>
      </w:r>
      <w:r w:rsidR="00414D88" w:rsidRPr="00614614">
        <w:rPr>
          <w:rFonts w:cs="Calibri"/>
          <w:sz w:val="20"/>
          <w:szCs w:val="20"/>
        </w:rPr>
        <w:t>i</w:t>
      </w:r>
      <w:r w:rsidRPr="00614614">
        <w:rPr>
          <w:rFonts w:cs="Calibri"/>
          <w:sz w:val="20"/>
          <w:szCs w:val="20"/>
        </w:rPr>
        <w:t xml:space="preserve">ndustry”) welcome the opportunity to comment on the above </w:t>
      </w:r>
      <w:r w:rsidR="0099250C" w:rsidRPr="00614614">
        <w:rPr>
          <w:rFonts w:cs="Calibri"/>
          <w:sz w:val="20"/>
          <w:szCs w:val="20"/>
        </w:rPr>
        <w:t>Consultation</w:t>
      </w:r>
      <w:r w:rsidRPr="00614614">
        <w:rPr>
          <w:rFonts w:cs="Calibri"/>
          <w:sz w:val="20"/>
          <w:szCs w:val="20"/>
        </w:rPr>
        <w:t xml:space="preserve"> Paper (“the Paper”) issued by the EBA. </w:t>
      </w:r>
      <w:r w:rsidR="004A462D" w:rsidRPr="00614614">
        <w:rPr>
          <w:rFonts w:cs="Calibri"/>
          <w:sz w:val="20"/>
          <w:szCs w:val="20"/>
        </w:rPr>
        <w:t>We note that this consultation forms part of an ongoing EBA consultation process with the industry and others to address this challenging</w:t>
      </w:r>
      <w:r w:rsidR="006B3702" w:rsidRPr="00614614">
        <w:rPr>
          <w:rFonts w:cs="Calibri"/>
          <w:sz w:val="20"/>
          <w:szCs w:val="20"/>
        </w:rPr>
        <w:t xml:space="preserve"> and </w:t>
      </w:r>
      <w:proofErr w:type="spellStart"/>
      <w:r w:rsidR="006B3702" w:rsidRPr="00614614">
        <w:rPr>
          <w:rFonts w:cs="Calibri"/>
          <w:sz w:val="20"/>
          <w:szCs w:val="20"/>
        </w:rPr>
        <w:t>judgemental</w:t>
      </w:r>
      <w:proofErr w:type="spellEnd"/>
      <w:r w:rsidR="004A462D" w:rsidRPr="00614614">
        <w:rPr>
          <w:rFonts w:cs="Calibri"/>
          <w:sz w:val="20"/>
          <w:szCs w:val="20"/>
        </w:rPr>
        <w:t xml:space="preserve"> subject and the industry continue</w:t>
      </w:r>
      <w:r w:rsidR="005D758C">
        <w:rPr>
          <w:rFonts w:cs="Calibri"/>
          <w:sz w:val="20"/>
          <w:szCs w:val="20"/>
        </w:rPr>
        <w:t>s</w:t>
      </w:r>
      <w:r w:rsidR="004A462D" w:rsidRPr="00614614">
        <w:rPr>
          <w:rFonts w:cs="Calibri"/>
          <w:sz w:val="20"/>
          <w:szCs w:val="20"/>
        </w:rPr>
        <w:t xml:space="preserve"> to be will</w:t>
      </w:r>
      <w:r w:rsidR="00A25BC8" w:rsidRPr="00614614">
        <w:rPr>
          <w:rFonts w:cs="Calibri"/>
          <w:sz w:val="20"/>
          <w:szCs w:val="20"/>
        </w:rPr>
        <w:t>i</w:t>
      </w:r>
      <w:r w:rsidR="004A462D" w:rsidRPr="00614614">
        <w:rPr>
          <w:rFonts w:cs="Calibri"/>
          <w:sz w:val="20"/>
          <w:szCs w:val="20"/>
        </w:rPr>
        <w:t xml:space="preserve">ng to </w:t>
      </w:r>
      <w:r w:rsidR="00614614" w:rsidRPr="00614614">
        <w:rPr>
          <w:rFonts w:cs="Calibri"/>
          <w:sz w:val="20"/>
          <w:szCs w:val="20"/>
        </w:rPr>
        <w:t xml:space="preserve">work with </w:t>
      </w:r>
      <w:r w:rsidR="00050651">
        <w:rPr>
          <w:rFonts w:cs="Calibri"/>
          <w:sz w:val="20"/>
          <w:szCs w:val="20"/>
        </w:rPr>
        <w:t xml:space="preserve">the </w:t>
      </w:r>
      <w:r w:rsidR="00614614" w:rsidRPr="00614614">
        <w:rPr>
          <w:rFonts w:cs="Calibri"/>
          <w:sz w:val="20"/>
          <w:szCs w:val="20"/>
        </w:rPr>
        <w:t>Competent Authorities</w:t>
      </w:r>
      <w:r w:rsidR="004A462D" w:rsidRPr="00614614">
        <w:rPr>
          <w:rFonts w:cs="Calibri"/>
          <w:sz w:val="20"/>
          <w:szCs w:val="20"/>
        </w:rPr>
        <w:t xml:space="preserve"> as this process moves towards </w:t>
      </w:r>
      <w:r w:rsidR="00614614" w:rsidRPr="00614614">
        <w:rPr>
          <w:rFonts w:cs="Calibri"/>
          <w:sz w:val="20"/>
          <w:szCs w:val="20"/>
        </w:rPr>
        <w:t xml:space="preserve">the issuance of </w:t>
      </w:r>
      <w:r w:rsidR="004A462D" w:rsidRPr="00614614">
        <w:rPr>
          <w:rFonts w:cs="Calibri"/>
          <w:sz w:val="20"/>
          <w:szCs w:val="20"/>
        </w:rPr>
        <w:t xml:space="preserve">a final </w:t>
      </w:r>
      <w:r w:rsidR="00050651">
        <w:rPr>
          <w:rFonts w:cs="Calibri"/>
          <w:sz w:val="20"/>
          <w:szCs w:val="20"/>
        </w:rPr>
        <w:t>R</w:t>
      </w:r>
      <w:r w:rsidR="00614614" w:rsidRPr="00614614">
        <w:rPr>
          <w:rFonts w:cs="Calibri"/>
          <w:sz w:val="20"/>
          <w:szCs w:val="20"/>
        </w:rPr>
        <w:t xml:space="preserve">egulatory </w:t>
      </w:r>
      <w:r w:rsidR="00050651">
        <w:rPr>
          <w:rFonts w:cs="Calibri"/>
          <w:sz w:val="20"/>
          <w:szCs w:val="20"/>
        </w:rPr>
        <w:t>T</w:t>
      </w:r>
      <w:r w:rsidR="00614614" w:rsidRPr="00614614">
        <w:rPr>
          <w:rFonts w:cs="Calibri"/>
          <w:sz w:val="20"/>
          <w:szCs w:val="20"/>
        </w:rPr>
        <w:t xml:space="preserve">echnical </w:t>
      </w:r>
      <w:r w:rsidR="00050651">
        <w:rPr>
          <w:rFonts w:cs="Calibri"/>
          <w:sz w:val="20"/>
          <w:szCs w:val="20"/>
        </w:rPr>
        <w:t>S</w:t>
      </w:r>
      <w:r w:rsidR="004A462D" w:rsidRPr="00614614">
        <w:rPr>
          <w:rFonts w:cs="Calibri"/>
          <w:sz w:val="20"/>
          <w:szCs w:val="20"/>
        </w:rPr>
        <w:t>tandard</w:t>
      </w:r>
      <w:r w:rsidR="005D758C">
        <w:rPr>
          <w:rFonts w:cs="Calibri"/>
          <w:sz w:val="20"/>
          <w:szCs w:val="20"/>
        </w:rPr>
        <w:t xml:space="preserve"> (“RTS”)</w:t>
      </w:r>
      <w:r w:rsidR="004A462D" w:rsidRPr="00614614">
        <w:rPr>
          <w:rFonts w:cs="Calibri"/>
          <w:sz w:val="20"/>
          <w:szCs w:val="20"/>
        </w:rPr>
        <w:t xml:space="preserve">. </w:t>
      </w:r>
    </w:p>
    <w:p w:rsidR="00414D88" w:rsidRPr="00614614" w:rsidRDefault="00414D88" w:rsidP="00C11690">
      <w:pPr>
        <w:spacing w:after="0" w:line="240" w:lineRule="auto"/>
        <w:jc w:val="both"/>
        <w:rPr>
          <w:rFonts w:cs="Calibri"/>
          <w:sz w:val="20"/>
          <w:szCs w:val="20"/>
        </w:rPr>
      </w:pPr>
    </w:p>
    <w:p w:rsidR="0066082E" w:rsidRPr="00614614" w:rsidRDefault="004A462D" w:rsidP="00C11690">
      <w:pPr>
        <w:spacing w:after="0" w:line="240" w:lineRule="auto"/>
        <w:jc w:val="both"/>
        <w:rPr>
          <w:rFonts w:cs="Calibri"/>
          <w:sz w:val="20"/>
          <w:szCs w:val="20"/>
        </w:rPr>
      </w:pPr>
      <w:r w:rsidRPr="00614614">
        <w:rPr>
          <w:rFonts w:cs="Calibri"/>
          <w:sz w:val="20"/>
          <w:szCs w:val="20"/>
        </w:rPr>
        <w:t>W</w:t>
      </w:r>
      <w:r w:rsidR="008B4325" w:rsidRPr="00614614">
        <w:rPr>
          <w:rFonts w:cs="Calibri"/>
          <w:sz w:val="20"/>
          <w:szCs w:val="20"/>
        </w:rPr>
        <w:t xml:space="preserve">e would </w:t>
      </w:r>
      <w:r w:rsidRPr="00614614">
        <w:rPr>
          <w:rFonts w:cs="Calibri"/>
          <w:sz w:val="20"/>
          <w:szCs w:val="20"/>
        </w:rPr>
        <w:t xml:space="preserve">also </w:t>
      </w:r>
      <w:r w:rsidR="008B4325" w:rsidRPr="00614614">
        <w:rPr>
          <w:rFonts w:cs="Calibri"/>
          <w:sz w:val="20"/>
          <w:szCs w:val="20"/>
        </w:rPr>
        <w:t>like to acknowledge the progress made since the publication of last year’s Discussion Paper</w:t>
      </w:r>
      <w:r w:rsidRPr="00614614">
        <w:rPr>
          <w:rFonts w:cs="Calibri"/>
          <w:sz w:val="20"/>
          <w:szCs w:val="20"/>
        </w:rPr>
        <w:t xml:space="preserve"> and believe that although not yet a fully workable proposal the ideas set out in the consultation paper in the main are </w:t>
      </w:r>
      <w:r w:rsidR="00A25BC8" w:rsidRPr="00614614">
        <w:rPr>
          <w:rFonts w:cs="Calibri"/>
          <w:sz w:val="20"/>
          <w:szCs w:val="20"/>
        </w:rPr>
        <w:t>achievable</w:t>
      </w:r>
      <w:r w:rsidR="008B4325" w:rsidRPr="00614614">
        <w:rPr>
          <w:rFonts w:cs="Calibri"/>
          <w:sz w:val="20"/>
          <w:szCs w:val="20"/>
        </w:rPr>
        <w:t>.</w:t>
      </w:r>
      <w:r w:rsidR="009727DB" w:rsidRPr="00614614">
        <w:rPr>
          <w:rFonts w:cs="Calibri"/>
          <w:sz w:val="20"/>
          <w:szCs w:val="20"/>
        </w:rPr>
        <w:t xml:space="preserve"> </w:t>
      </w:r>
      <w:r w:rsidRPr="00614614">
        <w:rPr>
          <w:rFonts w:cs="Calibri"/>
          <w:sz w:val="20"/>
          <w:szCs w:val="20"/>
        </w:rPr>
        <w:t xml:space="preserve"> We do though note that some of the proposals are significantly burdensome and do not effectively use existing processes which could achieve the same aims for a significantly reduced cost</w:t>
      </w:r>
      <w:r w:rsidR="006B3702" w:rsidRPr="00614614">
        <w:rPr>
          <w:rFonts w:cs="Calibri"/>
          <w:sz w:val="20"/>
          <w:szCs w:val="20"/>
        </w:rPr>
        <w:t xml:space="preserve"> and therefore recommend some changes to the proposals </w:t>
      </w:r>
      <w:r w:rsidR="00050651">
        <w:rPr>
          <w:rFonts w:cs="Calibri"/>
          <w:sz w:val="20"/>
          <w:szCs w:val="20"/>
        </w:rPr>
        <w:t xml:space="preserve">as outlined </w:t>
      </w:r>
      <w:r w:rsidR="006B3702" w:rsidRPr="00614614">
        <w:rPr>
          <w:rFonts w:cs="Calibri"/>
          <w:sz w:val="20"/>
          <w:szCs w:val="20"/>
        </w:rPr>
        <w:t>below</w:t>
      </w:r>
      <w:r w:rsidRPr="00614614">
        <w:rPr>
          <w:rFonts w:cs="Calibri"/>
          <w:sz w:val="20"/>
          <w:szCs w:val="20"/>
        </w:rPr>
        <w:t>.</w:t>
      </w:r>
      <w:r w:rsidR="005D758C">
        <w:rPr>
          <w:rFonts w:cs="Calibri"/>
          <w:sz w:val="20"/>
          <w:szCs w:val="20"/>
        </w:rPr>
        <w:t xml:space="preserve"> </w:t>
      </w:r>
    </w:p>
    <w:p w:rsidR="00DE303B" w:rsidRPr="00614614" w:rsidRDefault="00DE303B" w:rsidP="00C11690">
      <w:pPr>
        <w:spacing w:after="0" w:line="240" w:lineRule="auto"/>
        <w:jc w:val="both"/>
        <w:rPr>
          <w:rFonts w:cs="Calibri"/>
          <w:sz w:val="20"/>
          <w:szCs w:val="20"/>
        </w:rPr>
      </w:pPr>
    </w:p>
    <w:p w:rsidR="00DE303B" w:rsidRPr="00614614" w:rsidRDefault="00DE303B" w:rsidP="00C11690">
      <w:pPr>
        <w:spacing w:after="0" w:line="240" w:lineRule="auto"/>
        <w:jc w:val="both"/>
        <w:rPr>
          <w:rFonts w:cs="Calibri"/>
          <w:sz w:val="20"/>
          <w:szCs w:val="20"/>
        </w:rPr>
      </w:pPr>
      <w:r w:rsidRPr="00614614">
        <w:rPr>
          <w:rFonts w:cs="Calibri"/>
          <w:b/>
        </w:rPr>
        <w:t xml:space="preserve">B. </w:t>
      </w:r>
      <w:r w:rsidR="00A25BC8" w:rsidRPr="00614614">
        <w:rPr>
          <w:rFonts w:cs="Calibri"/>
          <w:b/>
        </w:rPr>
        <w:t>Highlights</w:t>
      </w:r>
    </w:p>
    <w:p w:rsidR="00414D88" w:rsidRPr="00614614" w:rsidRDefault="00414D88" w:rsidP="00C11690">
      <w:pPr>
        <w:spacing w:after="0" w:line="240" w:lineRule="auto"/>
        <w:jc w:val="both"/>
        <w:rPr>
          <w:rFonts w:cs="Calibri"/>
          <w:sz w:val="20"/>
          <w:szCs w:val="20"/>
        </w:rPr>
      </w:pPr>
    </w:p>
    <w:p w:rsidR="00DE303B" w:rsidRPr="00614614" w:rsidRDefault="00A25BC8" w:rsidP="00414D88">
      <w:pPr>
        <w:spacing w:after="0" w:line="240" w:lineRule="auto"/>
        <w:jc w:val="both"/>
        <w:rPr>
          <w:sz w:val="20"/>
          <w:szCs w:val="20"/>
          <w:lang w:val="en-GB"/>
        </w:rPr>
      </w:pPr>
      <w:r w:rsidRPr="00614614">
        <w:rPr>
          <w:sz w:val="20"/>
          <w:szCs w:val="20"/>
          <w:lang w:val="en-GB"/>
        </w:rPr>
        <w:t>Before answering the specific questions raised we would like to highlight a small number of key areas where the industry feels that either the guidance is not practical in its current form or is an inefficient route to achieving its aims.</w:t>
      </w:r>
    </w:p>
    <w:p w:rsidR="00DE303B" w:rsidRPr="00614614" w:rsidRDefault="00DE303B" w:rsidP="00414D88">
      <w:pPr>
        <w:spacing w:after="0" w:line="240" w:lineRule="auto"/>
        <w:jc w:val="both"/>
        <w:rPr>
          <w:sz w:val="20"/>
          <w:szCs w:val="20"/>
          <w:lang w:val="en-GB"/>
        </w:rPr>
      </w:pPr>
    </w:p>
    <w:p w:rsidR="00A25BC8" w:rsidRPr="00614614" w:rsidRDefault="00D81CE9" w:rsidP="00414D88">
      <w:pPr>
        <w:spacing w:after="0" w:line="240" w:lineRule="auto"/>
        <w:jc w:val="both"/>
        <w:rPr>
          <w:rFonts w:cs="Calibri"/>
          <w:b/>
          <w:sz w:val="20"/>
          <w:szCs w:val="20"/>
          <w:lang w:val="en-GB"/>
        </w:rPr>
      </w:pPr>
      <w:r w:rsidRPr="00614614">
        <w:rPr>
          <w:rFonts w:cs="Calibri"/>
          <w:b/>
          <w:sz w:val="20"/>
          <w:szCs w:val="20"/>
          <w:lang w:val="en-GB"/>
        </w:rPr>
        <w:t>Article 8 and 9 volatility measure</w:t>
      </w:r>
    </w:p>
    <w:p w:rsidR="00A25BC8" w:rsidRPr="00614614" w:rsidRDefault="00A25BC8" w:rsidP="00414D88">
      <w:pPr>
        <w:spacing w:after="0" w:line="240" w:lineRule="auto"/>
        <w:jc w:val="both"/>
        <w:rPr>
          <w:rFonts w:cs="Calibri"/>
          <w:sz w:val="20"/>
          <w:szCs w:val="20"/>
          <w:lang w:val="en-GB"/>
        </w:rPr>
      </w:pPr>
    </w:p>
    <w:p w:rsidR="00A25BC8" w:rsidRPr="00614614" w:rsidRDefault="00803738" w:rsidP="00414D88">
      <w:pPr>
        <w:spacing w:after="0" w:line="240" w:lineRule="auto"/>
        <w:jc w:val="both"/>
        <w:rPr>
          <w:rFonts w:cs="Calibri"/>
          <w:sz w:val="20"/>
          <w:szCs w:val="20"/>
          <w:lang w:val="en-GB"/>
        </w:rPr>
      </w:pPr>
      <w:r>
        <w:rPr>
          <w:sz w:val="20"/>
          <w:szCs w:val="20"/>
          <w:lang w:val="en-GB"/>
        </w:rPr>
        <w:t xml:space="preserve">Whilst </w:t>
      </w:r>
      <w:r w:rsidR="004D5EA6">
        <w:rPr>
          <w:sz w:val="20"/>
          <w:szCs w:val="20"/>
          <w:lang w:val="en-GB"/>
        </w:rPr>
        <w:t xml:space="preserve">the approach of </w:t>
      </w:r>
      <w:r>
        <w:rPr>
          <w:sz w:val="20"/>
          <w:szCs w:val="20"/>
          <w:lang w:val="en-GB"/>
        </w:rPr>
        <w:t>firms  to “bucketing” o</w:t>
      </w:r>
      <w:r w:rsidR="004D5EA6">
        <w:rPr>
          <w:sz w:val="20"/>
          <w:szCs w:val="20"/>
          <w:lang w:val="en-GB"/>
        </w:rPr>
        <w:t>f</w:t>
      </w:r>
      <w:r>
        <w:rPr>
          <w:sz w:val="20"/>
          <w:szCs w:val="20"/>
          <w:lang w:val="en-GB"/>
        </w:rPr>
        <w:t xml:space="preserve"> risk for bid/offer calculations are based on </w:t>
      </w:r>
      <w:r w:rsidR="004D5EA6">
        <w:rPr>
          <w:sz w:val="20"/>
          <w:szCs w:val="20"/>
          <w:lang w:val="en-GB"/>
        </w:rPr>
        <w:t xml:space="preserve">their </w:t>
      </w:r>
      <w:r>
        <w:rPr>
          <w:sz w:val="20"/>
          <w:szCs w:val="20"/>
          <w:lang w:val="en-GB"/>
        </w:rPr>
        <w:t>risk management strategies, the industry understands the need for guidance around the “bucketing” of risks</w:t>
      </w:r>
      <w:r w:rsidR="00B03894">
        <w:rPr>
          <w:sz w:val="20"/>
          <w:szCs w:val="20"/>
          <w:lang w:val="en-GB"/>
        </w:rPr>
        <w:t>.</w:t>
      </w:r>
      <w:r>
        <w:rPr>
          <w:sz w:val="20"/>
          <w:szCs w:val="20"/>
          <w:lang w:val="en-GB"/>
        </w:rPr>
        <w:t xml:space="preserve"> However, the industry does not believe that the 100 day volatility threshold used in article 8 and 9 has been appropriately designed or calibrated. One specific concern of the industry is that as currently defined the detailed test calibrates to an approx. 99.5% correlation between inputs and as such effectively prevents any netting taking place between different risk buckets.  To ensure any final guidance is appropriately designed and calibrated, we believe it would be beneficial that the Competent Authorities consult with the industry before an alternative suggestion is included in the RTS.</w:t>
      </w:r>
    </w:p>
    <w:p w:rsidR="00A25BC8" w:rsidRPr="00614614" w:rsidRDefault="00A25BC8" w:rsidP="00414D88">
      <w:pPr>
        <w:spacing w:after="0" w:line="240" w:lineRule="auto"/>
        <w:jc w:val="both"/>
        <w:rPr>
          <w:rFonts w:cs="Calibri"/>
          <w:sz w:val="20"/>
          <w:szCs w:val="20"/>
          <w:lang w:val="en-GB"/>
        </w:rPr>
      </w:pPr>
    </w:p>
    <w:p w:rsidR="00A25BC8" w:rsidRPr="00614614" w:rsidRDefault="00A25BC8" w:rsidP="00414D88">
      <w:pPr>
        <w:spacing w:after="0" w:line="240" w:lineRule="auto"/>
        <w:jc w:val="both"/>
        <w:rPr>
          <w:rFonts w:cs="Calibri"/>
          <w:sz w:val="20"/>
          <w:szCs w:val="20"/>
          <w:lang w:val="en-GB"/>
        </w:rPr>
      </w:pPr>
      <w:r w:rsidRPr="00614614">
        <w:rPr>
          <w:rFonts w:cs="Calibri"/>
          <w:sz w:val="20"/>
          <w:szCs w:val="20"/>
          <w:lang w:val="en-GB"/>
        </w:rPr>
        <w:t xml:space="preserve">We do not believe this is the intention of the consultation paper and risks making the QIS polluted </w:t>
      </w:r>
      <w:r w:rsidR="00DB2943">
        <w:rPr>
          <w:rFonts w:cs="Calibri"/>
          <w:sz w:val="20"/>
          <w:szCs w:val="20"/>
          <w:lang w:val="en-GB"/>
        </w:rPr>
        <w:t xml:space="preserve">as </w:t>
      </w:r>
      <w:r w:rsidR="00803738">
        <w:rPr>
          <w:rFonts w:cs="Calibri"/>
          <w:sz w:val="20"/>
          <w:szCs w:val="20"/>
          <w:lang w:val="en-GB"/>
        </w:rPr>
        <w:t xml:space="preserve">it will cause the numbers within the market price uncertainty and close-out cost categories to be artificially inflated and will therefore make meaningful comparison impossible as it may also add variability around interpretation as some institutions may attempt to calculate based on the intention rather than the wording. </w:t>
      </w:r>
      <w:r w:rsidR="001872AB" w:rsidRPr="00614614">
        <w:rPr>
          <w:rFonts w:cs="Calibri"/>
          <w:sz w:val="20"/>
          <w:szCs w:val="20"/>
          <w:lang w:val="en-GB"/>
        </w:rPr>
        <w:t>We would therefore suggest that this is clarified prior to the QIS submission deadline.</w:t>
      </w:r>
    </w:p>
    <w:p w:rsidR="001872AB" w:rsidRPr="00614614" w:rsidRDefault="001872AB" w:rsidP="00414D88">
      <w:pPr>
        <w:spacing w:after="0" w:line="240" w:lineRule="auto"/>
        <w:jc w:val="both"/>
        <w:rPr>
          <w:rFonts w:cs="Calibri"/>
          <w:sz w:val="20"/>
          <w:szCs w:val="20"/>
          <w:lang w:val="en-GB"/>
        </w:rPr>
      </w:pPr>
    </w:p>
    <w:p w:rsidR="001872AB" w:rsidRPr="00614614" w:rsidRDefault="00D81CE9" w:rsidP="00414D88">
      <w:pPr>
        <w:spacing w:after="0" w:line="240" w:lineRule="auto"/>
        <w:jc w:val="both"/>
        <w:rPr>
          <w:rFonts w:cs="Calibri"/>
          <w:b/>
          <w:sz w:val="20"/>
          <w:szCs w:val="20"/>
          <w:lang w:val="en-GB"/>
        </w:rPr>
      </w:pPr>
      <w:r w:rsidRPr="00614614">
        <w:rPr>
          <w:rFonts w:cs="Calibri"/>
          <w:b/>
          <w:sz w:val="20"/>
          <w:szCs w:val="20"/>
          <w:lang w:val="en-GB"/>
        </w:rPr>
        <w:lastRenderedPageBreak/>
        <w:t xml:space="preserve">Article 20 </w:t>
      </w:r>
    </w:p>
    <w:p w:rsidR="001872AB" w:rsidRPr="00614614" w:rsidRDefault="001872AB" w:rsidP="00414D88">
      <w:pPr>
        <w:spacing w:after="0" w:line="240" w:lineRule="auto"/>
        <w:jc w:val="both"/>
        <w:rPr>
          <w:rFonts w:cs="Calibri"/>
          <w:sz w:val="20"/>
          <w:szCs w:val="20"/>
          <w:lang w:val="en-GB"/>
        </w:rPr>
      </w:pPr>
    </w:p>
    <w:p w:rsidR="007A083A" w:rsidRDefault="001872AB" w:rsidP="00414D88">
      <w:pPr>
        <w:spacing w:after="0" w:line="240" w:lineRule="auto"/>
        <w:jc w:val="both"/>
        <w:rPr>
          <w:rFonts w:cs="Calibri"/>
          <w:sz w:val="20"/>
          <w:szCs w:val="20"/>
          <w:lang w:val="en-GB"/>
        </w:rPr>
      </w:pPr>
      <w:r w:rsidRPr="00614614">
        <w:rPr>
          <w:rFonts w:cs="Calibri"/>
          <w:sz w:val="20"/>
          <w:szCs w:val="20"/>
          <w:lang w:val="en-GB"/>
        </w:rPr>
        <w:t>The industry do</w:t>
      </w:r>
      <w:r w:rsidR="00614614">
        <w:rPr>
          <w:rFonts w:cs="Calibri"/>
          <w:sz w:val="20"/>
          <w:szCs w:val="20"/>
          <w:lang w:val="en-GB"/>
        </w:rPr>
        <w:t>es</w:t>
      </w:r>
      <w:r w:rsidRPr="00614614">
        <w:rPr>
          <w:rFonts w:cs="Calibri"/>
          <w:sz w:val="20"/>
          <w:szCs w:val="20"/>
          <w:lang w:val="en-GB"/>
        </w:rPr>
        <w:t xml:space="preserve"> not believe that Article 20 is an appropriate methodology for testing the appropriateness of AVA levels. </w:t>
      </w:r>
      <w:r w:rsidR="007A083A">
        <w:rPr>
          <w:rFonts w:cs="Calibri"/>
          <w:sz w:val="20"/>
          <w:szCs w:val="20"/>
          <w:lang w:val="en-GB"/>
        </w:rPr>
        <w:t xml:space="preserve">The suggested approach seems to suggest that we should rely on values interpolated between the current AVA calculation date and the previous AVA calculation date as though the market moves happened linearly over time. </w:t>
      </w:r>
    </w:p>
    <w:p w:rsidR="001872AB" w:rsidRPr="00614614" w:rsidRDefault="001872AB" w:rsidP="00414D88">
      <w:pPr>
        <w:spacing w:after="0" w:line="240" w:lineRule="auto"/>
        <w:jc w:val="both"/>
        <w:rPr>
          <w:rFonts w:cs="Calibri"/>
          <w:sz w:val="20"/>
          <w:szCs w:val="20"/>
          <w:lang w:val="en-GB"/>
        </w:rPr>
      </w:pPr>
      <w:r w:rsidRPr="00614614">
        <w:rPr>
          <w:rFonts w:cs="Calibri"/>
          <w:sz w:val="20"/>
          <w:szCs w:val="20"/>
          <w:lang w:val="en-GB"/>
        </w:rPr>
        <w:t xml:space="preserve">Significant industry investment has already occurred in “new deal review” processes which allow </w:t>
      </w:r>
      <w:r w:rsidR="007A083A">
        <w:rPr>
          <w:rFonts w:cs="Calibri"/>
          <w:sz w:val="20"/>
          <w:szCs w:val="20"/>
          <w:lang w:val="en-GB"/>
        </w:rPr>
        <w:t>institution</w:t>
      </w:r>
      <w:r w:rsidRPr="00614614">
        <w:rPr>
          <w:rFonts w:cs="Calibri"/>
          <w:sz w:val="20"/>
          <w:szCs w:val="20"/>
          <w:lang w:val="en-GB"/>
        </w:rPr>
        <w:t>s to compare their trading levels to where they are marked. These processes already provide a good indication of whether trading levels are consistent with books and records marks and therefore if these demonstrate that there is not a significant or concentrated amount of trading occurring at levels worse than the books and records marks then by the</w:t>
      </w:r>
      <w:r w:rsidR="00C00596" w:rsidRPr="00614614">
        <w:rPr>
          <w:rFonts w:cs="Calibri"/>
          <w:sz w:val="20"/>
          <w:szCs w:val="20"/>
          <w:lang w:val="en-GB"/>
        </w:rPr>
        <w:t xml:space="preserve"> nature of the prudential marks</w:t>
      </w:r>
      <w:r w:rsidRPr="00614614">
        <w:rPr>
          <w:rFonts w:cs="Calibri"/>
          <w:sz w:val="20"/>
          <w:szCs w:val="20"/>
          <w:lang w:val="en-GB"/>
        </w:rPr>
        <w:t xml:space="preserve"> being equal to or more conservative than books and records marks this also holds true for prudential marks.</w:t>
      </w:r>
    </w:p>
    <w:p w:rsidR="001872AB" w:rsidRPr="00614614" w:rsidRDefault="001872AB" w:rsidP="00414D88">
      <w:pPr>
        <w:spacing w:after="0" w:line="240" w:lineRule="auto"/>
        <w:jc w:val="both"/>
        <w:rPr>
          <w:rFonts w:cs="Calibri"/>
          <w:sz w:val="20"/>
          <w:szCs w:val="20"/>
          <w:lang w:val="en-GB"/>
        </w:rPr>
      </w:pPr>
    </w:p>
    <w:p w:rsidR="001872AB" w:rsidRPr="00614614" w:rsidRDefault="001872AB" w:rsidP="00414D88">
      <w:pPr>
        <w:spacing w:after="0" w:line="240" w:lineRule="auto"/>
        <w:jc w:val="both"/>
        <w:rPr>
          <w:rFonts w:cs="Calibri"/>
          <w:sz w:val="20"/>
          <w:szCs w:val="20"/>
          <w:lang w:val="en-GB"/>
        </w:rPr>
      </w:pPr>
      <w:r w:rsidRPr="00614614">
        <w:rPr>
          <w:rFonts w:cs="Calibri"/>
          <w:sz w:val="20"/>
          <w:szCs w:val="20"/>
          <w:lang w:val="en-GB"/>
        </w:rPr>
        <w:t>We would therefore request that the standard be written to support these processes rather than creating an alternate testing approach which will be significantly burdensome and be duplicative to pr</w:t>
      </w:r>
      <w:r w:rsidR="00C00596" w:rsidRPr="00614614">
        <w:rPr>
          <w:rFonts w:cs="Calibri"/>
          <w:sz w:val="20"/>
          <w:szCs w:val="20"/>
          <w:lang w:val="en-GB"/>
        </w:rPr>
        <w:t>ocesses th</w:t>
      </w:r>
      <w:r w:rsidRPr="00614614">
        <w:rPr>
          <w:rFonts w:cs="Calibri"/>
          <w:sz w:val="20"/>
          <w:szCs w:val="20"/>
          <w:lang w:val="en-GB"/>
        </w:rPr>
        <w:t>at should already be in place.</w:t>
      </w:r>
    </w:p>
    <w:p w:rsidR="00921F10" w:rsidRPr="00614614" w:rsidRDefault="00921F10" w:rsidP="00414D88">
      <w:pPr>
        <w:spacing w:after="0" w:line="240" w:lineRule="auto"/>
        <w:jc w:val="both"/>
        <w:rPr>
          <w:rFonts w:cs="Calibri"/>
          <w:sz w:val="20"/>
          <w:szCs w:val="20"/>
          <w:lang w:val="en-GB"/>
        </w:rPr>
      </w:pPr>
    </w:p>
    <w:p w:rsidR="00921F10" w:rsidRPr="0053374A" w:rsidRDefault="002249B2" w:rsidP="00921F10">
      <w:pPr>
        <w:pStyle w:val="Default"/>
        <w:rPr>
          <w:rFonts w:cs="EUAlbertina"/>
          <w:b/>
          <w:color w:val="auto"/>
          <w:sz w:val="20"/>
          <w:szCs w:val="20"/>
        </w:rPr>
      </w:pPr>
      <w:r w:rsidRPr="002249B2">
        <w:rPr>
          <w:rFonts w:cs="EUAlbertina"/>
          <w:b/>
          <w:color w:val="auto"/>
          <w:sz w:val="20"/>
          <w:szCs w:val="20"/>
        </w:rPr>
        <w:t>Article 7</w:t>
      </w:r>
    </w:p>
    <w:p w:rsidR="00614614" w:rsidRDefault="00614614" w:rsidP="00921F10">
      <w:pPr>
        <w:pStyle w:val="Default"/>
        <w:rPr>
          <w:rFonts w:cs="EUAlbertina"/>
          <w:color w:val="auto"/>
          <w:sz w:val="20"/>
          <w:szCs w:val="20"/>
        </w:rPr>
      </w:pPr>
    </w:p>
    <w:p w:rsidR="00921F10" w:rsidRDefault="00921F10" w:rsidP="00921F10">
      <w:pPr>
        <w:pStyle w:val="Default"/>
        <w:rPr>
          <w:rFonts w:cs="EUAlbertina"/>
          <w:color w:val="auto"/>
          <w:sz w:val="20"/>
          <w:szCs w:val="20"/>
        </w:rPr>
      </w:pPr>
      <w:r w:rsidRPr="00614614">
        <w:rPr>
          <w:rFonts w:cs="EUAlbertina"/>
          <w:color w:val="auto"/>
          <w:sz w:val="20"/>
          <w:szCs w:val="20"/>
        </w:rPr>
        <w:t>The default charge of 10% of notional under Article 7 paragraph 4, where application of Articles 8 to 16 has not been possible, could amount to a very large charge very quickly with each $10</w:t>
      </w:r>
      <w:r w:rsidR="004D5EA6">
        <w:rPr>
          <w:rFonts w:cs="EUAlbertina"/>
          <w:color w:val="auto"/>
          <w:sz w:val="20"/>
          <w:szCs w:val="20"/>
        </w:rPr>
        <w:t xml:space="preserve"> B</w:t>
      </w:r>
      <w:r w:rsidRPr="00614614">
        <w:rPr>
          <w:rFonts w:cs="EUAlbertina"/>
          <w:color w:val="auto"/>
          <w:sz w:val="20"/>
          <w:szCs w:val="20"/>
        </w:rPr>
        <w:t>illion of gross notional amounting to $1</w:t>
      </w:r>
      <w:r w:rsidR="004D5EA6">
        <w:rPr>
          <w:rFonts w:cs="EUAlbertina"/>
          <w:color w:val="auto"/>
          <w:sz w:val="20"/>
          <w:szCs w:val="20"/>
        </w:rPr>
        <w:t xml:space="preserve"> B</w:t>
      </w:r>
      <w:r w:rsidRPr="00614614">
        <w:rPr>
          <w:rFonts w:cs="EUAlbertina"/>
          <w:color w:val="auto"/>
          <w:sz w:val="20"/>
          <w:szCs w:val="20"/>
        </w:rPr>
        <w:t xml:space="preserve">illion of charge. The Industry would not expect to include amounts for this within the QIS exercise but may in the future need to use the default charge, for example if there is a </w:t>
      </w:r>
      <w:r w:rsidR="00D03F06">
        <w:rPr>
          <w:rFonts w:cs="EUAlbertina"/>
          <w:color w:val="auto"/>
          <w:sz w:val="20"/>
          <w:szCs w:val="20"/>
        </w:rPr>
        <w:t xml:space="preserve">period of significant </w:t>
      </w:r>
      <w:r w:rsidRPr="00614614">
        <w:rPr>
          <w:rFonts w:cs="EUAlbertina"/>
          <w:color w:val="auto"/>
          <w:sz w:val="20"/>
          <w:szCs w:val="20"/>
        </w:rPr>
        <w:t xml:space="preserve">market dislocation over a calculation period. For this reason we feel that this charge as currently written is unpredictable and could </w:t>
      </w:r>
      <w:r w:rsidR="008D74F1">
        <w:rPr>
          <w:rFonts w:cs="EUAlbertina"/>
          <w:color w:val="auto"/>
          <w:sz w:val="20"/>
          <w:szCs w:val="20"/>
        </w:rPr>
        <w:t xml:space="preserve">lead to an uncontrolled </w:t>
      </w:r>
      <w:r w:rsidR="000322D8">
        <w:rPr>
          <w:rFonts w:cs="EUAlbertina"/>
          <w:color w:val="auto"/>
          <w:sz w:val="20"/>
          <w:szCs w:val="20"/>
        </w:rPr>
        <w:t xml:space="preserve">and excessive </w:t>
      </w:r>
      <w:r w:rsidR="008D74F1">
        <w:rPr>
          <w:rFonts w:cs="EUAlbertina"/>
          <w:color w:val="auto"/>
          <w:sz w:val="20"/>
          <w:szCs w:val="20"/>
        </w:rPr>
        <w:t xml:space="preserve">increase in capital requirements during a period of significant market stress making it </w:t>
      </w:r>
      <w:proofErr w:type="spellStart"/>
      <w:r w:rsidR="008D74F1">
        <w:rPr>
          <w:rFonts w:cs="EUAlbertina"/>
          <w:color w:val="auto"/>
          <w:sz w:val="20"/>
          <w:szCs w:val="20"/>
        </w:rPr>
        <w:t>procyclical</w:t>
      </w:r>
      <w:proofErr w:type="spellEnd"/>
      <w:r w:rsidR="008D74F1">
        <w:rPr>
          <w:rFonts w:cs="EUAlbertina"/>
          <w:color w:val="auto"/>
          <w:sz w:val="20"/>
          <w:szCs w:val="20"/>
        </w:rPr>
        <w:t xml:space="preserve"> and at risk of becoming an issue to institutions at the point of market stress.</w:t>
      </w:r>
    </w:p>
    <w:p w:rsidR="005E0B2D" w:rsidRPr="00614614" w:rsidRDefault="005E0B2D" w:rsidP="00921F10">
      <w:pPr>
        <w:pStyle w:val="Default"/>
        <w:rPr>
          <w:rFonts w:cs="EUAlbertina"/>
          <w:color w:val="auto"/>
          <w:sz w:val="20"/>
          <w:szCs w:val="20"/>
        </w:rPr>
      </w:pPr>
      <w:r>
        <w:rPr>
          <w:rFonts w:cs="EUAlbertina"/>
          <w:color w:val="auto"/>
          <w:sz w:val="20"/>
          <w:szCs w:val="20"/>
        </w:rPr>
        <w:t>Additionally as indicated later in this document</w:t>
      </w:r>
      <w:r w:rsidR="004D5EA6">
        <w:rPr>
          <w:rFonts w:cs="EUAlbertina"/>
          <w:color w:val="auto"/>
          <w:sz w:val="20"/>
          <w:szCs w:val="20"/>
        </w:rPr>
        <w:t>,</w:t>
      </w:r>
      <w:r>
        <w:rPr>
          <w:rFonts w:cs="EUAlbertina"/>
          <w:color w:val="auto"/>
          <w:sz w:val="20"/>
          <w:szCs w:val="20"/>
        </w:rPr>
        <w:t xml:space="preserve"> </w:t>
      </w:r>
      <w:proofErr w:type="spellStart"/>
      <w:r>
        <w:rPr>
          <w:rFonts w:cs="EUAlbertina"/>
          <w:color w:val="auto"/>
          <w:sz w:val="20"/>
          <w:szCs w:val="20"/>
        </w:rPr>
        <w:t>unrealised</w:t>
      </w:r>
      <w:proofErr w:type="spellEnd"/>
      <w:r>
        <w:rPr>
          <w:rFonts w:cs="EUAlbertina"/>
          <w:color w:val="auto"/>
          <w:sz w:val="20"/>
          <w:szCs w:val="20"/>
        </w:rPr>
        <w:t xml:space="preserve"> </w:t>
      </w:r>
      <w:r w:rsidR="008D74F1">
        <w:rPr>
          <w:rFonts w:cs="EUAlbertina"/>
          <w:color w:val="auto"/>
          <w:sz w:val="20"/>
          <w:szCs w:val="20"/>
        </w:rPr>
        <w:t xml:space="preserve">profit </w:t>
      </w:r>
      <w:r>
        <w:rPr>
          <w:sz w:val="20"/>
          <w:szCs w:val="20"/>
        </w:rPr>
        <w:t xml:space="preserve">is not appropriate as a measure of valuation uncertainty </w:t>
      </w:r>
      <w:r w:rsidR="008D74F1">
        <w:rPr>
          <w:sz w:val="20"/>
          <w:szCs w:val="20"/>
        </w:rPr>
        <w:t xml:space="preserve">due to </w:t>
      </w:r>
      <w:r w:rsidR="000322D8">
        <w:rPr>
          <w:sz w:val="20"/>
          <w:szCs w:val="20"/>
        </w:rPr>
        <w:t>its</w:t>
      </w:r>
      <w:r w:rsidR="008D74F1">
        <w:rPr>
          <w:sz w:val="20"/>
          <w:szCs w:val="20"/>
        </w:rPr>
        <w:t xml:space="preserve"> lack of linkage to market risks </w:t>
      </w:r>
      <w:r>
        <w:rPr>
          <w:sz w:val="20"/>
          <w:szCs w:val="20"/>
        </w:rPr>
        <w:t>and</w:t>
      </w:r>
      <w:r w:rsidRPr="00215145">
        <w:rPr>
          <w:sz w:val="20"/>
          <w:szCs w:val="20"/>
        </w:rPr>
        <w:t xml:space="preserve"> from a practical perspective </w:t>
      </w:r>
      <w:proofErr w:type="spellStart"/>
      <w:r w:rsidRPr="00215145">
        <w:rPr>
          <w:sz w:val="20"/>
          <w:szCs w:val="20"/>
        </w:rPr>
        <w:t>unrealised</w:t>
      </w:r>
      <w:proofErr w:type="spellEnd"/>
      <w:r w:rsidRPr="00215145">
        <w:rPr>
          <w:sz w:val="20"/>
          <w:szCs w:val="20"/>
        </w:rPr>
        <w:t xml:space="preserve"> profits </w:t>
      </w:r>
      <w:r>
        <w:rPr>
          <w:sz w:val="20"/>
          <w:szCs w:val="20"/>
        </w:rPr>
        <w:t>and</w:t>
      </w:r>
      <w:r w:rsidRPr="00215145">
        <w:rPr>
          <w:sz w:val="20"/>
          <w:szCs w:val="20"/>
        </w:rPr>
        <w:t xml:space="preserve"> losses are typically not stored within </w:t>
      </w:r>
      <w:r>
        <w:rPr>
          <w:sz w:val="20"/>
          <w:szCs w:val="20"/>
        </w:rPr>
        <w:t>the institution</w:t>
      </w:r>
      <w:r w:rsidRPr="00215145">
        <w:rPr>
          <w:sz w:val="20"/>
          <w:szCs w:val="20"/>
        </w:rPr>
        <w:t>s</w:t>
      </w:r>
      <w:r>
        <w:rPr>
          <w:sz w:val="20"/>
          <w:szCs w:val="20"/>
        </w:rPr>
        <w:t>’</w:t>
      </w:r>
      <w:r w:rsidRPr="00215145">
        <w:rPr>
          <w:sz w:val="20"/>
          <w:szCs w:val="20"/>
        </w:rPr>
        <w:t xml:space="preserve"> systems since they are generally not required for financial statement disclosure purpose</w:t>
      </w:r>
      <w:r>
        <w:rPr>
          <w:sz w:val="20"/>
          <w:szCs w:val="20"/>
        </w:rPr>
        <w:t>s</w:t>
      </w:r>
      <w:r w:rsidRPr="00215145">
        <w:rPr>
          <w:sz w:val="20"/>
          <w:szCs w:val="20"/>
        </w:rPr>
        <w:t xml:space="preserve"> and therefore to </w:t>
      </w:r>
      <w:r>
        <w:rPr>
          <w:sz w:val="20"/>
          <w:szCs w:val="20"/>
        </w:rPr>
        <w:t xml:space="preserve">build systems to calculate and </w:t>
      </w:r>
      <w:r w:rsidRPr="00215145">
        <w:rPr>
          <w:sz w:val="20"/>
          <w:szCs w:val="20"/>
        </w:rPr>
        <w:t>retain them would represent an unnecessary cost</w:t>
      </w:r>
      <w:r w:rsidR="00622152">
        <w:rPr>
          <w:sz w:val="20"/>
          <w:szCs w:val="20"/>
        </w:rPr>
        <w:t xml:space="preserve"> as also indicated in the recent response to possible treatments of </w:t>
      </w:r>
      <w:proofErr w:type="spellStart"/>
      <w:r w:rsidR="00622152">
        <w:rPr>
          <w:sz w:val="20"/>
          <w:szCs w:val="20"/>
        </w:rPr>
        <w:t>unrealised</w:t>
      </w:r>
      <w:proofErr w:type="spellEnd"/>
      <w:r w:rsidR="00622152">
        <w:rPr>
          <w:sz w:val="20"/>
          <w:szCs w:val="20"/>
        </w:rPr>
        <w:t xml:space="preserve"> gains under Article 80</w:t>
      </w:r>
      <w:r>
        <w:rPr>
          <w:sz w:val="20"/>
          <w:szCs w:val="20"/>
        </w:rPr>
        <w:t>.</w:t>
      </w:r>
    </w:p>
    <w:p w:rsidR="001872AB" w:rsidRPr="00614614" w:rsidRDefault="001872AB" w:rsidP="00414D88">
      <w:pPr>
        <w:spacing w:after="0" w:line="240" w:lineRule="auto"/>
        <w:jc w:val="both"/>
        <w:rPr>
          <w:rFonts w:cs="Calibri"/>
          <w:sz w:val="20"/>
          <w:szCs w:val="20"/>
          <w:lang w:val="en-GB"/>
        </w:rPr>
      </w:pPr>
      <w:r w:rsidRPr="00614614">
        <w:rPr>
          <w:rFonts w:cs="Calibri"/>
          <w:sz w:val="20"/>
          <w:szCs w:val="20"/>
          <w:lang w:val="en-GB"/>
        </w:rPr>
        <w:t xml:space="preserve">   </w:t>
      </w:r>
    </w:p>
    <w:p w:rsidR="00A25BC8" w:rsidRPr="00614614" w:rsidRDefault="00C00596" w:rsidP="00414D88">
      <w:pPr>
        <w:spacing w:after="0" w:line="240" w:lineRule="auto"/>
        <w:jc w:val="both"/>
        <w:rPr>
          <w:rFonts w:cs="Calibri"/>
          <w:b/>
          <w:sz w:val="20"/>
          <w:szCs w:val="20"/>
          <w:lang w:val="en-GB"/>
        </w:rPr>
      </w:pPr>
      <w:r w:rsidRPr="00614614">
        <w:rPr>
          <w:rFonts w:cs="Calibri"/>
          <w:b/>
          <w:sz w:val="20"/>
          <w:szCs w:val="20"/>
          <w:lang w:val="en-GB"/>
        </w:rPr>
        <w:t>Overlap with other regula</w:t>
      </w:r>
      <w:r w:rsidR="00D81CE9" w:rsidRPr="00614614">
        <w:rPr>
          <w:rFonts w:cs="Calibri"/>
          <w:b/>
          <w:sz w:val="20"/>
          <w:szCs w:val="20"/>
          <w:lang w:val="en-GB"/>
        </w:rPr>
        <w:t>tory requirements</w:t>
      </w:r>
    </w:p>
    <w:p w:rsidR="00C00596" w:rsidRPr="00614614" w:rsidRDefault="00C00596" w:rsidP="00414D88">
      <w:pPr>
        <w:spacing w:after="0" w:line="240" w:lineRule="auto"/>
        <w:jc w:val="both"/>
        <w:rPr>
          <w:rFonts w:cs="Calibri"/>
          <w:sz w:val="20"/>
          <w:szCs w:val="20"/>
          <w:lang w:val="en-GB"/>
        </w:rPr>
      </w:pPr>
    </w:p>
    <w:p w:rsidR="00C00596" w:rsidRPr="00614614" w:rsidRDefault="00C00596" w:rsidP="00414D88">
      <w:pPr>
        <w:spacing w:after="0" w:line="240" w:lineRule="auto"/>
        <w:jc w:val="both"/>
        <w:rPr>
          <w:rFonts w:cs="Calibri"/>
          <w:sz w:val="20"/>
          <w:szCs w:val="20"/>
          <w:lang w:val="en-GB"/>
        </w:rPr>
      </w:pPr>
      <w:r w:rsidRPr="00614614">
        <w:rPr>
          <w:rFonts w:cs="Calibri"/>
          <w:sz w:val="20"/>
          <w:szCs w:val="20"/>
          <w:lang w:val="en-GB"/>
        </w:rPr>
        <w:t xml:space="preserve">We note that within the </w:t>
      </w:r>
      <w:r w:rsidR="00EB0351" w:rsidRPr="00614614">
        <w:rPr>
          <w:rFonts w:cs="Calibri"/>
          <w:sz w:val="20"/>
          <w:szCs w:val="20"/>
          <w:lang w:val="en-GB"/>
        </w:rPr>
        <w:t xml:space="preserve">UK </w:t>
      </w:r>
      <w:r w:rsidRPr="00614614">
        <w:rPr>
          <w:rFonts w:cs="Calibri"/>
          <w:sz w:val="20"/>
          <w:szCs w:val="20"/>
          <w:lang w:val="en-GB"/>
        </w:rPr>
        <w:t>P</w:t>
      </w:r>
      <w:r w:rsidR="00EB0351" w:rsidRPr="00614614">
        <w:rPr>
          <w:rFonts w:cs="Calibri"/>
          <w:sz w:val="20"/>
          <w:szCs w:val="20"/>
          <w:lang w:val="en-GB"/>
        </w:rPr>
        <w:t xml:space="preserve">rudential </w:t>
      </w:r>
      <w:r w:rsidRPr="00614614">
        <w:rPr>
          <w:rFonts w:cs="Calibri"/>
          <w:sz w:val="20"/>
          <w:szCs w:val="20"/>
          <w:lang w:val="en-GB"/>
        </w:rPr>
        <w:t>R</w:t>
      </w:r>
      <w:r w:rsidR="00EB0351" w:rsidRPr="00614614">
        <w:rPr>
          <w:rFonts w:cs="Calibri"/>
          <w:sz w:val="20"/>
          <w:szCs w:val="20"/>
          <w:lang w:val="en-GB"/>
        </w:rPr>
        <w:t xml:space="preserve">egulatory </w:t>
      </w:r>
      <w:r w:rsidRPr="00614614">
        <w:rPr>
          <w:rFonts w:cs="Calibri"/>
          <w:sz w:val="20"/>
          <w:szCs w:val="20"/>
          <w:lang w:val="en-GB"/>
        </w:rPr>
        <w:t>A</w:t>
      </w:r>
      <w:r w:rsidR="00EB0351" w:rsidRPr="00614614">
        <w:rPr>
          <w:rFonts w:cs="Calibri"/>
          <w:sz w:val="20"/>
          <w:szCs w:val="20"/>
          <w:lang w:val="en-GB"/>
        </w:rPr>
        <w:t>uthority</w:t>
      </w:r>
      <w:r w:rsidRPr="00614614">
        <w:rPr>
          <w:rFonts w:cs="Calibri"/>
          <w:sz w:val="20"/>
          <w:szCs w:val="20"/>
          <w:lang w:val="en-GB"/>
        </w:rPr>
        <w:t xml:space="preserve"> requirements for reporting prudential valuation there is specific allowance for where AVA’s are not reported due to them already being picked up </w:t>
      </w:r>
      <w:r w:rsidR="008D74F1">
        <w:rPr>
          <w:rFonts w:cs="Calibri"/>
          <w:sz w:val="20"/>
          <w:szCs w:val="20"/>
          <w:lang w:val="en-GB"/>
        </w:rPr>
        <w:t>elsewhere in</w:t>
      </w:r>
      <w:r w:rsidRPr="00614614">
        <w:rPr>
          <w:rFonts w:cs="Calibri"/>
          <w:sz w:val="20"/>
          <w:szCs w:val="20"/>
          <w:lang w:val="en-GB"/>
        </w:rPr>
        <w:t xml:space="preserve"> the regulatory framework. We believe it would be beneficial to codify a similar allowance within the standard to ensure that it appropriately deals with the potential overlap with existing or future regulatory requirements that may also affect the carrying value of assets and liabilities.</w:t>
      </w:r>
    </w:p>
    <w:p w:rsidR="00C00596" w:rsidRPr="00614614" w:rsidRDefault="00C00596" w:rsidP="00414D88">
      <w:pPr>
        <w:spacing w:after="0" w:line="240" w:lineRule="auto"/>
        <w:jc w:val="both"/>
        <w:rPr>
          <w:rFonts w:cs="Calibri"/>
          <w:sz w:val="20"/>
          <w:szCs w:val="20"/>
          <w:lang w:val="en-GB"/>
        </w:rPr>
      </w:pPr>
    </w:p>
    <w:p w:rsidR="00EB0351" w:rsidRPr="00614614" w:rsidRDefault="00EB0351" w:rsidP="00EB0351">
      <w:pPr>
        <w:spacing w:after="0" w:line="240" w:lineRule="auto"/>
        <w:jc w:val="both"/>
        <w:rPr>
          <w:rFonts w:cs="Calibri"/>
          <w:b/>
          <w:sz w:val="20"/>
          <w:szCs w:val="20"/>
          <w:lang w:val="en-GB"/>
        </w:rPr>
      </w:pPr>
      <w:r w:rsidRPr="00614614">
        <w:rPr>
          <w:rFonts w:cs="Calibri"/>
          <w:b/>
          <w:sz w:val="20"/>
          <w:szCs w:val="20"/>
          <w:lang w:val="en-GB"/>
        </w:rPr>
        <w:t>Tax Offset</w:t>
      </w:r>
    </w:p>
    <w:p w:rsidR="00EB0351" w:rsidRPr="00614614" w:rsidRDefault="00EB0351" w:rsidP="00EB0351">
      <w:pPr>
        <w:spacing w:after="0" w:line="240" w:lineRule="auto"/>
        <w:jc w:val="both"/>
        <w:rPr>
          <w:rFonts w:cs="Calibri"/>
          <w:sz w:val="20"/>
          <w:szCs w:val="20"/>
          <w:lang w:val="en-GB"/>
        </w:rPr>
      </w:pPr>
    </w:p>
    <w:p w:rsidR="00EB0351" w:rsidRPr="00614614" w:rsidRDefault="00EB0351" w:rsidP="00EB0351">
      <w:pPr>
        <w:spacing w:after="0" w:line="240" w:lineRule="auto"/>
        <w:jc w:val="both"/>
        <w:rPr>
          <w:rFonts w:cs="Calibri"/>
          <w:sz w:val="20"/>
          <w:szCs w:val="20"/>
          <w:lang w:val="en-GB"/>
        </w:rPr>
      </w:pPr>
      <w:r w:rsidRPr="00614614">
        <w:rPr>
          <w:rFonts w:cs="Calibri"/>
          <w:sz w:val="20"/>
          <w:szCs w:val="20"/>
          <w:lang w:val="en-GB"/>
        </w:rPr>
        <w:t>We note that within the UK Prudential Regulatory Authority requirements for reporting prudential valuation there is specific allowance for an offset of tax liability reductions</w:t>
      </w:r>
      <w:r w:rsidR="00921F10" w:rsidRPr="00614614">
        <w:rPr>
          <w:rFonts w:cs="Calibri"/>
          <w:sz w:val="20"/>
          <w:szCs w:val="20"/>
          <w:lang w:val="en-GB"/>
        </w:rPr>
        <w:t xml:space="preserve"> if the prudent values were utilised in place of the fair values</w:t>
      </w:r>
      <w:r w:rsidRPr="00614614">
        <w:rPr>
          <w:rFonts w:cs="Calibri"/>
          <w:sz w:val="20"/>
          <w:szCs w:val="20"/>
          <w:lang w:val="en-GB"/>
        </w:rPr>
        <w:t xml:space="preserve">. We believe it would be beneficial to codify a similar allowance within the standard to ensure that </w:t>
      </w:r>
      <w:r w:rsidR="00921F10" w:rsidRPr="00614614">
        <w:rPr>
          <w:rFonts w:cs="Calibri"/>
          <w:sz w:val="20"/>
          <w:szCs w:val="20"/>
          <w:lang w:val="en-GB"/>
        </w:rPr>
        <w:t>this will be able to be applied consistently throughout the various member states</w:t>
      </w:r>
      <w:r w:rsidRPr="00614614">
        <w:rPr>
          <w:rFonts w:cs="Calibri"/>
          <w:sz w:val="20"/>
          <w:szCs w:val="20"/>
          <w:lang w:val="en-GB"/>
        </w:rPr>
        <w:t>.</w:t>
      </w:r>
    </w:p>
    <w:p w:rsidR="00EB0351" w:rsidRPr="00614614" w:rsidRDefault="00EB0351" w:rsidP="00EB0351">
      <w:pPr>
        <w:spacing w:after="0" w:line="240" w:lineRule="auto"/>
        <w:jc w:val="both"/>
        <w:rPr>
          <w:rFonts w:cs="Calibri"/>
          <w:sz w:val="20"/>
          <w:szCs w:val="20"/>
          <w:lang w:val="en-GB"/>
        </w:rPr>
      </w:pPr>
    </w:p>
    <w:p w:rsidR="00A65B34" w:rsidRPr="00614614" w:rsidRDefault="00D81CE9" w:rsidP="00414D88">
      <w:pPr>
        <w:spacing w:after="0" w:line="240" w:lineRule="auto"/>
        <w:jc w:val="both"/>
        <w:rPr>
          <w:rFonts w:cs="Calibri"/>
          <w:b/>
          <w:sz w:val="20"/>
          <w:szCs w:val="20"/>
          <w:lang w:val="en-GB"/>
        </w:rPr>
      </w:pPr>
      <w:r w:rsidRPr="00614614">
        <w:rPr>
          <w:rFonts w:cs="Calibri"/>
          <w:b/>
          <w:sz w:val="20"/>
          <w:szCs w:val="20"/>
          <w:lang w:val="en-GB"/>
        </w:rPr>
        <w:t xml:space="preserve">Implementation </w:t>
      </w:r>
      <w:r w:rsidR="00A65B34" w:rsidRPr="00614614">
        <w:rPr>
          <w:rFonts w:cs="Calibri"/>
          <w:b/>
          <w:sz w:val="20"/>
          <w:szCs w:val="20"/>
          <w:lang w:val="en-GB"/>
        </w:rPr>
        <w:t>cost/</w:t>
      </w:r>
      <w:r w:rsidRPr="00614614">
        <w:rPr>
          <w:rFonts w:cs="Calibri"/>
          <w:b/>
          <w:sz w:val="20"/>
          <w:szCs w:val="20"/>
          <w:lang w:val="en-GB"/>
        </w:rPr>
        <w:t>timing</w:t>
      </w:r>
    </w:p>
    <w:p w:rsidR="00A65B34" w:rsidRPr="00614614" w:rsidRDefault="00A65B34" w:rsidP="00414D88">
      <w:pPr>
        <w:spacing w:after="0" w:line="240" w:lineRule="auto"/>
        <w:jc w:val="both"/>
        <w:rPr>
          <w:rFonts w:cs="Calibri"/>
          <w:sz w:val="20"/>
          <w:szCs w:val="20"/>
          <w:lang w:val="en-GB"/>
        </w:rPr>
      </w:pPr>
    </w:p>
    <w:p w:rsidR="002A2FFB" w:rsidRDefault="00A65B34" w:rsidP="00414D88">
      <w:pPr>
        <w:spacing w:after="0" w:line="240" w:lineRule="auto"/>
        <w:jc w:val="both"/>
        <w:rPr>
          <w:rFonts w:cs="Calibri"/>
          <w:sz w:val="20"/>
          <w:szCs w:val="20"/>
          <w:lang w:val="en-GB"/>
        </w:rPr>
      </w:pPr>
      <w:r w:rsidRPr="002A2FFB">
        <w:rPr>
          <w:rFonts w:cs="Calibri"/>
          <w:sz w:val="20"/>
          <w:szCs w:val="20"/>
          <w:lang w:val="en-GB"/>
        </w:rPr>
        <w:t xml:space="preserve">We note that the requirements of the consultation paper </w:t>
      </w:r>
      <w:r w:rsidR="003479E6">
        <w:rPr>
          <w:rFonts w:cs="Calibri"/>
          <w:sz w:val="20"/>
          <w:szCs w:val="20"/>
          <w:lang w:val="en-GB"/>
        </w:rPr>
        <w:t>prescribe</w:t>
      </w:r>
      <w:r w:rsidR="003479E6" w:rsidRPr="002A2FFB">
        <w:rPr>
          <w:rFonts w:cs="Calibri"/>
          <w:sz w:val="20"/>
          <w:szCs w:val="20"/>
          <w:lang w:val="en-GB"/>
        </w:rPr>
        <w:t xml:space="preserve"> </w:t>
      </w:r>
      <w:r w:rsidRPr="002A2FFB">
        <w:rPr>
          <w:rFonts w:cs="Calibri"/>
          <w:sz w:val="20"/>
          <w:szCs w:val="20"/>
          <w:lang w:val="en-GB"/>
        </w:rPr>
        <w:t>a number of calculations and monitoring approaches which are not consistent with the way banks currently monitor the valuations of their portfolios. To implement these will require significant investment</w:t>
      </w:r>
      <w:r w:rsidR="002A2FFB" w:rsidRPr="002A2FFB">
        <w:rPr>
          <w:rFonts w:cs="Calibri"/>
          <w:sz w:val="20"/>
          <w:szCs w:val="20"/>
          <w:lang w:val="en-GB"/>
        </w:rPr>
        <w:t>. As discussed elsewhere the ratio of last 100 days volatility test within Articles 8 and 9 and the ongoing monitoring tool within Article 20 would add significant costs without benefit. Setting these aside</w:t>
      </w:r>
      <w:r w:rsidR="004D5EA6">
        <w:rPr>
          <w:rFonts w:cs="Calibri"/>
          <w:sz w:val="20"/>
          <w:szCs w:val="20"/>
          <w:lang w:val="en-GB"/>
        </w:rPr>
        <w:t>,</w:t>
      </w:r>
      <w:r w:rsidR="002A2FFB" w:rsidRPr="002A2FFB">
        <w:rPr>
          <w:rFonts w:cs="Calibri"/>
          <w:sz w:val="20"/>
          <w:szCs w:val="20"/>
          <w:lang w:val="en-GB"/>
        </w:rPr>
        <w:t xml:space="preserve"> institutions would still require significant time to be able to design, test and </w:t>
      </w:r>
      <w:r w:rsidR="002A2FFB" w:rsidRPr="002A2FFB">
        <w:rPr>
          <w:rFonts w:cs="Calibri"/>
          <w:sz w:val="20"/>
          <w:szCs w:val="20"/>
          <w:lang w:val="en-GB"/>
        </w:rPr>
        <w:lastRenderedPageBreak/>
        <w:t xml:space="preserve">implement the system enhancements which will be required to satisfy the requirements of the final RTS when issued. </w:t>
      </w:r>
    </w:p>
    <w:p w:rsidR="004F3064" w:rsidRPr="002A2FFB" w:rsidRDefault="004F3064" w:rsidP="00414D88">
      <w:pPr>
        <w:spacing w:after="0" w:line="240" w:lineRule="auto"/>
        <w:jc w:val="both"/>
        <w:rPr>
          <w:rFonts w:cs="Calibri"/>
          <w:sz w:val="20"/>
          <w:szCs w:val="20"/>
          <w:lang w:val="en-GB"/>
        </w:rPr>
      </w:pPr>
    </w:p>
    <w:p w:rsidR="002A2FFB" w:rsidRPr="002A2FFB" w:rsidRDefault="002A2FFB" w:rsidP="00414D88">
      <w:pPr>
        <w:spacing w:after="0" w:line="240" w:lineRule="auto"/>
        <w:jc w:val="both"/>
        <w:rPr>
          <w:rFonts w:cs="Calibri"/>
          <w:sz w:val="20"/>
          <w:szCs w:val="20"/>
          <w:lang w:val="en-GB"/>
        </w:rPr>
      </w:pPr>
      <w:r w:rsidRPr="002A2FFB">
        <w:rPr>
          <w:rFonts w:cs="Calibri"/>
          <w:sz w:val="20"/>
          <w:szCs w:val="20"/>
          <w:lang w:val="en-GB"/>
        </w:rPr>
        <w:t xml:space="preserve">If the final RTS is issued in April 2014 we do not feel that there will be sufficient time to fully implement the requirements by 1 January 2015. </w:t>
      </w:r>
    </w:p>
    <w:p w:rsidR="00A65B34" w:rsidRPr="00614614" w:rsidRDefault="00A65B34" w:rsidP="00414D88">
      <w:pPr>
        <w:spacing w:after="0" w:line="240" w:lineRule="auto"/>
        <w:jc w:val="both"/>
        <w:rPr>
          <w:rFonts w:cs="Calibri"/>
          <w:sz w:val="20"/>
          <w:szCs w:val="20"/>
          <w:lang w:val="en-GB"/>
        </w:rPr>
      </w:pPr>
    </w:p>
    <w:p w:rsidR="00AF4E43" w:rsidRPr="00614614" w:rsidRDefault="00AF4E43" w:rsidP="00AF4E43">
      <w:pPr>
        <w:pStyle w:val="Default"/>
        <w:rPr>
          <w:rFonts w:eastAsia="Times New Roman"/>
          <w:b/>
          <w:color w:val="auto"/>
          <w:sz w:val="20"/>
          <w:szCs w:val="20"/>
          <w:lang w:val="en-GB"/>
        </w:rPr>
      </w:pPr>
      <w:r w:rsidRPr="00614614">
        <w:rPr>
          <w:rFonts w:eastAsia="Times New Roman"/>
          <w:b/>
          <w:color w:val="auto"/>
          <w:sz w:val="20"/>
          <w:szCs w:val="20"/>
          <w:lang w:val="en-GB"/>
        </w:rPr>
        <w:t>Scope</w:t>
      </w:r>
    </w:p>
    <w:p w:rsidR="00AF4E43" w:rsidRPr="00614614" w:rsidRDefault="00AF4E43" w:rsidP="00AF4E43">
      <w:pPr>
        <w:pStyle w:val="Default"/>
        <w:rPr>
          <w:rFonts w:cs="EUAlbertina"/>
          <w:color w:val="auto"/>
          <w:sz w:val="20"/>
          <w:szCs w:val="20"/>
        </w:rPr>
      </w:pPr>
    </w:p>
    <w:p w:rsidR="00AF4E43" w:rsidRPr="00614614" w:rsidRDefault="00AF4E43" w:rsidP="00AF4E43">
      <w:pPr>
        <w:pStyle w:val="Default"/>
        <w:rPr>
          <w:rFonts w:cs="Arial"/>
          <w:color w:val="auto"/>
          <w:sz w:val="23"/>
          <w:szCs w:val="23"/>
        </w:rPr>
      </w:pPr>
      <w:r w:rsidRPr="00614614">
        <w:rPr>
          <w:rFonts w:cs="EUAlbertina"/>
          <w:color w:val="auto"/>
          <w:sz w:val="20"/>
          <w:szCs w:val="20"/>
        </w:rPr>
        <w:t xml:space="preserve">The Scope of the application of Article 34 of the CRR - Article 34 of the CRR states “Institutions shall apply the requirements of Article 105 to all their </w:t>
      </w:r>
      <w:r w:rsidRPr="00614614">
        <w:rPr>
          <w:rFonts w:cs="EUAlbertina"/>
          <w:b/>
          <w:color w:val="auto"/>
          <w:sz w:val="20"/>
          <w:szCs w:val="20"/>
        </w:rPr>
        <w:t>assets</w:t>
      </w:r>
      <w:r w:rsidRPr="00614614">
        <w:rPr>
          <w:rFonts w:cs="EUAlbertina"/>
          <w:color w:val="auto"/>
          <w:sz w:val="20"/>
          <w:szCs w:val="20"/>
        </w:rPr>
        <w:t xml:space="preserve"> measured at fair value when calculating the amount of their own funds and shall deduct from Common Equity Tier 1 capital the amount of any additional value adjustments necessary.” It is not clear however from the Consultation Paper whether the scope relates to ‘all assets measured at fair value’ or ‘all financial instruments measured at fair value’. We would assume the latter</w:t>
      </w:r>
      <w:r w:rsidR="008E1A83">
        <w:rPr>
          <w:rFonts w:cs="EUAlbertina"/>
          <w:color w:val="auto"/>
          <w:sz w:val="20"/>
          <w:szCs w:val="20"/>
        </w:rPr>
        <w:t>,</w:t>
      </w:r>
      <w:r w:rsidRPr="00614614">
        <w:rPr>
          <w:rFonts w:cs="EUAlbertina"/>
          <w:color w:val="auto"/>
          <w:sz w:val="20"/>
          <w:szCs w:val="20"/>
        </w:rPr>
        <w:t xml:space="preserve"> </w:t>
      </w:r>
      <w:r w:rsidR="008E1A83">
        <w:rPr>
          <w:rFonts w:cs="EUAlbertina"/>
          <w:color w:val="auto"/>
          <w:sz w:val="20"/>
          <w:szCs w:val="20"/>
        </w:rPr>
        <w:t xml:space="preserve">i.e. all financial instruments, </w:t>
      </w:r>
      <w:r w:rsidRPr="00614614">
        <w:rPr>
          <w:rFonts w:cs="EUAlbertina"/>
          <w:color w:val="auto"/>
          <w:sz w:val="20"/>
          <w:szCs w:val="20"/>
        </w:rPr>
        <w:t xml:space="preserve">as all </w:t>
      </w:r>
      <w:r w:rsidR="008E1A83">
        <w:rPr>
          <w:rFonts w:cs="EUAlbertina"/>
          <w:color w:val="auto"/>
          <w:sz w:val="20"/>
          <w:szCs w:val="20"/>
        </w:rPr>
        <w:t>assets</w:t>
      </w:r>
      <w:r w:rsidR="008E1A83" w:rsidRPr="00614614">
        <w:rPr>
          <w:rFonts w:cs="EUAlbertina"/>
          <w:color w:val="auto"/>
          <w:sz w:val="20"/>
          <w:szCs w:val="20"/>
        </w:rPr>
        <w:t xml:space="preserve"> </w:t>
      </w:r>
      <w:r w:rsidRPr="00614614">
        <w:rPr>
          <w:rFonts w:cs="EUAlbertina"/>
          <w:color w:val="auto"/>
          <w:sz w:val="20"/>
          <w:szCs w:val="20"/>
        </w:rPr>
        <w:t>measured at fair value could mean that property, plant</w:t>
      </w:r>
      <w:r w:rsidR="005E0B2D">
        <w:rPr>
          <w:rFonts w:cs="EUAlbertina"/>
          <w:color w:val="auto"/>
          <w:sz w:val="20"/>
          <w:szCs w:val="20"/>
        </w:rPr>
        <w:t xml:space="preserve"> and equipment, goodwill, etc. c</w:t>
      </w:r>
      <w:r w:rsidRPr="00614614">
        <w:rPr>
          <w:rFonts w:cs="EUAlbertina"/>
          <w:color w:val="auto"/>
          <w:sz w:val="20"/>
          <w:szCs w:val="20"/>
        </w:rPr>
        <w:t>ould also fall under the RTS, however further clarification would be helpful here</w:t>
      </w:r>
      <w:r w:rsidR="0060471D">
        <w:rPr>
          <w:rFonts w:cs="EUAlbertina"/>
          <w:color w:val="auto"/>
          <w:sz w:val="20"/>
          <w:szCs w:val="20"/>
        </w:rPr>
        <w:t>.</w:t>
      </w:r>
    </w:p>
    <w:p w:rsidR="00907D8E" w:rsidRPr="00614614" w:rsidRDefault="00907D8E" w:rsidP="00414D88">
      <w:pPr>
        <w:spacing w:after="0" w:line="240" w:lineRule="auto"/>
        <w:jc w:val="both"/>
        <w:rPr>
          <w:rFonts w:cs="Calibri"/>
          <w:sz w:val="20"/>
          <w:szCs w:val="20"/>
        </w:rPr>
      </w:pPr>
    </w:p>
    <w:p w:rsidR="00907D8E" w:rsidRPr="00614614" w:rsidRDefault="00D81CE9" w:rsidP="00414D88">
      <w:pPr>
        <w:spacing w:after="0" w:line="240" w:lineRule="auto"/>
        <w:jc w:val="both"/>
        <w:rPr>
          <w:rFonts w:cs="Calibri"/>
          <w:b/>
          <w:sz w:val="20"/>
          <w:szCs w:val="20"/>
          <w:lang w:val="en-GB"/>
        </w:rPr>
      </w:pPr>
      <w:r w:rsidRPr="00614614">
        <w:rPr>
          <w:rFonts w:cs="Calibri"/>
          <w:b/>
          <w:sz w:val="20"/>
          <w:szCs w:val="20"/>
          <w:lang w:val="en-GB"/>
        </w:rPr>
        <w:t>Simplified Approach</w:t>
      </w:r>
    </w:p>
    <w:p w:rsidR="00BB406F" w:rsidRPr="00614614" w:rsidRDefault="00BB406F" w:rsidP="00C21984">
      <w:pPr>
        <w:spacing w:after="0"/>
        <w:rPr>
          <w:rFonts w:cs="Arial"/>
          <w:sz w:val="20"/>
          <w:szCs w:val="20"/>
        </w:rPr>
      </w:pPr>
    </w:p>
    <w:p w:rsidR="00C21984" w:rsidRPr="00614614" w:rsidRDefault="00C94F84" w:rsidP="00BB406F">
      <w:pPr>
        <w:rPr>
          <w:lang w:val="en-GB"/>
        </w:rPr>
      </w:pPr>
      <w:r w:rsidRPr="00614614">
        <w:rPr>
          <w:sz w:val="20"/>
          <w:szCs w:val="20"/>
        </w:rPr>
        <w:t>We feel that</w:t>
      </w:r>
      <w:r w:rsidR="00003A66" w:rsidRPr="00614614">
        <w:rPr>
          <w:sz w:val="20"/>
          <w:szCs w:val="20"/>
        </w:rPr>
        <w:t>,</w:t>
      </w:r>
      <w:r w:rsidRPr="00614614">
        <w:rPr>
          <w:sz w:val="20"/>
          <w:szCs w:val="20"/>
        </w:rPr>
        <w:t xml:space="preserve"> as mentioned in our combined response to </w:t>
      </w:r>
      <w:r w:rsidR="00C038A8" w:rsidRPr="00614614">
        <w:rPr>
          <w:sz w:val="20"/>
          <w:szCs w:val="20"/>
        </w:rPr>
        <w:t>Q</w:t>
      </w:r>
      <w:r w:rsidR="005F0971" w:rsidRPr="00614614">
        <w:rPr>
          <w:sz w:val="20"/>
          <w:szCs w:val="20"/>
        </w:rPr>
        <w:t>uestions</w:t>
      </w:r>
      <w:r w:rsidRPr="00614614">
        <w:rPr>
          <w:sz w:val="20"/>
          <w:szCs w:val="20"/>
        </w:rPr>
        <w:t xml:space="preserve"> 4 and 5</w:t>
      </w:r>
      <w:r w:rsidR="00003A66" w:rsidRPr="00614614">
        <w:rPr>
          <w:sz w:val="20"/>
          <w:szCs w:val="20"/>
        </w:rPr>
        <w:t>,</w:t>
      </w:r>
      <w:r w:rsidRPr="00614614">
        <w:rPr>
          <w:sz w:val="20"/>
          <w:szCs w:val="20"/>
        </w:rPr>
        <w:t xml:space="preserve"> the inclusion of net </w:t>
      </w:r>
      <w:proofErr w:type="spellStart"/>
      <w:r w:rsidRPr="00614614">
        <w:rPr>
          <w:sz w:val="20"/>
          <w:szCs w:val="20"/>
        </w:rPr>
        <w:t>unrealised</w:t>
      </w:r>
      <w:proofErr w:type="spellEnd"/>
      <w:r w:rsidRPr="00614614">
        <w:rPr>
          <w:sz w:val="20"/>
          <w:szCs w:val="20"/>
        </w:rPr>
        <w:t xml:space="preserve"> profit within the </w:t>
      </w:r>
      <w:r w:rsidR="004F3064">
        <w:rPr>
          <w:sz w:val="20"/>
          <w:szCs w:val="20"/>
        </w:rPr>
        <w:t>S</w:t>
      </w:r>
      <w:r w:rsidRPr="00614614">
        <w:rPr>
          <w:sz w:val="20"/>
          <w:szCs w:val="20"/>
        </w:rPr>
        <w:t xml:space="preserve">implified approach (and in Article 7 of the core approach) </w:t>
      </w:r>
      <w:r w:rsidR="00050337" w:rsidRPr="00614614">
        <w:rPr>
          <w:sz w:val="20"/>
          <w:szCs w:val="20"/>
        </w:rPr>
        <w:t xml:space="preserve">is </w:t>
      </w:r>
      <w:r w:rsidR="00231428" w:rsidRPr="00614614">
        <w:rPr>
          <w:sz w:val="20"/>
          <w:szCs w:val="20"/>
        </w:rPr>
        <w:t xml:space="preserve">both </w:t>
      </w:r>
      <w:r w:rsidR="00050337" w:rsidRPr="00614614">
        <w:rPr>
          <w:sz w:val="20"/>
          <w:szCs w:val="20"/>
        </w:rPr>
        <w:t xml:space="preserve">not </w:t>
      </w:r>
      <w:r w:rsidR="00F1399B" w:rsidRPr="00614614">
        <w:rPr>
          <w:sz w:val="20"/>
          <w:szCs w:val="20"/>
        </w:rPr>
        <w:t xml:space="preserve">appropriate </w:t>
      </w:r>
      <w:r w:rsidR="0010445F" w:rsidRPr="00614614">
        <w:rPr>
          <w:sz w:val="20"/>
          <w:szCs w:val="20"/>
        </w:rPr>
        <w:t xml:space="preserve">as a </w:t>
      </w:r>
      <w:r w:rsidR="00050337" w:rsidRPr="00614614">
        <w:rPr>
          <w:sz w:val="20"/>
          <w:szCs w:val="20"/>
        </w:rPr>
        <w:t xml:space="preserve">measure of </w:t>
      </w:r>
      <w:r w:rsidR="0010445F" w:rsidRPr="00614614">
        <w:rPr>
          <w:sz w:val="20"/>
          <w:szCs w:val="20"/>
        </w:rPr>
        <w:t xml:space="preserve">valuation </w:t>
      </w:r>
      <w:r w:rsidR="00050337" w:rsidRPr="00614614">
        <w:rPr>
          <w:sz w:val="20"/>
          <w:szCs w:val="20"/>
        </w:rPr>
        <w:t xml:space="preserve">uncertainty and </w:t>
      </w:r>
      <w:r w:rsidRPr="00614614">
        <w:rPr>
          <w:sz w:val="20"/>
          <w:szCs w:val="20"/>
        </w:rPr>
        <w:t xml:space="preserve">would require costly systems upgrades </w:t>
      </w:r>
      <w:proofErr w:type="gramStart"/>
      <w:r w:rsidR="004F3064">
        <w:rPr>
          <w:sz w:val="20"/>
          <w:szCs w:val="20"/>
        </w:rPr>
        <w:t xml:space="preserve">as </w:t>
      </w:r>
      <w:r w:rsidRPr="00614614">
        <w:rPr>
          <w:sz w:val="20"/>
          <w:szCs w:val="20"/>
        </w:rPr>
        <w:t xml:space="preserve"> </w:t>
      </w:r>
      <w:r w:rsidR="00B9072F" w:rsidRPr="00614614">
        <w:rPr>
          <w:sz w:val="20"/>
          <w:szCs w:val="20"/>
        </w:rPr>
        <w:t>the</w:t>
      </w:r>
      <w:proofErr w:type="gramEnd"/>
      <w:r w:rsidR="00B9072F" w:rsidRPr="00614614">
        <w:rPr>
          <w:sz w:val="20"/>
          <w:szCs w:val="20"/>
        </w:rPr>
        <w:t xml:space="preserve"> </w:t>
      </w:r>
      <w:proofErr w:type="spellStart"/>
      <w:r w:rsidRPr="00614614">
        <w:rPr>
          <w:sz w:val="20"/>
          <w:szCs w:val="20"/>
        </w:rPr>
        <w:t>realised</w:t>
      </w:r>
      <w:proofErr w:type="spellEnd"/>
      <w:r w:rsidRPr="00614614">
        <w:rPr>
          <w:sz w:val="20"/>
          <w:szCs w:val="20"/>
        </w:rPr>
        <w:t xml:space="preserve"> and </w:t>
      </w:r>
      <w:proofErr w:type="spellStart"/>
      <w:r w:rsidRPr="00614614">
        <w:rPr>
          <w:sz w:val="20"/>
          <w:szCs w:val="20"/>
        </w:rPr>
        <w:t>unreali</w:t>
      </w:r>
      <w:r w:rsidR="009847D1" w:rsidRPr="00614614">
        <w:rPr>
          <w:sz w:val="20"/>
          <w:szCs w:val="20"/>
        </w:rPr>
        <w:t>s</w:t>
      </w:r>
      <w:r w:rsidRPr="00614614">
        <w:rPr>
          <w:sz w:val="20"/>
          <w:szCs w:val="20"/>
        </w:rPr>
        <w:t>ed</w:t>
      </w:r>
      <w:proofErr w:type="spellEnd"/>
      <w:r w:rsidRPr="00614614">
        <w:rPr>
          <w:sz w:val="20"/>
          <w:szCs w:val="20"/>
        </w:rPr>
        <w:t xml:space="preserve"> split is not typically retained since it is generally not required for accounting purposes.</w:t>
      </w:r>
    </w:p>
    <w:p w:rsidR="00352FFE" w:rsidRPr="00614614" w:rsidRDefault="00D81CE9" w:rsidP="00C21984">
      <w:pPr>
        <w:pStyle w:val="Default"/>
        <w:rPr>
          <w:rFonts w:cs="EUAlbertina"/>
          <w:color w:val="auto"/>
          <w:sz w:val="20"/>
          <w:szCs w:val="20"/>
        </w:rPr>
      </w:pPr>
      <w:r w:rsidRPr="00614614">
        <w:rPr>
          <w:rFonts w:cs="EUAlbertina"/>
          <w:color w:val="auto"/>
          <w:sz w:val="20"/>
          <w:szCs w:val="20"/>
        </w:rPr>
        <w:t xml:space="preserve">The above points around difficulty to implement the requirements of the draft RTS lead us to point out that it will be very difficult to </w:t>
      </w:r>
      <w:proofErr w:type="spellStart"/>
      <w:r w:rsidRPr="00614614">
        <w:rPr>
          <w:rFonts w:cs="EUAlbertina"/>
          <w:color w:val="auto"/>
          <w:sz w:val="20"/>
          <w:szCs w:val="20"/>
        </w:rPr>
        <w:t>utilise</w:t>
      </w:r>
      <w:proofErr w:type="spellEnd"/>
      <w:r w:rsidRPr="00614614">
        <w:rPr>
          <w:rFonts w:cs="EUAlbertina"/>
          <w:color w:val="auto"/>
          <w:sz w:val="20"/>
          <w:szCs w:val="20"/>
        </w:rPr>
        <w:t xml:space="preserve"> the QIS for calibration. </w:t>
      </w:r>
    </w:p>
    <w:p w:rsidR="00352FFE" w:rsidRPr="00614614" w:rsidRDefault="00352FFE" w:rsidP="00C21984">
      <w:pPr>
        <w:pStyle w:val="Default"/>
        <w:rPr>
          <w:rFonts w:cs="EUAlbertina"/>
          <w:color w:val="auto"/>
          <w:sz w:val="20"/>
          <w:szCs w:val="20"/>
        </w:rPr>
      </w:pPr>
    </w:p>
    <w:p w:rsidR="0066082E" w:rsidRPr="00614614" w:rsidRDefault="00D81CE9" w:rsidP="00C21984">
      <w:pPr>
        <w:pStyle w:val="Default"/>
        <w:rPr>
          <w:rFonts w:cs="EUAlbertina"/>
          <w:color w:val="auto"/>
          <w:sz w:val="20"/>
          <w:szCs w:val="20"/>
        </w:rPr>
      </w:pPr>
      <w:r w:rsidRPr="00614614">
        <w:rPr>
          <w:rFonts w:cs="EUAlbertina"/>
          <w:color w:val="auto"/>
          <w:sz w:val="20"/>
          <w:szCs w:val="20"/>
        </w:rPr>
        <w:t xml:space="preserve">With regard to the Simplified approach many Institutions will be unable to calculate the net </w:t>
      </w:r>
      <w:proofErr w:type="spellStart"/>
      <w:r w:rsidRPr="00614614">
        <w:rPr>
          <w:rFonts w:cs="EUAlbertina"/>
          <w:color w:val="auto"/>
          <w:sz w:val="20"/>
          <w:szCs w:val="20"/>
        </w:rPr>
        <w:t>unrealised</w:t>
      </w:r>
      <w:proofErr w:type="spellEnd"/>
      <w:r w:rsidRPr="00614614">
        <w:rPr>
          <w:rFonts w:cs="EUAlbertina"/>
          <w:color w:val="auto"/>
          <w:sz w:val="20"/>
          <w:szCs w:val="20"/>
        </w:rPr>
        <w:t xml:space="preserve"> profits which form a part of this calculation since they do not store this information. The alternative suggestion included in the joint response to Questions 4 and 5 both </w:t>
      </w:r>
      <w:proofErr w:type="gramStart"/>
      <w:r w:rsidRPr="00614614">
        <w:rPr>
          <w:rFonts w:cs="EUAlbertina"/>
          <w:color w:val="auto"/>
          <w:sz w:val="20"/>
          <w:szCs w:val="20"/>
        </w:rPr>
        <w:t>eliminates</w:t>
      </w:r>
      <w:proofErr w:type="gramEnd"/>
      <w:r w:rsidRPr="00614614">
        <w:rPr>
          <w:rFonts w:cs="EUAlbertina"/>
          <w:color w:val="auto"/>
          <w:sz w:val="20"/>
          <w:szCs w:val="20"/>
        </w:rPr>
        <w:t xml:space="preserve"> the requirement for </w:t>
      </w:r>
      <w:proofErr w:type="spellStart"/>
      <w:r w:rsidRPr="00614614">
        <w:rPr>
          <w:rFonts w:cs="EUAlbertina"/>
          <w:color w:val="auto"/>
          <w:sz w:val="20"/>
          <w:szCs w:val="20"/>
        </w:rPr>
        <w:t>unrealised</w:t>
      </w:r>
      <w:proofErr w:type="spellEnd"/>
      <w:r w:rsidRPr="00614614">
        <w:rPr>
          <w:rFonts w:cs="EUAlbertina"/>
          <w:color w:val="auto"/>
          <w:sz w:val="20"/>
          <w:szCs w:val="20"/>
        </w:rPr>
        <w:t xml:space="preserve"> calculations and enables EBA to calibrate likely charges directly from the financial statements. </w:t>
      </w:r>
    </w:p>
    <w:p w:rsidR="004B7338" w:rsidRPr="00614614" w:rsidRDefault="004B7338" w:rsidP="00C21984">
      <w:pPr>
        <w:pStyle w:val="Default"/>
        <w:rPr>
          <w:rFonts w:cs="EUAlbertina"/>
          <w:color w:val="auto"/>
          <w:sz w:val="20"/>
          <w:szCs w:val="20"/>
        </w:rPr>
      </w:pPr>
    </w:p>
    <w:p w:rsidR="00C21984" w:rsidRDefault="00C21984" w:rsidP="00C21984">
      <w:pPr>
        <w:pStyle w:val="Default"/>
        <w:rPr>
          <w:rFonts w:cs="EUAlbertina"/>
          <w:color w:val="19161A"/>
          <w:sz w:val="19"/>
          <w:szCs w:val="19"/>
        </w:rPr>
      </w:pPr>
    </w:p>
    <w:p w:rsidR="00E13522" w:rsidRPr="00DD79B4" w:rsidRDefault="00DE303B" w:rsidP="00C11690">
      <w:pPr>
        <w:spacing w:after="0" w:line="240" w:lineRule="auto"/>
        <w:jc w:val="both"/>
        <w:rPr>
          <w:rFonts w:cs="Calibri"/>
          <w:b/>
        </w:rPr>
      </w:pPr>
      <w:r>
        <w:rPr>
          <w:rFonts w:cs="Calibri"/>
          <w:b/>
        </w:rPr>
        <w:t>C.</w:t>
      </w:r>
      <w:r w:rsidR="00E13522" w:rsidRPr="00DD79B4">
        <w:rPr>
          <w:rFonts w:cs="Calibri"/>
          <w:b/>
        </w:rPr>
        <w:t xml:space="preserve"> Responses to </w:t>
      </w:r>
      <w:r w:rsidR="005631D2">
        <w:rPr>
          <w:rFonts w:cs="Calibri"/>
          <w:b/>
        </w:rPr>
        <w:t xml:space="preserve">the Consultation </w:t>
      </w:r>
      <w:r w:rsidR="00E13522" w:rsidRPr="00DD79B4">
        <w:rPr>
          <w:rFonts w:cs="Calibri"/>
          <w:b/>
        </w:rPr>
        <w:t xml:space="preserve">Paper Questions </w:t>
      </w:r>
    </w:p>
    <w:p w:rsidR="00993632" w:rsidRDefault="00993632" w:rsidP="007A5413">
      <w:pPr>
        <w:spacing w:after="0" w:line="240" w:lineRule="auto"/>
        <w:jc w:val="both"/>
        <w:rPr>
          <w:rFonts w:cs="Calibri"/>
        </w:rPr>
      </w:pPr>
    </w:p>
    <w:p w:rsidR="000403EE" w:rsidRPr="00DD79B4" w:rsidRDefault="000403EE" w:rsidP="007A5413">
      <w:pPr>
        <w:spacing w:after="0" w:line="240" w:lineRule="auto"/>
        <w:jc w:val="both"/>
        <w:rPr>
          <w:rFonts w:cs="Calibri"/>
        </w:rPr>
      </w:pPr>
    </w:p>
    <w:p w:rsidR="00202B4F" w:rsidRPr="00202B4F" w:rsidRDefault="000C1609" w:rsidP="00202B4F">
      <w:pPr>
        <w:pStyle w:val="Default"/>
        <w:rPr>
          <w:color w:val="1F497D"/>
          <w:sz w:val="22"/>
          <w:szCs w:val="22"/>
        </w:rPr>
      </w:pPr>
      <w:r w:rsidRPr="00202B4F">
        <w:rPr>
          <w:b/>
          <w:color w:val="1F497D"/>
          <w:sz w:val="22"/>
          <w:szCs w:val="22"/>
        </w:rPr>
        <w:t xml:space="preserve">Q1. </w:t>
      </w:r>
      <w:r w:rsidR="00202B4F" w:rsidRPr="00202B4F">
        <w:rPr>
          <w:b/>
          <w:color w:val="1F497D"/>
          <w:sz w:val="22"/>
          <w:szCs w:val="22"/>
        </w:rPr>
        <w:t>Do you agree with the minimum list of alternative methods and sources of information defined above for expert based approaches? If not, what others could be included, or which points from the current list should be removed? State your reasons.</w:t>
      </w:r>
      <w:r w:rsidR="00202B4F" w:rsidRPr="00202B4F">
        <w:rPr>
          <w:color w:val="1F497D"/>
          <w:sz w:val="22"/>
          <w:szCs w:val="22"/>
        </w:rPr>
        <w:t xml:space="preserve"> </w:t>
      </w:r>
    </w:p>
    <w:p w:rsidR="00202B4F" w:rsidRPr="00202B4F" w:rsidRDefault="00202B4F" w:rsidP="00202B4F">
      <w:pPr>
        <w:pStyle w:val="Default"/>
        <w:rPr>
          <w:color w:val="1F497D"/>
          <w:sz w:val="22"/>
          <w:szCs w:val="22"/>
        </w:rPr>
      </w:pPr>
    </w:p>
    <w:p w:rsidR="00D2543E" w:rsidRPr="00243ADB" w:rsidRDefault="00D2543E" w:rsidP="00202B4F">
      <w:pPr>
        <w:pStyle w:val="Default"/>
        <w:rPr>
          <w:color w:val="auto"/>
          <w:sz w:val="20"/>
          <w:szCs w:val="20"/>
        </w:rPr>
      </w:pPr>
      <w:r w:rsidRPr="00243ADB">
        <w:rPr>
          <w:color w:val="auto"/>
          <w:sz w:val="20"/>
          <w:szCs w:val="20"/>
        </w:rPr>
        <w:t>In general we feel t</w:t>
      </w:r>
      <w:r w:rsidR="00202B4F" w:rsidRPr="00243ADB">
        <w:rPr>
          <w:color w:val="auto"/>
          <w:sz w:val="20"/>
          <w:szCs w:val="20"/>
        </w:rPr>
        <w:t xml:space="preserve">he items in the list </w:t>
      </w:r>
      <w:r w:rsidRPr="00243ADB">
        <w:rPr>
          <w:color w:val="auto"/>
          <w:sz w:val="20"/>
          <w:szCs w:val="20"/>
        </w:rPr>
        <w:t xml:space="preserve">are </w:t>
      </w:r>
      <w:r w:rsidR="00202B4F" w:rsidRPr="00243ADB">
        <w:rPr>
          <w:color w:val="auto"/>
          <w:sz w:val="20"/>
          <w:szCs w:val="20"/>
        </w:rPr>
        <w:t>reasonable</w:t>
      </w:r>
      <w:r w:rsidRPr="00243ADB">
        <w:rPr>
          <w:color w:val="auto"/>
          <w:sz w:val="20"/>
          <w:szCs w:val="20"/>
        </w:rPr>
        <w:t>. However we also noted that Article 3</w:t>
      </w:r>
      <w:r w:rsidR="00243ADB" w:rsidRPr="00243ADB">
        <w:rPr>
          <w:color w:val="auto"/>
          <w:sz w:val="20"/>
          <w:szCs w:val="20"/>
        </w:rPr>
        <w:t xml:space="preserve"> paragraph </w:t>
      </w:r>
      <w:r w:rsidRPr="00243ADB">
        <w:rPr>
          <w:color w:val="auto"/>
          <w:sz w:val="20"/>
          <w:szCs w:val="20"/>
        </w:rPr>
        <w:t xml:space="preserve">3 states </w:t>
      </w:r>
      <w:r w:rsidR="00202B4F" w:rsidRPr="00243ADB">
        <w:rPr>
          <w:color w:val="auto"/>
          <w:sz w:val="20"/>
          <w:szCs w:val="20"/>
        </w:rPr>
        <w:t>“alternative methods and sources of information shall be considered, including all of the following”</w:t>
      </w:r>
      <w:r w:rsidRPr="00243ADB">
        <w:rPr>
          <w:color w:val="auto"/>
          <w:sz w:val="20"/>
          <w:szCs w:val="20"/>
        </w:rPr>
        <w:t>. Th</w:t>
      </w:r>
      <w:r w:rsidR="00202B4F" w:rsidRPr="00243ADB">
        <w:rPr>
          <w:color w:val="auto"/>
          <w:sz w:val="20"/>
          <w:szCs w:val="20"/>
        </w:rPr>
        <w:t xml:space="preserve">is </w:t>
      </w:r>
      <w:r w:rsidRPr="00243ADB">
        <w:rPr>
          <w:color w:val="auto"/>
          <w:sz w:val="20"/>
          <w:szCs w:val="20"/>
        </w:rPr>
        <w:t xml:space="preserve">would </w:t>
      </w:r>
      <w:r w:rsidR="00202B4F" w:rsidRPr="00243ADB">
        <w:rPr>
          <w:color w:val="auto"/>
          <w:sz w:val="20"/>
          <w:szCs w:val="20"/>
        </w:rPr>
        <w:t xml:space="preserve">appear to stipulate they </w:t>
      </w:r>
      <w:r w:rsidR="00202B4F" w:rsidRPr="00243ADB">
        <w:rPr>
          <w:color w:val="auto"/>
          <w:sz w:val="20"/>
          <w:szCs w:val="20"/>
          <w:u w:val="single"/>
        </w:rPr>
        <w:t>all must</w:t>
      </w:r>
      <w:r w:rsidR="00202B4F" w:rsidRPr="00243ADB">
        <w:rPr>
          <w:color w:val="auto"/>
          <w:sz w:val="20"/>
          <w:szCs w:val="20"/>
        </w:rPr>
        <w:t xml:space="preserve"> be used all the time</w:t>
      </w:r>
      <w:r w:rsidRPr="00243ADB">
        <w:rPr>
          <w:color w:val="auto"/>
          <w:sz w:val="20"/>
          <w:szCs w:val="20"/>
        </w:rPr>
        <w:t xml:space="preserve">, which </w:t>
      </w:r>
      <w:r w:rsidR="0078492E" w:rsidRPr="00243ADB">
        <w:rPr>
          <w:color w:val="auto"/>
          <w:sz w:val="20"/>
          <w:szCs w:val="20"/>
        </w:rPr>
        <w:t xml:space="preserve">we feel </w:t>
      </w:r>
      <w:r w:rsidRPr="00243ADB">
        <w:rPr>
          <w:color w:val="auto"/>
          <w:sz w:val="20"/>
          <w:szCs w:val="20"/>
        </w:rPr>
        <w:t xml:space="preserve">isn’t practical. </w:t>
      </w:r>
    </w:p>
    <w:p w:rsidR="00202B4F" w:rsidRPr="00243ADB" w:rsidRDefault="00202B4F" w:rsidP="00202B4F">
      <w:pPr>
        <w:pStyle w:val="Default"/>
        <w:rPr>
          <w:color w:val="auto"/>
          <w:sz w:val="20"/>
          <w:szCs w:val="20"/>
        </w:rPr>
      </w:pPr>
      <w:r w:rsidRPr="00243ADB">
        <w:rPr>
          <w:color w:val="auto"/>
          <w:sz w:val="20"/>
          <w:szCs w:val="20"/>
        </w:rPr>
        <w:t xml:space="preserve">We </w:t>
      </w:r>
      <w:r w:rsidR="00243ADB" w:rsidRPr="00243ADB">
        <w:rPr>
          <w:color w:val="auto"/>
          <w:sz w:val="20"/>
          <w:szCs w:val="20"/>
        </w:rPr>
        <w:t xml:space="preserve">therefore </w:t>
      </w:r>
      <w:r w:rsidRPr="00243ADB">
        <w:rPr>
          <w:color w:val="auto"/>
          <w:sz w:val="20"/>
          <w:szCs w:val="20"/>
        </w:rPr>
        <w:t>don’t agree that they all have to be considered in each case</w:t>
      </w:r>
      <w:r w:rsidR="00243ADB" w:rsidRPr="00243ADB">
        <w:rPr>
          <w:color w:val="auto"/>
          <w:sz w:val="20"/>
          <w:szCs w:val="20"/>
        </w:rPr>
        <w:t xml:space="preserve">. For instance, </w:t>
      </w:r>
      <w:r w:rsidRPr="00243ADB">
        <w:rPr>
          <w:color w:val="auto"/>
          <w:sz w:val="20"/>
          <w:szCs w:val="20"/>
        </w:rPr>
        <w:t xml:space="preserve">natural bounds should not have to be calculated and considered in each and every case </w:t>
      </w:r>
      <w:r w:rsidR="000E03A0">
        <w:rPr>
          <w:color w:val="auto"/>
          <w:sz w:val="20"/>
          <w:szCs w:val="20"/>
        </w:rPr>
        <w:t>that</w:t>
      </w:r>
      <w:r w:rsidR="000E03A0" w:rsidRPr="00243ADB">
        <w:rPr>
          <w:color w:val="auto"/>
          <w:sz w:val="20"/>
          <w:szCs w:val="20"/>
        </w:rPr>
        <w:t xml:space="preserve"> </w:t>
      </w:r>
      <w:r w:rsidRPr="00243ADB">
        <w:rPr>
          <w:color w:val="auto"/>
          <w:sz w:val="20"/>
          <w:szCs w:val="20"/>
        </w:rPr>
        <w:t>one is available</w:t>
      </w:r>
      <w:r w:rsidR="00243ADB" w:rsidRPr="00243ADB">
        <w:rPr>
          <w:color w:val="auto"/>
          <w:sz w:val="20"/>
          <w:szCs w:val="20"/>
        </w:rPr>
        <w:t xml:space="preserve">. Equally, </w:t>
      </w:r>
      <w:r w:rsidRPr="00243ADB">
        <w:rPr>
          <w:color w:val="auto"/>
          <w:sz w:val="20"/>
          <w:szCs w:val="20"/>
        </w:rPr>
        <w:t>does every trade have to be calculat</w:t>
      </w:r>
      <w:r w:rsidR="00243ADB" w:rsidRPr="00243ADB">
        <w:rPr>
          <w:color w:val="auto"/>
          <w:sz w:val="20"/>
          <w:szCs w:val="20"/>
        </w:rPr>
        <w:t>ed using correlations of +/-1 and e</w:t>
      </w:r>
      <w:r w:rsidRPr="00243ADB">
        <w:rPr>
          <w:color w:val="auto"/>
          <w:sz w:val="20"/>
          <w:szCs w:val="20"/>
        </w:rPr>
        <w:t>very long option have to be considered with a volatility of zero</w:t>
      </w:r>
      <w:r w:rsidR="00243ADB" w:rsidRPr="00243ADB">
        <w:rPr>
          <w:color w:val="auto"/>
          <w:sz w:val="20"/>
          <w:szCs w:val="20"/>
        </w:rPr>
        <w:t>?</w:t>
      </w:r>
    </w:p>
    <w:p w:rsidR="00243ADB" w:rsidRPr="00243ADB" w:rsidRDefault="00243ADB" w:rsidP="00202B4F">
      <w:pPr>
        <w:pStyle w:val="Default"/>
        <w:rPr>
          <w:color w:val="auto"/>
          <w:sz w:val="20"/>
          <w:szCs w:val="20"/>
        </w:rPr>
      </w:pPr>
    </w:p>
    <w:p w:rsidR="00202B4F" w:rsidRPr="00243ADB" w:rsidRDefault="00243ADB" w:rsidP="00202B4F">
      <w:pPr>
        <w:pStyle w:val="Default"/>
        <w:rPr>
          <w:color w:val="auto"/>
          <w:sz w:val="20"/>
          <w:szCs w:val="20"/>
        </w:rPr>
      </w:pPr>
      <w:r w:rsidRPr="00243ADB">
        <w:rPr>
          <w:color w:val="auto"/>
          <w:sz w:val="20"/>
          <w:szCs w:val="20"/>
        </w:rPr>
        <w:t>We also n</w:t>
      </w:r>
      <w:r w:rsidR="00202B4F" w:rsidRPr="00243ADB">
        <w:rPr>
          <w:color w:val="auto"/>
          <w:sz w:val="20"/>
          <w:szCs w:val="20"/>
        </w:rPr>
        <w:t>ote</w:t>
      </w:r>
      <w:r w:rsidRPr="00243ADB">
        <w:rPr>
          <w:color w:val="auto"/>
          <w:sz w:val="20"/>
          <w:szCs w:val="20"/>
        </w:rPr>
        <w:t>d</w:t>
      </w:r>
      <w:r w:rsidR="00202B4F" w:rsidRPr="00243ADB">
        <w:rPr>
          <w:color w:val="auto"/>
          <w:sz w:val="20"/>
          <w:szCs w:val="20"/>
        </w:rPr>
        <w:t xml:space="preserve"> there is a similar issue with the use of “all” in the previous paragraph (</w:t>
      </w:r>
      <w:r w:rsidRPr="00243ADB">
        <w:rPr>
          <w:color w:val="auto"/>
          <w:sz w:val="20"/>
          <w:szCs w:val="20"/>
        </w:rPr>
        <w:t>A</w:t>
      </w:r>
      <w:r w:rsidR="00202B4F" w:rsidRPr="00243ADB">
        <w:rPr>
          <w:color w:val="auto"/>
          <w:sz w:val="20"/>
          <w:szCs w:val="20"/>
        </w:rPr>
        <w:t>rticle 3</w:t>
      </w:r>
      <w:r w:rsidRPr="00243ADB">
        <w:rPr>
          <w:color w:val="auto"/>
          <w:sz w:val="20"/>
          <w:szCs w:val="20"/>
        </w:rPr>
        <w:t xml:space="preserve"> (2)</w:t>
      </w:r>
      <w:r w:rsidR="00202B4F" w:rsidRPr="00243ADB">
        <w:rPr>
          <w:color w:val="auto"/>
          <w:sz w:val="20"/>
          <w:szCs w:val="20"/>
        </w:rPr>
        <w:t xml:space="preserve">). </w:t>
      </w:r>
    </w:p>
    <w:p w:rsidR="00202B4F" w:rsidRPr="00243ADB" w:rsidRDefault="00202B4F" w:rsidP="00202B4F">
      <w:pPr>
        <w:pStyle w:val="Default"/>
        <w:rPr>
          <w:color w:val="auto"/>
          <w:sz w:val="20"/>
          <w:szCs w:val="20"/>
        </w:rPr>
      </w:pPr>
      <w:r w:rsidRPr="00243ADB">
        <w:rPr>
          <w:color w:val="auto"/>
          <w:sz w:val="20"/>
          <w:szCs w:val="20"/>
        </w:rPr>
        <w:t xml:space="preserve">The list of sources may also change over time so we wouldn’t want the wording to suggest </w:t>
      </w:r>
      <w:r w:rsidR="00243ADB" w:rsidRPr="00243ADB">
        <w:rPr>
          <w:color w:val="auto"/>
          <w:sz w:val="20"/>
          <w:szCs w:val="20"/>
        </w:rPr>
        <w:t xml:space="preserve">that </w:t>
      </w:r>
      <w:r w:rsidRPr="00243ADB">
        <w:rPr>
          <w:color w:val="auto"/>
          <w:sz w:val="20"/>
          <w:szCs w:val="20"/>
        </w:rPr>
        <w:t>th</w:t>
      </w:r>
      <w:r w:rsidR="00243ADB" w:rsidRPr="00243ADB">
        <w:rPr>
          <w:color w:val="auto"/>
          <w:sz w:val="20"/>
          <w:szCs w:val="20"/>
        </w:rPr>
        <w:t>e</w:t>
      </w:r>
      <w:r w:rsidRPr="00243ADB">
        <w:rPr>
          <w:color w:val="auto"/>
          <w:sz w:val="20"/>
          <w:szCs w:val="20"/>
        </w:rPr>
        <w:t xml:space="preserve"> list is fixed</w:t>
      </w:r>
      <w:r w:rsidR="00243ADB" w:rsidRPr="00243ADB">
        <w:rPr>
          <w:color w:val="auto"/>
          <w:sz w:val="20"/>
          <w:szCs w:val="20"/>
        </w:rPr>
        <w:t xml:space="preserve"> and therefore inflexible to changes of sources over time</w:t>
      </w:r>
      <w:r w:rsidRPr="00243ADB">
        <w:rPr>
          <w:color w:val="auto"/>
          <w:sz w:val="20"/>
          <w:szCs w:val="20"/>
        </w:rPr>
        <w:t>.</w:t>
      </w:r>
    </w:p>
    <w:p w:rsidR="00D2543E" w:rsidRPr="00243ADB" w:rsidRDefault="00D2543E" w:rsidP="00202B4F">
      <w:pPr>
        <w:pStyle w:val="Default"/>
        <w:rPr>
          <w:color w:val="auto"/>
          <w:sz w:val="20"/>
          <w:szCs w:val="20"/>
        </w:rPr>
      </w:pPr>
    </w:p>
    <w:p w:rsidR="00D2543E" w:rsidRPr="00243ADB" w:rsidRDefault="00D2543E" w:rsidP="00D2543E">
      <w:pPr>
        <w:pStyle w:val="Default"/>
        <w:rPr>
          <w:color w:val="auto"/>
          <w:sz w:val="20"/>
          <w:szCs w:val="20"/>
        </w:rPr>
      </w:pPr>
      <w:r w:rsidRPr="00243ADB">
        <w:rPr>
          <w:color w:val="auto"/>
          <w:sz w:val="20"/>
          <w:szCs w:val="20"/>
        </w:rPr>
        <w:t>We therefore recommend that “all of” should be deleted from the sentence.</w:t>
      </w:r>
    </w:p>
    <w:p w:rsidR="00202B4F" w:rsidRDefault="00202B4F" w:rsidP="00202B4F">
      <w:pPr>
        <w:pStyle w:val="Default"/>
        <w:rPr>
          <w:color w:val="0070C0"/>
          <w:sz w:val="20"/>
          <w:szCs w:val="20"/>
        </w:rPr>
      </w:pPr>
    </w:p>
    <w:p w:rsidR="00202B4F" w:rsidRPr="00202B4F" w:rsidRDefault="00202B4F" w:rsidP="00202B4F">
      <w:pPr>
        <w:tabs>
          <w:tab w:val="left" w:pos="-284"/>
        </w:tabs>
        <w:spacing w:after="0"/>
        <w:ind w:right="706"/>
        <w:rPr>
          <w:rFonts w:cs="Arial"/>
          <w:sz w:val="20"/>
          <w:szCs w:val="20"/>
        </w:rPr>
      </w:pPr>
      <w:r w:rsidRPr="00202B4F">
        <w:rPr>
          <w:rFonts w:cs="Arial"/>
          <w:sz w:val="20"/>
          <w:szCs w:val="20"/>
        </w:rPr>
        <w:t xml:space="preserve">We would propose rewording Article 3(2) as: </w:t>
      </w:r>
    </w:p>
    <w:p w:rsidR="00202B4F" w:rsidRPr="00202B4F" w:rsidRDefault="00202B4F" w:rsidP="00202B4F">
      <w:pPr>
        <w:tabs>
          <w:tab w:val="left" w:pos="-284"/>
        </w:tabs>
        <w:spacing w:after="0"/>
        <w:ind w:right="706"/>
        <w:rPr>
          <w:rFonts w:cs="Arial"/>
          <w:sz w:val="20"/>
          <w:szCs w:val="20"/>
        </w:rPr>
      </w:pPr>
    </w:p>
    <w:p w:rsidR="00202B4F" w:rsidRPr="00202B4F" w:rsidRDefault="00202B4F" w:rsidP="00202B4F">
      <w:pPr>
        <w:tabs>
          <w:tab w:val="left" w:pos="-284"/>
        </w:tabs>
        <w:spacing w:after="0"/>
        <w:ind w:right="706"/>
        <w:rPr>
          <w:rFonts w:cs="Arial"/>
          <w:b/>
          <w:sz w:val="20"/>
          <w:szCs w:val="20"/>
        </w:rPr>
      </w:pPr>
      <w:r w:rsidRPr="00202B4F">
        <w:rPr>
          <w:rFonts w:cs="Arial"/>
          <w:sz w:val="20"/>
          <w:szCs w:val="20"/>
        </w:rPr>
        <w:t xml:space="preserve">“The market data used to determine a prudent value shall </w:t>
      </w:r>
      <w:r w:rsidRPr="00202B4F">
        <w:rPr>
          <w:rFonts w:cs="Arial"/>
          <w:b/>
          <w:sz w:val="20"/>
          <w:szCs w:val="20"/>
        </w:rPr>
        <w:t>consider available and reliable data sources,</w:t>
      </w:r>
      <w:r w:rsidRPr="00202B4F">
        <w:rPr>
          <w:rFonts w:cs="Arial"/>
          <w:sz w:val="20"/>
          <w:szCs w:val="20"/>
        </w:rPr>
        <w:t xml:space="preserve"> </w:t>
      </w:r>
      <w:r w:rsidRPr="00202B4F">
        <w:rPr>
          <w:rFonts w:cs="Arial"/>
          <w:b/>
          <w:sz w:val="20"/>
          <w:szCs w:val="20"/>
        </w:rPr>
        <w:t xml:space="preserve">including the following, </w:t>
      </w:r>
      <w:r w:rsidR="00D12496">
        <w:rPr>
          <w:rFonts w:cs="Arial"/>
          <w:b/>
          <w:sz w:val="20"/>
          <w:szCs w:val="20"/>
        </w:rPr>
        <w:t>where</w:t>
      </w:r>
      <w:r w:rsidRPr="00202B4F">
        <w:rPr>
          <w:rFonts w:cs="Arial"/>
          <w:b/>
          <w:sz w:val="20"/>
          <w:szCs w:val="20"/>
        </w:rPr>
        <w:t xml:space="preserve"> relevant: </w:t>
      </w:r>
    </w:p>
    <w:p w:rsidR="00202B4F" w:rsidRPr="00202B4F" w:rsidRDefault="00202B4F" w:rsidP="00202B4F">
      <w:pPr>
        <w:pStyle w:val="Default"/>
        <w:ind w:left="720"/>
        <w:rPr>
          <w:rFonts w:cs="Arial"/>
          <w:sz w:val="20"/>
          <w:szCs w:val="20"/>
        </w:rPr>
      </w:pPr>
    </w:p>
    <w:p w:rsidR="00202B4F" w:rsidRPr="00202B4F" w:rsidRDefault="00202B4F" w:rsidP="00202B4F">
      <w:pPr>
        <w:pStyle w:val="Default"/>
        <w:numPr>
          <w:ilvl w:val="0"/>
          <w:numId w:val="10"/>
        </w:numPr>
        <w:rPr>
          <w:sz w:val="20"/>
          <w:szCs w:val="20"/>
        </w:rPr>
      </w:pPr>
      <w:r w:rsidRPr="00202B4F">
        <w:rPr>
          <w:sz w:val="20"/>
          <w:szCs w:val="20"/>
        </w:rPr>
        <w:t xml:space="preserve">Exchange prices in a liquid market; </w:t>
      </w:r>
    </w:p>
    <w:p w:rsidR="00202B4F" w:rsidRPr="00202B4F" w:rsidRDefault="00202B4F" w:rsidP="00202B4F">
      <w:pPr>
        <w:pStyle w:val="Default"/>
        <w:numPr>
          <w:ilvl w:val="0"/>
          <w:numId w:val="10"/>
        </w:numPr>
        <w:rPr>
          <w:sz w:val="20"/>
          <w:szCs w:val="20"/>
        </w:rPr>
      </w:pPr>
      <w:r w:rsidRPr="00202B4F">
        <w:rPr>
          <w:sz w:val="20"/>
          <w:szCs w:val="20"/>
        </w:rPr>
        <w:t xml:space="preserve">Trades in the exact same or very similar instrument, either from the institution’s own records or, where available, trades from across the market; </w:t>
      </w:r>
    </w:p>
    <w:p w:rsidR="00202B4F" w:rsidRPr="00202B4F" w:rsidRDefault="00202B4F" w:rsidP="00202B4F">
      <w:pPr>
        <w:pStyle w:val="Default"/>
        <w:numPr>
          <w:ilvl w:val="0"/>
          <w:numId w:val="10"/>
        </w:numPr>
        <w:rPr>
          <w:sz w:val="20"/>
          <w:szCs w:val="20"/>
        </w:rPr>
      </w:pPr>
      <w:r w:rsidRPr="00202B4F">
        <w:rPr>
          <w:sz w:val="20"/>
          <w:szCs w:val="20"/>
        </w:rPr>
        <w:t xml:space="preserve">Tradable quotes from brokers and other market participants; </w:t>
      </w:r>
    </w:p>
    <w:p w:rsidR="00202B4F" w:rsidRPr="00202B4F" w:rsidRDefault="00202B4F" w:rsidP="00202B4F">
      <w:pPr>
        <w:pStyle w:val="Default"/>
        <w:numPr>
          <w:ilvl w:val="0"/>
          <w:numId w:val="10"/>
        </w:numPr>
        <w:rPr>
          <w:sz w:val="20"/>
          <w:szCs w:val="20"/>
        </w:rPr>
      </w:pPr>
      <w:r w:rsidRPr="00202B4F">
        <w:rPr>
          <w:sz w:val="20"/>
          <w:szCs w:val="20"/>
        </w:rPr>
        <w:t xml:space="preserve">Consensus service data; </w:t>
      </w:r>
    </w:p>
    <w:p w:rsidR="00202B4F" w:rsidRPr="00202B4F" w:rsidRDefault="00202B4F" w:rsidP="00202B4F">
      <w:pPr>
        <w:pStyle w:val="Default"/>
        <w:numPr>
          <w:ilvl w:val="0"/>
          <w:numId w:val="10"/>
        </w:numPr>
        <w:rPr>
          <w:i/>
          <w:sz w:val="20"/>
          <w:szCs w:val="20"/>
        </w:rPr>
      </w:pPr>
      <w:r w:rsidRPr="00202B4F">
        <w:rPr>
          <w:sz w:val="20"/>
          <w:szCs w:val="20"/>
        </w:rPr>
        <w:t>Indicative broker quotes; and/</w:t>
      </w:r>
      <w:r w:rsidRPr="00202B4F">
        <w:rPr>
          <w:b/>
          <w:sz w:val="20"/>
          <w:szCs w:val="20"/>
        </w:rPr>
        <w:t xml:space="preserve">or </w:t>
      </w:r>
    </w:p>
    <w:p w:rsidR="00202B4F" w:rsidRPr="00202B4F" w:rsidRDefault="00202B4F" w:rsidP="00202B4F">
      <w:pPr>
        <w:pStyle w:val="Default"/>
        <w:numPr>
          <w:ilvl w:val="0"/>
          <w:numId w:val="10"/>
        </w:numPr>
        <w:rPr>
          <w:sz w:val="20"/>
          <w:szCs w:val="20"/>
        </w:rPr>
      </w:pPr>
      <w:r w:rsidRPr="00202B4F">
        <w:rPr>
          <w:sz w:val="20"/>
          <w:szCs w:val="20"/>
        </w:rPr>
        <w:t>Counterparty collateral valuations.”</w:t>
      </w:r>
    </w:p>
    <w:p w:rsidR="00202B4F" w:rsidRPr="00202B4F" w:rsidRDefault="00202B4F" w:rsidP="00202B4F">
      <w:pPr>
        <w:tabs>
          <w:tab w:val="left" w:pos="-284"/>
        </w:tabs>
        <w:spacing w:after="0"/>
        <w:ind w:right="701"/>
        <w:rPr>
          <w:rFonts w:cs="Arial"/>
          <w:sz w:val="20"/>
          <w:szCs w:val="20"/>
        </w:rPr>
      </w:pPr>
    </w:p>
    <w:p w:rsidR="00202B4F" w:rsidRPr="00202B4F" w:rsidRDefault="00202B4F" w:rsidP="00202B4F">
      <w:pPr>
        <w:tabs>
          <w:tab w:val="left" w:pos="-284"/>
        </w:tabs>
        <w:spacing w:after="0"/>
        <w:ind w:right="701"/>
        <w:rPr>
          <w:rFonts w:cs="Arial"/>
          <w:sz w:val="20"/>
          <w:szCs w:val="20"/>
        </w:rPr>
      </w:pPr>
      <w:r w:rsidRPr="00202B4F">
        <w:rPr>
          <w:rFonts w:cs="Arial"/>
          <w:sz w:val="20"/>
          <w:szCs w:val="20"/>
        </w:rPr>
        <w:t>We would also propose reword</w:t>
      </w:r>
      <w:r>
        <w:rPr>
          <w:rFonts w:cs="Arial"/>
          <w:sz w:val="20"/>
          <w:szCs w:val="20"/>
        </w:rPr>
        <w:t>ing</w:t>
      </w:r>
      <w:r w:rsidRPr="00202B4F">
        <w:rPr>
          <w:rFonts w:cs="Arial"/>
          <w:sz w:val="20"/>
          <w:szCs w:val="20"/>
        </w:rPr>
        <w:t xml:space="preserve"> Article 3(3) as follows:</w:t>
      </w:r>
    </w:p>
    <w:p w:rsidR="00202B4F" w:rsidRPr="00202B4F" w:rsidRDefault="00202B4F" w:rsidP="00202B4F">
      <w:pPr>
        <w:tabs>
          <w:tab w:val="left" w:pos="-284"/>
        </w:tabs>
        <w:spacing w:after="0"/>
        <w:ind w:right="701"/>
        <w:rPr>
          <w:rFonts w:cs="Arial"/>
          <w:sz w:val="20"/>
          <w:szCs w:val="20"/>
        </w:rPr>
      </w:pPr>
    </w:p>
    <w:p w:rsidR="00202B4F" w:rsidRPr="00202B4F" w:rsidRDefault="00202B4F" w:rsidP="00202B4F">
      <w:pPr>
        <w:tabs>
          <w:tab w:val="left" w:pos="-284"/>
        </w:tabs>
        <w:spacing w:after="0"/>
        <w:ind w:right="701"/>
        <w:rPr>
          <w:rFonts w:cs="Arial"/>
          <w:b/>
          <w:sz w:val="20"/>
          <w:szCs w:val="20"/>
        </w:rPr>
      </w:pPr>
      <w:r w:rsidRPr="00202B4F">
        <w:rPr>
          <w:rFonts w:cs="Arial"/>
          <w:sz w:val="20"/>
          <w:szCs w:val="20"/>
        </w:rPr>
        <w:t xml:space="preserve">“For cases where an expert based approach is applied for the purpose of Articles 8 to 10, alternative methods and sources of information shall be considered, </w:t>
      </w:r>
      <w:r w:rsidRPr="00202B4F">
        <w:rPr>
          <w:rFonts w:cs="Arial"/>
          <w:b/>
          <w:sz w:val="20"/>
          <w:szCs w:val="20"/>
        </w:rPr>
        <w:t xml:space="preserve">including the following, </w:t>
      </w:r>
      <w:r w:rsidR="00D12496">
        <w:rPr>
          <w:rFonts w:cs="Arial"/>
          <w:b/>
          <w:sz w:val="20"/>
          <w:szCs w:val="20"/>
        </w:rPr>
        <w:t>where</w:t>
      </w:r>
      <w:r w:rsidRPr="00202B4F">
        <w:rPr>
          <w:rFonts w:cs="Arial"/>
          <w:b/>
          <w:sz w:val="20"/>
          <w:szCs w:val="20"/>
        </w:rPr>
        <w:t xml:space="preserve"> relevant:</w:t>
      </w:r>
    </w:p>
    <w:p w:rsidR="00202B4F" w:rsidRPr="00202B4F" w:rsidRDefault="00202B4F" w:rsidP="00202B4F">
      <w:pPr>
        <w:tabs>
          <w:tab w:val="left" w:pos="-284"/>
        </w:tabs>
        <w:spacing w:after="0"/>
        <w:ind w:right="701"/>
        <w:rPr>
          <w:rFonts w:cs="Arial"/>
          <w:b/>
          <w:i/>
          <w:sz w:val="20"/>
          <w:szCs w:val="20"/>
        </w:rPr>
      </w:pPr>
    </w:p>
    <w:p w:rsidR="00202B4F" w:rsidRPr="00202B4F" w:rsidRDefault="00202B4F" w:rsidP="00202B4F">
      <w:pPr>
        <w:pStyle w:val="ListParagraph"/>
        <w:numPr>
          <w:ilvl w:val="0"/>
          <w:numId w:val="11"/>
        </w:numPr>
        <w:tabs>
          <w:tab w:val="left" w:pos="-284"/>
        </w:tabs>
        <w:spacing w:after="0" w:line="240" w:lineRule="auto"/>
        <w:ind w:right="701"/>
        <w:rPr>
          <w:rFonts w:cs="Arial"/>
          <w:sz w:val="20"/>
          <w:szCs w:val="20"/>
        </w:rPr>
      </w:pPr>
      <w:r w:rsidRPr="00202B4F">
        <w:rPr>
          <w:rFonts w:cs="Arial"/>
          <w:sz w:val="20"/>
          <w:szCs w:val="20"/>
        </w:rPr>
        <w:t>The use of proxy data based on similar instruments for which sufficient data is available;</w:t>
      </w:r>
    </w:p>
    <w:p w:rsidR="00202B4F" w:rsidRPr="00202B4F" w:rsidRDefault="00202B4F" w:rsidP="00202B4F">
      <w:pPr>
        <w:pStyle w:val="ListParagraph"/>
        <w:numPr>
          <w:ilvl w:val="0"/>
          <w:numId w:val="11"/>
        </w:numPr>
        <w:tabs>
          <w:tab w:val="left" w:pos="-284"/>
        </w:tabs>
        <w:spacing w:after="0" w:line="240" w:lineRule="auto"/>
        <w:ind w:right="701"/>
        <w:rPr>
          <w:rFonts w:cs="Arial"/>
          <w:i/>
          <w:sz w:val="20"/>
          <w:szCs w:val="20"/>
        </w:rPr>
      </w:pPr>
      <w:r w:rsidRPr="00202B4F">
        <w:rPr>
          <w:rFonts w:cs="Arial"/>
          <w:sz w:val="20"/>
          <w:szCs w:val="20"/>
        </w:rPr>
        <w:t>The application of prudent shifts to valuation inputs; and/</w:t>
      </w:r>
      <w:r w:rsidRPr="00202B4F">
        <w:rPr>
          <w:rFonts w:cs="Arial"/>
          <w:b/>
          <w:i/>
          <w:sz w:val="20"/>
          <w:szCs w:val="20"/>
        </w:rPr>
        <w:t>or</w:t>
      </w:r>
    </w:p>
    <w:p w:rsidR="00202B4F" w:rsidRPr="00202B4F" w:rsidRDefault="00202B4F" w:rsidP="00202B4F">
      <w:pPr>
        <w:pStyle w:val="ListParagraph"/>
        <w:numPr>
          <w:ilvl w:val="0"/>
          <w:numId w:val="11"/>
        </w:numPr>
        <w:tabs>
          <w:tab w:val="left" w:pos="-284"/>
        </w:tabs>
        <w:spacing w:after="0" w:line="240" w:lineRule="auto"/>
        <w:ind w:right="701"/>
        <w:rPr>
          <w:rFonts w:cs="Arial"/>
          <w:sz w:val="20"/>
          <w:szCs w:val="20"/>
        </w:rPr>
      </w:pPr>
      <w:r w:rsidRPr="00202B4F">
        <w:rPr>
          <w:rFonts w:cs="Arial"/>
          <w:sz w:val="20"/>
          <w:szCs w:val="20"/>
        </w:rPr>
        <w:t>The identification of natural bounds to the value of an instrument.”</w:t>
      </w:r>
    </w:p>
    <w:p w:rsidR="00202B4F" w:rsidRPr="00202B4F" w:rsidRDefault="00202B4F" w:rsidP="00202B4F">
      <w:pPr>
        <w:pStyle w:val="Default"/>
        <w:rPr>
          <w:rFonts w:cs="Arial"/>
          <w:color w:val="0070C0"/>
          <w:sz w:val="20"/>
          <w:szCs w:val="20"/>
        </w:rPr>
      </w:pPr>
    </w:p>
    <w:p w:rsidR="00BF3D29" w:rsidRDefault="000C1609" w:rsidP="00BF3D29">
      <w:pPr>
        <w:pStyle w:val="Default"/>
        <w:rPr>
          <w:sz w:val="20"/>
          <w:szCs w:val="20"/>
        </w:rPr>
      </w:pPr>
      <w:r w:rsidRPr="00DD79B4">
        <w:rPr>
          <w:b/>
          <w:color w:val="1F497D"/>
        </w:rPr>
        <w:t>Q2.</w:t>
      </w:r>
      <w:r w:rsidR="00BF3D29">
        <w:rPr>
          <w:sz w:val="20"/>
          <w:szCs w:val="20"/>
        </w:rPr>
        <w:t xml:space="preserve"> </w:t>
      </w:r>
      <w:r w:rsidR="00BF3D29" w:rsidRPr="00BF3D29">
        <w:rPr>
          <w:b/>
          <w:color w:val="1F497D"/>
          <w:sz w:val="22"/>
          <w:szCs w:val="22"/>
        </w:rPr>
        <w:t>Do you agree with the introduction of a threshold below which a simplified approach can be applied to calculate AVAs? If so, do you agree that the threshold should be defined as above? State your reasons.</w:t>
      </w:r>
      <w:r w:rsidR="00BF3D29">
        <w:rPr>
          <w:sz w:val="20"/>
          <w:szCs w:val="20"/>
        </w:rPr>
        <w:t xml:space="preserve"> </w:t>
      </w:r>
    </w:p>
    <w:p w:rsidR="00BF3D29" w:rsidRDefault="00BF3D29" w:rsidP="00BF3D29">
      <w:pPr>
        <w:pStyle w:val="Default"/>
        <w:rPr>
          <w:sz w:val="20"/>
          <w:szCs w:val="20"/>
        </w:rPr>
      </w:pPr>
    </w:p>
    <w:p w:rsidR="00BF3D29" w:rsidRPr="003D27C4" w:rsidRDefault="00BF3D29" w:rsidP="00BF3D29">
      <w:pPr>
        <w:pStyle w:val="Default"/>
        <w:rPr>
          <w:color w:val="auto"/>
          <w:sz w:val="20"/>
          <w:szCs w:val="20"/>
        </w:rPr>
      </w:pPr>
      <w:r w:rsidRPr="003D27C4">
        <w:rPr>
          <w:color w:val="auto"/>
          <w:sz w:val="20"/>
          <w:szCs w:val="20"/>
        </w:rPr>
        <w:t xml:space="preserve">We agree with a threshold below which a </w:t>
      </w:r>
      <w:r w:rsidR="00871C9C">
        <w:rPr>
          <w:color w:val="auto"/>
          <w:sz w:val="20"/>
          <w:szCs w:val="20"/>
        </w:rPr>
        <w:t>S</w:t>
      </w:r>
      <w:r w:rsidRPr="003D27C4">
        <w:rPr>
          <w:color w:val="auto"/>
          <w:sz w:val="20"/>
          <w:szCs w:val="20"/>
        </w:rPr>
        <w:t xml:space="preserve">implified approach could be used. We </w:t>
      </w:r>
      <w:r w:rsidR="00D12496" w:rsidRPr="003D27C4">
        <w:rPr>
          <w:color w:val="auto"/>
          <w:sz w:val="20"/>
          <w:szCs w:val="20"/>
        </w:rPr>
        <w:t xml:space="preserve">also </w:t>
      </w:r>
      <w:r w:rsidRPr="003D27C4">
        <w:rPr>
          <w:color w:val="auto"/>
          <w:sz w:val="20"/>
          <w:szCs w:val="20"/>
        </w:rPr>
        <w:t>feel that restricting the threshold to on</w:t>
      </w:r>
      <w:r w:rsidR="00D12496" w:rsidRPr="003D27C4">
        <w:rPr>
          <w:color w:val="auto"/>
          <w:sz w:val="20"/>
          <w:szCs w:val="20"/>
        </w:rPr>
        <w:t>-</w:t>
      </w:r>
      <w:r w:rsidRPr="003D27C4">
        <w:rPr>
          <w:color w:val="auto"/>
          <w:sz w:val="20"/>
          <w:szCs w:val="20"/>
        </w:rPr>
        <w:t xml:space="preserve">balance sheet fair-valued assets only will make the test much simpler requiring </w:t>
      </w:r>
      <w:r w:rsidR="00D12496" w:rsidRPr="003D27C4">
        <w:rPr>
          <w:color w:val="auto"/>
          <w:sz w:val="20"/>
          <w:szCs w:val="20"/>
        </w:rPr>
        <w:t xml:space="preserve">as a result </w:t>
      </w:r>
      <w:r w:rsidRPr="003D27C4">
        <w:rPr>
          <w:color w:val="auto"/>
          <w:sz w:val="20"/>
          <w:szCs w:val="20"/>
        </w:rPr>
        <w:t xml:space="preserve">only a simple review of the financial statements. </w:t>
      </w:r>
    </w:p>
    <w:p w:rsidR="00BF3D29" w:rsidRPr="003D27C4" w:rsidRDefault="00BF3D29" w:rsidP="00BF3D29">
      <w:pPr>
        <w:pStyle w:val="Default"/>
        <w:rPr>
          <w:color w:val="auto"/>
          <w:sz w:val="20"/>
          <w:szCs w:val="20"/>
        </w:rPr>
      </w:pPr>
    </w:p>
    <w:p w:rsidR="00BF3D29" w:rsidRPr="003D27C4" w:rsidRDefault="00D12496" w:rsidP="00BF3D29">
      <w:pPr>
        <w:pStyle w:val="Default"/>
        <w:rPr>
          <w:color w:val="auto"/>
          <w:sz w:val="20"/>
          <w:szCs w:val="20"/>
        </w:rPr>
      </w:pPr>
      <w:r w:rsidRPr="003D27C4">
        <w:rPr>
          <w:color w:val="auto"/>
          <w:sz w:val="20"/>
          <w:szCs w:val="20"/>
        </w:rPr>
        <w:t>However, th</w:t>
      </w:r>
      <w:r w:rsidR="00BF3D29" w:rsidRPr="003D27C4">
        <w:rPr>
          <w:color w:val="auto"/>
          <w:sz w:val="20"/>
          <w:szCs w:val="20"/>
        </w:rPr>
        <w:t xml:space="preserve">e concept of inclusion of off-balance sheet items at fair value seems to overcomplicate matters and </w:t>
      </w:r>
      <w:r w:rsidR="000E03A0">
        <w:rPr>
          <w:color w:val="auto"/>
          <w:sz w:val="20"/>
          <w:szCs w:val="20"/>
        </w:rPr>
        <w:t xml:space="preserve">is </w:t>
      </w:r>
      <w:r w:rsidRPr="003D27C4">
        <w:rPr>
          <w:color w:val="auto"/>
          <w:sz w:val="20"/>
          <w:szCs w:val="20"/>
        </w:rPr>
        <w:t xml:space="preserve">therefore </w:t>
      </w:r>
      <w:r w:rsidR="00BF3D29" w:rsidRPr="003D27C4">
        <w:rPr>
          <w:color w:val="auto"/>
          <w:sz w:val="20"/>
          <w:szCs w:val="20"/>
        </w:rPr>
        <w:t xml:space="preserve">potentially confusing. We </w:t>
      </w:r>
      <w:r w:rsidRPr="003D27C4">
        <w:rPr>
          <w:color w:val="auto"/>
          <w:sz w:val="20"/>
          <w:szCs w:val="20"/>
        </w:rPr>
        <w:t xml:space="preserve">are struggling to </w:t>
      </w:r>
      <w:r w:rsidR="00BF3D29" w:rsidRPr="003D27C4">
        <w:rPr>
          <w:color w:val="auto"/>
          <w:sz w:val="20"/>
          <w:szCs w:val="20"/>
        </w:rPr>
        <w:t xml:space="preserve">understand what would be required here as we generally only calculate the fair value of items where the fair value is </w:t>
      </w:r>
      <w:proofErr w:type="spellStart"/>
      <w:r w:rsidR="00BF3D29" w:rsidRPr="003D27C4">
        <w:rPr>
          <w:color w:val="auto"/>
          <w:sz w:val="20"/>
          <w:szCs w:val="20"/>
        </w:rPr>
        <w:t>recogni</w:t>
      </w:r>
      <w:r w:rsidRPr="003D27C4">
        <w:rPr>
          <w:color w:val="auto"/>
          <w:sz w:val="20"/>
          <w:szCs w:val="20"/>
        </w:rPr>
        <w:t>sed</w:t>
      </w:r>
      <w:proofErr w:type="spellEnd"/>
      <w:r w:rsidRPr="003D27C4">
        <w:rPr>
          <w:color w:val="auto"/>
          <w:sz w:val="20"/>
          <w:szCs w:val="20"/>
        </w:rPr>
        <w:t xml:space="preserve"> on-balance sheet, for instance</w:t>
      </w:r>
      <w:r w:rsidR="00BF3D29" w:rsidRPr="003D27C4">
        <w:rPr>
          <w:color w:val="auto"/>
          <w:sz w:val="20"/>
          <w:szCs w:val="20"/>
        </w:rPr>
        <w:t xml:space="preserve"> commitments may be thought of as “off balance sheet”</w:t>
      </w:r>
      <w:r w:rsidRPr="003D27C4">
        <w:rPr>
          <w:color w:val="auto"/>
          <w:sz w:val="20"/>
          <w:szCs w:val="20"/>
        </w:rPr>
        <w:t>,</w:t>
      </w:r>
      <w:r w:rsidR="00BF3D29" w:rsidRPr="003D27C4">
        <w:rPr>
          <w:color w:val="auto"/>
          <w:sz w:val="20"/>
          <w:szCs w:val="20"/>
        </w:rPr>
        <w:t xml:space="preserve"> however where they are fair-v</w:t>
      </w:r>
      <w:r w:rsidRPr="003D27C4">
        <w:rPr>
          <w:color w:val="auto"/>
          <w:sz w:val="20"/>
          <w:szCs w:val="20"/>
        </w:rPr>
        <w:t xml:space="preserve">alued, the fair-value is </w:t>
      </w:r>
      <w:proofErr w:type="spellStart"/>
      <w:r w:rsidRPr="003D27C4">
        <w:rPr>
          <w:color w:val="auto"/>
          <w:sz w:val="20"/>
          <w:szCs w:val="20"/>
        </w:rPr>
        <w:t>recognis</w:t>
      </w:r>
      <w:r w:rsidR="00BF3D29" w:rsidRPr="003D27C4">
        <w:rPr>
          <w:color w:val="auto"/>
          <w:sz w:val="20"/>
          <w:szCs w:val="20"/>
        </w:rPr>
        <w:t>ed</w:t>
      </w:r>
      <w:proofErr w:type="spellEnd"/>
      <w:r w:rsidR="00BF3D29" w:rsidRPr="003D27C4">
        <w:rPr>
          <w:color w:val="auto"/>
          <w:sz w:val="20"/>
          <w:szCs w:val="20"/>
        </w:rPr>
        <w:t xml:space="preserve"> on the balance sheet. We also feel the inclusion of liabilities in the threshold is not beneficial and </w:t>
      </w:r>
      <w:r w:rsidRPr="003D27C4">
        <w:rPr>
          <w:color w:val="auto"/>
          <w:sz w:val="20"/>
          <w:szCs w:val="20"/>
        </w:rPr>
        <w:t xml:space="preserve">seems to be not </w:t>
      </w:r>
      <w:r w:rsidR="00BF3D29" w:rsidRPr="003D27C4">
        <w:rPr>
          <w:color w:val="auto"/>
          <w:sz w:val="20"/>
          <w:szCs w:val="20"/>
        </w:rPr>
        <w:t xml:space="preserve">in line with the scope in </w:t>
      </w:r>
      <w:r w:rsidRPr="003D27C4">
        <w:rPr>
          <w:color w:val="auto"/>
          <w:sz w:val="20"/>
          <w:szCs w:val="20"/>
        </w:rPr>
        <w:t>A</w:t>
      </w:r>
      <w:r w:rsidR="00BF3D29" w:rsidRPr="003D27C4">
        <w:rPr>
          <w:color w:val="auto"/>
          <w:sz w:val="20"/>
          <w:szCs w:val="20"/>
        </w:rPr>
        <w:t xml:space="preserve">rticle 34 of the CRR which mentions only assets. </w:t>
      </w:r>
    </w:p>
    <w:p w:rsidR="00BF3D29" w:rsidRPr="003D27C4" w:rsidRDefault="00BF3D29" w:rsidP="00BF3D29">
      <w:pPr>
        <w:pStyle w:val="Default"/>
        <w:rPr>
          <w:color w:val="auto"/>
          <w:sz w:val="20"/>
          <w:szCs w:val="20"/>
        </w:rPr>
      </w:pPr>
    </w:p>
    <w:p w:rsidR="00BF3D29" w:rsidRPr="003D27C4" w:rsidRDefault="00BF3D29" w:rsidP="00BF3D29">
      <w:pPr>
        <w:pStyle w:val="Default"/>
        <w:rPr>
          <w:color w:val="auto"/>
          <w:sz w:val="20"/>
          <w:szCs w:val="20"/>
        </w:rPr>
      </w:pPr>
      <w:r w:rsidRPr="003D27C4">
        <w:rPr>
          <w:color w:val="auto"/>
          <w:sz w:val="20"/>
          <w:szCs w:val="20"/>
        </w:rPr>
        <w:t xml:space="preserve">We would also recommend the threshold takes into account multipliers for different levels of the Fair Value Hierarchy (FVH) with multipliers of 0 for those in </w:t>
      </w:r>
      <w:r w:rsidR="00D12496" w:rsidRPr="003D27C4">
        <w:rPr>
          <w:color w:val="auto"/>
          <w:sz w:val="20"/>
          <w:szCs w:val="20"/>
        </w:rPr>
        <w:t>L</w:t>
      </w:r>
      <w:r w:rsidRPr="003D27C4">
        <w:rPr>
          <w:color w:val="auto"/>
          <w:sz w:val="20"/>
          <w:szCs w:val="20"/>
        </w:rPr>
        <w:t xml:space="preserve">evel 1 of the FVH, 1 for those in </w:t>
      </w:r>
      <w:r w:rsidR="00D12496" w:rsidRPr="003D27C4">
        <w:rPr>
          <w:color w:val="auto"/>
          <w:sz w:val="20"/>
          <w:szCs w:val="20"/>
        </w:rPr>
        <w:t>L</w:t>
      </w:r>
      <w:r w:rsidRPr="003D27C4">
        <w:rPr>
          <w:color w:val="auto"/>
          <w:sz w:val="20"/>
          <w:szCs w:val="20"/>
        </w:rPr>
        <w:t xml:space="preserve">evel 2 and a higher multiple for those in </w:t>
      </w:r>
      <w:r w:rsidR="00D12496" w:rsidRPr="003D27C4">
        <w:rPr>
          <w:color w:val="auto"/>
          <w:sz w:val="20"/>
          <w:szCs w:val="20"/>
        </w:rPr>
        <w:t>L</w:t>
      </w:r>
      <w:r w:rsidRPr="003D27C4">
        <w:rPr>
          <w:color w:val="auto"/>
          <w:sz w:val="20"/>
          <w:szCs w:val="20"/>
        </w:rPr>
        <w:t>evel 3. In order to avoid an issue where the RTS references GAAP which may be subject to future change</w:t>
      </w:r>
      <w:r w:rsidR="00C038A8">
        <w:rPr>
          <w:color w:val="auto"/>
          <w:sz w:val="20"/>
          <w:szCs w:val="20"/>
        </w:rPr>
        <w:t>,</w:t>
      </w:r>
      <w:r w:rsidRPr="003D27C4">
        <w:rPr>
          <w:color w:val="auto"/>
          <w:sz w:val="20"/>
          <w:szCs w:val="20"/>
        </w:rPr>
        <w:t xml:space="preserve"> the wording for the definitions of the FVH taken from GAAP could </w:t>
      </w:r>
      <w:r w:rsidR="00D12496" w:rsidRPr="003D27C4">
        <w:rPr>
          <w:color w:val="auto"/>
          <w:sz w:val="20"/>
          <w:szCs w:val="20"/>
        </w:rPr>
        <w:t xml:space="preserve">we feel also </w:t>
      </w:r>
      <w:r w:rsidRPr="003D27C4">
        <w:rPr>
          <w:color w:val="auto"/>
          <w:sz w:val="20"/>
          <w:szCs w:val="20"/>
        </w:rPr>
        <w:t xml:space="preserve">be included within the RTS. The </w:t>
      </w:r>
      <w:proofErr w:type="spellStart"/>
      <w:r w:rsidRPr="003D27C4">
        <w:rPr>
          <w:color w:val="auto"/>
          <w:sz w:val="20"/>
          <w:szCs w:val="20"/>
        </w:rPr>
        <w:t>utili</w:t>
      </w:r>
      <w:r w:rsidR="00D12496" w:rsidRPr="003D27C4">
        <w:rPr>
          <w:color w:val="auto"/>
          <w:sz w:val="20"/>
          <w:szCs w:val="20"/>
        </w:rPr>
        <w:t>sation</w:t>
      </w:r>
      <w:proofErr w:type="spellEnd"/>
      <w:r w:rsidR="00D12496" w:rsidRPr="003D27C4">
        <w:rPr>
          <w:color w:val="auto"/>
          <w:sz w:val="20"/>
          <w:szCs w:val="20"/>
        </w:rPr>
        <w:t xml:space="preserve"> of the FVH would “</w:t>
      </w:r>
      <w:proofErr w:type="spellStart"/>
      <w:r w:rsidR="00D12496" w:rsidRPr="003D27C4">
        <w:rPr>
          <w:color w:val="auto"/>
          <w:sz w:val="20"/>
          <w:szCs w:val="20"/>
        </w:rPr>
        <w:t>utilis</w:t>
      </w:r>
      <w:r w:rsidRPr="003D27C4">
        <w:rPr>
          <w:color w:val="auto"/>
          <w:sz w:val="20"/>
          <w:szCs w:val="20"/>
        </w:rPr>
        <w:t>e</w:t>
      </w:r>
      <w:proofErr w:type="spellEnd"/>
      <w:r w:rsidRPr="003D27C4">
        <w:rPr>
          <w:color w:val="auto"/>
          <w:sz w:val="20"/>
          <w:szCs w:val="20"/>
        </w:rPr>
        <w:t xml:space="preserve"> information that should be readily available within institutions as the foundation of the approac</w:t>
      </w:r>
      <w:r w:rsidR="00D12496" w:rsidRPr="003D27C4">
        <w:rPr>
          <w:color w:val="auto"/>
          <w:sz w:val="20"/>
          <w:szCs w:val="20"/>
        </w:rPr>
        <w:t>h” similar to the aim with the C</w:t>
      </w:r>
      <w:r w:rsidR="0074687B">
        <w:rPr>
          <w:color w:val="auto"/>
          <w:sz w:val="20"/>
          <w:szCs w:val="20"/>
        </w:rPr>
        <w:t>ore A</w:t>
      </w:r>
      <w:r w:rsidRPr="003D27C4">
        <w:rPr>
          <w:color w:val="auto"/>
          <w:sz w:val="20"/>
          <w:szCs w:val="20"/>
        </w:rPr>
        <w:t>pproach. For institutions preparing financials where the local GAAP does not require FVH classifi</w:t>
      </w:r>
      <w:r w:rsidR="00D12496" w:rsidRPr="003D27C4">
        <w:rPr>
          <w:color w:val="auto"/>
          <w:sz w:val="20"/>
          <w:szCs w:val="20"/>
        </w:rPr>
        <w:t xml:space="preserve">cation they could instead </w:t>
      </w:r>
      <w:proofErr w:type="spellStart"/>
      <w:r w:rsidR="00D12496" w:rsidRPr="003D27C4">
        <w:rPr>
          <w:color w:val="auto"/>
          <w:sz w:val="20"/>
          <w:szCs w:val="20"/>
        </w:rPr>
        <w:t>utilis</w:t>
      </w:r>
      <w:r w:rsidRPr="003D27C4">
        <w:rPr>
          <w:color w:val="auto"/>
          <w:sz w:val="20"/>
          <w:szCs w:val="20"/>
        </w:rPr>
        <w:t>e</w:t>
      </w:r>
      <w:proofErr w:type="spellEnd"/>
      <w:r w:rsidRPr="003D27C4">
        <w:rPr>
          <w:color w:val="auto"/>
          <w:sz w:val="20"/>
          <w:szCs w:val="20"/>
        </w:rPr>
        <w:t xml:space="preserve"> the simple balance sheet </w:t>
      </w:r>
      <w:r w:rsidR="002717FA">
        <w:rPr>
          <w:color w:val="auto"/>
          <w:sz w:val="20"/>
          <w:szCs w:val="20"/>
        </w:rPr>
        <w:t xml:space="preserve">fair </w:t>
      </w:r>
      <w:r w:rsidRPr="003D27C4">
        <w:rPr>
          <w:color w:val="auto"/>
          <w:sz w:val="20"/>
          <w:szCs w:val="20"/>
        </w:rPr>
        <w:t xml:space="preserve">value with </w:t>
      </w:r>
      <w:r w:rsidR="0064406B">
        <w:rPr>
          <w:color w:val="auto"/>
          <w:sz w:val="20"/>
          <w:szCs w:val="20"/>
        </w:rPr>
        <w:t>a single</w:t>
      </w:r>
      <w:r w:rsidR="0064406B" w:rsidRPr="003D27C4">
        <w:rPr>
          <w:color w:val="auto"/>
          <w:sz w:val="20"/>
          <w:szCs w:val="20"/>
        </w:rPr>
        <w:t xml:space="preserve"> </w:t>
      </w:r>
      <w:r w:rsidRPr="003D27C4">
        <w:rPr>
          <w:color w:val="auto"/>
          <w:sz w:val="20"/>
          <w:szCs w:val="20"/>
        </w:rPr>
        <w:t>multiplier.</w:t>
      </w:r>
    </w:p>
    <w:p w:rsidR="00D12496" w:rsidRPr="003D27C4" w:rsidRDefault="00D12496" w:rsidP="00BF3D29">
      <w:pPr>
        <w:pStyle w:val="Default"/>
        <w:rPr>
          <w:color w:val="auto"/>
          <w:sz w:val="20"/>
          <w:szCs w:val="20"/>
        </w:rPr>
      </w:pPr>
    </w:p>
    <w:p w:rsidR="00BF3D29" w:rsidRPr="003D27C4" w:rsidRDefault="00D12496" w:rsidP="00BF3D29">
      <w:pPr>
        <w:pStyle w:val="Default"/>
        <w:rPr>
          <w:color w:val="auto"/>
          <w:sz w:val="20"/>
          <w:szCs w:val="20"/>
        </w:rPr>
      </w:pPr>
      <w:r w:rsidRPr="003D27C4">
        <w:rPr>
          <w:color w:val="auto"/>
          <w:sz w:val="20"/>
          <w:szCs w:val="20"/>
        </w:rPr>
        <w:t>We would also suggest that t</w:t>
      </w:r>
      <w:r w:rsidR="00BF3D29" w:rsidRPr="003D27C4">
        <w:rPr>
          <w:color w:val="auto"/>
          <w:sz w:val="20"/>
          <w:szCs w:val="20"/>
        </w:rPr>
        <w:t xml:space="preserve">he EBA and </w:t>
      </w:r>
      <w:r w:rsidRPr="003D27C4">
        <w:rPr>
          <w:color w:val="auto"/>
          <w:sz w:val="20"/>
          <w:szCs w:val="20"/>
        </w:rPr>
        <w:t>C</w:t>
      </w:r>
      <w:r w:rsidR="00BF3D29" w:rsidRPr="003D27C4">
        <w:rPr>
          <w:color w:val="auto"/>
          <w:sz w:val="20"/>
          <w:szCs w:val="20"/>
        </w:rPr>
        <w:t>ompetent</w:t>
      </w:r>
      <w:r w:rsidRPr="003D27C4">
        <w:rPr>
          <w:color w:val="auto"/>
          <w:sz w:val="20"/>
          <w:szCs w:val="20"/>
        </w:rPr>
        <w:t xml:space="preserve"> Authorities could quite easily </w:t>
      </w:r>
      <w:proofErr w:type="spellStart"/>
      <w:r w:rsidRPr="003D27C4">
        <w:rPr>
          <w:color w:val="auto"/>
          <w:sz w:val="20"/>
          <w:szCs w:val="20"/>
        </w:rPr>
        <w:t>utilis</w:t>
      </w:r>
      <w:r w:rsidR="00BF3D29" w:rsidRPr="003D27C4">
        <w:rPr>
          <w:color w:val="auto"/>
          <w:sz w:val="20"/>
          <w:szCs w:val="20"/>
        </w:rPr>
        <w:t>e</w:t>
      </w:r>
      <w:proofErr w:type="spellEnd"/>
      <w:r w:rsidR="00BF3D29" w:rsidRPr="003D27C4">
        <w:rPr>
          <w:color w:val="auto"/>
          <w:sz w:val="20"/>
          <w:szCs w:val="20"/>
        </w:rPr>
        <w:t xml:space="preserve"> the disclosures within the existing financial statements of institutions in order to calibrate acceptable multiples and balances for use in this methodology.</w:t>
      </w:r>
    </w:p>
    <w:p w:rsidR="00BF3D29" w:rsidRPr="003D27C4" w:rsidRDefault="00BF3D29" w:rsidP="00BF3D29">
      <w:pPr>
        <w:pStyle w:val="Default"/>
        <w:rPr>
          <w:color w:val="auto"/>
          <w:sz w:val="20"/>
          <w:szCs w:val="20"/>
        </w:rPr>
      </w:pPr>
    </w:p>
    <w:p w:rsidR="00BF3D29" w:rsidRPr="003D27C4" w:rsidRDefault="00BF3D29" w:rsidP="007A5413">
      <w:pPr>
        <w:spacing w:after="0" w:line="240" w:lineRule="auto"/>
        <w:jc w:val="both"/>
        <w:rPr>
          <w:rFonts w:cs="Calibri"/>
          <w:b/>
        </w:rPr>
      </w:pPr>
    </w:p>
    <w:p w:rsidR="0074687B" w:rsidRPr="0074687B" w:rsidRDefault="0074687B" w:rsidP="0074687B">
      <w:pPr>
        <w:pStyle w:val="Default"/>
        <w:rPr>
          <w:b/>
          <w:color w:val="1F497D"/>
          <w:sz w:val="22"/>
          <w:szCs w:val="22"/>
        </w:rPr>
      </w:pPr>
      <w:r w:rsidRPr="0074687B">
        <w:rPr>
          <w:b/>
          <w:color w:val="1F497D"/>
          <w:sz w:val="22"/>
          <w:szCs w:val="22"/>
        </w:rPr>
        <w:lastRenderedPageBreak/>
        <w:t xml:space="preserve">Q3. Do you believe there are any practical issues with a parent institution being required to apply the ‘core approach’ to all fair value positions whilst a subsidiary is allowed to apply the simplified approach? State your reasons. </w:t>
      </w:r>
    </w:p>
    <w:p w:rsidR="0074687B" w:rsidRPr="0074687B" w:rsidRDefault="0074687B" w:rsidP="0074687B">
      <w:pPr>
        <w:pStyle w:val="Default"/>
        <w:rPr>
          <w:b/>
          <w:color w:val="1F497D"/>
          <w:sz w:val="20"/>
          <w:szCs w:val="20"/>
        </w:rPr>
      </w:pPr>
    </w:p>
    <w:p w:rsidR="0074687B" w:rsidRPr="0074687B" w:rsidRDefault="0074687B" w:rsidP="0074687B">
      <w:pPr>
        <w:pStyle w:val="Default"/>
        <w:rPr>
          <w:color w:val="auto"/>
          <w:sz w:val="20"/>
          <w:szCs w:val="20"/>
        </w:rPr>
      </w:pPr>
      <w:r w:rsidRPr="0074687B">
        <w:rPr>
          <w:color w:val="auto"/>
          <w:sz w:val="20"/>
          <w:szCs w:val="20"/>
        </w:rPr>
        <w:t xml:space="preserve">We do not believe this will cause an issue over and above the </w:t>
      </w:r>
      <w:r>
        <w:rPr>
          <w:color w:val="auto"/>
          <w:sz w:val="20"/>
          <w:szCs w:val="20"/>
        </w:rPr>
        <w:t>general</w:t>
      </w:r>
      <w:r w:rsidR="00456C47">
        <w:rPr>
          <w:color w:val="auto"/>
          <w:sz w:val="20"/>
          <w:szCs w:val="20"/>
        </w:rPr>
        <w:t xml:space="preserve"> practical</w:t>
      </w:r>
      <w:r>
        <w:rPr>
          <w:color w:val="auto"/>
          <w:sz w:val="20"/>
          <w:szCs w:val="20"/>
        </w:rPr>
        <w:t xml:space="preserve"> </w:t>
      </w:r>
      <w:r w:rsidRPr="0074687B">
        <w:rPr>
          <w:color w:val="auto"/>
          <w:sz w:val="20"/>
          <w:szCs w:val="20"/>
        </w:rPr>
        <w:t xml:space="preserve">issues of implementation </w:t>
      </w:r>
      <w:r>
        <w:rPr>
          <w:color w:val="auto"/>
          <w:sz w:val="20"/>
          <w:szCs w:val="20"/>
        </w:rPr>
        <w:t xml:space="preserve">which </w:t>
      </w:r>
      <w:r w:rsidR="00456C47">
        <w:rPr>
          <w:color w:val="auto"/>
          <w:sz w:val="20"/>
          <w:szCs w:val="20"/>
        </w:rPr>
        <w:t xml:space="preserve">financial </w:t>
      </w:r>
      <w:r>
        <w:rPr>
          <w:color w:val="auto"/>
          <w:sz w:val="20"/>
          <w:szCs w:val="20"/>
        </w:rPr>
        <w:t>institutions implementing the Core A</w:t>
      </w:r>
      <w:r w:rsidRPr="0074687B">
        <w:rPr>
          <w:color w:val="auto"/>
          <w:sz w:val="20"/>
          <w:szCs w:val="20"/>
        </w:rPr>
        <w:t>pproach would have.</w:t>
      </w:r>
    </w:p>
    <w:p w:rsidR="0074687B" w:rsidRPr="0074687B" w:rsidRDefault="0074687B" w:rsidP="0074687B">
      <w:pPr>
        <w:pStyle w:val="Default"/>
        <w:rPr>
          <w:color w:val="auto"/>
          <w:sz w:val="20"/>
          <w:szCs w:val="20"/>
        </w:rPr>
      </w:pPr>
    </w:p>
    <w:p w:rsidR="00392ADC" w:rsidRPr="00DD79B4" w:rsidRDefault="00392ADC" w:rsidP="007A5413">
      <w:pPr>
        <w:spacing w:after="0" w:line="240" w:lineRule="auto"/>
        <w:jc w:val="both"/>
        <w:rPr>
          <w:rFonts w:cs="Calibri"/>
        </w:rPr>
      </w:pPr>
    </w:p>
    <w:p w:rsidR="00456C47" w:rsidRPr="00456C47" w:rsidRDefault="000C1609" w:rsidP="00456C47">
      <w:pPr>
        <w:pStyle w:val="Default"/>
        <w:rPr>
          <w:b/>
          <w:color w:val="1F497D"/>
          <w:sz w:val="22"/>
          <w:szCs w:val="22"/>
        </w:rPr>
      </w:pPr>
      <w:r w:rsidRPr="00DD79B4">
        <w:rPr>
          <w:b/>
          <w:color w:val="1F497D"/>
        </w:rPr>
        <w:t>Q4</w:t>
      </w:r>
      <w:r w:rsidRPr="00456C47">
        <w:rPr>
          <w:b/>
          <w:color w:val="1F497D"/>
          <w:sz w:val="22"/>
          <w:szCs w:val="22"/>
        </w:rPr>
        <w:t>.</w:t>
      </w:r>
      <w:r w:rsidR="00456C47" w:rsidRPr="00456C47">
        <w:rPr>
          <w:b/>
          <w:color w:val="1F497D"/>
          <w:sz w:val="22"/>
          <w:szCs w:val="22"/>
        </w:rPr>
        <w:t xml:space="preserve"> Do you agree with the proposed simplified approach? Do you think the risk sensitiveness of the approach is appropriate? Are there alternative approaches that you believe would be more appropriate? State your reasons. </w:t>
      </w:r>
    </w:p>
    <w:p w:rsidR="00456C47" w:rsidRPr="00456C47" w:rsidRDefault="00456C47" w:rsidP="00456C47">
      <w:pPr>
        <w:pStyle w:val="Default"/>
        <w:rPr>
          <w:b/>
          <w:color w:val="1F497D"/>
          <w:sz w:val="22"/>
          <w:szCs w:val="22"/>
        </w:rPr>
      </w:pPr>
    </w:p>
    <w:p w:rsidR="00456C47" w:rsidRPr="00456C47" w:rsidRDefault="00456C47" w:rsidP="00456C47">
      <w:pPr>
        <w:pStyle w:val="Default"/>
        <w:rPr>
          <w:b/>
          <w:color w:val="1F497D"/>
          <w:sz w:val="22"/>
          <w:szCs w:val="22"/>
        </w:rPr>
      </w:pPr>
      <w:r w:rsidRPr="00456C47">
        <w:rPr>
          <w:b/>
          <w:color w:val="1F497D"/>
          <w:sz w:val="22"/>
          <w:szCs w:val="22"/>
        </w:rPr>
        <w:t xml:space="preserve">Q5. Could a differentiated treatment for some asset/liability classes be considered, for example with regard to their liquidity? Please state the pros and cons of such a differentiation. How would you define the degree of liquidity of an asset/liability class (e.g. fair value hierarchy, eligibility for the LCR, other)? </w:t>
      </w:r>
    </w:p>
    <w:p w:rsidR="00456C47" w:rsidRPr="00456C47" w:rsidRDefault="00456C47" w:rsidP="00456C47">
      <w:pPr>
        <w:pStyle w:val="Default"/>
        <w:rPr>
          <w:b/>
          <w:color w:val="1F497D"/>
          <w:sz w:val="22"/>
          <w:szCs w:val="22"/>
        </w:rPr>
      </w:pPr>
    </w:p>
    <w:p w:rsidR="00456C47" w:rsidRDefault="00456C47" w:rsidP="00456C47">
      <w:pPr>
        <w:rPr>
          <w:sz w:val="20"/>
          <w:szCs w:val="20"/>
        </w:rPr>
      </w:pPr>
      <w:r w:rsidRPr="00456C47">
        <w:rPr>
          <w:sz w:val="20"/>
          <w:szCs w:val="20"/>
        </w:rPr>
        <w:t xml:space="preserve">Given they are related we will </w:t>
      </w:r>
      <w:r>
        <w:rPr>
          <w:sz w:val="20"/>
          <w:szCs w:val="20"/>
        </w:rPr>
        <w:t>answer Q</w:t>
      </w:r>
      <w:r w:rsidRPr="00456C47">
        <w:rPr>
          <w:sz w:val="20"/>
          <w:szCs w:val="20"/>
        </w:rPr>
        <w:t>uestions 4 &amp; 5 together</w:t>
      </w:r>
      <w:r>
        <w:rPr>
          <w:sz w:val="20"/>
          <w:szCs w:val="20"/>
        </w:rPr>
        <w:t>.</w:t>
      </w:r>
    </w:p>
    <w:p w:rsidR="00456C47" w:rsidRDefault="00456C47" w:rsidP="00456C47">
      <w:pPr>
        <w:pStyle w:val="Default"/>
        <w:rPr>
          <w:color w:val="auto"/>
          <w:sz w:val="20"/>
          <w:szCs w:val="20"/>
        </w:rPr>
      </w:pPr>
      <w:r w:rsidRPr="00456C47">
        <w:rPr>
          <w:color w:val="auto"/>
          <w:sz w:val="20"/>
          <w:szCs w:val="20"/>
        </w:rPr>
        <w:t xml:space="preserve">As with our response to Question 2, we feel the </w:t>
      </w:r>
      <w:r w:rsidR="00C038A8">
        <w:rPr>
          <w:color w:val="auto"/>
          <w:sz w:val="20"/>
          <w:szCs w:val="20"/>
        </w:rPr>
        <w:t>S</w:t>
      </w:r>
      <w:r w:rsidRPr="00456C47">
        <w:rPr>
          <w:color w:val="auto"/>
          <w:sz w:val="20"/>
          <w:szCs w:val="20"/>
        </w:rPr>
        <w:t>implified approach could be applied solely to on-balance sheet fair valued assets. We also feel that having different multipliers for different Fair Value Hierarchy levels would be beneficial with 0 for Level 1 and differing levels for Level 2 and 3.</w:t>
      </w:r>
    </w:p>
    <w:p w:rsidR="00456C47" w:rsidRPr="00456C47" w:rsidRDefault="00456C47" w:rsidP="00456C47">
      <w:pPr>
        <w:pStyle w:val="Default"/>
        <w:rPr>
          <w:color w:val="auto"/>
          <w:sz w:val="20"/>
          <w:szCs w:val="20"/>
        </w:rPr>
      </w:pPr>
    </w:p>
    <w:p w:rsidR="00F1378E" w:rsidRPr="00F1378E" w:rsidRDefault="00456C47" w:rsidP="00456C47">
      <w:pPr>
        <w:pStyle w:val="Default"/>
        <w:rPr>
          <w:sz w:val="20"/>
          <w:szCs w:val="20"/>
        </w:rPr>
      </w:pPr>
      <w:r w:rsidRPr="00F1378E">
        <w:rPr>
          <w:sz w:val="20"/>
          <w:szCs w:val="20"/>
        </w:rPr>
        <w:t xml:space="preserve">We do not feel that an additional charge based on </w:t>
      </w:r>
      <w:proofErr w:type="spellStart"/>
      <w:r w:rsidRPr="00F1378E">
        <w:rPr>
          <w:sz w:val="20"/>
          <w:szCs w:val="20"/>
        </w:rPr>
        <w:t>unrealised</w:t>
      </w:r>
      <w:proofErr w:type="spellEnd"/>
      <w:r w:rsidRPr="00F1378E">
        <w:rPr>
          <w:sz w:val="20"/>
          <w:szCs w:val="20"/>
        </w:rPr>
        <w:t xml:space="preserve"> profit is reasonable. We believe, if adopted, </w:t>
      </w:r>
      <w:r w:rsidR="009313EC">
        <w:rPr>
          <w:sz w:val="20"/>
          <w:szCs w:val="20"/>
        </w:rPr>
        <w:t>it would give rise to far too much inconsistency as financial institutions holding identical positions would incur different charges depending on when they took on that position, the direction the position they held (a buyer of a position that is now in the money would be charged but the seller on the other side of the trade</w:t>
      </w:r>
      <w:r w:rsidR="009313EC">
        <w:rPr>
          <w:color w:val="0000FF"/>
          <w:sz w:val="20"/>
          <w:szCs w:val="20"/>
        </w:rPr>
        <w:t xml:space="preserve"> </w:t>
      </w:r>
      <w:r w:rsidR="009313EC">
        <w:rPr>
          <w:sz w:val="20"/>
          <w:szCs w:val="20"/>
        </w:rPr>
        <w:t xml:space="preserve">would not) and whether they use FIFO, LIFO or average cost. For these reasons we do not believe that </w:t>
      </w:r>
      <w:proofErr w:type="spellStart"/>
      <w:r w:rsidR="009313EC">
        <w:rPr>
          <w:sz w:val="20"/>
          <w:szCs w:val="20"/>
        </w:rPr>
        <w:t>unrealised</w:t>
      </w:r>
      <w:proofErr w:type="spellEnd"/>
      <w:r w:rsidR="009313EC">
        <w:rPr>
          <w:sz w:val="20"/>
          <w:szCs w:val="20"/>
        </w:rPr>
        <w:t xml:space="preserve"> profit is an appropriate measure of valuation uncertainty.</w:t>
      </w:r>
    </w:p>
    <w:p w:rsidR="00F1378E" w:rsidRDefault="00F1378E" w:rsidP="00456C47">
      <w:pPr>
        <w:pStyle w:val="Default"/>
        <w:rPr>
          <w:color w:val="0070C0"/>
          <w:sz w:val="20"/>
          <w:szCs w:val="20"/>
        </w:rPr>
      </w:pPr>
    </w:p>
    <w:p w:rsidR="00215145" w:rsidRPr="00215145" w:rsidRDefault="00456C47" w:rsidP="00456C47">
      <w:pPr>
        <w:pStyle w:val="Default"/>
        <w:rPr>
          <w:sz w:val="20"/>
          <w:szCs w:val="20"/>
        </w:rPr>
      </w:pPr>
      <w:r w:rsidRPr="00215145">
        <w:rPr>
          <w:sz w:val="20"/>
          <w:szCs w:val="20"/>
        </w:rPr>
        <w:t xml:space="preserve">Additionally </w:t>
      </w:r>
      <w:r w:rsidR="00215145" w:rsidRPr="00215145">
        <w:rPr>
          <w:sz w:val="20"/>
          <w:szCs w:val="20"/>
        </w:rPr>
        <w:t xml:space="preserve">from a practical perspective, </w:t>
      </w:r>
      <w:proofErr w:type="spellStart"/>
      <w:r w:rsidRPr="00215145">
        <w:rPr>
          <w:sz w:val="20"/>
          <w:szCs w:val="20"/>
        </w:rPr>
        <w:t>unreali</w:t>
      </w:r>
      <w:r w:rsidR="00215145" w:rsidRPr="00215145">
        <w:rPr>
          <w:sz w:val="20"/>
          <w:szCs w:val="20"/>
        </w:rPr>
        <w:t>s</w:t>
      </w:r>
      <w:r w:rsidRPr="00215145">
        <w:rPr>
          <w:sz w:val="20"/>
          <w:szCs w:val="20"/>
        </w:rPr>
        <w:t>ed</w:t>
      </w:r>
      <w:proofErr w:type="spellEnd"/>
      <w:r w:rsidRPr="00215145">
        <w:rPr>
          <w:sz w:val="20"/>
          <w:szCs w:val="20"/>
        </w:rPr>
        <w:t xml:space="preserve"> </w:t>
      </w:r>
      <w:r w:rsidR="00215145" w:rsidRPr="00215145">
        <w:rPr>
          <w:sz w:val="20"/>
          <w:szCs w:val="20"/>
        </w:rPr>
        <w:t xml:space="preserve">profits </w:t>
      </w:r>
      <w:r w:rsidR="00B0457B">
        <w:rPr>
          <w:sz w:val="20"/>
          <w:szCs w:val="20"/>
        </w:rPr>
        <w:t>and</w:t>
      </w:r>
      <w:r w:rsidR="00215145" w:rsidRPr="00215145">
        <w:rPr>
          <w:sz w:val="20"/>
          <w:szCs w:val="20"/>
        </w:rPr>
        <w:t xml:space="preserve"> losses </w:t>
      </w:r>
      <w:r w:rsidRPr="00215145">
        <w:rPr>
          <w:sz w:val="20"/>
          <w:szCs w:val="20"/>
        </w:rPr>
        <w:t xml:space="preserve">are </w:t>
      </w:r>
      <w:r w:rsidR="00215145" w:rsidRPr="00215145">
        <w:rPr>
          <w:sz w:val="20"/>
          <w:szCs w:val="20"/>
        </w:rPr>
        <w:t xml:space="preserve">typically not </w:t>
      </w:r>
      <w:r w:rsidRPr="00215145">
        <w:rPr>
          <w:sz w:val="20"/>
          <w:szCs w:val="20"/>
        </w:rPr>
        <w:t xml:space="preserve">stored within </w:t>
      </w:r>
      <w:r w:rsidR="00215145" w:rsidRPr="00215145">
        <w:rPr>
          <w:sz w:val="20"/>
          <w:szCs w:val="20"/>
        </w:rPr>
        <w:t xml:space="preserve">the institution’s </w:t>
      </w:r>
      <w:r w:rsidRPr="00215145">
        <w:rPr>
          <w:sz w:val="20"/>
          <w:szCs w:val="20"/>
        </w:rPr>
        <w:t>systems since they are generally</w:t>
      </w:r>
      <w:r w:rsidR="00215145" w:rsidRPr="00215145">
        <w:rPr>
          <w:sz w:val="20"/>
          <w:szCs w:val="20"/>
        </w:rPr>
        <w:t xml:space="preserve"> not required for financial statement disclosure purpose</w:t>
      </w:r>
      <w:r w:rsidR="00290B3A">
        <w:rPr>
          <w:sz w:val="20"/>
          <w:szCs w:val="20"/>
        </w:rPr>
        <w:t>s</w:t>
      </w:r>
      <w:r w:rsidR="00215145" w:rsidRPr="00215145">
        <w:rPr>
          <w:sz w:val="20"/>
          <w:szCs w:val="20"/>
        </w:rPr>
        <w:t xml:space="preserve"> and therefore to </w:t>
      </w:r>
      <w:r w:rsidR="00290B3A">
        <w:rPr>
          <w:sz w:val="20"/>
          <w:szCs w:val="20"/>
        </w:rPr>
        <w:t xml:space="preserve">build systems to calculate and </w:t>
      </w:r>
      <w:r w:rsidR="00215145" w:rsidRPr="00215145">
        <w:rPr>
          <w:sz w:val="20"/>
          <w:szCs w:val="20"/>
        </w:rPr>
        <w:t xml:space="preserve">retain them would represent an unnecessary cost to such institutions. </w:t>
      </w:r>
    </w:p>
    <w:p w:rsidR="00215145" w:rsidRPr="00215145" w:rsidRDefault="00215145" w:rsidP="00456C47">
      <w:pPr>
        <w:pStyle w:val="Default"/>
        <w:rPr>
          <w:sz w:val="20"/>
          <w:szCs w:val="20"/>
        </w:rPr>
      </w:pPr>
    </w:p>
    <w:p w:rsidR="00456C47" w:rsidRPr="00215145" w:rsidRDefault="00215145" w:rsidP="00456C47">
      <w:pPr>
        <w:pStyle w:val="Default"/>
        <w:rPr>
          <w:sz w:val="20"/>
          <w:szCs w:val="20"/>
        </w:rPr>
      </w:pPr>
      <w:r w:rsidRPr="00215145">
        <w:rPr>
          <w:sz w:val="20"/>
          <w:szCs w:val="20"/>
        </w:rPr>
        <w:t>As already mentioned in</w:t>
      </w:r>
      <w:r w:rsidR="00456C47" w:rsidRPr="00215145">
        <w:rPr>
          <w:sz w:val="20"/>
          <w:szCs w:val="20"/>
        </w:rPr>
        <w:t xml:space="preserve"> </w:t>
      </w:r>
      <w:r w:rsidRPr="00215145">
        <w:rPr>
          <w:sz w:val="20"/>
          <w:szCs w:val="20"/>
        </w:rPr>
        <w:t xml:space="preserve">our </w:t>
      </w:r>
      <w:r w:rsidR="00456C47" w:rsidRPr="00215145">
        <w:rPr>
          <w:sz w:val="20"/>
          <w:szCs w:val="20"/>
        </w:rPr>
        <w:t>response to Q</w:t>
      </w:r>
      <w:r w:rsidRPr="00215145">
        <w:rPr>
          <w:sz w:val="20"/>
          <w:szCs w:val="20"/>
        </w:rPr>
        <w:t xml:space="preserve">uestion </w:t>
      </w:r>
      <w:r w:rsidR="00456C47" w:rsidRPr="00215145">
        <w:rPr>
          <w:sz w:val="20"/>
          <w:szCs w:val="20"/>
        </w:rPr>
        <w:t>3</w:t>
      </w:r>
      <w:r w:rsidRPr="00215145">
        <w:rPr>
          <w:sz w:val="20"/>
          <w:szCs w:val="20"/>
        </w:rPr>
        <w:t>,</w:t>
      </w:r>
      <w:r w:rsidR="00456C47" w:rsidRPr="00215145">
        <w:rPr>
          <w:sz w:val="20"/>
          <w:szCs w:val="20"/>
        </w:rPr>
        <w:t xml:space="preserve"> the EBA could review </w:t>
      </w:r>
      <w:r w:rsidRPr="00215145">
        <w:rPr>
          <w:sz w:val="20"/>
          <w:szCs w:val="20"/>
        </w:rPr>
        <w:t xml:space="preserve">the </w:t>
      </w:r>
      <w:r w:rsidR="00456C47" w:rsidRPr="00215145">
        <w:rPr>
          <w:sz w:val="20"/>
          <w:szCs w:val="20"/>
        </w:rPr>
        <w:t xml:space="preserve">financial statements of </w:t>
      </w:r>
      <w:r w:rsidRPr="00215145">
        <w:rPr>
          <w:sz w:val="20"/>
          <w:szCs w:val="20"/>
        </w:rPr>
        <w:t xml:space="preserve">financial </w:t>
      </w:r>
      <w:r w:rsidR="00456C47" w:rsidRPr="00215145">
        <w:rPr>
          <w:sz w:val="20"/>
          <w:szCs w:val="20"/>
        </w:rPr>
        <w:t>institutions in order to calibrate what the appropriate multipliers would be</w:t>
      </w:r>
      <w:r w:rsidRPr="00215145">
        <w:rPr>
          <w:sz w:val="20"/>
          <w:szCs w:val="20"/>
        </w:rPr>
        <w:t>,</w:t>
      </w:r>
      <w:r w:rsidR="00456C47" w:rsidRPr="00215145">
        <w:rPr>
          <w:sz w:val="20"/>
          <w:szCs w:val="20"/>
        </w:rPr>
        <w:t xml:space="preserve"> bearing in mind that the current proposed 0.1% of Balance sheet would be a maximum of €15</w:t>
      </w:r>
      <w:r w:rsidR="00C038A8">
        <w:rPr>
          <w:sz w:val="20"/>
          <w:szCs w:val="20"/>
        </w:rPr>
        <w:t xml:space="preserve"> M</w:t>
      </w:r>
      <w:r w:rsidR="00456C47" w:rsidRPr="00215145">
        <w:rPr>
          <w:sz w:val="20"/>
          <w:szCs w:val="20"/>
        </w:rPr>
        <w:t>illion with a €15</w:t>
      </w:r>
      <w:r w:rsidR="00C038A8">
        <w:rPr>
          <w:sz w:val="20"/>
          <w:szCs w:val="20"/>
        </w:rPr>
        <w:t xml:space="preserve"> </w:t>
      </w:r>
      <w:r w:rsidR="00456C47" w:rsidRPr="00215145">
        <w:rPr>
          <w:sz w:val="20"/>
          <w:szCs w:val="20"/>
        </w:rPr>
        <w:t>Billion threshold. For the i</w:t>
      </w:r>
      <w:r w:rsidRPr="00215145">
        <w:rPr>
          <w:sz w:val="20"/>
          <w:szCs w:val="20"/>
        </w:rPr>
        <w:t>nstitutions preparing financial statements</w:t>
      </w:r>
      <w:r w:rsidR="00456C47" w:rsidRPr="00215145">
        <w:rPr>
          <w:sz w:val="20"/>
          <w:szCs w:val="20"/>
        </w:rPr>
        <w:t xml:space="preserve"> where the local GAAP does not require FVH classifi</w:t>
      </w:r>
      <w:r w:rsidRPr="00215145">
        <w:rPr>
          <w:sz w:val="20"/>
          <w:szCs w:val="20"/>
        </w:rPr>
        <w:t xml:space="preserve">cation they could instead use </w:t>
      </w:r>
      <w:r w:rsidR="00456C47" w:rsidRPr="00215145">
        <w:rPr>
          <w:sz w:val="20"/>
          <w:szCs w:val="20"/>
        </w:rPr>
        <w:t xml:space="preserve">the simple </w:t>
      </w:r>
      <w:r w:rsidR="002717FA">
        <w:rPr>
          <w:sz w:val="20"/>
          <w:szCs w:val="20"/>
        </w:rPr>
        <w:t xml:space="preserve">applicable </w:t>
      </w:r>
      <w:r w:rsidR="00456C47" w:rsidRPr="00215145">
        <w:rPr>
          <w:sz w:val="20"/>
          <w:szCs w:val="20"/>
        </w:rPr>
        <w:t xml:space="preserve">balance sheet </w:t>
      </w:r>
      <w:r w:rsidR="002717FA">
        <w:rPr>
          <w:sz w:val="20"/>
          <w:szCs w:val="20"/>
        </w:rPr>
        <w:t xml:space="preserve">fair </w:t>
      </w:r>
      <w:r w:rsidR="00456C47" w:rsidRPr="00215145">
        <w:rPr>
          <w:sz w:val="20"/>
          <w:szCs w:val="20"/>
        </w:rPr>
        <w:t>value with a single multiplier (</w:t>
      </w:r>
      <w:r w:rsidRPr="00215145">
        <w:rPr>
          <w:sz w:val="20"/>
          <w:szCs w:val="20"/>
        </w:rPr>
        <w:t xml:space="preserve">for instance, </w:t>
      </w:r>
      <w:r w:rsidR="00456C47" w:rsidRPr="00215145">
        <w:rPr>
          <w:sz w:val="20"/>
          <w:szCs w:val="20"/>
        </w:rPr>
        <w:t>0.1%).</w:t>
      </w:r>
    </w:p>
    <w:p w:rsidR="00456C47" w:rsidRPr="00215145" w:rsidRDefault="00456C47" w:rsidP="00456C47">
      <w:pPr>
        <w:pStyle w:val="Default"/>
        <w:rPr>
          <w:sz w:val="20"/>
          <w:szCs w:val="20"/>
        </w:rPr>
      </w:pPr>
    </w:p>
    <w:p w:rsidR="00F47268" w:rsidRDefault="00F47268" w:rsidP="00F47268">
      <w:pPr>
        <w:pStyle w:val="Default"/>
        <w:rPr>
          <w:b/>
          <w:color w:val="1F497D"/>
          <w:sz w:val="22"/>
          <w:szCs w:val="22"/>
        </w:rPr>
      </w:pPr>
      <w:r>
        <w:rPr>
          <w:b/>
          <w:color w:val="1F497D"/>
        </w:rPr>
        <w:t>Q6.</w:t>
      </w:r>
      <w:r>
        <w:rPr>
          <w:sz w:val="20"/>
          <w:szCs w:val="20"/>
        </w:rPr>
        <w:t xml:space="preserve"> </w:t>
      </w:r>
      <w:r>
        <w:rPr>
          <w:b/>
          <w:color w:val="1F497D"/>
          <w:sz w:val="22"/>
          <w:szCs w:val="22"/>
        </w:rPr>
        <w:t xml:space="preserve">Do you agree with the approach defined above to calculate an AVA where the approaches in Article 8 and 9 are not possible for a valuation exposure? If not, what other approach could be prescribed? Explain your reasoning. </w:t>
      </w:r>
    </w:p>
    <w:p w:rsidR="00F47268" w:rsidRDefault="00F47268" w:rsidP="00F47268">
      <w:pPr>
        <w:pStyle w:val="Default"/>
        <w:rPr>
          <w:b/>
          <w:color w:val="1F497D"/>
          <w:sz w:val="22"/>
          <w:szCs w:val="22"/>
        </w:rPr>
      </w:pPr>
    </w:p>
    <w:p w:rsidR="00F47268" w:rsidRDefault="00F47268" w:rsidP="00F47268">
      <w:pPr>
        <w:rPr>
          <w:rFonts w:cs="Arial"/>
          <w:sz w:val="20"/>
          <w:szCs w:val="20"/>
        </w:rPr>
      </w:pPr>
      <w:r>
        <w:rPr>
          <w:rFonts w:cs="Arial"/>
          <w:sz w:val="20"/>
          <w:szCs w:val="20"/>
        </w:rPr>
        <w:t>We believe that this approach, if adopted, would be potential</w:t>
      </w:r>
      <w:r w:rsidR="002717FA">
        <w:rPr>
          <w:rFonts w:cs="Arial"/>
          <w:sz w:val="20"/>
          <w:szCs w:val="20"/>
        </w:rPr>
        <w:t>ly</w:t>
      </w:r>
      <w:r>
        <w:rPr>
          <w:rFonts w:cs="Arial"/>
          <w:sz w:val="20"/>
          <w:szCs w:val="20"/>
        </w:rPr>
        <w:t xml:space="preserve"> extremely punitive. It may well be that this was intentional, in order that institutions will endeavor to find an alternative acceptable approach and avoid this punitive charge</w:t>
      </w:r>
      <w:r w:rsidR="004F3064">
        <w:rPr>
          <w:rFonts w:cs="Arial"/>
          <w:sz w:val="20"/>
          <w:szCs w:val="20"/>
        </w:rPr>
        <w:t>,</w:t>
      </w:r>
      <w:r w:rsidR="002717FA">
        <w:rPr>
          <w:rFonts w:cs="Arial"/>
          <w:sz w:val="20"/>
          <w:szCs w:val="20"/>
        </w:rPr>
        <w:t xml:space="preserve"> h</w:t>
      </w:r>
      <w:r>
        <w:rPr>
          <w:rFonts w:cs="Arial"/>
          <w:sz w:val="20"/>
          <w:szCs w:val="20"/>
        </w:rPr>
        <w:t>owever we would note that:</w:t>
      </w:r>
    </w:p>
    <w:p w:rsidR="00F47268" w:rsidRDefault="00F47268" w:rsidP="00F47268">
      <w:pPr>
        <w:pStyle w:val="ListParagraph"/>
        <w:numPr>
          <w:ilvl w:val="0"/>
          <w:numId w:val="12"/>
        </w:numPr>
        <w:rPr>
          <w:rFonts w:cs="Arial"/>
          <w:sz w:val="20"/>
          <w:szCs w:val="20"/>
        </w:rPr>
      </w:pPr>
      <w:r>
        <w:rPr>
          <w:rFonts w:cs="Arial"/>
          <w:sz w:val="20"/>
          <w:szCs w:val="20"/>
        </w:rPr>
        <w:t>It will take some time for institutions to implement the required processes across all their positions;</w:t>
      </w:r>
    </w:p>
    <w:p w:rsidR="00F47268" w:rsidRDefault="00F47268" w:rsidP="00F47268">
      <w:pPr>
        <w:pStyle w:val="ListParagraph"/>
        <w:numPr>
          <w:ilvl w:val="0"/>
          <w:numId w:val="12"/>
        </w:numPr>
        <w:rPr>
          <w:rFonts w:cs="Arial"/>
          <w:sz w:val="20"/>
          <w:szCs w:val="20"/>
        </w:rPr>
      </w:pPr>
      <w:r>
        <w:rPr>
          <w:rFonts w:cs="Arial"/>
          <w:sz w:val="20"/>
          <w:szCs w:val="20"/>
        </w:rPr>
        <w:t xml:space="preserve">The use of net </w:t>
      </w:r>
      <w:proofErr w:type="spellStart"/>
      <w:r w:rsidR="00430011">
        <w:rPr>
          <w:rFonts w:cs="Arial"/>
          <w:sz w:val="20"/>
          <w:szCs w:val="20"/>
        </w:rPr>
        <w:t>unrealised</w:t>
      </w:r>
      <w:proofErr w:type="spellEnd"/>
      <w:r w:rsidR="00430011">
        <w:rPr>
          <w:rFonts w:cs="Arial"/>
          <w:sz w:val="20"/>
          <w:szCs w:val="20"/>
        </w:rPr>
        <w:t xml:space="preserve"> </w:t>
      </w:r>
      <w:r>
        <w:rPr>
          <w:rFonts w:cs="Arial"/>
          <w:sz w:val="20"/>
          <w:szCs w:val="20"/>
        </w:rPr>
        <w:t>profits suffers from the same shortfalls as mentioned in our response to Questions 4 &amp; 5 above;</w:t>
      </w:r>
    </w:p>
    <w:p w:rsidR="00F47268" w:rsidRDefault="00F47268" w:rsidP="00F47268">
      <w:pPr>
        <w:pStyle w:val="ListParagraph"/>
        <w:numPr>
          <w:ilvl w:val="0"/>
          <w:numId w:val="12"/>
        </w:numPr>
        <w:rPr>
          <w:rFonts w:cs="Arial"/>
          <w:sz w:val="20"/>
          <w:szCs w:val="20"/>
        </w:rPr>
      </w:pPr>
      <w:r>
        <w:rPr>
          <w:rFonts w:cs="Arial"/>
          <w:sz w:val="20"/>
          <w:szCs w:val="20"/>
        </w:rPr>
        <w:lastRenderedPageBreak/>
        <w:t xml:space="preserve">The charge in Article 7 is highly </w:t>
      </w:r>
      <w:proofErr w:type="spellStart"/>
      <w:r w:rsidR="008C4005">
        <w:rPr>
          <w:rFonts w:cs="Arial"/>
          <w:sz w:val="20"/>
          <w:szCs w:val="20"/>
        </w:rPr>
        <w:t>procyclical</w:t>
      </w:r>
      <w:proofErr w:type="spellEnd"/>
      <w:r w:rsidR="008C4005">
        <w:rPr>
          <w:rFonts w:cs="Arial"/>
          <w:sz w:val="20"/>
          <w:szCs w:val="20"/>
        </w:rPr>
        <w:t xml:space="preserve"> </w:t>
      </w:r>
      <w:r>
        <w:rPr>
          <w:rFonts w:cs="Arial"/>
          <w:sz w:val="20"/>
          <w:szCs w:val="20"/>
        </w:rPr>
        <w:t xml:space="preserve">and if at some </w:t>
      </w:r>
      <w:r w:rsidR="00B0457B">
        <w:rPr>
          <w:rFonts w:cs="Arial"/>
          <w:sz w:val="20"/>
          <w:szCs w:val="20"/>
        </w:rPr>
        <w:t xml:space="preserve">future </w:t>
      </w:r>
      <w:r>
        <w:rPr>
          <w:rFonts w:cs="Arial"/>
          <w:sz w:val="20"/>
          <w:szCs w:val="20"/>
        </w:rPr>
        <w:t xml:space="preserve">point in time a market moves to a state of dislocation where there is not a way of estimating the charge (even for a short period of time that crosses a calculation date) then the 10% of notional charge could be extremely damaging </w:t>
      </w:r>
      <w:r w:rsidR="003977AD">
        <w:rPr>
          <w:rFonts w:cs="Arial"/>
          <w:sz w:val="20"/>
          <w:szCs w:val="20"/>
        </w:rPr>
        <w:t>and with $1</w:t>
      </w:r>
      <w:r w:rsidR="00C038A8">
        <w:rPr>
          <w:rFonts w:cs="Arial"/>
          <w:sz w:val="20"/>
          <w:szCs w:val="20"/>
        </w:rPr>
        <w:t xml:space="preserve"> B</w:t>
      </w:r>
      <w:r w:rsidR="003977AD">
        <w:rPr>
          <w:rFonts w:cs="Arial"/>
          <w:sz w:val="20"/>
          <w:szCs w:val="20"/>
        </w:rPr>
        <w:t>illion of capital required per $10</w:t>
      </w:r>
      <w:r w:rsidR="00C038A8">
        <w:rPr>
          <w:rFonts w:cs="Arial"/>
          <w:sz w:val="20"/>
          <w:szCs w:val="20"/>
        </w:rPr>
        <w:t xml:space="preserve"> B</w:t>
      </w:r>
      <w:r w:rsidR="003977AD">
        <w:rPr>
          <w:rFonts w:cs="Arial"/>
          <w:sz w:val="20"/>
          <w:szCs w:val="20"/>
        </w:rPr>
        <w:t>illion of gross notional</w:t>
      </w:r>
      <w:r w:rsidR="00861C45">
        <w:rPr>
          <w:rFonts w:cs="Arial"/>
          <w:sz w:val="20"/>
          <w:szCs w:val="20"/>
        </w:rPr>
        <w:t xml:space="preserve"> could become very large very quickly</w:t>
      </w:r>
      <w:r w:rsidR="00FD162E">
        <w:rPr>
          <w:rFonts w:cs="Arial"/>
          <w:sz w:val="20"/>
          <w:szCs w:val="20"/>
        </w:rPr>
        <w:t>.</w:t>
      </w:r>
      <w:r w:rsidR="003977AD">
        <w:rPr>
          <w:rFonts w:cs="Arial"/>
          <w:sz w:val="20"/>
          <w:szCs w:val="20"/>
        </w:rPr>
        <w:t xml:space="preserve"> </w:t>
      </w:r>
      <w:r w:rsidR="00FD162E" w:rsidRPr="00614614">
        <w:rPr>
          <w:rFonts w:cs="EUAlbertina"/>
          <w:sz w:val="20"/>
          <w:szCs w:val="20"/>
        </w:rPr>
        <w:t xml:space="preserve">For this reason we feel that this charge as currently written is unpredictable and could </w:t>
      </w:r>
      <w:r w:rsidR="00FD162E">
        <w:rPr>
          <w:rFonts w:cs="EUAlbertina"/>
          <w:sz w:val="20"/>
          <w:szCs w:val="20"/>
        </w:rPr>
        <w:t>lead to an uncontrolled</w:t>
      </w:r>
      <w:r w:rsidR="00861C45">
        <w:rPr>
          <w:rFonts w:cs="EUAlbertina"/>
          <w:sz w:val="20"/>
          <w:szCs w:val="20"/>
        </w:rPr>
        <w:t>, excessive</w:t>
      </w:r>
      <w:r w:rsidR="00FD162E">
        <w:rPr>
          <w:rFonts w:cs="EUAlbertina"/>
          <w:sz w:val="20"/>
          <w:szCs w:val="20"/>
        </w:rPr>
        <w:t xml:space="preserve"> increase in capital requirements during a period of significant market stress making it </w:t>
      </w:r>
      <w:proofErr w:type="spellStart"/>
      <w:r w:rsidR="00FD162E">
        <w:rPr>
          <w:rFonts w:cs="EUAlbertina"/>
          <w:sz w:val="20"/>
          <w:szCs w:val="20"/>
        </w:rPr>
        <w:t>procyclical</w:t>
      </w:r>
      <w:proofErr w:type="spellEnd"/>
      <w:r w:rsidR="00FD162E">
        <w:rPr>
          <w:rFonts w:cs="EUAlbertina"/>
          <w:sz w:val="20"/>
          <w:szCs w:val="20"/>
        </w:rPr>
        <w:t xml:space="preserve"> and at risk of becoming an issue to institutions at the point of market stress</w:t>
      </w:r>
      <w:r>
        <w:rPr>
          <w:rFonts w:cs="Arial"/>
          <w:sz w:val="20"/>
          <w:szCs w:val="20"/>
        </w:rPr>
        <w:t xml:space="preserve">; </w:t>
      </w:r>
    </w:p>
    <w:p w:rsidR="00F47268" w:rsidRDefault="00F47268" w:rsidP="00F47268">
      <w:pPr>
        <w:pStyle w:val="ListParagraph"/>
        <w:numPr>
          <w:ilvl w:val="0"/>
          <w:numId w:val="12"/>
        </w:numPr>
        <w:rPr>
          <w:rFonts w:cs="Arial"/>
          <w:sz w:val="20"/>
          <w:szCs w:val="20"/>
        </w:rPr>
      </w:pPr>
      <w:r>
        <w:rPr>
          <w:rFonts w:cs="Arial"/>
          <w:color w:val="000000"/>
          <w:sz w:val="20"/>
          <w:szCs w:val="20"/>
        </w:rPr>
        <w:t xml:space="preserve">While </w:t>
      </w:r>
      <w:proofErr w:type="spellStart"/>
      <w:r>
        <w:rPr>
          <w:rFonts w:cs="Arial"/>
          <w:color w:val="000000"/>
          <w:sz w:val="20"/>
          <w:szCs w:val="20"/>
        </w:rPr>
        <w:t>recognising</w:t>
      </w:r>
      <w:proofErr w:type="spellEnd"/>
      <w:r>
        <w:rPr>
          <w:rFonts w:cs="Arial"/>
          <w:color w:val="000000"/>
          <w:sz w:val="20"/>
          <w:szCs w:val="20"/>
        </w:rPr>
        <w:t xml:space="preserve"> that it is to be used for a different purpose, we would like to point out that the charge of 25% relating to balance sheet market value is 250 times as large as that proposed under </w:t>
      </w:r>
      <w:r>
        <w:rPr>
          <w:rFonts w:cs="Arial"/>
          <w:sz w:val="20"/>
          <w:szCs w:val="20"/>
        </w:rPr>
        <w:t>the simplified method</w:t>
      </w:r>
    </w:p>
    <w:p w:rsidR="00F47268" w:rsidRDefault="00F47268" w:rsidP="00F47268">
      <w:pPr>
        <w:pStyle w:val="ListParagraph"/>
        <w:numPr>
          <w:ilvl w:val="0"/>
          <w:numId w:val="12"/>
        </w:numPr>
        <w:rPr>
          <w:rFonts w:cs="Arial"/>
          <w:sz w:val="20"/>
          <w:szCs w:val="20"/>
        </w:rPr>
      </w:pPr>
      <w:r>
        <w:rPr>
          <w:rFonts w:cs="Arial"/>
          <w:sz w:val="20"/>
          <w:szCs w:val="20"/>
        </w:rPr>
        <w:t>From a practical perspective, assuming that a more appropriate/viable alternative calculation is reached and ultimately agreed, there will of course need to be sufficient implementation time after issuance of the final RTS or a potential reasonable phase-in timeline of the amended approach to be taken as part of the implementation of Article 7.</w:t>
      </w:r>
    </w:p>
    <w:p w:rsidR="00F47268" w:rsidRDefault="00F47268" w:rsidP="00F47268">
      <w:pPr>
        <w:spacing w:after="0" w:line="240" w:lineRule="auto"/>
        <w:jc w:val="both"/>
        <w:rPr>
          <w:rFonts w:cs="Calibri"/>
          <w:b/>
        </w:rPr>
      </w:pPr>
      <w:r>
        <w:rPr>
          <w:sz w:val="20"/>
          <w:szCs w:val="20"/>
        </w:rPr>
        <w:t>The industry would be happy to work with the EBA and the relevant Competent Authorities to develop an alternative methodology and suitable alternative wording for this fallback calculation</w:t>
      </w:r>
    </w:p>
    <w:p w:rsidR="00F47268" w:rsidRDefault="00F47268" w:rsidP="007A5413">
      <w:pPr>
        <w:spacing w:after="0" w:line="240" w:lineRule="auto"/>
        <w:jc w:val="both"/>
        <w:rPr>
          <w:rFonts w:cs="Calibri"/>
          <w:b/>
          <w:color w:val="000000"/>
        </w:rPr>
      </w:pPr>
    </w:p>
    <w:p w:rsidR="00660030" w:rsidRPr="00660030" w:rsidRDefault="00660030" w:rsidP="00660030">
      <w:pPr>
        <w:pStyle w:val="Default"/>
        <w:rPr>
          <w:b/>
          <w:color w:val="1F497D"/>
          <w:sz w:val="22"/>
          <w:szCs w:val="22"/>
        </w:rPr>
      </w:pPr>
      <w:r w:rsidRPr="00660030">
        <w:rPr>
          <w:b/>
          <w:color w:val="1F497D"/>
          <w:sz w:val="22"/>
          <w:szCs w:val="22"/>
        </w:rPr>
        <w:t xml:space="preserve">Q7. Do you agree with the approaches defined above to calculate AVAs for market price uncertainty, close-out costs, and unearned credit spreads? If not, what other approach could be prescribed? State your reasons. </w:t>
      </w:r>
    </w:p>
    <w:p w:rsidR="00660030" w:rsidRDefault="00660030" w:rsidP="00660030">
      <w:pPr>
        <w:pStyle w:val="Default"/>
        <w:rPr>
          <w:sz w:val="20"/>
          <w:szCs w:val="20"/>
        </w:rPr>
      </w:pPr>
    </w:p>
    <w:p w:rsidR="00660030" w:rsidRPr="001E78C2" w:rsidRDefault="00660030" w:rsidP="00660030">
      <w:pPr>
        <w:pStyle w:val="Default"/>
        <w:rPr>
          <w:color w:val="auto"/>
          <w:sz w:val="20"/>
          <w:szCs w:val="20"/>
        </w:rPr>
      </w:pPr>
      <w:r w:rsidRPr="001E78C2">
        <w:rPr>
          <w:color w:val="auto"/>
          <w:sz w:val="20"/>
          <w:szCs w:val="20"/>
        </w:rPr>
        <w:t>The overall methodologies for the calculations should make clear that for market price uncertainty, we are not expected to come up with a curve or surface that has discontinuities and which reflects a “</w:t>
      </w:r>
      <w:proofErr w:type="spellStart"/>
      <w:r w:rsidRPr="001E78C2">
        <w:rPr>
          <w:color w:val="auto"/>
          <w:sz w:val="20"/>
          <w:szCs w:val="20"/>
        </w:rPr>
        <w:t>Frankenstein”curve</w:t>
      </w:r>
      <w:proofErr w:type="spellEnd"/>
      <w:r w:rsidRPr="001E78C2">
        <w:rPr>
          <w:color w:val="auto"/>
          <w:sz w:val="20"/>
          <w:szCs w:val="20"/>
        </w:rPr>
        <w:t xml:space="preserve"> </w:t>
      </w:r>
      <w:r w:rsidR="001E78C2" w:rsidRPr="001E78C2">
        <w:rPr>
          <w:color w:val="auto"/>
          <w:sz w:val="20"/>
          <w:szCs w:val="20"/>
        </w:rPr>
        <w:t xml:space="preserve">as a result of </w:t>
      </w:r>
      <w:r w:rsidRPr="001E78C2">
        <w:rPr>
          <w:color w:val="auto"/>
          <w:sz w:val="20"/>
          <w:szCs w:val="20"/>
        </w:rPr>
        <w:t xml:space="preserve">taking high levels at points with short exposure and low levels at points with long exposure </w:t>
      </w:r>
      <w:r w:rsidRPr="004E2EC3">
        <w:rPr>
          <w:b/>
          <w:color w:val="auto"/>
          <w:sz w:val="20"/>
          <w:szCs w:val="20"/>
        </w:rPr>
        <w:t xml:space="preserve">(see </w:t>
      </w:r>
      <w:r w:rsidR="00B625F6">
        <w:rPr>
          <w:b/>
          <w:color w:val="auto"/>
          <w:sz w:val="20"/>
          <w:szCs w:val="20"/>
        </w:rPr>
        <w:t xml:space="preserve">below </w:t>
      </w:r>
      <w:r w:rsidRPr="004E2EC3">
        <w:rPr>
          <w:b/>
          <w:color w:val="auto"/>
          <w:sz w:val="20"/>
          <w:szCs w:val="20"/>
        </w:rPr>
        <w:t xml:space="preserve">the illustration taken from the example in </w:t>
      </w:r>
      <w:r w:rsidR="001E78C2" w:rsidRPr="004E2EC3">
        <w:rPr>
          <w:b/>
          <w:color w:val="auto"/>
          <w:sz w:val="20"/>
          <w:szCs w:val="20"/>
        </w:rPr>
        <w:t>S</w:t>
      </w:r>
      <w:r w:rsidRPr="004E2EC3">
        <w:rPr>
          <w:b/>
          <w:color w:val="auto"/>
          <w:sz w:val="20"/>
          <w:szCs w:val="20"/>
        </w:rPr>
        <w:t xml:space="preserve">ection 5.1 </w:t>
      </w:r>
      <w:r w:rsidR="00B625F6">
        <w:rPr>
          <w:b/>
          <w:color w:val="auto"/>
          <w:sz w:val="20"/>
          <w:szCs w:val="20"/>
        </w:rPr>
        <w:t>of the Consultation Paper</w:t>
      </w:r>
      <w:r w:rsidRPr="004E2EC3">
        <w:rPr>
          <w:b/>
          <w:color w:val="auto"/>
          <w:sz w:val="20"/>
          <w:szCs w:val="20"/>
        </w:rPr>
        <w:t>)</w:t>
      </w:r>
      <w:r w:rsidRPr="001E78C2">
        <w:rPr>
          <w:color w:val="auto"/>
          <w:sz w:val="20"/>
          <w:szCs w:val="20"/>
        </w:rPr>
        <w:t xml:space="preserve">. The curve or surface used needs to be a realistic curve or surface and could for </w:t>
      </w:r>
      <w:r w:rsidR="001E78C2" w:rsidRPr="001E78C2">
        <w:rPr>
          <w:color w:val="auto"/>
          <w:sz w:val="20"/>
          <w:szCs w:val="20"/>
        </w:rPr>
        <w:t xml:space="preserve">example be constructed by </w:t>
      </w:r>
      <w:proofErr w:type="spellStart"/>
      <w:r w:rsidR="001E78C2" w:rsidRPr="001E78C2">
        <w:rPr>
          <w:color w:val="auto"/>
          <w:sz w:val="20"/>
          <w:szCs w:val="20"/>
        </w:rPr>
        <w:t>utilis</w:t>
      </w:r>
      <w:r w:rsidRPr="001E78C2">
        <w:rPr>
          <w:color w:val="auto"/>
          <w:sz w:val="20"/>
          <w:szCs w:val="20"/>
        </w:rPr>
        <w:t>ing</w:t>
      </w:r>
      <w:proofErr w:type="spellEnd"/>
      <w:r w:rsidRPr="001E78C2">
        <w:rPr>
          <w:color w:val="auto"/>
          <w:sz w:val="20"/>
          <w:szCs w:val="20"/>
        </w:rPr>
        <w:t xml:space="preserve"> the available curves/surfaces in their entirety. The example at the back of the C</w:t>
      </w:r>
      <w:r w:rsidR="00B625F6">
        <w:rPr>
          <w:color w:val="auto"/>
          <w:sz w:val="20"/>
          <w:szCs w:val="20"/>
        </w:rPr>
        <w:t xml:space="preserve">onsultation </w:t>
      </w:r>
      <w:r w:rsidRPr="001E78C2">
        <w:rPr>
          <w:color w:val="auto"/>
          <w:sz w:val="20"/>
          <w:szCs w:val="20"/>
        </w:rPr>
        <w:t>P</w:t>
      </w:r>
      <w:r w:rsidR="00B625F6">
        <w:rPr>
          <w:color w:val="auto"/>
          <w:sz w:val="20"/>
          <w:szCs w:val="20"/>
        </w:rPr>
        <w:t>aper</w:t>
      </w:r>
      <w:r w:rsidRPr="001E78C2">
        <w:rPr>
          <w:color w:val="auto"/>
          <w:sz w:val="20"/>
          <w:szCs w:val="20"/>
        </w:rPr>
        <w:t xml:space="preserve"> also does not suggest this as a potential method despite discussions with </w:t>
      </w:r>
      <w:r w:rsidR="001E78C2" w:rsidRPr="001E78C2">
        <w:rPr>
          <w:color w:val="auto"/>
          <w:sz w:val="20"/>
          <w:szCs w:val="20"/>
        </w:rPr>
        <w:t>various Competent A</w:t>
      </w:r>
      <w:r w:rsidRPr="001E78C2">
        <w:rPr>
          <w:color w:val="auto"/>
          <w:sz w:val="20"/>
          <w:szCs w:val="20"/>
        </w:rPr>
        <w:t xml:space="preserve">uthorities showing that they believe it to be acceptable. </w:t>
      </w:r>
    </w:p>
    <w:p w:rsidR="001E78C2" w:rsidRPr="001E78C2" w:rsidRDefault="001E78C2" w:rsidP="00660030">
      <w:pPr>
        <w:pStyle w:val="Default"/>
        <w:rPr>
          <w:color w:val="auto"/>
          <w:sz w:val="20"/>
          <w:szCs w:val="20"/>
        </w:rPr>
      </w:pPr>
    </w:p>
    <w:p w:rsidR="00BC7939" w:rsidRDefault="00660030" w:rsidP="00660030">
      <w:pPr>
        <w:pStyle w:val="Default"/>
        <w:rPr>
          <w:color w:val="auto"/>
          <w:sz w:val="20"/>
          <w:szCs w:val="20"/>
        </w:rPr>
      </w:pPr>
      <w:r w:rsidRPr="001E78C2">
        <w:rPr>
          <w:color w:val="auto"/>
          <w:sz w:val="20"/>
          <w:szCs w:val="20"/>
        </w:rPr>
        <w:t xml:space="preserve">Additionally the </w:t>
      </w:r>
      <w:proofErr w:type="spellStart"/>
      <w:r w:rsidRPr="001E78C2">
        <w:rPr>
          <w:color w:val="auto"/>
          <w:sz w:val="20"/>
          <w:szCs w:val="20"/>
        </w:rPr>
        <w:t>bac</w:t>
      </w:r>
      <w:r w:rsidR="001E78C2" w:rsidRPr="001E78C2">
        <w:rPr>
          <w:color w:val="auto"/>
          <w:sz w:val="20"/>
          <w:szCs w:val="20"/>
        </w:rPr>
        <w:t>ktesting</w:t>
      </w:r>
      <w:proofErr w:type="spellEnd"/>
      <w:r w:rsidR="001E78C2" w:rsidRPr="001E78C2">
        <w:rPr>
          <w:color w:val="auto"/>
          <w:sz w:val="20"/>
          <w:szCs w:val="20"/>
        </w:rPr>
        <w:t xml:space="preserve"> within A</w:t>
      </w:r>
      <w:r w:rsidRPr="001E78C2">
        <w:rPr>
          <w:color w:val="auto"/>
          <w:sz w:val="20"/>
          <w:szCs w:val="20"/>
        </w:rPr>
        <w:t>rticle 8 para</w:t>
      </w:r>
      <w:r w:rsidR="001E78C2" w:rsidRPr="001E78C2">
        <w:rPr>
          <w:color w:val="auto"/>
          <w:sz w:val="20"/>
          <w:szCs w:val="20"/>
        </w:rPr>
        <w:t xml:space="preserve">graph </w:t>
      </w:r>
      <w:r w:rsidRPr="001E78C2">
        <w:rPr>
          <w:color w:val="auto"/>
          <w:sz w:val="20"/>
          <w:szCs w:val="20"/>
        </w:rPr>
        <w:t xml:space="preserve">4 </w:t>
      </w:r>
      <w:r w:rsidR="001E78C2" w:rsidRPr="001E78C2">
        <w:rPr>
          <w:color w:val="auto"/>
          <w:sz w:val="20"/>
          <w:szCs w:val="20"/>
        </w:rPr>
        <w:t>(</w:t>
      </w:r>
      <w:r w:rsidRPr="001E78C2">
        <w:rPr>
          <w:color w:val="auto"/>
          <w:sz w:val="20"/>
          <w:szCs w:val="20"/>
        </w:rPr>
        <w:t>b</w:t>
      </w:r>
      <w:r w:rsidR="001E78C2" w:rsidRPr="001E78C2">
        <w:rPr>
          <w:color w:val="auto"/>
          <w:sz w:val="20"/>
          <w:szCs w:val="20"/>
        </w:rPr>
        <w:t>)</w:t>
      </w:r>
      <w:r w:rsidRPr="001E78C2">
        <w:rPr>
          <w:color w:val="auto"/>
          <w:sz w:val="20"/>
          <w:szCs w:val="20"/>
        </w:rPr>
        <w:t xml:space="preserve"> and </w:t>
      </w:r>
      <w:r w:rsidR="00BD0780">
        <w:rPr>
          <w:color w:val="auto"/>
          <w:sz w:val="20"/>
          <w:szCs w:val="20"/>
        </w:rPr>
        <w:t>A</w:t>
      </w:r>
      <w:r w:rsidRPr="001E78C2">
        <w:rPr>
          <w:color w:val="auto"/>
          <w:sz w:val="20"/>
          <w:szCs w:val="20"/>
        </w:rPr>
        <w:t>rticle 9 para</w:t>
      </w:r>
      <w:r w:rsidR="001E78C2" w:rsidRPr="001E78C2">
        <w:rPr>
          <w:color w:val="auto"/>
          <w:sz w:val="20"/>
          <w:szCs w:val="20"/>
        </w:rPr>
        <w:t xml:space="preserve">graph </w:t>
      </w:r>
      <w:r w:rsidRPr="001E78C2">
        <w:rPr>
          <w:color w:val="auto"/>
          <w:sz w:val="20"/>
          <w:szCs w:val="20"/>
        </w:rPr>
        <w:t xml:space="preserve">5 </w:t>
      </w:r>
      <w:r w:rsidR="001E78C2" w:rsidRPr="001E78C2">
        <w:rPr>
          <w:color w:val="auto"/>
          <w:sz w:val="20"/>
          <w:szCs w:val="20"/>
        </w:rPr>
        <w:t>(</w:t>
      </w:r>
      <w:r w:rsidRPr="001E78C2">
        <w:rPr>
          <w:color w:val="auto"/>
          <w:sz w:val="20"/>
          <w:szCs w:val="20"/>
        </w:rPr>
        <w:t>b</w:t>
      </w:r>
      <w:r w:rsidR="001E78C2" w:rsidRPr="001E78C2">
        <w:rPr>
          <w:color w:val="auto"/>
          <w:sz w:val="20"/>
          <w:szCs w:val="20"/>
        </w:rPr>
        <w:t xml:space="preserve">) we feel </w:t>
      </w:r>
      <w:r w:rsidRPr="001E78C2">
        <w:rPr>
          <w:color w:val="auto"/>
          <w:sz w:val="20"/>
          <w:szCs w:val="20"/>
        </w:rPr>
        <w:t xml:space="preserve">is inappropriate. </w:t>
      </w:r>
      <w:r w:rsidR="00BC7939">
        <w:rPr>
          <w:color w:val="auto"/>
          <w:sz w:val="20"/>
          <w:szCs w:val="20"/>
        </w:rPr>
        <w:t>We would note that while the intention of selecting a ratio of 0.1 between the two volatilities seems superficially linked to the concept of 90% certainty</w:t>
      </w:r>
      <w:r w:rsidR="00C038A8">
        <w:rPr>
          <w:color w:val="auto"/>
          <w:sz w:val="20"/>
          <w:szCs w:val="20"/>
        </w:rPr>
        <w:t>,</w:t>
      </w:r>
      <w:r w:rsidR="00BC7939">
        <w:rPr>
          <w:color w:val="auto"/>
          <w:sz w:val="20"/>
          <w:szCs w:val="20"/>
        </w:rPr>
        <w:t xml:space="preserve"> this hasn’t been fully thought through. In order to achieve the ratio of 0.1 for volatilities (which is the square root of the variance), </w:t>
      </w:r>
      <w:r w:rsidR="00C038A8">
        <w:rPr>
          <w:color w:val="auto"/>
          <w:sz w:val="20"/>
          <w:szCs w:val="20"/>
        </w:rPr>
        <w:t xml:space="preserve">this </w:t>
      </w:r>
      <w:r w:rsidR="00BC7939">
        <w:rPr>
          <w:color w:val="auto"/>
          <w:sz w:val="20"/>
          <w:szCs w:val="20"/>
        </w:rPr>
        <w:t xml:space="preserve">means achieving a ratio of the variances of 0.01 which implies a correlation between the reduced and unreduced valuation </w:t>
      </w:r>
      <w:r w:rsidR="001C52E5">
        <w:rPr>
          <w:color w:val="auto"/>
          <w:sz w:val="20"/>
          <w:szCs w:val="20"/>
        </w:rPr>
        <w:t xml:space="preserve">input </w:t>
      </w:r>
      <w:r w:rsidR="00C038A8">
        <w:rPr>
          <w:color w:val="auto"/>
          <w:sz w:val="20"/>
          <w:szCs w:val="20"/>
        </w:rPr>
        <w:t>P</w:t>
      </w:r>
      <w:r w:rsidR="001C52E5">
        <w:rPr>
          <w:color w:val="auto"/>
          <w:sz w:val="20"/>
          <w:szCs w:val="20"/>
        </w:rPr>
        <w:t>&amp;</w:t>
      </w:r>
      <w:r w:rsidR="00C038A8">
        <w:rPr>
          <w:color w:val="auto"/>
          <w:sz w:val="20"/>
          <w:szCs w:val="20"/>
        </w:rPr>
        <w:t>L</w:t>
      </w:r>
      <w:r w:rsidR="001C52E5">
        <w:rPr>
          <w:color w:val="auto"/>
          <w:sz w:val="20"/>
          <w:szCs w:val="20"/>
        </w:rPr>
        <w:t>’s</w:t>
      </w:r>
      <w:r w:rsidR="00BC7939">
        <w:rPr>
          <w:color w:val="auto"/>
          <w:sz w:val="20"/>
          <w:szCs w:val="20"/>
        </w:rPr>
        <w:t xml:space="preserve"> of 99.5%.  </w:t>
      </w:r>
    </w:p>
    <w:p w:rsidR="00660030" w:rsidRDefault="00BC7939" w:rsidP="00660030">
      <w:pPr>
        <w:pStyle w:val="Default"/>
        <w:rPr>
          <w:color w:val="auto"/>
          <w:sz w:val="20"/>
          <w:szCs w:val="20"/>
        </w:rPr>
      </w:pPr>
      <w:r>
        <w:rPr>
          <w:color w:val="auto"/>
          <w:sz w:val="20"/>
          <w:szCs w:val="20"/>
        </w:rPr>
        <w:t>In addition</w:t>
      </w:r>
      <w:r w:rsidR="004F3064">
        <w:rPr>
          <w:color w:val="auto"/>
          <w:sz w:val="20"/>
          <w:szCs w:val="20"/>
        </w:rPr>
        <w:t>,</w:t>
      </w:r>
      <w:r>
        <w:rPr>
          <w:color w:val="auto"/>
          <w:sz w:val="20"/>
          <w:szCs w:val="20"/>
        </w:rPr>
        <w:t xml:space="preserve"> w</w:t>
      </w:r>
      <w:r w:rsidR="00660030" w:rsidRPr="001E78C2">
        <w:rPr>
          <w:color w:val="auto"/>
          <w:sz w:val="20"/>
          <w:szCs w:val="20"/>
        </w:rPr>
        <w:t>hile being overly complicated for simple curves</w:t>
      </w:r>
      <w:r w:rsidR="00C038A8">
        <w:rPr>
          <w:color w:val="auto"/>
          <w:sz w:val="20"/>
          <w:szCs w:val="20"/>
        </w:rPr>
        <w:t>,</w:t>
      </w:r>
      <w:r w:rsidR="00660030" w:rsidRPr="001E78C2">
        <w:rPr>
          <w:color w:val="auto"/>
          <w:sz w:val="20"/>
          <w:szCs w:val="20"/>
        </w:rPr>
        <w:t xml:space="preserve"> </w:t>
      </w:r>
      <w:r w:rsidR="001E78C2" w:rsidRPr="001E78C2">
        <w:rPr>
          <w:color w:val="auto"/>
          <w:sz w:val="20"/>
          <w:szCs w:val="20"/>
        </w:rPr>
        <w:t xml:space="preserve">in our view </w:t>
      </w:r>
      <w:r w:rsidR="00660030" w:rsidRPr="001E78C2">
        <w:rPr>
          <w:color w:val="auto"/>
          <w:sz w:val="20"/>
          <w:szCs w:val="20"/>
        </w:rPr>
        <w:t xml:space="preserve">it is practically impossible for many volatility surfaces and would be a huge burden. Discussions with individuals at </w:t>
      </w:r>
      <w:r w:rsidR="001E78C2" w:rsidRPr="001E78C2">
        <w:rPr>
          <w:color w:val="auto"/>
          <w:sz w:val="20"/>
          <w:szCs w:val="20"/>
        </w:rPr>
        <w:t xml:space="preserve">the </w:t>
      </w:r>
      <w:r w:rsidR="00660030" w:rsidRPr="001E78C2">
        <w:rPr>
          <w:color w:val="auto"/>
          <w:sz w:val="20"/>
          <w:szCs w:val="20"/>
        </w:rPr>
        <w:t xml:space="preserve">national </w:t>
      </w:r>
      <w:r w:rsidR="001E78C2" w:rsidRPr="001E78C2">
        <w:rPr>
          <w:color w:val="auto"/>
          <w:sz w:val="20"/>
          <w:szCs w:val="20"/>
        </w:rPr>
        <w:t>C</w:t>
      </w:r>
      <w:r w:rsidR="00660030" w:rsidRPr="001E78C2">
        <w:rPr>
          <w:color w:val="auto"/>
          <w:sz w:val="20"/>
          <w:szCs w:val="20"/>
        </w:rPr>
        <w:t xml:space="preserve">ompetent </w:t>
      </w:r>
      <w:r w:rsidR="001E78C2" w:rsidRPr="001E78C2">
        <w:rPr>
          <w:color w:val="auto"/>
          <w:sz w:val="20"/>
          <w:szCs w:val="20"/>
        </w:rPr>
        <w:t>A</w:t>
      </w:r>
      <w:r w:rsidR="00660030" w:rsidRPr="001E78C2">
        <w:rPr>
          <w:color w:val="auto"/>
          <w:sz w:val="20"/>
          <w:szCs w:val="20"/>
        </w:rPr>
        <w:t xml:space="preserve">uthorities </w:t>
      </w:r>
      <w:r w:rsidR="001E78C2" w:rsidRPr="001E78C2">
        <w:rPr>
          <w:color w:val="auto"/>
          <w:sz w:val="20"/>
          <w:szCs w:val="20"/>
        </w:rPr>
        <w:t xml:space="preserve">indicated </w:t>
      </w:r>
      <w:r w:rsidR="00660030" w:rsidRPr="001E78C2">
        <w:rPr>
          <w:color w:val="auto"/>
          <w:sz w:val="20"/>
          <w:szCs w:val="20"/>
        </w:rPr>
        <w:t xml:space="preserve">that </w:t>
      </w:r>
      <w:r>
        <w:rPr>
          <w:color w:val="auto"/>
          <w:sz w:val="20"/>
          <w:szCs w:val="20"/>
        </w:rPr>
        <w:t xml:space="preserve">the test </w:t>
      </w:r>
      <w:r w:rsidR="00660030" w:rsidRPr="001E78C2">
        <w:rPr>
          <w:color w:val="auto"/>
          <w:sz w:val="20"/>
          <w:szCs w:val="20"/>
        </w:rPr>
        <w:t xml:space="preserve">wouldn’t be expected to be performed as written which </w:t>
      </w:r>
      <w:r w:rsidR="001E78C2" w:rsidRPr="001E78C2">
        <w:rPr>
          <w:color w:val="auto"/>
          <w:sz w:val="20"/>
          <w:szCs w:val="20"/>
        </w:rPr>
        <w:t xml:space="preserve">adds further to the argument concerning its </w:t>
      </w:r>
      <w:proofErr w:type="spellStart"/>
      <w:r w:rsidR="001E78C2" w:rsidRPr="001E78C2">
        <w:rPr>
          <w:color w:val="auto"/>
          <w:sz w:val="20"/>
          <w:szCs w:val="20"/>
        </w:rPr>
        <w:t>recognis</w:t>
      </w:r>
      <w:r w:rsidR="00660030" w:rsidRPr="001E78C2">
        <w:rPr>
          <w:color w:val="auto"/>
          <w:sz w:val="20"/>
          <w:szCs w:val="20"/>
        </w:rPr>
        <w:t>ed</w:t>
      </w:r>
      <w:proofErr w:type="spellEnd"/>
      <w:r w:rsidR="00660030" w:rsidRPr="001E78C2">
        <w:rPr>
          <w:color w:val="auto"/>
          <w:sz w:val="20"/>
          <w:szCs w:val="20"/>
        </w:rPr>
        <w:t xml:space="preserve"> impracticality.  </w:t>
      </w:r>
    </w:p>
    <w:p w:rsidR="00871CC0" w:rsidRPr="001E78C2" w:rsidRDefault="00871CC0" w:rsidP="00660030">
      <w:pPr>
        <w:pStyle w:val="Default"/>
        <w:rPr>
          <w:color w:val="auto"/>
          <w:sz w:val="20"/>
          <w:szCs w:val="20"/>
        </w:rPr>
      </w:pPr>
      <w:r>
        <w:rPr>
          <w:color w:val="auto"/>
          <w:sz w:val="20"/>
          <w:szCs w:val="20"/>
        </w:rPr>
        <w:t>This will cause potential issues with the reliability of the numbers calculated within the QIS</w:t>
      </w:r>
      <w:r w:rsidR="00C038A8">
        <w:rPr>
          <w:color w:val="auto"/>
          <w:sz w:val="20"/>
          <w:szCs w:val="20"/>
        </w:rPr>
        <w:t>,</w:t>
      </w:r>
      <w:r>
        <w:rPr>
          <w:color w:val="auto"/>
          <w:sz w:val="20"/>
          <w:szCs w:val="20"/>
        </w:rPr>
        <w:t xml:space="preserve"> as discussed within </w:t>
      </w:r>
      <w:r w:rsidR="00C038A8">
        <w:rPr>
          <w:color w:val="auto"/>
          <w:sz w:val="20"/>
          <w:szCs w:val="20"/>
        </w:rPr>
        <w:t>S</w:t>
      </w:r>
      <w:r>
        <w:rPr>
          <w:color w:val="auto"/>
          <w:sz w:val="20"/>
          <w:szCs w:val="20"/>
        </w:rPr>
        <w:t>ection B earlier.</w:t>
      </w:r>
    </w:p>
    <w:p w:rsidR="001E78C2" w:rsidRPr="001E78C2" w:rsidRDefault="001E78C2" w:rsidP="00660030">
      <w:pPr>
        <w:pStyle w:val="Default"/>
        <w:rPr>
          <w:color w:val="auto"/>
          <w:sz w:val="20"/>
          <w:szCs w:val="20"/>
        </w:rPr>
      </w:pPr>
    </w:p>
    <w:p w:rsidR="00660030" w:rsidRPr="00D63710" w:rsidRDefault="00660030" w:rsidP="00660030">
      <w:pPr>
        <w:pStyle w:val="Default"/>
        <w:rPr>
          <w:color w:val="auto"/>
          <w:sz w:val="20"/>
          <w:szCs w:val="20"/>
        </w:rPr>
      </w:pPr>
      <w:r w:rsidRPr="00D63710">
        <w:rPr>
          <w:color w:val="auto"/>
          <w:sz w:val="20"/>
          <w:szCs w:val="20"/>
        </w:rPr>
        <w:t xml:space="preserve">With regard to </w:t>
      </w:r>
      <w:r w:rsidR="001E78C2" w:rsidRPr="00D63710">
        <w:rPr>
          <w:color w:val="auto"/>
          <w:sz w:val="20"/>
          <w:szCs w:val="20"/>
        </w:rPr>
        <w:t xml:space="preserve">certain other </w:t>
      </w:r>
      <w:r w:rsidRPr="00D63710">
        <w:rPr>
          <w:color w:val="auto"/>
          <w:sz w:val="20"/>
          <w:szCs w:val="20"/>
        </w:rPr>
        <w:t>amendments we feel that:</w:t>
      </w:r>
    </w:p>
    <w:p w:rsidR="001E78C2" w:rsidRPr="00D63710" w:rsidRDefault="001E78C2" w:rsidP="00660030">
      <w:pPr>
        <w:pStyle w:val="Default"/>
        <w:rPr>
          <w:color w:val="auto"/>
          <w:sz w:val="20"/>
          <w:szCs w:val="20"/>
        </w:rPr>
      </w:pPr>
    </w:p>
    <w:p w:rsidR="00660030" w:rsidRPr="00D63710" w:rsidRDefault="00660030" w:rsidP="00660030">
      <w:pPr>
        <w:pStyle w:val="Default"/>
        <w:numPr>
          <w:ilvl w:val="0"/>
          <w:numId w:val="13"/>
        </w:numPr>
        <w:rPr>
          <w:color w:val="auto"/>
          <w:sz w:val="20"/>
          <w:szCs w:val="20"/>
        </w:rPr>
      </w:pPr>
      <w:r w:rsidRPr="00D63710">
        <w:rPr>
          <w:color w:val="auto"/>
          <w:sz w:val="20"/>
          <w:szCs w:val="20"/>
        </w:rPr>
        <w:t>Article 8 para</w:t>
      </w:r>
      <w:r w:rsidR="001E78C2" w:rsidRPr="00D63710">
        <w:rPr>
          <w:color w:val="auto"/>
          <w:sz w:val="20"/>
          <w:szCs w:val="20"/>
        </w:rPr>
        <w:t>graph</w:t>
      </w:r>
      <w:r w:rsidRPr="00D63710">
        <w:rPr>
          <w:color w:val="auto"/>
          <w:sz w:val="20"/>
          <w:szCs w:val="20"/>
        </w:rPr>
        <w:t xml:space="preserve"> 2 </w:t>
      </w:r>
      <w:r w:rsidR="001E78C2" w:rsidRPr="00D63710">
        <w:rPr>
          <w:color w:val="auto"/>
          <w:sz w:val="20"/>
          <w:szCs w:val="20"/>
        </w:rPr>
        <w:t>(</w:t>
      </w:r>
      <w:r w:rsidRPr="00D63710">
        <w:rPr>
          <w:color w:val="auto"/>
          <w:sz w:val="20"/>
          <w:szCs w:val="20"/>
        </w:rPr>
        <w:t xml:space="preserve">a) should be amended to include “a tradable price or value for a valuation exposure or a price or value </w:t>
      </w:r>
      <w:r w:rsidR="001E78C2" w:rsidRPr="00D63710">
        <w:rPr>
          <w:color w:val="auto"/>
          <w:sz w:val="20"/>
          <w:szCs w:val="20"/>
        </w:rPr>
        <w:t xml:space="preserve">that </w:t>
      </w:r>
      <w:r w:rsidRPr="00D63710">
        <w:rPr>
          <w:color w:val="auto"/>
          <w:sz w:val="20"/>
          <w:szCs w:val="20"/>
        </w:rPr>
        <w:t xml:space="preserve">can be determined from reliable data…” since “a tradable price” may be felt to exclude for </w:t>
      </w:r>
      <w:r w:rsidR="001E78C2" w:rsidRPr="00D63710">
        <w:rPr>
          <w:color w:val="auto"/>
          <w:sz w:val="20"/>
          <w:szCs w:val="20"/>
        </w:rPr>
        <w:t xml:space="preserve">instance a swap rate </w:t>
      </w:r>
      <w:r w:rsidRPr="00D63710">
        <w:rPr>
          <w:color w:val="auto"/>
          <w:sz w:val="20"/>
          <w:szCs w:val="20"/>
        </w:rPr>
        <w:t>since it is not a price.</w:t>
      </w:r>
    </w:p>
    <w:p w:rsidR="00660030" w:rsidRPr="00D63710" w:rsidRDefault="00660030" w:rsidP="00660030">
      <w:pPr>
        <w:pStyle w:val="Default"/>
        <w:numPr>
          <w:ilvl w:val="0"/>
          <w:numId w:val="13"/>
        </w:numPr>
        <w:rPr>
          <w:color w:val="auto"/>
          <w:sz w:val="20"/>
          <w:szCs w:val="20"/>
        </w:rPr>
      </w:pPr>
      <w:r w:rsidRPr="00D63710">
        <w:rPr>
          <w:color w:val="auto"/>
          <w:sz w:val="20"/>
          <w:szCs w:val="20"/>
        </w:rPr>
        <w:t>Article 8 para</w:t>
      </w:r>
      <w:r w:rsidR="00D63710" w:rsidRPr="00D63710">
        <w:rPr>
          <w:color w:val="auto"/>
          <w:sz w:val="20"/>
          <w:szCs w:val="20"/>
        </w:rPr>
        <w:t xml:space="preserve">graph </w:t>
      </w:r>
      <w:r w:rsidRPr="00D63710">
        <w:rPr>
          <w:color w:val="auto"/>
          <w:sz w:val="20"/>
          <w:szCs w:val="20"/>
        </w:rPr>
        <w:t xml:space="preserve">4 </w:t>
      </w:r>
      <w:r w:rsidR="00D63710" w:rsidRPr="00D63710">
        <w:rPr>
          <w:color w:val="auto"/>
          <w:sz w:val="20"/>
          <w:szCs w:val="20"/>
        </w:rPr>
        <w:t>(</w:t>
      </w:r>
      <w:r w:rsidRPr="00D63710">
        <w:rPr>
          <w:color w:val="auto"/>
          <w:sz w:val="20"/>
          <w:szCs w:val="20"/>
        </w:rPr>
        <w:t xml:space="preserve">a) and </w:t>
      </w:r>
      <w:r w:rsidR="00D63710" w:rsidRPr="00D63710">
        <w:rPr>
          <w:color w:val="auto"/>
          <w:sz w:val="20"/>
          <w:szCs w:val="20"/>
        </w:rPr>
        <w:t>A</w:t>
      </w:r>
      <w:r w:rsidRPr="00D63710">
        <w:rPr>
          <w:color w:val="auto"/>
          <w:sz w:val="20"/>
          <w:szCs w:val="20"/>
        </w:rPr>
        <w:t>rticle 9 para</w:t>
      </w:r>
      <w:r w:rsidR="00D63710" w:rsidRPr="00D63710">
        <w:rPr>
          <w:color w:val="auto"/>
          <w:sz w:val="20"/>
          <w:szCs w:val="20"/>
        </w:rPr>
        <w:t>graph</w:t>
      </w:r>
      <w:r w:rsidRPr="00D63710">
        <w:rPr>
          <w:color w:val="auto"/>
          <w:sz w:val="20"/>
          <w:szCs w:val="20"/>
        </w:rPr>
        <w:t xml:space="preserve"> 5 </w:t>
      </w:r>
      <w:r w:rsidR="00D63710" w:rsidRPr="00D63710">
        <w:rPr>
          <w:color w:val="auto"/>
          <w:sz w:val="20"/>
          <w:szCs w:val="20"/>
        </w:rPr>
        <w:t>(</w:t>
      </w:r>
      <w:r w:rsidRPr="00D63710">
        <w:rPr>
          <w:color w:val="auto"/>
          <w:sz w:val="20"/>
          <w:szCs w:val="20"/>
        </w:rPr>
        <w:t xml:space="preserve">a) should be amended to reflect the fact that some non-derivative positions will require analysis of their inputs as opposed to their price and so should be amended to say something like “Institutions shall calculate AVAs on valuation exposures related to each </w:t>
      </w:r>
      <w:r w:rsidRPr="00D63710">
        <w:rPr>
          <w:color w:val="auto"/>
          <w:sz w:val="20"/>
          <w:szCs w:val="20"/>
        </w:rPr>
        <w:lastRenderedPageBreak/>
        <w:t xml:space="preserve">valuation input used in the relevant valuation model. The valuation input </w:t>
      </w:r>
      <w:r w:rsidRPr="00D63710">
        <w:rPr>
          <w:color w:val="auto"/>
          <w:sz w:val="20"/>
          <w:szCs w:val="20"/>
          <w:u w:val="single"/>
        </w:rPr>
        <w:t>may</w:t>
      </w:r>
      <w:r w:rsidRPr="00D63710">
        <w:rPr>
          <w:color w:val="auto"/>
          <w:sz w:val="20"/>
          <w:szCs w:val="20"/>
        </w:rPr>
        <w:t xml:space="preserve"> be the price of the instrument”</w:t>
      </w:r>
      <w:r w:rsidR="0085142C">
        <w:rPr>
          <w:color w:val="auto"/>
          <w:sz w:val="20"/>
          <w:szCs w:val="20"/>
        </w:rPr>
        <w:t xml:space="preserve">, </w:t>
      </w:r>
      <w:r w:rsidRPr="00D63710">
        <w:rPr>
          <w:color w:val="auto"/>
          <w:sz w:val="20"/>
          <w:szCs w:val="20"/>
        </w:rPr>
        <w:t xml:space="preserve">with </w:t>
      </w:r>
      <w:r w:rsidR="00D63710">
        <w:rPr>
          <w:color w:val="auto"/>
          <w:sz w:val="20"/>
          <w:szCs w:val="20"/>
        </w:rPr>
        <w:t xml:space="preserve">the word </w:t>
      </w:r>
      <w:r w:rsidRPr="00D63710">
        <w:rPr>
          <w:color w:val="auto"/>
          <w:sz w:val="20"/>
          <w:szCs w:val="20"/>
        </w:rPr>
        <w:t xml:space="preserve">“may” </w:t>
      </w:r>
      <w:proofErr w:type="gramStart"/>
      <w:r w:rsidRPr="00D63710">
        <w:rPr>
          <w:color w:val="auto"/>
          <w:sz w:val="20"/>
          <w:szCs w:val="20"/>
        </w:rPr>
        <w:t>replacing</w:t>
      </w:r>
      <w:proofErr w:type="gramEnd"/>
      <w:r w:rsidR="00D63710">
        <w:rPr>
          <w:color w:val="auto"/>
          <w:sz w:val="20"/>
          <w:szCs w:val="20"/>
        </w:rPr>
        <w:t xml:space="preserve"> the word </w:t>
      </w:r>
      <w:r w:rsidRPr="00D63710">
        <w:rPr>
          <w:color w:val="auto"/>
          <w:sz w:val="20"/>
          <w:szCs w:val="20"/>
        </w:rPr>
        <w:t xml:space="preserve">“will”. </w:t>
      </w:r>
    </w:p>
    <w:p w:rsidR="00660030" w:rsidRPr="0085142C" w:rsidRDefault="00660030" w:rsidP="00660030">
      <w:pPr>
        <w:pStyle w:val="Default"/>
        <w:numPr>
          <w:ilvl w:val="0"/>
          <w:numId w:val="13"/>
        </w:numPr>
        <w:rPr>
          <w:sz w:val="20"/>
          <w:szCs w:val="20"/>
        </w:rPr>
      </w:pPr>
      <w:r w:rsidRPr="0085142C">
        <w:rPr>
          <w:sz w:val="20"/>
          <w:szCs w:val="20"/>
        </w:rPr>
        <w:t>Article 8 para</w:t>
      </w:r>
      <w:r w:rsidR="0085142C" w:rsidRPr="0085142C">
        <w:rPr>
          <w:sz w:val="20"/>
          <w:szCs w:val="20"/>
        </w:rPr>
        <w:t>graph</w:t>
      </w:r>
      <w:r w:rsidRPr="0085142C">
        <w:rPr>
          <w:sz w:val="20"/>
          <w:szCs w:val="20"/>
        </w:rPr>
        <w:t xml:space="preserve"> 5 </w:t>
      </w:r>
      <w:r w:rsidR="0085142C" w:rsidRPr="0085142C">
        <w:rPr>
          <w:sz w:val="20"/>
          <w:szCs w:val="20"/>
        </w:rPr>
        <w:t>(</w:t>
      </w:r>
      <w:r w:rsidRPr="0085142C">
        <w:rPr>
          <w:sz w:val="20"/>
          <w:szCs w:val="20"/>
        </w:rPr>
        <w:t xml:space="preserve">a) </w:t>
      </w:r>
      <w:r w:rsidR="0085142C" w:rsidRPr="0085142C">
        <w:rPr>
          <w:sz w:val="20"/>
          <w:szCs w:val="20"/>
        </w:rPr>
        <w:t>(</w:t>
      </w:r>
      <w:r w:rsidRPr="0085142C">
        <w:rPr>
          <w:sz w:val="20"/>
          <w:szCs w:val="20"/>
        </w:rPr>
        <w:t xml:space="preserve">1) should </w:t>
      </w:r>
      <w:r w:rsidR="0085142C" w:rsidRPr="0085142C">
        <w:rPr>
          <w:sz w:val="20"/>
          <w:szCs w:val="20"/>
        </w:rPr>
        <w:t xml:space="preserve">be amended to </w:t>
      </w:r>
      <w:r w:rsidRPr="0085142C">
        <w:rPr>
          <w:sz w:val="20"/>
          <w:szCs w:val="20"/>
        </w:rPr>
        <w:t xml:space="preserve">replace </w:t>
      </w:r>
      <w:r w:rsidR="0085142C" w:rsidRPr="0085142C">
        <w:rPr>
          <w:sz w:val="20"/>
          <w:szCs w:val="20"/>
        </w:rPr>
        <w:t xml:space="preserve">the words </w:t>
      </w:r>
      <w:r w:rsidRPr="0085142C">
        <w:rPr>
          <w:sz w:val="20"/>
          <w:szCs w:val="20"/>
        </w:rPr>
        <w:t xml:space="preserve">“exit prices” with “exit values” and </w:t>
      </w:r>
      <w:r w:rsidR="0085142C" w:rsidRPr="0085142C">
        <w:rPr>
          <w:sz w:val="20"/>
          <w:szCs w:val="20"/>
        </w:rPr>
        <w:t xml:space="preserve">the word </w:t>
      </w:r>
      <w:r w:rsidRPr="0085142C">
        <w:rPr>
          <w:sz w:val="20"/>
          <w:szCs w:val="20"/>
        </w:rPr>
        <w:t xml:space="preserve">“price” with “value” since the valuation input may not be based on a price so that it reads “For a valuation input where the range of plausible values is based on exit </w:t>
      </w:r>
      <w:r w:rsidRPr="0085142C">
        <w:rPr>
          <w:sz w:val="20"/>
          <w:szCs w:val="20"/>
          <w:u w:val="single"/>
        </w:rPr>
        <w:t>values</w:t>
      </w:r>
      <w:r w:rsidRPr="0085142C">
        <w:rPr>
          <w:sz w:val="20"/>
          <w:szCs w:val="20"/>
        </w:rPr>
        <w:t xml:space="preserve">, institutions shall estimate a point within the range where it is 90% confident it could exit the valuation exposure at that value or better”. </w:t>
      </w:r>
    </w:p>
    <w:p w:rsidR="00660030" w:rsidRDefault="0085142C" w:rsidP="00660030">
      <w:pPr>
        <w:pStyle w:val="Default"/>
        <w:numPr>
          <w:ilvl w:val="0"/>
          <w:numId w:val="13"/>
        </w:numPr>
        <w:rPr>
          <w:color w:val="auto"/>
          <w:sz w:val="20"/>
          <w:szCs w:val="20"/>
        </w:rPr>
      </w:pPr>
      <w:r w:rsidRPr="0085142C">
        <w:rPr>
          <w:color w:val="auto"/>
          <w:sz w:val="20"/>
          <w:szCs w:val="20"/>
        </w:rPr>
        <w:t>Similarly for A</w:t>
      </w:r>
      <w:r w:rsidR="00660030" w:rsidRPr="0085142C">
        <w:rPr>
          <w:color w:val="auto"/>
          <w:sz w:val="20"/>
          <w:szCs w:val="20"/>
        </w:rPr>
        <w:t>rticle 8 para</w:t>
      </w:r>
      <w:r w:rsidRPr="0085142C">
        <w:rPr>
          <w:color w:val="auto"/>
          <w:sz w:val="20"/>
          <w:szCs w:val="20"/>
        </w:rPr>
        <w:t xml:space="preserve">graph </w:t>
      </w:r>
      <w:r w:rsidR="00660030" w:rsidRPr="0085142C">
        <w:rPr>
          <w:color w:val="auto"/>
          <w:sz w:val="20"/>
          <w:szCs w:val="20"/>
        </w:rPr>
        <w:t xml:space="preserve">5 </w:t>
      </w:r>
      <w:r w:rsidRPr="0085142C">
        <w:rPr>
          <w:color w:val="auto"/>
          <w:sz w:val="20"/>
          <w:szCs w:val="20"/>
        </w:rPr>
        <w:t>(</w:t>
      </w:r>
      <w:r w:rsidR="00660030" w:rsidRPr="0085142C">
        <w:rPr>
          <w:color w:val="auto"/>
          <w:sz w:val="20"/>
          <w:szCs w:val="20"/>
        </w:rPr>
        <w:t xml:space="preserve">a) </w:t>
      </w:r>
      <w:r w:rsidRPr="0085142C">
        <w:rPr>
          <w:color w:val="auto"/>
          <w:sz w:val="20"/>
          <w:szCs w:val="20"/>
        </w:rPr>
        <w:t>(</w:t>
      </w:r>
      <w:r w:rsidR="00660030" w:rsidRPr="0085142C">
        <w:rPr>
          <w:color w:val="auto"/>
          <w:sz w:val="20"/>
          <w:szCs w:val="20"/>
        </w:rPr>
        <w:t xml:space="preserve">2) “price” should be replaced with “value” to become “For a valuation input where the range of plausible values is created from mid </w:t>
      </w:r>
      <w:r w:rsidR="00660030" w:rsidRPr="0085142C">
        <w:rPr>
          <w:color w:val="auto"/>
          <w:sz w:val="20"/>
          <w:szCs w:val="20"/>
          <w:u w:val="single"/>
        </w:rPr>
        <w:t>values</w:t>
      </w:r>
      <w:r w:rsidR="00660030" w:rsidRPr="0085142C">
        <w:rPr>
          <w:color w:val="auto"/>
          <w:sz w:val="20"/>
          <w:szCs w:val="20"/>
        </w:rPr>
        <w:t xml:space="preserve">, institutions shall estimate a point within the range where it is 90% confident that the mid value it could achieve in exiting the valuation exposure would be at that </w:t>
      </w:r>
      <w:r w:rsidR="00660030" w:rsidRPr="0085142C">
        <w:rPr>
          <w:color w:val="auto"/>
          <w:sz w:val="20"/>
          <w:szCs w:val="20"/>
          <w:u w:val="single"/>
        </w:rPr>
        <w:t>value</w:t>
      </w:r>
      <w:r w:rsidR="00660030" w:rsidRPr="0085142C">
        <w:rPr>
          <w:color w:val="auto"/>
          <w:sz w:val="20"/>
          <w:szCs w:val="20"/>
        </w:rPr>
        <w:t xml:space="preserve"> or better ” </w:t>
      </w:r>
    </w:p>
    <w:p w:rsidR="00660030" w:rsidRDefault="004E2EC3" w:rsidP="005434DD">
      <w:pPr>
        <w:pStyle w:val="Default"/>
        <w:ind w:left="720" w:hanging="510"/>
        <w:rPr>
          <w:color w:val="auto"/>
          <w:sz w:val="20"/>
          <w:szCs w:val="20"/>
        </w:rPr>
      </w:pPr>
      <w:r>
        <w:rPr>
          <w:color w:val="auto"/>
          <w:sz w:val="20"/>
          <w:szCs w:val="20"/>
        </w:rPr>
        <w:t>v</w:t>
      </w:r>
      <w:r w:rsidRPr="004E2EC3">
        <w:rPr>
          <w:color w:val="auto"/>
          <w:sz w:val="20"/>
          <w:szCs w:val="20"/>
        </w:rPr>
        <w:t xml:space="preserve">.         </w:t>
      </w:r>
      <w:r w:rsidR="00660030" w:rsidRPr="004E2EC3">
        <w:rPr>
          <w:color w:val="auto"/>
          <w:sz w:val="20"/>
          <w:szCs w:val="20"/>
        </w:rPr>
        <w:t xml:space="preserve">Article 9 </w:t>
      </w:r>
      <w:r w:rsidR="0085142C" w:rsidRPr="004E2EC3">
        <w:rPr>
          <w:color w:val="auto"/>
          <w:sz w:val="20"/>
          <w:szCs w:val="20"/>
        </w:rPr>
        <w:t xml:space="preserve">we feel may need some rewording as </w:t>
      </w:r>
      <w:r w:rsidR="00660030" w:rsidRPr="004E2EC3">
        <w:rPr>
          <w:color w:val="auto"/>
          <w:sz w:val="20"/>
          <w:szCs w:val="20"/>
        </w:rPr>
        <w:t xml:space="preserve">paragraphs 2-4 </w:t>
      </w:r>
      <w:r w:rsidRPr="004E2EC3">
        <w:rPr>
          <w:color w:val="auto"/>
          <w:sz w:val="20"/>
          <w:szCs w:val="20"/>
        </w:rPr>
        <w:t xml:space="preserve">do not seem to </w:t>
      </w:r>
      <w:proofErr w:type="spellStart"/>
      <w:r w:rsidRPr="004E2EC3">
        <w:rPr>
          <w:color w:val="auto"/>
          <w:sz w:val="20"/>
          <w:szCs w:val="20"/>
        </w:rPr>
        <w:t>recognis</w:t>
      </w:r>
      <w:r w:rsidR="0085142C" w:rsidRPr="004E2EC3">
        <w:rPr>
          <w:color w:val="auto"/>
          <w:sz w:val="20"/>
          <w:szCs w:val="20"/>
        </w:rPr>
        <w:t>e</w:t>
      </w:r>
      <w:proofErr w:type="spellEnd"/>
      <w:r w:rsidR="0085142C" w:rsidRPr="004E2EC3">
        <w:rPr>
          <w:color w:val="auto"/>
          <w:sz w:val="20"/>
          <w:szCs w:val="20"/>
        </w:rPr>
        <w:t xml:space="preserve"> t</w:t>
      </w:r>
      <w:r w:rsidRPr="004E2EC3">
        <w:rPr>
          <w:color w:val="auto"/>
          <w:sz w:val="20"/>
          <w:szCs w:val="20"/>
        </w:rPr>
        <w:t xml:space="preserve">he fact that the </w:t>
      </w:r>
      <w:r>
        <w:rPr>
          <w:color w:val="auto"/>
          <w:sz w:val="20"/>
          <w:szCs w:val="20"/>
        </w:rPr>
        <w:t xml:space="preserve"> </w:t>
      </w:r>
      <w:r w:rsidRPr="004E2EC3">
        <w:rPr>
          <w:color w:val="auto"/>
          <w:sz w:val="20"/>
          <w:szCs w:val="20"/>
        </w:rPr>
        <w:t xml:space="preserve">calculation of </w:t>
      </w:r>
      <w:r w:rsidR="00660030" w:rsidRPr="004E2EC3">
        <w:rPr>
          <w:color w:val="auto"/>
          <w:sz w:val="20"/>
          <w:szCs w:val="20"/>
        </w:rPr>
        <w:t xml:space="preserve">market </w:t>
      </w:r>
      <w:r w:rsidRPr="004E2EC3">
        <w:rPr>
          <w:color w:val="auto"/>
          <w:sz w:val="20"/>
          <w:szCs w:val="20"/>
        </w:rPr>
        <w:t xml:space="preserve">price </w:t>
      </w:r>
      <w:r w:rsidR="00660030" w:rsidRPr="004E2EC3">
        <w:rPr>
          <w:color w:val="auto"/>
          <w:sz w:val="20"/>
          <w:szCs w:val="20"/>
        </w:rPr>
        <w:t xml:space="preserve">uncertainty </w:t>
      </w:r>
      <w:r w:rsidRPr="004E2EC3">
        <w:rPr>
          <w:color w:val="auto"/>
          <w:sz w:val="20"/>
          <w:szCs w:val="20"/>
        </w:rPr>
        <w:t xml:space="preserve">in Article 8 </w:t>
      </w:r>
      <w:r w:rsidR="00660030" w:rsidRPr="004E2EC3">
        <w:rPr>
          <w:color w:val="auto"/>
          <w:sz w:val="20"/>
          <w:szCs w:val="20"/>
        </w:rPr>
        <w:t>may have been calc</w:t>
      </w:r>
      <w:r w:rsidRPr="004E2EC3">
        <w:rPr>
          <w:color w:val="auto"/>
          <w:sz w:val="20"/>
          <w:szCs w:val="20"/>
        </w:rPr>
        <w:t>ulated on an exit basis as per A</w:t>
      </w:r>
      <w:r w:rsidR="00660030" w:rsidRPr="004E2EC3">
        <w:rPr>
          <w:color w:val="auto"/>
          <w:sz w:val="20"/>
          <w:szCs w:val="20"/>
        </w:rPr>
        <w:t>rticle 8 para</w:t>
      </w:r>
      <w:r w:rsidRPr="004E2EC3">
        <w:rPr>
          <w:color w:val="auto"/>
          <w:sz w:val="20"/>
          <w:szCs w:val="20"/>
        </w:rPr>
        <w:t>graph</w:t>
      </w:r>
      <w:r w:rsidR="00660030" w:rsidRPr="004E2EC3">
        <w:rPr>
          <w:color w:val="auto"/>
          <w:sz w:val="20"/>
          <w:szCs w:val="20"/>
        </w:rPr>
        <w:t xml:space="preserve"> 5 </w:t>
      </w:r>
      <w:r w:rsidRPr="004E2EC3">
        <w:rPr>
          <w:color w:val="auto"/>
          <w:sz w:val="20"/>
          <w:szCs w:val="20"/>
        </w:rPr>
        <w:t>(</w:t>
      </w:r>
      <w:r w:rsidR="00660030" w:rsidRPr="004E2EC3">
        <w:rPr>
          <w:color w:val="auto"/>
          <w:sz w:val="20"/>
          <w:szCs w:val="20"/>
        </w:rPr>
        <w:t xml:space="preserve">a)  and so would not require </w:t>
      </w:r>
      <w:r w:rsidRPr="004E2EC3">
        <w:rPr>
          <w:color w:val="auto"/>
          <w:sz w:val="20"/>
          <w:szCs w:val="20"/>
        </w:rPr>
        <w:t>further close-out costs within A</w:t>
      </w:r>
      <w:r w:rsidR="00660030" w:rsidRPr="004E2EC3">
        <w:rPr>
          <w:color w:val="auto"/>
          <w:sz w:val="20"/>
          <w:szCs w:val="20"/>
        </w:rPr>
        <w:t>rticle 9. Para</w:t>
      </w:r>
      <w:r w:rsidRPr="004E2EC3">
        <w:rPr>
          <w:color w:val="auto"/>
          <w:sz w:val="20"/>
          <w:szCs w:val="20"/>
        </w:rPr>
        <w:t>graph</w:t>
      </w:r>
      <w:r w:rsidR="00660030" w:rsidRPr="004E2EC3">
        <w:rPr>
          <w:color w:val="auto"/>
          <w:sz w:val="20"/>
          <w:szCs w:val="20"/>
        </w:rPr>
        <w:t xml:space="preserve"> 2 only exempts this calculation </w:t>
      </w:r>
      <w:r w:rsidRPr="004E2EC3">
        <w:rPr>
          <w:color w:val="auto"/>
          <w:sz w:val="20"/>
          <w:szCs w:val="20"/>
        </w:rPr>
        <w:t xml:space="preserve">where there is </w:t>
      </w:r>
      <w:r w:rsidR="00660030" w:rsidRPr="004E2EC3">
        <w:rPr>
          <w:color w:val="auto"/>
          <w:sz w:val="20"/>
          <w:szCs w:val="20"/>
        </w:rPr>
        <w:t xml:space="preserve">“firm evidence of a tradable price”. The close-out costs should clearly only be required where market uncertainty has not been calculated as an exit uncertainty. Article 9 </w:t>
      </w:r>
      <w:proofErr w:type="gramStart"/>
      <w:r w:rsidR="00922F6B">
        <w:rPr>
          <w:color w:val="auto"/>
          <w:sz w:val="20"/>
          <w:szCs w:val="20"/>
        </w:rPr>
        <w:t>p</w:t>
      </w:r>
      <w:r w:rsidR="00660030" w:rsidRPr="004E2EC3">
        <w:rPr>
          <w:color w:val="auto"/>
          <w:sz w:val="20"/>
          <w:szCs w:val="20"/>
        </w:rPr>
        <w:t>aragraph</w:t>
      </w:r>
      <w:proofErr w:type="gramEnd"/>
      <w:r w:rsidR="00660030" w:rsidRPr="004E2EC3">
        <w:rPr>
          <w:color w:val="auto"/>
          <w:sz w:val="20"/>
          <w:szCs w:val="20"/>
        </w:rPr>
        <w:t xml:space="preserve"> 2 should </w:t>
      </w:r>
      <w:r w:rsidRPr="004E2EC3">
        <w:rPr>
          <w:color w:val="auto"/>
          <w:sz w:val="20"/>
          <w:szCs w:val="20"/>
        </w:rPr>
        <w:t xml:space="preserve">therefore </w:t>
      </w:r>
      <w:r w:rsidR="00660030" w:rsidRPr="004E2EC3">
        <w:rPr>
          <w:color w:val="auto"/>
          <w:sz w:val="20"/>
          <w:szCs w:val="20"/>
        </w:rPr>
        <w:t xml:space="preserve">be amended to </w:t>
      </w:r>
      <w:r w:rsidRPr="004E2EC3">
        <w:rPr>
          <w:color w:val="auto"/>
          <w:sz w:val="20"/>
          <w:szCs w:val="20"/>
        </w:rPr>
        <w:t xml:space="preserve">read </w:t>
      </w:r>
      <w:r w:rsidR="00660030" w:rsidRPr="004E2EC3">
        <w:rPr>
          <w:color w:val="auto"/>
          <w:sz w:val="20"/>
          <w:szCs w:val="20"/>
        </w:rPr>
        <w:t>something like:</w:t>
      </w:r>
      <w:r w:rsidRPr="004E2EC3">
        <w:rPr>
          <w:color w:val="auto"/>
          <w:sz w:val="20"/>
          <w:szCs w:val="20"/>
        </w:rPr>
        <w:t xml:space="preserve"> </w:t>
      </w:r>
      <w:r w:rsidR="00660030" w:rsidRPr="004E2EC3">
        <w:rPr>
          <w:color w:val="auto"/>
          <w:sz w:val="20"/>
          <w:szCs w:val="20"/>
        </w:rPr>
        <w:t>“When an institution has calculated a market price uncertainty AVA for a valuation exposure based on exit values, the close-out cost AVA may be assessed to have zero value”</w:t>
      </w:r>
    </w:p>
    <w:p w:rsidR="00660030" w:rsidRPr="004E2EC3" w:rsidRDefault="009511B1" w:rsidP="005434DD">
      <w:pPr>
        <w:pStyle w:val="Default"/>
        <w:ind w:left="720" w:hanging="720"/>
        <w:rPr>
          <w:sz w:val="20"/>
          <w:szCs w:val="20"/>
        </w:rPr>
      </w:pPr>
      <w:r>
        <w:rPr>
          <w:color w:val="auto"/>
          <w:sz w:val="20"/>
          <w:szCs w:val="20"/>
        </w:rPr>
        <w:t xml:space="preserve">      </w:t>
      </w:r>
      <w:r w:rsidR="004E2EC3">
        <w:rPr>
          <w:color w:val="auto"/>
          <w:sz w:val="20"/>
          <w:szCs w:val="20"/>
        </w:rPr>
        <w:t>vi</w:t>
      </w:r>
      <w:r w:rsidR="005434DD">
        <w:rPr>
          <w:sz w:val="20"/>
          <w:szCs w:val="20"/>
        </w:rPr>
        <w:t xml:space="preserve">.      </w:t>
      </w:r>
      <w:r w:rsidR="00660030" w:rsidRPr="004E2EC3">
        <w:rPr>
          <w:sz w:val="20"/>
          <w:szCs w:val="20"/>
        </w:rPr>
        <w:t xml:space="preserve">Either Article 9 should include a section that allows full portfolio exit costs to be calculated including the </w:t>
      </w:r>
      <w:r>
        <w:rPr>
          <w:sz w:val="20"/>
          <w:szCs w:val="20"/>
        </w:rPr>
        <w:t xml:space="preserve">     </w:t>
      </w:r>
      <w:r w:rsidR="00660030" w:rsidRPr="004E2EC3">
        <w:rPr>
          <w:sz w:val="20"/>
          <w:szCs w:val="20"/>
        </w:rPr>
        <w:t xml:space="preserve">future administrative cost aspect or the future administrative cost section in </w:t>
      </w:r>
      <w:r w:rsidR="004E2EC3" w:rsidRPr="004E2EC3">
        <w:rPr>
          <w:sz w:val="20"/>
          <w:szCs w:val="20"/>
        </w:rPr>
        <w:t>A</w:t>
      </w:r>
      <w:r w:rsidR="00660030" w:rsidRPr="004E2EC3">
        <w:rPr>
          <w:sz w:val="20"/>
          <w:szCs w:val="20"/>
        </w:rPr>
        <w:t>rticle 14 should be amended to allow the calculation to reflect the future administrative costs a market participant would charge if the portfolio were being exited (</w:t>
      </w:r>
      <w:r w:rsidR="004E2EC3" w:rsidRPr="004E2EC3">
        <w:rPr>
          <w:sz w:val="20"/>
          <w:szCs w:val="20"/>
        </w:rPr>
        <w:t xml:space="preserve">please </w:t>
      </w:r>
      <w:r w:rsidR="00660030" w:rsidRPr="004E2EC3">
        <w:rPr>
          <w:sz w:val="20"/>
          <w:szCs w:val="20"/>
        </w:rPr>
        <w:t>also see</w:t>
      </w:r>
      <w:r w:rsidR="004E2EC3" w:rsidRPr="004E2EC3">
        <w:rPr>
          <w:sz w:val="20"/>
          <w:szCs w:val="20"/>
        </w:rPr>
        <w:t xml:space="preserve"> our</w:t>
      </w:r>
      <w:r w:rsidR="00660030" w:rsidRPr="004E2EC3">
        <w:rPr>
          <w:sz w:val="20"/>
          <w:szCs w:val="20"/>
        </w:rPr>
        <w:t xml:space="preserve"> response to Q</w:t>
      </w:r>
      <w:r w:rsidR="00AE6E1C">
        <w:rPr>
          <w:sz w:val="20"/>
          <w:szCs w:val="20"/>
        </w:rPr>
        <w:t>uestion</w:t>
      </w:r>
      <w:r w:rsidR="004E2EC3" w:rsidRPr="004E2EC3">
        <w:rPr>
          <w:sz w:val="20"/>
          <w:szCs w:val="20"/>
        </w:rPr>
        <w:t xml:space="preserve"> </w:t>
      </w:r>
      <w:r w:rsidR="00660030" w:rsidRPr="004E2EC3">
        <w:rPr>
          <w:sz w:val="20"/>
          <w:szCs w:val="20"/>
        </w:rPr>
        <w:t xml:space="preserve">8).  </w:t>
      </w:r>
    </w:p>
    <w:p w:rsidR="00660030" w:rsidRPr="004E2EC3" w:rsidRDefault="00660030" w:rsidP="00660030">
      <w:pPr>
        <w:pStyle w:val="Default"/>
        <w:rPr>
          <w:sz w:val="20"/>
          <w:szCs w:val="20"/>
        </w:rPr>
      </w:pPr>
    </w:p>
    <w:p w:rsidR="00660030" w:rsidRPr="004E2EC3" w:rsidRDefault="00660030" w:rsidP="00660030">
      <w:pPr>
        <w:pStyle w:val="Default"/>
        <w:rPr>
          <w:sz w:val="20"/>
          <w:szCs w:val="20"/>
        </w:rPr>
      </w:pPr>
      <w:r w:rsidRPr="004E2EC3">
        <w:rPr>
          <w:sz w:val="20"/>
          <w:szCs w:val="20"/>
        </w:rPr>
        <w:t xml:space="preserve">The industry would </w:t>
      </w:r>
      <w:r w:rsidR="004E2EC3">
        <w:rPr>
          <w:sz w:val="20"/>
          <w:szCs w:val="20"/>
        </w:rPr>
        <w:t xml:space="preserve">of course </w:t>
      </w:r>
      <w:r w:rsidRPr="004E2EC3">
        <w:rPr>
          <w:sz w:val="20"/>
          <w:szCs w:val="20"/>
        </w:rPr>
        <w:t xml:space="preserve">be </w:t>
      </w:r>
      <w:r w:rsidR="004E2EC3">
        <w:rPr>
          <w:sz w:val="20"/>
          <w:szCs w:val="20"/>
        </w:rPr>
        <w:t>happy to work with the EBA and C</w:t>
      </w:r>
      <w:r w:rsidRPr="004E2EC3">
        <w:rPr>
          <w:sz w:val="20"/>
          <w:szCs w:val="20"/>
        </w:rPr>
        <w:t xml:space="preserve">ompetent </w:t>
      </w:r>
      <w:r w:rsidR="004E2EC3">
        <w:rPr>
          <w:sz w:val="20"/>
          <w:szCs w:val="20"/>
        </w:rPr>
        <w:t>A</w:t>
      </w:r>
      <w:r w:rsidRPr="004E2EC3">
        <w:rPr>
          <w:sz w:val="20"/>
          <w:szCs w:val="20"/>
        </w:rPr>
        <w:t xml:space="preserve">uthorities on some </w:t>
      </w:r>
      <w:r w:rsidR="004E2EC3">
        <w:rPr>
          <w:sz w:val="20"/>
          <w:szCs w:val="20"/>
        </w:rPr>
        <w:t xml:space="preserve">form of </w:t>
      </w:r>
      <w:r w:rsidRPr="004E2EC3">
        <w:rPr>
          <w:sz w:val="20"/>
          <w:szCs w:val="20"/>
        </w:rPr>
        <w:t>suitable alternative wording for these key AVA’s.</w:t>
      </w:r>
    </w:p>
    <w:p w:rsidR="00660030" w:rsidRPr="004E2EC3" w:rsidRDefault="00660030" w:rsidP="00660030">
      <w:pPr>
        <w:pStyle w:val="Default"/>
        <w:rPr>
          <w:sz w:val="20"/>
          <w:szCs w:val="20"/>
        </w:rPr>
      </w:pPr>
    </w:p>
    <w:p w:rsidR="00660030" w:rsidRPr="00D06DE7" w:rsidRDefault="00660030" w:rsidP="00660030">
      <w:pPr>
        <w:pStyle w:val="Default"/>
        <w:rPr>
          <w:color w:val="auto"/>
          <w:sz w:val="20"/>
          <w:szCs w:val="20"/>
        </w:rPr>
      </w:pPr>
      <w:r w:rsidRPr="00D06DE7">
        <w:rPr>
          <w:b/>
          <w:color w:val="auto"/>
          <w:sz w:val="20"/>
          <w:szCs w:val="20"/>
        </w:rPr>
        <w:t>Example</w:t>
      </w:r>
      <w:r w:rsidR="004E2EC3" w:rsidRPr="00D06DE7">
        <w:rPr>
          <w:b/>
          <w:color w:val="auto"/>
          <w:sz w:val="20"/>
          <w:szCs w:val="20"/>
        </w:rPr>
        <w:t xml:space="preserve"> of a</w:t>
      </w:r>
      <w:r w:rsidRPr="00D06DE7">
        <w:rPr>
          <w:b/>
          <w:color w:val="auto"/>
          <w:sz w:val="20"/>
          <w:szCs w:val="20"/>
        </w:rPr>
        <w:t xml:space="preserve"> “Frankenstein” forward curve</w:t>
      </w:r>
      <w:r w:rsidRPr="00D06DE7">
        <w:rPr>
          <w:color w:val="auto"/>
          <w:sz w:val="20"/>
          <w:szCs w:val="20"/>
        </w:rPr>
        <w:t>:</w:t>
      </w:r>
    </w:p>
    <w:p w:rsidR="004E2EC3" w:rsidRPr="00D06DE7" w:rsidRDefault="004E2EC3" w:rsidP="00660030">
      <w:pPr>
        <w:pStyle w:val="Default"/>
        <w:rPr>
          <w:color w:val="auto"/>
          <w:sz w:val="20"/>
          <w:szCs w:val="20"/>
        </w:rPr>
      </w:pPr>
    </w:p>
    <w:p w:rsidR="00660030" w:rsidRPr="00D06DE7" w:rsidRDefault="00660030" w:rsidP="00660030">
      <w:pPr>
        <w:pStyle w:val="Default"/>
        <w:rPr>
          <w:color w:val="auto"/>
          <w:sz w:val="20"/>
          <w:szCs w:val="20"/>
        </w:rPr>
      </w:pPr>
      <w:r w:rsidRPr="00D06DE7">
        <w:rPr>
          <w:color w:val="auto"/>
          <w:sz w:val="20"/>
          <w:szCs w:val="20"/>
        </w:rPr>
        <w:t xml:space="preserve">This uses the FV rates and upper/lower ranges </w:t>
      </w:r>
      <w:r w:rsidR="00D06DE7" w:rsidRPr="00D06DE7">
        <w:rPr>
          <w:color w:val="auto"/>
          <w:sz w:val="20"/>
          <w:szCs w:val="20"/>
        </w:rPr>
        <w:t>from table 1 of the example in Section 5.1 of the Consultation P</w:t>
      </w:r>
      <w:r w:rsidRPr="00D06DE7">
        <w:rPr>
          <w:color w:val="auto"/>
          <w:sz w:val="20"/>
          <w:szCs w:val="20"/>
        </w:rPr>
        <w:t>aper. It can be seen that the original Fair Value swap rate</w:t>
      </w:r>
      <w:r w:rsidR="002717FA">
        <w:rPr>
          <w:color w:val="auto"/>
          <w:sz w:val="20"/>
          <w:szCs w:val="20"/>
        </w:rPr>
        <w:t>s</w:t>
      </w:r>
      <w:r w:rsidRPr="00D06DE7">
        <w:rPr>
          <w:color w:val="auto"/>
          <w:sz w:val="20"/>
          <w:szCs w:val="20"/>
        </w:rPr>
        <w:t xml:space="preserve"> “Rate (Original)” and the Prudent Value rates “Rate (EBA)” seem to </w:t>
      </w:r>
      <w:r w:rsidR="00D06DE7" w:rsidRPr="00D06DE7">
        <w:rPr>
          <w:color w:val="auto"/>
          <w:sz w:val="20"/>
          <w:szCs w:val="20"/>
        </w:rPr>
        <w:t xml:space="preserve">correlate </w:t>
      </w:r>
      <w:r w:rsidRPr="00D06DE7">
        <w:rPr>
          <w:color w:val="auto"/>
          <w:sz w:val="20"/>
          <w:szCs w:val="20"/>
        </w:rPr>
        <w:t>close</w:t>
      </w:r>
      <w:r w:rsidR="00D06DE7" w:rsidRPr="00D06DE7">
        <w:rPr>
          <w:color w:val="auto"/>
          <w:sz w:val="20"/>
          <w:szCs w:val="20"/>
        </w:rPr>
        <w:t>ly</w:t>
      </w:r>
      <w:r w:rsidRPr="00D06DE7">
        <w:rPr>
          <w:color w:val="auto"/>
          <w:sz w:val="20"/>
          <w:szCs w:val="20"/>
        </w:rPr>
        <w:t xml:space="preserve"> as is </w:t>
      </w:r>
      <w:r w:rsidR="00D06DE7" w:rsidRPr="00D06DE7">
        <w:rPr>
          <w:color w:val="auto"/>
          <w:sz w:val="20"/>
          <w:szCs w:val="20"/>
        </w:rPr>
        <w:t xml:space="preserve">to be </w:t>
      </w:r>
      <w:r w:rsidRPr="00D06DE7">
        <w:rPr>
          <w:color w:val="auto"/>
          <w:sz w:val="20"/>
          <w:szCs w:val="20"/>
        </w:rPr>
        <w:t>expected for swap curves</w:t>
      </w:r>
      <w:r w:rsidR="00D06DE7" w:rsidRPr="00D06DE7">
        <w:rPr>
          <w:color w:val="auto"/>
          <w:sz w:val="20"/>
          <w:szCs w:val="20"/>
        </w:rPr>
        <w:t>. H</w:t>
      </w:r>
      <w:r w:rsidRPr="00D06DE7">
        <w:rPr>
          <w:color w:val="auto"/>
          <w:sz w:val="20"/>
          <w:szCs w:val="20"/>
        </w:rPr>
        <w:t xml:space="preserve">owever if we </w:t>
      </w:r>
      <w:proofErr w:type="spellStart"/>
      <w:r w:rsidRPr="00D06DE7">
        <w:rPr>
          <w:color w:val="auto"/>
          <w:sz w:val="20"/>
          <w:szCs w:val="20"/>
        </w:rPr>
        <w:t>anal</w:t>
      </w:r>
      <w:r w:rsidR="00AE6E1C">
        <w:rPr>
          <w:color w:val="auto"/>
          <w:sz w:val="20"/>
          <w:szCs w:val="20"/>
        </w:rPr>
        <w:t>y</w:t>
      </w:r>
      <w:r w:rsidRPr="00D06DE7">
        <w:rPr>
          <w:color w:val="auto"/>
          <w:sz w:val="20"/>
          <w:szCs w:val="20"/>
        </w:rPr>
        <w:t>se</w:t>
      </w:r>
      <w:proofErr w:type="spellEnd"/>
      <w:r w:rsidRPr="00D06DE7">
        <w:rPr>
          <w:color w:val="auto"/>
          <w:sz w:val="20"/>
          <w:szCs w:val="20"/>
        </w:rPr>
        <w:t xml:space="preserve"> the impact on the forward points then what was a relatively smooth forward curve becomes very jagged and is unrealistic. </w:t>
      </w:r>
    </w:p>
    <w:p w:rsidR="00660030" w:rsidRPr="00D06DE7" w:rsidRDefault="00660030" w:rsidP="00660030">
      <w:pPr>
        <w:pStyle w:val="Default"/>
        <w:rPr>
          <w:color w:val="auto"/>
          <w:sz w:val="20"/>
          <w:szCs w:val="20"/>
        </w:rPr>
      </w:pPr>
      <w:r w:rsidRPr="00D06DE7">
        <w:rPr>
          <w:color w:val="auto"/>
          <w:sz w:val="20"/>
          <w:szCs w:val="20"/>
        </w:rPr>
        <w:t>This impact could be much worse in many cases, even causing negative forward rates or volatilities that would cause model issues</w:t>
      </w:r>
      <w:r w:rsidR="00D06DE7" w:rsidRPr="00D06DE7">
        <w:rPr>
          <w:color w:val="auto"/>
          <w:sz w:val="20"/>
          <w:szCs w:val="20"/>
        </w:rPr>
        <w:t xml:space="preserve">. We particularly </w:t>
      </w:r>
      <w:r w:rsidRPr="00D06DE7">
        <w:rPr>
          <w:color w:val="auto"/>
          <w:sz w:val="20"/>
          <w:szCs w:val="20"/>
        </w:rPr>
        <w:t>wanted to illustrate the impact purely with the information that was provided within the P</w:t>
      </w:r>
      <w:r w:rsidR="00B625F6">
        <w:rPr>
          <w:color w:val="auto"/>
          <w:sz w:val="20"/>
          <w:szCs w:val="20"/>
        </w:rPr>
        <w:t>aper</w:t>
      </w:r>
      <w:r w:rsidR="00D06DE7" w:rsidRPr="00D06DE7">
        <w:rPr>
          <w:color w:val="auto"/>
          <w:sz w:val="20"/>
          <w:szCs w:val="20"/>
        </w:rPr>
        <w:t xml:space="preserve"> in order to </w:t>
      </w:r>
      <w:r w:rsidR="00D4157E">
        <w:rPr>
          <w:color w:val="auto"/>
          <w:sz w:val="20"/>
          <w:szCs w:val="20"/>
        </w:rPr>
        <w:t>demonstrate how this effect is very likely to occur</w:t>
      </w:r>
      <w:r w:rsidR="000C6A9F">
        <w:rPr>
          <w:color w:val="auto"/>
          <w:sz w:val="20"/>
          <w:szCs w:val="20"/>
        </w:rPr>
        <w:t xml:space="preserve"> with the current wording</w:t>
      </w:r>
      <w:r w:rsidR="00D06DE7" w:rsidRPr="00D06DE7">
        <w:rPr>
          <w:color w:val="auto"/>
          <w:sz w:val="20"/>
          <w:szCs w:val="20"/>
        </w:rPr>
        <w:t>.</w:t>
      </w:r>
    </w:p>
    <w:p w:rsidR="00456C47" w:rsidRDefault="00456C47" w:rsidP="007A5413">
      <w:pPr>
        <w:spacing w:after="0" w:line="240" w:lineRule="auto"/>
        <w:jc w:val="both"/>
        <w:rPr>
          <w:rFonts w:cs="Calibri"/>
          <w:b/>
          <w:color w:val="1F497D"/>
        </w:rPr>
      </w:pPr>
    </w:p>
    <w:p w:rsidR="00456C47" w:rsidRDefault="00456C47" w:rsidP="007A5413">
      <w:pPr>
        <w:spacing w:after="0" w:line="240" w:lineRule="auto"/>
        <w:jc w:val="both"/>
        <w:rPr>
          <w:rFonts w:cs="Calibri"/>
          <w:b/>
          <w:color w:val="1F497D"/>
        </w:rPr>
      </w:pPr>
    </w:p>
    <w:p w:rsidR="00D4157E" w:rsidRDefault="00EB0351" w:rsidP="007A5413">
      <w:pPr>
        <w:spacing w:after="0" w:line="240" w:lineRule="auto"/>
        <w:jc w:val="both"/>
        <w:rPr>
          <w:rFonts w:cs="Calibri"/>
          <w:b/>
          <w:color w:val="1F497D"/>
        </w:rPr>
      </w:pPr>
      <w:r>
        <w:rPr>
          <w:noProof/>
          <w:lang w:val="en-GB" w:eastAsia="en-GB"/>
        </w:rPr>
        <w:lastRenderedPageBreak/>
        <w:drawing>
          <wp:inline distT="0" distB="0" distL="0" distR="0">
            <wp:extent cx="4015768" cy="2989691"/>
            <wp:effectExtent l="19050" t="0" r="3782" b="0"/>
            <wp:docPr id="3"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stretch>
                      <a:fillRect/>
                    </a:stretch>
                  </pic:blipFill>
                  <pic:spPr>
                    <a:xfrm>
                      <a:off x="0" y="0"/>
                      <a:ext cx="4015209" cy="2989275"/>
                    </a:xfrm>
                    <a:prstGeom prst="rect">
                      <a:avLst/>
                    </a:prstGeom>
                  </pic:spPr>
                </pic:pic>
              </a:graphicData>
            </a:graphic>
          </wp:inline>
        </w:drawing>
      </w:r>
    </w:p>
    <w:p w:rsidR="00456C47" w:rsidRPr="00E53214" w:rsidRDefault="00456C47" w:rsidP="007A5413">
      <w:pPr>
        <w:spacing w:after="0" w:line="240" w:lineRule="auto"/>
        <w:jc w:val="both"/>
        <w:rPr>
          <w:rFonts w:cs="Calibri"/>
          <w:b/>
          <w:sz w:val="16"/>
          <w:szCs w:val="16"/>
        </w:rPr>
      </w:pPr>
    </w:p>
    <w:p w:rsidR="00456C47" w:rsidRPr="00E53214" w:rsidRDefault="00E53214" w:rsidP="007A5413">
      <w:pPr>
        <w:spacing w:after="0" w:line="240" w:lineRule="auto"/>
        <w:jc w:val="both"/>
        <w:rPr>
          <w:rFonts w:cs="Calibri"/>
          <w:b/>
          <w:sz w:val="16"/>
          <w:szCs w:val="16"/>
        </w:rPr>
      </w:pPr>
      <w:r w:rsidRPr="00E53214">
        <w:rPr>
          <w:sz w:val="16"/>
          <w:szCs w:val="16"/>
        </w:rPr>
        <w:t>Please note we have increased the number of switches between long and short risk positions to better illustrate the effect</w:t>
      </w:r>
    </w:p>
    <w:p w:rsidR="006F12C9" w:rsidRPr="00993632" w:rsidRDefault="006F12C9" w:rsidP="006F12C9">
      <w:pPr>
        <w:spacing w:after="0" w:line="240" w:lineRule="auto"/>
        <w:jc w:val="both"/>
        <w:rPr>
          <w:rFonts w:cs="Calibri"/>
          <w:lang w:val="en-GB"/>
        </w:rPr>
      </w:pPr>
    </w:p>
    <w:p w:rsidR="000C1609" w:rsidRPr="00DD79B4" w:rsidRDefault="000C1609" w:rsidP="007A5413">
      <w:pPr>
        <w:spacing w:after="0" w:line="240" w:lineRule="auto"/>
        <w:jc w:val="both"/>
        <w:rPr>
          <w:rFonts w:cs="Calibri"/>
        </w:rPr>
      </w:pPr>
    </w:p>
    <w:p w:rsidR="00EA56DE" w:rsidRDefault="00EA56DE" w:rsidP="00EA56DE">
      <w:pPr>
        <w:pStyle w:val="Default"/>
        <w:rPr>
          <w:b/>
          <w:color w:val="1F497D"/>
          <w:sz w:val="22"/>
          <w:szCs w:val="22"/>
        </w:rPr>
      </w:pPr>
      <w:r w:rsidRPr="00EA56DE">
        <w:rPr>
          <w:b/>
          <w:color w:val="1F497D"/>
          <w:sz w:val="22"/>
          <w:szCs w:val="22"/>
        </w:rPr>
        <w:t xml:space="preserve">Q8. Do you agree with the approaches defined in Articles 11 to 16 to calculate the various categories of AVAs? If not, what other approach could be prescribed for each AVA? State your reasons. </w:t>
      </w:r>
    </w:p>
    <w:p w:rsidR="00EA56DE" w:rsidRPr="00EA56DE" w:rsidRDefault="00EA56DE" w:rsidP="00EA56DE">
      <w:pPr>
        <w:pStyle w:val="Default"/>
        <w:rPr>
          <w:b/>
          <w:color w:val="1F497D"/>
          <w:sz w:val="22"/>
          <w:szCs w:val="22"/>
        </w:rPr>
      </w:pPr>
    </w:p>
    <w:p w:rsidR="00EA56DE" w:rsidRPr="00EA56DE" w:rsidRDefault="00EA56DE" w:rsidP="00EA56DE">
      <w:pPr>
        <w:pStyle w:val="Default"/>
        <w:rPr>
          <w:color w:val="auto"/>
          <w:sz w:val="20"/>
          <w:szCs w:val="20"/>
        </w:rPr>
      </w:pPr>
      <w:r w:rsidRPr="00EA56DE">
        <w:rPr>
          <w:color w:val="auto"/>
          <w:sz w:val="20"/>
          <w:szCs w:val="20"/>
        </w:rPr>
        <w:t xml:space="preserve">Article 11 - Model </w:t>
      </w:r>
      <w:r w:rsidR="00B625F6">
        <w:rPr>
          <w:color w:val="auto"/>
          <w:sz w:val="20"/>
          <w:szCs w:val="20"/>
        </w:rPr>
        <w:t>R</w:t>
      </w:r>
      <w:r w:rsidRPr="00EA56DE">
        <w:rPr>
          <w:color w:val="auto"/>
          <w:sz w:val="20"/>
          <w:szCs w:val="20"/>
        </w:rPr>
        <w:t xml:space="preserve">isk - This seems reasonable, however we would note that the </w:t>
      </w:r>
      <w:r w:rsidR="00B625F6">
        <w:rPr>
          <w:color w:val="auto"/>
          <w:sz w:val="20"/>
          <w:szCs w:val="20"/>
        </w:rPr>
        <w:t>M</w:t>
      </w:r>
      <w:r w:rsidRPr="00EA56DE">
        <w:rPr>
          <w:color w:val="auto"/>
          <w:sz w:val="20"/>
          <w:szCs w:val="20"/>
        </w:rPr>
        <w:t xml:space="preserve">odel </w:t>
      </w:r>
      <w:r w:rsidR="00B625F6">
        <w:rPr>
          <w:color w:val="auto"/>
          <w:sz w:val="20"/>
          <w:szCs w:val="20"/>
        </w:rPr>
        <w:t>R</w:t>
      </w:r>
      <w:r w:rsidRPr="00EA56DE">
        <w:rPr>
          <w:color w:val="auto"/>
          <w:sz w:val="20"/>
          <w:szCs w:val="20"/>
        </w:rPr>
        <w:t>isk is closely linked with market uncertainty/closeout costs and so we feel it should be included within the aggregated AVA diversification calculations.</w:t>
      </w:r>
    </w:p>
    <w:p w:rsidR="00EA56DE" w:rsidRPr="00EA56DE" w:rsidRDefault="00EA56DE" w:rsidP="00EA56DE">
      <w:pPr>
        <w:pStyle w:val="Default"/>
        <w:rPr>
          <w:color w:val="auto"/>
          <w:sz w:val="20"/>
          <w:szCs w:val="20"/>
        </w:rPr>
      </w:pPr>
    </w:p>
    <w:p w:rsidR="00EA56DE" w:rsidRPr="00EA56DE" w:rsidRDefault="00EA56DE" w:rsidP="00EA56DE">
      <w:pPr>
        <w:pStyle w:val="Default"/>
        <w:rPr>
          <w:color w:val="auto"/>
          <w:sz w:val="20"/>
          <w:szCs w:val="20"/>
        </w:rPr>
      </w:pPr>
      <w:r w:rsidRPr="00EA56DE">
        <w:rPr>
          <w:color w:val="auto"/>
          <w:sz w:val="20"/>
          <w:szCs w:val="20"/>
        </w:rPr>
        <w:t>Article 12 – Concentrat</w:t>
      </w:r>
      <w:r w:rsidR="00027D4A">
        <w:rPr>
          <w:color w:val="auto"/>
          <w:sz w:val="20"/>
          <w:szCs w:val="20"/>
        </w:rPr>
        <w:t>ed</w:t>
      </w:r>
      <w:r w:rsidRPr="00EA56DE">
        <w:rPr>
          <w:color w:val="auto"/>
          <w:sz w:val="20"/>
          <w:szCs w:val="20"/>
        </w:rPr>
        <w:t xml:space="preserve"> Positions – This seems reasonable, however we would note that the typical daily trading volume of an institution often has little real bearing on whether it has a concentrated position or not since there will be numerous counterparties with which to exit their positions even when they themselves are not market makers. </w:t>
      </w:r>
    </w:p>
    <w:p w:rsidR="00EA56DE" w:rsidRPr="00EA56DE" w:rsidRDefault="00EA56DE" w:rsidP="00EA56DE">
      <w:pPr>
        <w:pStyle w:val="Default"/>
        <w:rPr>
          <w:color w:val="auto"/>
          <w:sz w:val="20"/>
          <w:szCs w:val="20"/>
        </w:rPr>
      </w:pPr>
    </w:p>
    <w:p w:rsidR="00EA56DE" w:rsidRPr="00EA56DE" w:rsidRDefault="00EA56DE" w:rsidP="00EA56DE">
      <w:pPr>
        <w:pStyle w:val="Default"/>
        <w:rPr>
          <w:color w:val="auto"/>
          <w:sz w:val="20"/>
          <w:szCs w:val="20"/>
        </w:rPr>
      </w:pPr>
      <w:r w:rsidRPr="00EA56DE">
        <w:rPr>
          <w:color w:val="auto"/>
          <w:sz w:val="20"/>
          <w:szCs w:val="20"/>
        </w:rPr>
        <w:t xml:space="preserve">Article 13 - Investing and Funding Costs - We feel the wording should be amended slightly in order to say “Institutions shall estimate the AVA by including the expected funding costs and benefits over the </w:t>
      </w:r>
      <w:r w:rsidRPr="00EA56DE">
        <w:rPr>
          <w:color w:val="auto"/>
          <w:sz w:val="20"/>
          <w:szCs w:val="20"/>
          <w:u w:val="single"/>
        </w:rPr>
        <w:t>expected</w:t>
      </w:r>
      <w:r w:rsidRPr="00EA56DE">
        <w:rPr>
          <w:color w:val="auto"/>
          <w:sz w:val="20"/>
          <w:szCs w:val="20"/>
        </w:rPr>
        <w:t xml:space="preserve"> contractual lifetime of each derivative trade which is not strongly </w:t>
      </w:r>
      <w:proofErr w:type="spellStart"/>
      <w:r w:rsidRPr="00EA56DE">
        <w:rPr>
          <w:color w:val="auto"/>
          <w:sz w:val="20"/>
          <w:szCs w:val="20"/>
        </w:rPr>
        <w:t>collateralised</w:t>
      </w:r>
      <w:proofErr w:type="spellEnd"/>
      <w:r w:rsidRPr="00EA56DE">
        <w:rPr>
          <w:color w:val="auto"/>
          <w:sz w:val="20"/>
          <w:szCs w:val="20"/>
        </w:rPr>
        <w:t>”</w:t>
      </w:r>
      <w:r>
        <w:rPr>
          <w:color w:val="auto"/>
          <w:sz w:val="20"/>
          <w:szCs w:val="20"/>
        </w:rPr>
        <w:t xml:space="preserve">, </w:t>
      </w:r>
      <w:r w:rsidRPr="00EA56DE">
        <w:rPr>
          <w:color w:val="auto"/>
          <w:sz w:val="20"/>
          <w:szCs w:val="20"/>
        </w:rPr>
        <w:t xml:space="preserve">therefore </w:t>
      </w:r>
      <w:proofErr w:type="spellStart"/>
      <w:r w:rsidRPr="00EA56DE">
        <w:rPr>
          <w:color w:val="auto"/>
          <w:sz w:val="20"/>
          <w:szCs w:val="20"/>
        </w:rPr>
        <w:t>emphasising</w:t>
      </w:r>
      <w:proofErr w:type="spellEnd"/>
      <w:r w:rsidRPr="00EA56DE">
        <w:rPr>
          <w:color w:val="auto"/>
          <w:sz w:val="20"/>
          <w:szCs w:val="20"/>
        </w:rPr>
        <w:t xml:space="preserve"> it is the expected contractual lifetime that the expected costs and benefits should be calculated over.</w:t>
      </w:r>
    </w:p>
    <w:p w:rsidR="00EA56DE" w:rsidRDefault="00EA56DE" w:rsidP="00EA56DE">
      <w:pPr>
        <w:pStyle w:val="Default"/>
        <w:rPr>
          <w:color w:val="0070C0"/>
          <w:sz w:val="20"/>
          <w:szCs w:val="20"/>
        </w:rPr>
      </w:pPr>
    </w:p>
    <w:p w:rsidR="00EA56DE" w:rsidRPr="00EA56DE" w:rsidRDefault="00EA56DE" w:rsidP="00EA56DE">
      <w:pPr>
        <w:pStyle w:val="Default"/>
        <w:rPr>
          <w:color w:val="auto"/>
          <w:sz w:val="20"/>
          <w:szCs w:val="20"/>
        </w:rPr>
      </w:pPr>
      <w:r w:rsidRPr="00EA56DE">
        <w:rPr>
          <w:color w:val="auto"/>
          <w:sz w:val="20"/>
          <w:szCs w:val="20"/>
        </w:rPr>
        <w:t>Article 14 - Future administrative costs - We feel that as currently drafted the wording is out of line with the objectives of the other AVA’s which are to estimate a prudent exit value. More appropriate wording we feel could therefore be: “The entity should calculate the future administrative cost adjustment taking into consideration the lower of the costs that it would incur in managing the portfolio or the incremental costs that would be charged by a market participant if they were taking on the portfolio”. We also feel that an institution should have the option to calculate these costs within Article 9 close-out costs as described in Q</w:t>
      </w:r>
      <w:r w:rsidR="00B625F6">
        <w:rPr>
          <w:color w:val="auto"/>
          <w:sz w:val="20"/>
          <w:szCs w:val="20"/>
        </w:rPr>
        <w:t>uestion</w:t>
      </w:r>
      <w:r w:rsidR="001F3F47">
        <w:rPr>
          <w:color w:val="auto"/>
          <w:sz w:val="20"/>
          <w:szCs w:val="20"/>
        </w:rPr>
        <w:t xml:space="preserve"> </w:t>
      </w:r>
      <w:r w:rsidRPr="00EA56DE">
        <w:rPr>
          <w:color w:val="auto"/>
          <w:sz w:val="20"/>
          <w:szCs w:val="20"/>
        </w:rPr>
        <w:t xml:space="preserve">7 above. </w:t>
      </w:r>
    </w:p>
    <w:p w:rsidR="00EA56DE" w:rsidRDefault="00EA56DE" w:rsidP="00EA56DE">
      <w:pPr>
        <w:pStyle w:val="Default"/>
        <w:rPr>
          <w:color w:val="0070C0"/>
          <w:sz w:val="20"/>
          <w:szCs w:val="20"/>
        </w:rPr>
      </w:pPr>
    </w:p>
    <w:p w:rsidR="00EA56DE" w:rsidRPr="001F3F47" w:rsidRDefault="00EA56DE" w:rsidP="00EA56DE">
      <w:pPr>
        <w:pStyle w:val="Default"/>
        <w:rPr>
          <w:color w:val="auto"/>
          <w:sz w:val="20"/>
          <w:szCs w:val="20"/>
        </w:rPr>
      </w:pPr>
      <w:r w:rsidRPr="001F3F47">
        <w:rPr>
          <w:color w:val="auto"/>
          <w:sz w:val="20"/>
          <w:szCs w:val="20"/>
        </w:rPr>
        <w:t>Article 15 - Early termination - The suggested wording seems reasonable, so no further comments.</w:t>
      </w:r>
    </w:p>
    <w:p w:rsidR="00EA56DE" w:rsidRPr="001F3F47" w:rsidRDefault="00EA56DE" w:rsidP="00EA56DE">
      <w:pPr>
        <w:pStyle w:val="Default"/>
        <w:rPr>
          <w:color w:val="auto"/>
          <w:sz w:val="20"/>
          <w:szCs w:val="20"/>
        </w:rPr>
      </w:pPr>
    </w:p>
    <w:p w:rsidR="00EA56DE" w:rsidRPr="001F3F47" w:rsidRDefault="00EA56DE" w:rsidP="00EA56DE">
      <w:pPr>
        <w:pStyle w:val="Default"/>
        <w:rPr>
          <w:color w:val="auto"/>
          <w:sz w:val="20"/>
          <w:szCs w:val="20"/>
        </w:rPr>
      </w:pPr>
      <w:r w:rsidRPr="001F3F47">
        <w:rPr>
          <w:color w:val="auto"/>
          <w:sz w:val="20"/>
          <w:szCs w:val="20"/>
        </w:rPr>
        <w:t>Article 16 – Operational Risks - We feel that this section of the C</w:t>
      </w:r>
      <w:r w:rsidR="00B625F6">
        <w:rPr>
          <w:color w:val="auto"/>
          <w:sz w:val="20"/>
          <w:szCs w:val="20"/>
        </w:rPr>
        <w:t xml:space="preserve">onsultation </w:t>
      </w:r>
      <w:r w:rsidRPr="001F3F47">
        <w:rPr>
          <w:color w:val="auto"/>
          <w:sz w:val="20"/>
          <w:szCs w:val="20"/>
        </w:rPr>
        <w:t>P</w:t>
      </w:r>
      <w:r w:rsidR="00B625F6">
        <w:rPr>
          <w:color w:val="auto"/>
          <w:sz w:val="20"/>
          <w:szCs w:val="20"/>
        </w:rPr>
        <w:t>aper</w:t>
      </w:r>
      <w:r w:rsidRPr="001F3F47">
        <w:rPr>
          <w:color w:val="auto"/>
          <w:sz w:val="20"/>
          <w:szCs w:val="20"/>
        </w:rPr>
        <w:t xml:space="preserve"> </w:t>
      </w:r>
      <w:r w:rsidR="001F3F47" w:rsidRPr="001F3F47">
        <w:rPr>
          <w:color w:val="auto"/>
          <w:sz w:val="20"/>
          <w:szCs w:val="20"/>
        </w:rPr>
        <w:t xml:space="preserve">is unclear and perhaps as a result, may </w:t>
      </w:r>
      <w:r w:rsidRPr="001F3F47">
        <w:rPr>
          <w:color w:val="auto"/>
          <w:sz w:val="20"/>
          <w:szCs w:val="20"/>
        </w:rPr>
        <w:t>not mak</w:t>
      </w:r>
      <w:r w:rsidR="001F3F47" w:rsidRPr="001F3F47">
        <w:rPr>
          <w:color w:val="auto"/>
          <w:sz w:val="20"/>
          <w:szCs w:val="20"/>
        </w:rPr>
        <w:t xml:space="preserve">e sense. As we </w:t>
      </w:r>
      <w:r w:rsidR="001F3F47">
        <w:rPr>
          <w:color w:val="auto"/>
          <w:sz w:val="20"/>
          <w:szCs w:val="20"/>
        </w:rPr>
        <w:t>noted</w:t>
      </w:r>
      <w:r w:rsidR="001F3F47" w:rsidRPr="001F3F47">
        <w:rPr>
          <w:color w:val="auto"/>
          <w:sz w:val="20"/>
          <w:szCs w:val="20"/>
        </w:rPr>
        <w:t xml:space="preserve"> earlier, </w:t>
      </w:r>
      <w:r w:rsidRPr="001F3F47">
        <w:rPr>
          <w:color w:val="auto"/>
          <w:sz w:val="20"/>
          <w:szCs w:val="20"/>
        </w:rPr>
        <w:t xml:space="preserve">this should not be part of Prudent Valuation </w:t>
      </w:r>
      <w:r w:rsidR="001F3F47" w:rsidRPr="001F3F47">
        <w:rPr>
          <w:color w:val="auto"/>
          <w:sz w:val="20"/>
          <w:szCs w:val="20"/>
        </w:rPr>
        <w:t xml:space="preserve">given that </w:t>
      </w:r>
      <w:r w:rsidRPr="001F3F47">
        <w:rPr>
          <w:color w:val="auto"/>
          <w:sz w:val="20"/>
          <w:szCs w:val="20"/>
        </w:rPr>
        <w:t xml:space="preserve">Operational Risk is already either subject to Advanced Measurement Approach or to an Add-On where the </w:t>
      </w:r>
      <w:r w:rsidR="001F3F47" w:rsidRPr="001F3F47">
        <w:rPr>
          <w:color w:val="auto"/>
          <w:sz w:val="20"/>
          <w:szCs w:val="20"/>
        </w:rPr>
        <w:t>C</w:t>
      </w:r>
      <w:r w:rsidRPr="001F3F47">
        <w:rPr>
          <w:color w:val="auto"/>
          <w:sz w:val="20"/>
          <w:szCs w:val="20"/>
        </w:rPr>
        <w:t xml:space="preserve">ompetent </w:t>
      </w:r>
      <w:r w:rsidR="001F3F47" w:rsidRPr="001F3F47">
        <w:rPr>
          <w:color w:val="auto"/>
          <w:sz w:val="20"/>
          <w:szCs w:val="20"/>
        </w:rPr>
        <w:t>Authority fe</w:t>
      </w:r>
      <w:r w:rsidR="001F3F47">
        <w:rPr>
          <w:color w:val="auto"/>
          <w:sz w:val="20"/>
          <w:szCs w:val="20"/>
        </w:rPr>
        <w:t xml:space="preserve">els it’s </w:t>
      </w:r>
      <w:r w:rsidR="001F3F47" w:rsidRPr="001F3F47">
        <w:rPr>
          <w:color w:val="auto"/>
          <w:sz w:val="20"/>
          <w:szCs w:val="20"/>
        </w:rPr>
        <w:t>appropriate. W</w:t>
      </w:r>
      <w:r w:rsidRPr="001F3F47">
        <w:rPr>
          <w:color w:val="auto"/>
          <w:sz w:val="20"/>
          <w:szCs w:val="20"/>
        </w:rPr>
        <w:t>e would also note that the wording within the C</w:t>
      </w:r>
      <w:r w:rsidR="00B625F6">
        <w:rPr>
          <w:color w:val="auto"/>
          <w:sz w:val="20"/>
          <w:szCs w:val="20"/>
        </w:rPr>
        <w:t xml:space="preserve">onsultation </w:t>
      </w:r>
      <w:r w:rsidRPr="001F3F47">
        <w:rPr>
          <w:color w:val="auto"/>
          <w:sz w:val="20"/>
          <w:szCs w:val="20"/>
        </w:rPr>
        <w:t>P</w:t>
      </w:r>
      <w:r w:rsidR="00B625F6">
        <w:rPr>
          <w:color w:val="auto"/>
          <w:sz w:val="20"/>
          <w:szCs w:val="20"/>
        </w:rPr>
        <w:t>aper</w:t>
      </w:r>
      <w:r w:rsidRPr="001F3F47">
        <w:rPr>
          <w:color w:val="auto"/>
          <w:sz w:val="20"/>
          <w:szCs w:val="20"/>
        </w:rPr>
        <w:t xml:space="preserve"> </w:t>
      </w:r>
      <w:r w:rsidR="001F3F47" w:rsidRPr="001F3F47">
        <w:rPr>
          <w:color w:val="auto"/>
          <w:sz w:val="20"/>
          <w:szCs w:val="20"/>
        </w:rPr>
        <w:t xml:space="preserve">appears </w:t>
      </w:r>
      <w:r w:rsidRPr="001F3F47">
        <w:rPr>
          <w:color w:val="auto"/>
          <w:sz w:val="20"/>
          <w:szCs w:val="20"/>
        </w:rPr>
        <w:t xml:space="preserve">illogical asking in paragraph 1 for certain calculations to be performed and then asking for an arbitrary </w:t>
      </w:r>
      <w:r w:rsidRPr="001F3F47">
        <w:rPr>
          <w:color w:val="auto"/>
          <w:sz w:val="20"/>
          <w:szCs w:val="20"/>
        </w:rPr>
        <w:lastRenderedPageBreak/>
        <w:t xml:space="preserve">charge of 10% of certain other AVA’s in paragraph 3. This arbitrary charge would lead us to conclude that the </w:t>
      </w:r>
      <w:r w:rsidR="001F3F47" w:rsidRPr="001F3F47">
        <w:rPr>
          <w:color w:val="auto"/>
          <w:sz w:val="20"/>
          <w:szCs w:val="20"/>
        </w:rPr>
        <w:t xml:space="preserve">drafters </w:t>
      </w:r>
      <w:r w:rsidRPr="001F3F47">
        <w:rPr>
          <w:color w:val="auto"/>
          <w:sz w:val="20"/>
          <w:szCs w:val="20"/>
        </w:rPr>
        <w:t>agree that this AVA is not meaningful in its own right.</w:t>
      </w:r>
    </w:p>
    <w:p w:rsidR="00EA56DE" w:rsidRDefault="00EA56DE" w:rsidP="00EA56DE">
      <w:pPr>
        <w:pStyle w:val="Default"/>
        <w:rPr>
          <w:color w:val="0070C0"/>
          <w:sz w:val="20"/>
          <w:szCs w:val="20"/>
        </w:rPr>
      </w:pPr>
    </w:p>
    <w:p w:rsidR="00EA56DE" w:rsidRPr="001F3F47" w:rsidRDefault="00EA56DE" w:rsidP="00EA56DE">
      <w:pPr>
        <w:pStyle w:val="Default"/>
        <w:rPr>
          <w:b/>
          <w:color w:val="1F497D"/>
          <w:sz w:val="22"/>
          <w:szCs w:val="22"/>
        </w:rPr>
      </w:pPr>
      <w:r w:rsidRPr="001F3F47">
        <w:rPr>
          <w:b/>
          <w:color w:val="1F497D"/>
          <w:sz w:val="22"/>
          <w:szCs w:val="22"/>
        </w:rPr>
        <w:t xml:space="preserve">Q9. Are there cases where the above AVAs may have a zero value that could be defined in the RTS? If yes, please specify. </w:t>
      </w:r>
    </w:p>
    <w:p w:rsidR="00EA56DE" w:rsidRDefault="00EA56DE" w:rsidP="00EA56DE">
      <w:pPr>
        <w:pStyle w:val="Default"/>
        <w:rPr>
          <w:sz w:val="20"/>
          <w:szCs w:val="20"/>
        </w:rPr>
      </w:pPr>
    </w:p>
    <w:p w:rsidR="00EA56DE" w:rsidRPr="001F3F47" w:rsidRDefault="001F3F47" w:rsidP="00EA56DE">
      <w:pPr>
        <w:pStyle w:val="Default"/>
        <w:rPr>
          <w:color w:val="auto"/>
          <w:sz w:val="20"/>
          <w:szCs w:val="20"/>
        </w:rPr>
      </w:pPr>
      <w:r>
        <w:rPr>
          <w:color w:val="auto"/>
          <w:sz w:val="20"/>
          <w:szCs w:val="20"/>
        </w:rPr>
        <w:t>The i</w:t>
      </w:r>
      <w:r w:rsidR="00EA56DE" w:rsidRPr="001F3F47">
        <w:rPr>
          <w:color w:val="auto"/>
          <w:sz w:val="20"/>
          <w:szCs w:val="20"/>
        </w:rPr>
        <w:t xml:space="preserve">ndustry does not feel there is a need to define cases of </w:t>
      </w:r>
      <w:r w:rsidR="00907D8E">
        <w:rPr>
          <w:color w:val="auto"/>
          <w:sz w:val="20"/>
          <w:szCs w:val="20"/>
        </w:rPr>
        <w:t xml:space="preserve">specific </w:t>
      </w:r>
      <w:r w:rsidR="00EA56DE" w:rsidRPr="001F3F47">
        <w:rPr>
          <w:color w:val="auto"/>
          <w:sz w:val="20"/>
          <w:szCs w:val="20"/>
        </w:rPr>
        <w:t>zero value AVA’s within the RTS</w:t>
      </w:r>
      <w:r w:rsidR="00907D8E">
        <w:rPr>
          <w:color w:val="auto"/>
          <w:sz w:val="20"/>
          <w:szCs w:val="20"/>
        </w:rPr>
        <w:t xml:space="preserve"> as the guidance provides a meaningful principles based approach</w:t>
      </w:r>
      <w:r w:rsidR="00EA56DE" w:rsidRPr="001F3F47">
        <w:rPr>
          <w:color w:val="auto"/>
          <w:sz w:val="20"/>
          <w:szCs w:val="20"/>
        </w:rPr>
        <w:t xml:space="preserve">. </w:t>
      </w:r>
      <w:r w:rsidR="00871CC0">
        <w:rPr>
          <w:color w:val="auto"/>
          <w:sz w:val="20"/>
          <w:szCs w:val="20"/>
        </w:rPr>
        <w:t xml:space="preserve">Though not specifically requested in this question we would again highlight the slightly flawed wording within Article 9 </w:t>
      </w:r>
      <w:r w:rsidR="00D060A0">
        <w:rPr>
          <w:color w:val="auto"/>
          <w:sz w:val="20"/>
          <w:szCs w:val="20"/>
        </w:rPr>
        <w:t>that is ment</w:t>
      </w:r>
      <w:r w:rsidR="00871CC0">
        <w:rPr>
          <w:color w:val="auto"/>
          <w:sz w:val="20"/>
          <w:szCs w:val="20"/>
        </w:rPr>
        <w:t xml:space="preserve">ioned within our response to Question 7. Closeout costs should clearly be zero whenever the market price uncertainty </w:t>
      </w:r>
      <w:r w:rsidR="00D060A0">
        <w:rPr>
          <w:color w:val="auto"/>
          <w:sz w:val="20"/>
          <w:szCs w:val="20"/>
        </w:rPr>
        <w:t>h</w:t>
      </w:r>
      <w:r w:rsidR="00871CC0">
        <w:rPr>
          <w:color w:val="auto"/>
          <w:sz w:val="20"/>
          <w:szCs w:val="20"/>
        </w:rPr>
        <w:t xml:space="preserve">as been calculated on an exit </w:t>
      </w:r>
      <w:r w:rsidR="00D060A0">
        <w:rPr>
          <w:color w:val="auto"/>
          <w:sz w:val="20"/>
          <w:szCs w:val="20"/>
        </w:rPr>
        <w:t>basis</w:t>
      </w:r>
      <w:r w:rsidR="00027D4A">
        <w:rPr>
          <w:color w:val="auto"/>
          <w:sz w:val="20"/>
          <w:szCs w:val="20"/>
        </w:rPr>
        <w:t xml:space="preserve"> </w:t>
      </w:r>
      <w:r w:rsidR="00D060A0">
        <w:rPr>
          <w:color w:val="auto"/>
          <w:sz w:val="20"/>
          <w:szCs w:val="20"/>
        </w:rPr>
        <w:t xml:space="preserve">and should not be limited to the sole example mentioned </w:t>
      </w:r>
      <w:proofErr w:type="gramStart"/>
      <w:r w:rsidR="00D060A0">
        <w:rPr>
          <w:color w:val="auto"/>
          <w:sz w:val="20"/>
          <w:szCs w:val="20"/>
        </w:rPr>
        <w:t>in  Article</w:t>
      </w:r>
      <w:proofErr w:type="gramEnd"/>
      <w:r w:rsidR="00D060A0">
        <w:rPr>
          <w:color w:val="auto"/>
          <w:sz w:val="20"/>
          <w:szCs w:val="20"/>
        </w:rPr>
        <w:t xml:space="preserve"> 9.</w:t>
      </w:r>
    </w:p>
    <w:p w:rsidR="00EA56DE" w:rsidRDefault="00EA56DE" w:rsidP="00EA56DE">
      <w:pPr>
        <w:pStyle w:val="Default"/>
        <w:rPr>
          <w:sz w:val="20"/>
          <w:szCs w:val="20"/>
        </w:rPr>
      </w:pPr>
    </w:p>
    <w:p w:rsidR="00EA56DE" w:rsidRPr="001F3F47" w:rsidRDefault="00EA56DE" w:rsidP="00EA56DE">
      <w:pPr>
        <w:pStyle w:val="Default"/>
        <w:rPr>
          <w:b/>
          <w:color w:val="1F497D"/>
          <w:sz w:val="22"/>
          <w:szCs w:val="22"/>
        </w:rPr>
      </w:pPr>
      <w:r w:rsidRPr="001F3F47">
        <w:rPr>
          <w:b/>
          <w:color w:val="1F497D"/>
          <w:sz w:val="22"/>
          <w:szCs w:val="22"/>
        </w:rPr>
        <w:t xml:space="preserve">Q10. Do you agree with the approach defined above for the aggregation of valuation exposure level AVAs within the market price uncertainty and close-out cost AVA categories? If not, what other approach could be prescribed? State your reasons. </w:t>
      </w:r>
    </w:p>
    <w:p w:rsidR="00EA56DE" w:rsidRPr="001F3F47" w:rsidRDefault="00EA56DE" w:rsidP="00EA56DE">
      <w:pPr>
        <w:pStyle w:val="Default"/>
        <w:rPr>
          <w:sz w:val="22"/>
          <w:szCs w:val="22"/>
        </w:rPr>
      </w:pPr>
    </w:p>
    <w:p w:rsidR="00EA56DE" w:rsidRPr="001F3F47" w:rsidRDefault="00EA56DE" w:rsidP="00EA56DE">
      <w:pPr>
        <w:pStyle w:val="Default"/>
        <w:rPr>
          <w:sz w:val="20"/>
          <w:szCs w:val="20"/>
        </w:rPr>
      </w:pPr>
      <w:r w:rsidRPr="001F3F47">
        <w:rPr>
          <w:sz w:val="20"/>
          <w:szCs w:val="20"/>
        </w:rPr>
        <w:t>We a</w:t>
      </w:r>
      <w:r w:rsidR="001F3F47" w:rsidRPr="001F3F47">
        <w:rPr>
          <w:sz w:val="20"/>
          <w:szCs w:val="20"/>
        </w:rPr>
        <w:t xml:space="preserve">re pleased that the EBA </w:t>
      </w:r>
      <w:proofErr w:type="spellStart"/>
      <w:r w:rsidR="001F3F47" w:rsidRPr="001F3F47">
        <w:rPr>
          <w:sz w:val="20"/>
          <w:szCs w:val="20"/>
        </w:rPr>
        <w:t>recognises</w:t>
      </w:r>
      <w:proofErr w:type="spellEnd"/>
      <w:r w:rsidRPr="001F3F47">
        <w:rPr>
          <w:sz w:val="20"/>
          <w:szCs w:val="20"/>
        </w:rPr>
        <w:t xml:space="preserve"> the need for diversification. </w:t>
      </w:r>
      <w:r w:rsidR="00027D4A">
        <w:rPr>
          <w:sz w:val="20"/>
          <w:szCs w:val="20"/>
        </w:rPr>
        <w:t>As discussed in the response to Question 8 w</w:t>
      </w:r>
      <w:r w:rsidRPr="001F3F47">
        <w:rPr>
          <w:sz w:val="20"/>
          <w:szCs w:val="20"/>
        </w:rPr>
        <w:t xml:space="preserve">e think that Model </w:t>
      </w:r>
      <w:r w:rsidR="00B625F6">
        <w:rPr>
          <w:sz w:val="20"/>
          <w:szCs w:val="20"/>
        </w:rPr>
        <w:t>Ri</w:t>
      </w:r>
      <w:r w:rsidR="00B625F6" w:rsidRPr="001F3F47">
        <w:rPr>
          <w:sz w:val="20"/>
          <w:szCs w:val="20"/>
        </w:rPr>
        <w:t xml:space="preserve">sk </w:t>
      </w:r>
      <w:r w:rsidRPr="001F3F47">
        <w:rPr>
          <w:sz w:val="20"/>
          <w:szCs w:val="20"/>
        </w:rPr>
        <w:t>is very similar to market price uncertain</w:t>
      </w:r>
      <w:r w:rsidR="001F3F47" w:rsidRPr="001F3F47">
        <w:rPr>
          <w:sz w:val="20"/>
          <w:szCs w:val="20"/>
        </w:rPr>
        <w:t>ty and overlaps with it and so A</w:t>
      </w:r>
      <w:r w:rsidRPr="001F3F47">
        <w:rPr>
          <w:sz w:val="20"/>
          <w:szCs w:val="20"/>
        </w:rPr>
        <w:t>rticle 11 should also be brought within this diversification benefit.</w:t>
      </w:r>
    </w:p>
    <w:p w:rsidR="00EA56DE" w:rsidRDefault="00EA56DE" w:rsidP="00EA56DE">
      <w:pPr>
        <w:pStyle w:val="Default"/>
        <w:rPr>
          <w:color w:val="0070C0"/>
          <w:sz w:val="20"/>
          <w:szCs w:val="20"/>
        </w:rPr>
      </w:pPr>
      <w:r>
        <w:rPr>
          <w:color w:val="0070C0"/>
          <w:sz w:val="20"/>
          <w:szCs w:val="20"/>
        </w:rPr>
        <w:t xml:space="preserve">   </w:t>
      </w:r>
    </w:p>
    <w:p w:rsidR="00EA56DE" w:rsidRPr="001F3F47" w:rsidRDefault="00EA56DE" w:rsidP="00EA56DE">
      <w:pPr>
        <w:pStyle w:val="Default"/>
        <w:rPr>
          <w:b/>
          <w:color w:val="1F497D"/>
          <w:sz w:val="20"/>
          <w:szCs w:val="20"/>
        </w:rPr>
      </w:pPr>
      <w:r w:rsidRPr="001F3F47">
        <w:rPr>
          <w:b/>
          <w:color w:val="1F497D"/>
          <w:sz w:val="20"/>
          <w:szCs w:val="20"/>
        </w:rPr>
        <w:t xml:space="preserve">Q11. Do you agree that category level AVAs described in Articles 11 to 16 within the core approach should be aggregated as a simple sum? If not, what other approach could be prescribed? State your reasons. </w:t>
      </w:r>
    </w:p>
    <w:p w:rsidR="001F3F47" w:rsidRDefault="001F3F47" w:rsidP="00EA56DE">
      <w:pPr>
        <w:rPr>
          <w:color w:val="0070C0"/>
          <w:sz w:val="20"/>
          <w:szCs w:val="20"/>
        </w:rPr>
      </w:pPr>
    </w:p>
    <w:p w:rsidR="00EA56DE" w:rsidRPr="001F3F47" w:rsidRDefault="00EA56DE" w:rsidP="00EA56DE">
      <w:r w:rsidRPr="001F3F47">
        <w:rPr>
          <w:sz w:val="20"/>
          <w:szCs w:val="20"/>
        </w:rPr>
        <w:t>As per the response to Q</w:t>
      </w:r>
      <w:r w:rsidR="0053374A">
        <w:rPr>
          <w:sz w:val="20"/>
          <w:szCs w:val="20"/>
        </w:rPr>
        <w:t>uestion</w:t>
      </w:r>
      <w:r w:rsidR="001F3F47">
        <w:rPr>
          <w:sz w:val="20"/>
          <w:szCs w:val="20"/>
        </w:rPr>
        <w:t xml:space="preserve"> </w:t>
      </w:r>
      <w:r w:rsidRPr="001F3F47">
        <w:rPr>
          <w:sz w:val="20"/>
          <w:szCs w:val="20"/>
        </w:rPr>
        <w:t xml:space="preserve">10 we feel that Model </w:t>
      </w:r>
      <w:r w:rsidR="00B625F6">
        <w:rPr>
          <w:sz w:val="20"/>
          <w:szCs w:val="20"/>
        </w:rPr>
        <w:t>R</w:t>
      </w:r>
      <w:r w:rsidRPr="001F3F47">
        <w:rPr>
          <w:sz w:val="20"/>
          <w:szCs w:val="20"/>
        </w:rPr>
        <w:t>isk is very similar to market price uncertainty and so should be included within the diversification applicable to market price uncertainty and close-out costs.</w:t>
      </w:r>
    </w:p>
    <w:p w:rsidR="00EA56DE" w:rsidRPr="001F3F47" w:rsidRDefault="00EA56DE" w:rsidP="00EA56DE">
      <w:pPr>
        <w:pStyle w:val="Default"/>
        <w:rPr>
          <w:b/>
          <w:color w:val="1F497D"/>
          <w:sz w:val="22"/>
          <w:szCs w:val="22"/>
        </w:rPr>
      </w:pPr>
      <w:r w:rsidRPr="001F3F47">
        <w:rPr>
          <w:b/>
          <w:color w:val="1F497D"/>
          <w:sz w:val="22"/>
          <w:szCs w:val="22"/>
        </w:rPr>
        <w:t xml:space="preserve">Q12. Do you agree with the requirement for institutions using the core approach to implement the above ongoing monitoring tool as an indicator of the adequacy of data sources of valuation inputs used to calculate the AVAs described in Articles 8 to 10? If not, what other approach could be prescribed? State your reasons. </w:t>
      </w:r>
    </w:p>
    <w:p w:rsidR="001F3F47" w:rsidRDefault="001F3F47" w:rsidP="00EA56DE">
      <w:pPr>
        <w:rPr>
          <w:color w:val="0070C0"/>
          <w:sz w:val="20"/>
          <w:szCs w:val="20"/>
        </w:rPr>
      </w:pPr>
    </w:p>
    <w:p w:rsidR="00EA56DE" w:rsidRPr="00565897" w:rsidRDefault="00EA56DE" w:rsidP="00EA56DE">
      <w:pPr>
        <w:rPr>
          <w:rFonts w:ascii="Arial" w:hAnsi="Arial" w:cs="Arial"/>
          <w:sz w:val="20"/>
          <w:szCs w:val="20"/>
        </w:rPr>
      </w:pPr>
      <w:r w:rsidRPr="00565897">
        <w:rPr>
          <w:sz w:val="20"/>
          <w:szCs w:val="20"/>
        </w:rPr>
        <w:t xml:space="preserve">We are </w:t>
      </w:r>
      <w:r w:rsidR="001F3F47" w:rsidRPr="00565897">
        <w:rPr>
          <w:sz w:val="20"/>
          <w:szCs w:val="20"/>
        </w:rPr>
        <w:t xml:space="preserve">somewhat confused and concerned </w:t>
      </w:r>
      <w:r w:rsidRPr="00565897">
        <w:rPr>
          <w:sz w:val="20"/>
          <w:szCs w:val="20"/>
        </w:rPr>
        <w:t xml:space="preserve">by </w:t>
      </w:r>
      <w:r w:rsidR="001F3F47" w:rsidRPr="00565897">
        <w:rPr>
          <w:sz w:val="20"/>
          <w:szCs w:val="20"/>
        </w:rPr>
        <w:t>A</w:t>
      </w:r>
      <w:r w:rsidRPr="00565897">
        <w:rPr>
          <w:sz w:val="20"/>
          <w:szCs w:val="20"/>
        </w:rPr>
        <w:t xml:space="preserve">rticle 20. We do not see any benefits </w:t>
      </w:r>
      <w:r w:rsidR="001F3F47" w:rsidRPr="00565897">
        <w:rPr>
          <w:sz w:val="20"/>
          <w:szCs w:val="20"/>
        </w:rPr>
        <w:t xml:space="preserve">deriving </w:t>
      </w:r>
      <w:r w:rsidR="00565897" w:rsidRPr="00565897">
        <w:rPr>
          <w:sz w:val="20"/>
          <w:szCs w:val="20"/>
        </w:rPr>
        <w:t>from this proposed “O</w:t>
      </w:r>
      <w:r w:rsidRPr="00565897">
        <w:rPr>
          <w:sz w:val="20"/>
          <w:szCs w:val="20"/>
        </w:rPr>
        <w:t xml:space="preserve">ngoing </w:t>
      </w:r>
      <w:r w:rsidR="00565897" w:rsidRPr="00565897">
        <w:rPr>
          <w:sz w:val="20"/>
          <w:szCs w:val="20"/>
        </w:rPr>
        <w:t>M</w:t>
      </w:r>
      <w:r w:rsidRPr="00565897">
        <w:rPr>
          <w:sz w:val="20"/>
          <w:szCs w:val="20"/>
        </w:rPr>
        <w:t>onitoring”</w:t>
      </w:r>
      <w:r w:rsidR="00565897" w:rsidRPr="00565897">
        <w:rPr>
          <w:sz w:val="20"/>
          <w:szCs w:val="20"/>
        </w:rPr>
        <w:t xml:space="preserve">, although </w:t>
      </w:r>
      <w:r w:rsidRPr="00565897">
        <w:rPr>
          <w:sz w:val="20"/>
          <w:szCs w:val="20"/>
        </w:rPr>
        <w:t xml:space="preserve">we do see </w:t>
      </w:r>
      <w:r w:rsidR="00565897" w:rsidRPr="00565897">
        <w:rPr>
          <w:sz w:val="20"/>
          <w:szCs w:val="20"/>
        </w:rPr>
        <w:t>very material p</w:t>
      </w:r>
      <w:r w:rsidRPr="00565897">
        <w:rPr>
          <w:sz w:val="20"/>
          <w:szCs w:val="20"/>
        </w:rPr>
        <w:t>otential costs</w:t>
      </w:r>
      <w:r w:rsidR="00565897" w:rsidRPr="00565897">
        <w:rPr>
          <w:sz w:val="20"/>
          <w:szCs w:val="20"/>
        </w:rPr>
        <w:t xml:space="preserve"> in order to build and support the </w:t>
      </w:r>
      <w:r w:rsidRPr="00565897">
        <w:rPr>
          <w:sz w:val="20"/>
          <w:szCs w:val="20"/>
        </w:rPr>
        <w:t>required system builds</w:t>
      </w:r>
      <w:r w:rsidR="00565897" w:rsidRPr="00565897">
        <w:rPr>
          <w:sz w:val="20"/>
          <w:szCs w:val="20"/>
        </w:rPr>
        <w:t xml:space="preserve">. We are therefore struggling to determine </w:t>
      </w:r>
      <w:r w:rsidR="00B0457B">
        <w:rPr>
          <w:sz w:val="20"/>
          <w:szCs w:val="20"/>
        </w:rPr>
        <w:t xml:space="preserve">that </w:t>
      </w:r>
      <w:r w:rsidRPr="00565897">
        <w:rPr>
          <w:sz w:val="20"/>
          <w:szCs w:val="20"/>
        </w:rPr>
        <w:t>what</w:t>
      </w:r>
      <w:r w:rsidR="00565897" w:rsidRPr="00565897">
        <w:rPr>
          <w:sz w:val="20"/>
          <w:szCs w:val="20"/>
        </w:rPr>
        <w:t xml:space="preserve"> </w:t>
      </w:r>
      <w:r w:rsidR="00B0457B">
        <w:rPr>
          <w:sz w:val="20"/>
          <w:szCs w:val="20"/>
        </w:rPr>
        <w:t xml:space="preserve">is </w:t>
      </w:r>
      <w:r w:rsidRPr="00565897">
        <w:rPr>
          <w:sz w:val="20"/>
          <w:szCs w:val="20"/>
        </w:rPr>
        <w:t>proposed would be achievable. We cannot</w:t>
      </w:r>
      <w:r w:rsidR="00565897" w:rsidRPr="00565897">
        <w:rPr>
          <w:sz w:val="20"/>
          <w:szCs w:val="20"/>
        </w:rPr>
        <w:t xml:space="preserve"> for instance </w:t>
      </w:r>
      <w:r w:rsidRPr="00565897">
        <w:rPr>
          <w:sz w:val="20"/>
          <w:szCs w:val="20"/>
        </w:rPr>
        <w:t>understand what is meant by interpolating “between estimated prudent value parameters at the previous AVA calculation date and … the current AVA calculation date”. Are we</w:t>
      </w:r>
      <w:r w:rsidR="00565897" w:rsidRPr="00565897">
        <w:rPr>
          <w:sz w:val="20"/>
          <w:szCs w:val="20"/>
        </w:rPr>
        <w:t xml:space="preserve"> for example </w:t>
      </w:r>
      <w:r w:rsidRPr="00565897">
        <w:rPr>
          <w:sz w:val="20"/>
          <w:szCs w:val="20"/>
        </w:rPr>
        <w:t>to try to interpolate values between two dates that are three months apart</w:t>
      </w:r>
      <w:r w:rsidR="00D060A0">
        <w:rPr>
          <w:sz w:val="20"/>
          <w:szCs w:val="20"/>
        </w:rPr>
        <w:t xml:space="preserve"> as if market moves happened linearly across this time</w:t>
      </w:r>
      <w:r w:rsidRPr="00565897">
        <w:rPr>
          <w:sz w:val="20"/>
          <w:szCs w:val="20"/>
        </w:rPr>
        <w:t xml:space="preserve">? </w:t>
      </w:r>
      <w:r w:rsidR="00D060A0">
        <w:rPr>
          <w:sz w:val="20"/>
          <w:szCs w:val="20"/>
        </w:rPr>
        <w:t>W</w:t>
      </w:r>
      <w:r w:rsidRPr="00565897">
        <w:rPr>
          <w:sz w:val="20"/>
          <w:szCs w:val="20"/>
        </w:rPr>
        <w:t xml:space="preserve">e feel this </w:t>
      </w:r>
      <w:r w:rsidR="00D060A0">
        <w:rPr>
          <w:sz w:val="20"/>
          <w:szCs w:val="20"/>
        </w:rPr>
        <w:t xml:space="preserve">test </w:t>
      </w:r>
      <w:r w:rsidRPr="00565897">
        <w:rPr>
          <w:sz w:val="20"/>
          <w:szCs w:val="20"/>
        </w:rPr>
        <w:t>is a waste of resource</w:t>
      </w:r>
      <w:r w:rsidR="00565897" w:rsidRPr="00565897">
        <w:rPr>
          <w:sz w:val="20"/>
          <w:szCs w:val="20"/>
        </w:rPr>
        <w:t>s</w:t>
      </w:r>
      <w:r w:rsidRPr="00565897">
        <w:rPr>
          <w:sz w:val="20"/>
          <w:szCs w:val="20"/>
        </w:rPr>
        <w:t xml:space="preserve"> </w:t>
      </w:r>
      <w:r w:rsidR="00565897" w:rsidRPr="00565897">
        <w:rPr>
          <w:sz w:val="20"/>
          <w:szCs w:val="20"/>
        </w:rPr>
        <w:t xml:space="preserve">as it </w:t>
      </w:r>
      <w:r w:rsidRPr="00565897">
        <w:rPr>
          <w:sz w:val="20"/>
          <w:szCs w:val="20"/>
        </w:rPr>
        <w:t xml:space="preserve">gives no meaningful </w:t>
      </w:r>
      <w:r w:rsidR="00565897" w:rsidRPr="00565897">
        <w:rPr>
          <w:sz w:val="20"/>
          <w:szCs w:val="20"/>
        </w:rPr>
        <w:t xml:space="preserve">or useful </w:t>
      </w:r>
      <w:r w:rsidRPr="00565897">
        <w:rPr>
          <w:sz w:val="20"/>
          <w:szCs w:val="20"/>
        </w:rPr>
        <w:t xml:space="preserve">information </w:t>
      </w:r>
      <w:r w:rsidR="009313EC">
        <w:rPr>
          <w:sz w:val="20"/>
          <w:szCs w:val="20"/>
        </w:rPr>
        <w:t>a</w:t>
      </w:r>
      <w:r w:rsidRPr="00565897">
        <w:rPr>
          <w:sz w:val="20"/>
          <w:szCs w:val="20"/>
        </w:rPr>
        <w:t xml:space="preserve">s </w:t>
      </w:r>
      <w:r w:rsidR="009313EC">
        <w:rPr>
          <w:sz w:val="20"/>
          <w:szCs w:val="20"/>
        </w:rPr>
        <w:t xml:space="preserve">was the case </w:t>
      </w:r>
      <w:r w:rsidRPr="00565897">
        <w:rPr>
          <w:sz w:val="20"/>
          <w:szCs w:val="20"/>
        </w:rPr>
        <w:t xml:space="preserve">with the ongoing monitoring tool mentioned in the previous Discussion Paper. We would note that trading information will generally only be available for the more liquid positions with less valuation uncertainty where market movements would distort results. We feel that good daily </w:t>
      </w:r>
      <w:r w:rsidR="00565897" w:rsidRPr="00565897">
        <w:rPr>
          <w:sz w:val="20"/>
          <w:szCs w:val="20"/>
        </w:rPr>
        <w:t xml:space="preserve">profit &amp; loss </w:t>
      </w:r>
      <w:r w:rsidRPr="00565897">
        <w:rPr>
          <w:sz w:val="20"/>
          <w:szCs w:val="20"/>
        </w:rPr>
        <w:t>explain/attribution should be capable of covering the requirement for ongoing monitoring and is in line with the objective “to limit the burden of calculation by using data … that should be readily available within institutions as the foundation of the approach”.</w:t>
      </w:r>
    </w:p>
    <w:p w:rsidR="00EA56DE" w:rsidRPr="009727DB" w:rsidRDefault="00EA56DE" w:rsidP="00EA56DE">
      <w:pPr>
        <w:rPr>
          <w:rFonts w:cs="Arial"/>
          <w:b/>
          <w:color w:val="1F497D"/>
        </w:rPr>
      </w:pPr>
      <w:r w:rsidRPr="009727DB">
        <w:rPr>
          <w:rFonts w:cs="Arial"/>
          <w:b/>
          <w:color w:val="1F497D"/>
        </w:rPr>
        <w:t>Q13. Do you agree with our analysis of the impact of the proposals in this CP? If not, can you provide any evidence or data that would explain why you disagree or might further inform our analysis of the likely impacts of the proposals?</w:t>
      </w:r>
    </w:p>
    <w:p w:rsidR="00EA56DE" w:rsidRPr="004230F5" w:rsidRDefault="00565897" w:rsidP="00EA56DE">
      <w:pPr>
        <w:rPr>
          <w:sz w:val="20"/>
          <w:szCs w:val="20"/>
        </w:rPr>
      </w:pPr>
      <w:r w:rsidRPr="004230F5">
        <w:rPr>
          <w:sz w:val="20"/>
          <w:szCs w:val="20"/>
        </w:rPr>
        <w:lastRenderedPageBreak/>
        <w:t xml:space="preserve">Although we haven’t had the opportunity to </w:t>
      </w:r>
      <w:proofErr w:type="spellStart"/>
      <w:r w:rsidRPr="004230F5">
        <w:rPr>
          <w:sz w:val="20"/>
          <w:szCs w:val="20"/>
        </w:rPr>
        <w:t>ana</w:t>
      </w:r>
      <w:r w:rsidR="00EA56DE" w:rsidRPr="004230F5">
        <w:rPr>
          <w:sz w:val="20"/>
          <w:szCs w:val="20"/>
        </w:rPr>
        <w:t>lyse</w:t>
      </w:r>
      <w:proofErr w:type="spellEnd"/>
      <w:r w:rsidR="00EA56DE" w:rsidRPr="004230F5">
        <w:rPr>
          <w:sz w:val="20"/>
          <w:szCs w:val="20"/>
        </w:rPr>
        <w:t xml:space="preserve"> in detail the costs and benefits of the C</w:t>
      </w:r>
      <w:r w:rsidR="00B625F6">
        <w:rPr>
          <w:sz w:val="20"/>
          <w:szCs w:val="20"/>
        </w:rPr>
        <w:t xml:space="preserve">onsultation </w:t>
      </w:r>
      <w:r w:rsidR="00EA56DE" w:rsidRPr="004230F5">
        <w:rPr>
          <w:sz w:val="20"/>
          <w:szCs w:val="20"/>
        </w:rPr>
        <w:t>P</w:t>
      </w:r>
      <w:r w:rsidR="00B625F6">
        <w:rPr>
          <w:sz w:val="20"/>
          <w:szCs w:val="20"/>
        </w:rPr>
        <w:t>aper</w:t>
      </w:r>
      <w:r w:rsidRPr="004230F5">
        <w:rPr>
          <w:sz w:val="20"/>
          <w:szCs w:val="20"/>
        </w:rPr>
        <w:t xml:space="preserve">, </w:t>
      </w:r>
      <w:r w:rsidR="00EA56DE" w:rsidRPr="004230F5">
        <w:rPr>
          <w:sz w:val="20"/>
          <w:szCs w:val="20"/>
        </w:rPr>
        <w:t xml:space="preserve">we </w:t>
      </w:r>
      <w:r w:rsidRPr="004230F5">
        <w:rPr>
          <w:sz w:val="20"/>
          <w:szCs w:val="20"/>
        </w:rPr>
        <w:t xml:space="preserve">do </w:t>
      </w:r>
      <w:r w:rsidR="00EA56DE" w:rsidRPr="004230F5">
        <w:rPr>
          <w:sz w:val="20"/>
          <w:szCs w:val="20"/>
        </w:rPr>
        <w:t xml:space="preserve">feel that the costs </w:t>
      </w:r>
      <w:r w:rsidRPr="004230F5">
        <w:rPr>
          <w:sz w:val="20"/>
          <w:szCs w:val="20"/>
        </w:rPr>
        <w:t xml:space="preserve">related to </w:t>
      </w:r>
      <w:r w:rsidR="00EA56DE" w:rsidRPr="004230F5">
        <w:rPr>
          <w:sz w:val="20"/>
          <w:szCs w:val="20"/>
        </w:rPr>
        <w:t xml:space="preserve">certain </w:t>
      </w:r>
      <w:r w:rsidRPr="004230F5">
        <w:rPr>
          <w:sz w:val="20"/>
          <w:szCs w:val="20"/>
        </w:rPr>
        <w:t xml:space="preserve">proposals </w:t>
      </w:r>
      <w:r w:rsidR="00EA56DE" w:rsidRPr="004230F5">
        <w:rPr>
          <w:sz w:val="20"/>
          <w:szCs w:val="20"/>
        </w:rPr>
        <w:t xml:space="preserve">would far outweigh any potential benefits.  These </w:t>
      </w:r>
      <w:r w:rsidR="004230F5" w:rsidRPr="004230F5">
        <w:rPr>
          <w:sz w:val="20"/>
          <w:szCs w:val="20"/>
        </w:rPr>
        <w:t xml:space="preserve">have </w:t>
      </w:r>
      <w:r w:rsidR="00EA56DE" w:rsidRPr="004230F5">
        <w:rPr>
          <w:sz w:val="20"/>
          <w:szCs w:val="20"/>
        </w:rPr>
        <w:t xml:space="preserve">also </w:t>
      </w:r>
      <w:r w:rsidR="00B0457B">
        <w:rPr>
          <w:sz w:val="20"/>
          <w:szCs w:val="20"/>
        </w:rPr>
        <w:t xml:space="preserve">been </w:t>
      </w:r>
      <w:r w:rsidR="00EA56DE" w:rsidRPr="004230F5">
        <w:rPr>
          <w:sz w:val="20"/>
          <w:szCs w:val="20"/>
        </w:rPr>
        <w:t xml:space="preserve">discussed in </w:t>
      </w:r>
      <w:r w:rsidR="00B625F6">
        <w:rPr>
          <w:sz w:val="20"/>
          <w:szCs w:val="20"/>
        </w:rPr>
        <w:t>S</w:t>
      </w:r>
      <w:r w:rsidR="00D060A0">
        <w:rPr>
          <w:sz w:val="20"/>
          <w:szCs w:val="20"/>
        </w:rPr>
        <w:t>ection B</w:t>
      </w:r>
      <w:r w:rsidR="00EA56DE" w:rsidRPr="004230F5">
        <w:rPr>
          <w:sz w:val="20"/>
          <w:szCs w:val="20"/>
        </w:rPr>
        <w:t xml:space="preserve"> and </w:t>
      </w:r>
      <w:r w:rsidR="004230F5" w:rsidRPr="004230F5">
        <w:rPr>
          <w:sz w:val="20"/>
          <w:szCs w:val="20"/>
        </w:rPr>
        <w:t xml:space="preserve">in </w:t>
      </w:r>
      <w:r w:rsidR="00EA56DE" w:rsidRPr="004230F5">
        <w:rPr>
          <w:sz w:val="20"/>
          <w:szCs w:val="20"/>
        </w:rPr>
        <w:t>the responses to Q</w:t>
      </w:r>
      <w:r w:rsidR="004230F5" w:rsidRPr="004230F5">
        <w:rPr>
          <w:sz w:val="20"/>
          <w:szCs w:val="20"/>
        </w:rPr>
        <w:t xml:space="preserve">uestions </w:t>
      </w:r>
      <w:r w:rsidR="00EA56DE" w:rsidRPr="004230F5">
        <w:rPr>
          <w:sz w:val="20"/>
          <w:szCs w:val="20"/>
        </w:rPr>
        <w:t xml:space="preserve">4, 5, 6, 7 and 12.  </w:t>
      </w:r>
    </w:p>
    <w:p w:rsidR="00EA56DE" w:rsidRPr="004230F5" w:rsidRDefault="00EA56DE" w:rsidP="00EA56DE">
      <w:pPr>
        <w:rPr>
          <w:sz w:val="20"/>
          <w:szCs w:val="20"/>
        </w:rPr>
      </w:pPr>
      <w:r w:rsidRPr="004230F5">
        <w:rPr>
          <w:sz w:val="20"/>
          <w:szCs w:val="20"/>
        </w:rPr>
        <w:t>Within the core approach we feel that the ratio of last 100 days volatil</w:t>
      </w:r>
      <w:r w:rsidR="004230F5" w:rsidRPr="004230F5">
        <w:rPr>
          <w:sz w:val="20"/>
          <w:szCs w:val="20"/>
        </w:rPr>
        <w:t>ity measure within A</w:t>
      </w:r>
      <w:r w:rsidRPr="004230F5">
        <w:rPr>
          <w:sz w:val="20"/>
          <w:szCs w:val="20"/>
        </w:rPr>
        <w:t xml:space="preserve">rticles 8 and 9 and the ongoing monitoring tool within </w:t>
      </w:r>
      <w:r w:rsidR="004230F5" w:rsidRPr="004230F5">
        <w:rPr>
          <w:sz w:val="20"/>
          <w:szCs w:val="20"/>
        </w:rPr>
        <w:t>A</w:t>
      </w:r>
      <w:r w:rsidRPr="004230F5">
        <w:rPr>
          <w:sz w:val="20"/>
          <w:szCs w:val="20"/>
        </w:rPr>
        <w:t xml:space="preserve">rticle 20 will take </w:t>
      </w:r>
      <w:r w:rsidR="004230F5" w:rsidRPr="004230F5">
        <w:rPr>
          <w:sz w:val="20"/>
          <w:szCs w:val="20"/>
        </w:rPr>
        <w:t xml:space="preserve">very material amounts </w:t>
      </w:r>
      <w:r w:rsidR="00B0457B">
        <w:rPr>
          <w:sz w:val="20"/>
          <w:szCs w:val="20"/>
        </w:rPr>
        <w:t xml:space="preserve">of </w:t>
      </w:r>
      <w:r w:rsidRPr="004230F5">
        <w:rPr>
          <w:sz w:val="20"/>
          <w:szCs w:val="20"/>
        </w:rPr>
        <w:t xml:space="preserve">resources while still not necessarily being </w:t>
      </w:r>
      <w:r w:rsidR="004230F5" w:rsidRPr="004230F5">
        <w:rPr>
          <w:sz w:val="20"/>
          <w:szCs w:val="20"/>
        </w:rPr>
        <w:t xml:space="preserve">either </w:t>
      </w:r>
      <w:r w:rsidRPr="004230F5">
        <w:rPr>
          <w:sz w:val="20"/>
          <w:szCs w:val="20"/>
        </w:rPr>
        <w:t xml:space="preserve">achievable </w:t>
      </w:r>
      <w:r w:rsidR="004230F5" w:rsidRPr="004230F5">
        <w:rPr>
          <w:sz w:val="20"/>
          <w:szCs w:val="20"/>
        </w:rPr>
        <w:t xml:space="preserve">as well as </w:t>
      </w:r>
      <w:r w:rsidRPr="004230F5">
        <w:rPr>
          <w:sz w:val="20"/>
          <w:szCs w:val="20"/>
        </w:rPr>
        <w:t>being of little</w:t>
      </w:r>
      <w:r w:rsidR="004230F5" w:rsidRPr="004230F5">
        <w:rPr>
          <w:sz w:val="20"/>
          <w:szCs w:val="20"/>
        </w:rPr>
        <w:t xml:space="preserve"> or in fact </w:t>
      </w:r>
      <w:r w:rsidRPr="004230F5">
        <w:rPr>
          <w:sz w:val="20"/>
          <w:szCs w:val="20"/>
        </w:rPr>
        <w:t xml:space="preserve">no benefit. </w:t>
      </w:r>
    </w:p>
    <w:p w:rsidR="004230F5" w:rsidRPr="004230F5" w:rsidRDefault="00EA56DE" w:rsidP="00EA56DE">
      <w:pPr>
        <w:rPr>
          <w:sz w:val="20"/>
          <w:szCs w:val="20"/>
        </w:rPr>
      </w:pPr>
      <w:r w:rsidRPr="004230F5">
        <w:rPr>
          <w:sz w:val="20"/>
          <w:szCs w:val="20"/>
        </w:rPr>
        <w:t xml:space="preserve">We also feel that as mentioned in </w:t>
      </w:r>
      <w:r w:rsidR="004230F5" w:rsidRPr="004230F5">
        <w:rPr>
          <w:sz w:val="20"/>
          <w:szCs w:val="20"/>
        </w:rPr>
        <w:t xml:space="preserve">our combined </w:t>
      </w:r>
      <w:r w:rsidRPr="004230F5">
        <w:rPr>
          <w:sz w:val="20"/>
          <w:szCs w:val="20"/>
        </w:rPr>
        <w:t>response to Q</w:t>
      </w:r>
      <w:r w:rsidR="00B625F6">
        <w:rPr>
          <w:sz w:val="20"/>
          <w:szCs w:val="20"/>
        </w:rPr>
        <w:t>uestions</w:t>
      </w:r>
      <w:r w:rsidR="004230F5" w:rsidRPr="004230F5">
        <w:rPr>
          <w:sz w:val="20"/>
          <w:szCs w:val="20"/>
        </w:rPr>
        <w:t xml:space="preserve"> </w:t>
      </w:r>
      <w:r w:rsidRPr="004230F5">
        <w:rPr>
          <w:sz w:val="20"/>
          <w:szCs w:val="20"/>
        </w:rPr>
        <w:t xml:space="preserve">4 and 5 the inclusion of net </w:t>
      </w:r>
      <w:proofErr w:type="spellStart"/>
      <w:r w:rsidRPr="004230F5">
        <w:rPr>
          <w:sz w:val="20"/>
          <w:szCs w:val="20"/>
        </w:rPr>
        <w:t>unreali</w:t>
      </w:r>
      <w:r w:rsidR="004230F5" w:rsidRPr="004230F5">
        <w:rPr>
          <w:sz w:val="20"/>
          <w:szCs w:val="20"/>
        </w:rPr>
        <w:t>s</w:t>
      </w:r>
      <w:r w:rsidRPr="004230F5">
        <w:rPr>
          <w:sz w:val="20"/>
          <w:szCs w:val="20"/>
        </w:rPr>
        <w:t>ed</w:t>
      </w:r>
      <w:proofErr w:type="spellEnd"/>
      <w:r w:rsidRPr="004230F5">
        <w:rPr>
          <w:sz w:val="20"/>
          <w:szCs w:val="20"/>
        </w:rPr>
        <w:t xml:space="preserve"> profit within t</w:t>
      </w:r>
      <w:r w:rsidR="004230F5" w:rsidRPr="004230F5">
        <w:rPr>
          <w:sz w:val="20"/>
          <w:szCs w:val="20"/>
        </w:rPr>
        <w:t>he simplified approach (and in A</w:t>
      </w:r>
      <w:r w:rsidRPr="004230F5">
        <w:rPr>
          <w:sz w:val="20"/>
          <w:szCs w:val="20"/>
        </w:rPr>
        <w:t xml:space="preserve">rticle 7 of the core approach) </w:t>
      </w:r>
      <w:r w:rsidR="00D060A0">
        <w:rPr>
          <w:sz w:val="20"/>
          <w:szCs w:val="20"/>
        </w:rPr>
        <w:t xml:space="preserve">is not appropriate </w:t>
      </w:r>
      <w:r w:rsidR="0010445F">
        <w:rPr>
          <w:sz w:val="20"/>
          <w:szCs w:val="20"/>
        </w:rPr>
        <w:t xml:space="preserve">as a </w:t>
      </w:r>
      <w:r w:rsidR="00D060A0">
        <w:rPr>
          <w:sz w:val="20"/>
          <w:szCs w:val="20"/>
        </w:rPr>
        <w:t xml:space="preserve">measure of </w:t>
      </w:r>
      <w:r w:rsidR="0010445F">
        <w:rPr>
          <w:sz w:val="20"/>
          <w:szCs w:val="20"/>
        </w:rPr>
        <w:t xml:space="preserve">valuation </w:t>
      </w:r>
      <w:r w:rsidR="00D060A0">
        <w:rPr>
          <w:sz w:val="20"/>
          <w:szCs w:val="20"/>
        </w:rPr>
        <w:t xml:space="preserve">uncertainty and </w:t>
      </w:r>
      <w:r w:rsidRPr="004230F5">
        <w:rPr>
          <w:sz w:val="20"/>
          <w:szCs w:val="20"/>
        </w:rPr>
        <w:t>would require costly system</w:t>
      </w:r>
      <w:r w:rsidR="004230F5" w:rsidRPr="004230F5">
        <w:rPr>
          <w:sz w:val="20"/>
          <w:szCs w:val="20"/>
        </w:rPr>
        <w:t>s</w:t>
      </w:r>
      <w:r w:rsidRPr="004230F5">
        <w:rPr>
          <w:sz w:val="20"/>
          <w:szCs w:val="20"/>
        </w:rPr>
        <w:t xml:space="preserve"> upgrades since </w:t>
      </w:r>
      <w:r w:rsidR="009727DB">
        <w:rPr>
          <w:sz w:val="20"/>
          <w:szCs w:val="20"/>
        </w:rPr>
        <w:t xml:space="preserve">the </w:t>
      </w:r>
      <w:proofErr w:type="spellStart"/>
      <w:r w:rsidR="009727DB">
        <w:rPr>
          <w:sz w:val="20"/>
          <w:szCs w:val="20"/>
        </w:rPr>
        <w:t>realis</w:t>
      </w:r>
      <w:r w:rsidR="004230F5" w:rsidRPr="004230F5">
        <w:rPr>
          <w:sz w:val="20"/>
          <w:szCs w:val="20"/>
        </w:rPr>
        <w:t>ed</w:t>
      </w:r>
      <w:proofErr w:type="spellEnd"/>
      <w:r w:rsidR="004230F5" w:rsidRPr="004230F5">
        <w:rPr>
          <w:sz w:val="20"/>
          <w:szCs w:val="20"/>
        </w:rPr>
        <w:t xml:space="preserve"> and </w:t>
      </w:r>
      <w:proofErr w:type="spellStart"/>
      <w:r w:rsidR="004230F5" w:rsidRPr="004230F5">
        <w:rPr>
          <w:sz w:val="20"/>
          <w:szCs w:val="20"/>
        </w:rPr>
        <w:t>unreali</w:t>
      </w:r>
      <w:r w:rsidR="009847D1">
        <w:rPr>
          <w:sz w:val="20"/>
          <w:szCs w:val="20"/>
        </w:rPr>
        <w:t>s</w:t>
      </w:r>
      <w:r w:rsidR="004230F5" w:rsidRPr="004230F5">
        <w:rPr>
          <w:sz w:val="20"/>
          <w:szCs w:val="20"/>
        </w:rPr>
        <w:t>ed</w:t>
      </w:r>
      <w:proofErr w:type="spellEnd"/>
      <w:r w:rsidR="004230F5" w:rsidRPr="004230F5">
        <w:rPr>
          <w:sz w:val="20"/>
          <w:szCs w:val="20"/>
        </w:rPr>
        <w:t xml:space="preserve"> split is not typically stored and therefore retained since it is generally not required for accounting purposes.</w:t>
      </w:r>
    </w:p>
    <w:p w:rsidR="00D53060" w:rsidRPr="00DD79B4" w:rsidRDefault="00D53060" w:rsidP="007A5413">
      <w:pPr>
        <w:spacing w:after="0" w:line="240" w:lineRule="auto"/>
        <w:jc w:val="both"/>
        <w:rPr>
          <w:rFonts w:cs="Calibri"/>
        </w:rPr>
      </w:pPr>
    </w:p>
    <w:p w:rsidR="00DC2F60" w:rsidRPr="00DD79B4" w:rsidRDefault="00DC2F60" w:rsidP="00DC2F60">
      <w:pPr>
        <w:spacing w:after="0" w:line="240" w:lineRule="auto"/>
        <w:jc w:val="both"/>
        <w:rPr>
          <w:rFonts w:cs="Calibri"/>
          <w:lang w:val="en-GB"/>
        </w:rPr>
      </w:pPr>
      <w:bookmarkStart w:id="0" w:name="_GoBack"/>
      <w:bookmarkEnd w:id="0"/>
    </w:p>
    <w:p w:rsidR="00D53060" w:rsidRPr="00DD79B4" w:rsidRDefault="00D53060" w:rsidP="007A5413">
      <w:pPr>
        <w:spacing w:after="0" w:line="240" w:lineRule="auto"/>
        <w:jc w:val="both"/>
        <w:rPr>
          <w:rFonts w:cs="Calibri"/>
        </w:rPr>
      </w:pPr>
    </w:p>
    <w:p w:rsidR="00FC0DB4" w:rsidRPr="00DD79B4" w:rsidRDefault="00FC0DB4" w:rsidP="00FC0DB4">
      <w:pPr>
        <w:spacing w:after="0" w:line="240" w:lineRule="auto"/>
        <w:jc w:val="both"/>
        <w:rPr>
          <w:rFonts w:cs="Calibri"/>
          <w:lang w:val="en-GB"/>
        </w:rPr>
      </w:pPr>
    </w:p>
    <w:p w:rsidR="00FC0DB4" w:rsidRPr="00DD79B4" w:rsidRDefault="00AE6E1C" w:rsidP="00FC0DB4">
      <w:pPr>
        <w:spacing w:after="0" w:line="240" w:lineRule="auto"/>
        <w:jc w:val="both"/>
        <w:rPr>
          <w:rFonts w:cs="Calibri"/>
          <w:lang w:val="en-GB"/>
        </w:rPr>
      </w:pPr>
      <w:r>
        <w:rPr>
          <w:rFonts w:cs="Calibri"/>
          <w:lang w:val="en-GB"/>
        </w:rPr>
        <w:t xml:space="preserve">                                            _____________________________________________________________</w:t>
      </w:r>
    </w:p>
    <w:p w:rsidR="00FC0DB4" w:rsidRPr="00DD79B4" w:rsidRDefault="00FC0DB4" w:rsidP="00FC0DB4">
      <w:pPr>
        <w:spacing w:after="0" w:line="240" w:lineRule="auto"/>
        <w:jc w:val="both"/>
        <w:rPr>
          <w:rFonts w:cs="Calibri"/>
          <w:lang w:val="en-GB"/>
        </w:rPr>
      </w:pPr>
    </w:p>
    <w:p w:rsidR="004C3E98" w:rsidRPr="00DD79B4" w:rsidRDefault="004C3E98" w:rsidP="007A5413">
      <w:pPr>
        <w:spacing w:after="0" w:line="240" w:lineRule="auto"/>
        <w:jc w:val="both"/>
        <w:rPr>
          <w:rFonts w:cs="Calibri"/>
        </w:rPr>
      </w:pPr>
    </w:p>
    <w:sectPr w:rsidR="004C3E98" w:rsidRPr="00DD79B4" w:rsidSect="00656965">
      <w:headerReference w:type="default" r:id="rId9"/>
      <w:footerReference w:type="default" r:id="rId10"/>
      <w:pgSz w:w="12240" w:h="15840"/>
      <w:pgMar w:top="993" w:right="1440" w:bottom="993" w:left="1440" w:header="708" w:footer="708"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4C62" w:rsidRDefault="006B4C62" w:rsidP="004A47D1">
      <w:pPr>
        <w:spacing w:after="0" w:line="240" w:lineRule="auto"/>
      </w:pPr>
      <w:r>
        <w:separator/>
      </w:r>
    </w:p>
  </w:endnote>
  <w:endnote w:type="continuationSeparator" w:id="0">
    <w:p w:rsidR="006B4C62" w:rsidRDefault="006B4C62" w:rsidP="004A47D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EUAlbertina">
    <w:altName w:val="EU Albertin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A00002EF" w:usb1="4000204B"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Helvetica N Light">
    <w:panose1 w:val="00000000000000000000"/>
    <w:charset w:val="00"/>
    <w:family w:val="decorative"/>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3738" w:rsidRDefault="00803738">
    <w:pPr>
      <w:pStyle w:val="Footer"/>
    </w:pPr>
  </w:p>
  <w:p w:rsidR="00803738" w:rsidRDefault="0080373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4C62" w:rsidRDefault="006B4C62" w:rsidP="004A47D1">
      <w:pPr>
        <w:spacing w:after="0" w:line="240" w:lineRule="auto"/>
      </w:pPr>
      <w:r>
        <w:separator/>
      </w:r>
    </w:p>
  </w:footnote>
  <w:footnote w:type="continuationSeparator" w:id="0">
    <w:p w:rsidR="006B4C62" w:rsidRDefault="006B4C62" w:rsidP="004A47D1">
      <w:pPr>
        <w:spacing w:after="0" w:line="240" w:lineRule="auto"/>
      </w:pPr>
      <w:r>
        <w:continuationSeparator/>
      </w:r>
    </w:p>
  </w:footnote>
  <w:footnote w:id="1">
    <w:p w:rsidR="00803738" w:rsidRDefault="00803738" w:rsidP="004051BA">
      <w:pPr>
        <w:pStyle w:val="FootnoteText"/>
        <w:rPr>
          <w:lang w:val="en-GB"/>
        </w:rPr>
      </w:pPr>
    </w:p>
    <w:p w:rsidR="00803738" w:rsidRPr="00C94F84" w:rsidRDefault="00803738" w:rsidP="004051BA">
      <w:pPr>
        <w:pStyle w:val="FootnoteText"/>
        <w:rPr>
          <w:color w:val="1F497D"/>
          <w:sz w:val="16"/>
          <w:szCs w:val="16"/>
          <w:lang w:val="en-GB"/>
        </w:rPr>
      </w:pPr>
      <w:r w:rsidRPr="00C94F84">
        <w:rPr>
          <w:rStyle w:val="FootnoteReference"/>
          <w:color w:val="1F497D"/>
          <w:sz w:val="16"/>
          <w:szCs w:val="16"/>
        </w:rPr>
        <w:footnoteRef/>
      </w:r>
      <w:r w:rsidRPr="00C94F84">
        <w:rPr>
          <w:color w:val="1F497D"/>
          <w:sz w:val="16"/>
          <w:szCs w:val="16"/>
        </w:rPr>
        <w:t xml:space="preserve"> </w:t>
      </w:r>
      <w:r w:rsidRPr="00C52C0D">
        <w:rPr>
          <w:sz w:val="16"/>
          <w:szCs w:val="16"/>
        </w:rPr>
        <w:t>The Association for Financial Markets in Europe (AFME) advocates stable, competitive and sustainable European financial markets that support economic growth and benefit society. AFME promotes fair, orderly, and efficient European wholesale capital markets and provides leadership in advancing the interests of all market participants. AFME represents a broad array of European and global participants in the wholesale financial markets. Its members comprise pan-EU and global banks as well as key regional banks, brokers, law firms, investors and other financial market participants. AFME participates in a global alliance with the Securities Industry and Financial Markets Association (SIFMA) in the US, and the Asia Securities Industry and Financial Markets Association through the GFMA (Global Financial Markets Association). For more</w:t>
      </w:r>
      <w:r w:rsidRPr="00C52C0D">
        <w:rPr>
          <w:sz w:val="16"/>
          <w:szCs w:val="16"/>
          <w:lang w:val="en-GB"/>
        </w:rPr>
        <w:t xml:space="preserve"> </w:t>
      </w:r>
      <w:r w:rsidRPr="00C52C0D">
        <w:rPr>
          <w:sz w:val="16"/>
          <w:szCs w:val="16"/>
        </w:rPr>
        <w:t xml:space="preserve">information please visit the AFME website, </w:t>
      </w:r>
      <w:hyperlink r:id="rId1" w:history="1">
        <w:r w:rsidRPr="00C52C0D">
          <w:rPr>
            <w:rStyle w:val="Hyperlink"/>
            <w:color w:val="auto"/>
            <w:sz w:val="16"/>
            <w:szCs w:val="16"/>
          </w:rPr>
          <w:t>www.afme.eu</w:t>
        </w:r>
      </w:hyperlink>
      <w:r w:rsidRPr="00C52C0D">
        <w:rPr>
          <w:sz w:val="16"/>
          <w:szCs w:val="16"/>
        </w:rPr>
        <w:t>.</w:t>
      </w:r>
      <w:r w:rsidRPr="00C94F84">
        <w:rPr>
          <w:color w:val="1F497D"/>
          <w:sz w:val="16"/>
          <w:szCs w:val="16"/>
          <w:lang w:val="en-GB"/>
        </w:rPr>
        <w:t xml:space="preserve"> </w:t>
      </w:r>
    </w:p>
    <w:p w:rsidR="00803738" w:rsidRPr="00C94F84" w:rsidRDefault="00803738" w:rsidP="004051BA">
      <w:pPr>
        <w:pStyle w:val="FootnoteText"/>
        <w:rPr>
          <w:color w:val="1F497D"/>
          <w:sz w:val="16"/>
          <w:szCs w:val="16"/>
          <w:lang w:val="en-GB"/>
        </w:rPr>
      </w:pPr>
    </w:p>
  </w:footnote>
  <w:footnote w:id="2">
    <w:p w:rsidR="00050651" w:rsidRPr="00050651" w:rsidRDefault="00803738" w:rsidP="00050651">
      <w:pPr>
        <w:rPr>
          <w:rFonts w:asciiTheme="minorHAnsi" w:hAnsiTheme="minorHAnsi"/>
        </w:rPr>
      </w:pPr>
      <w:r w:rsidRPr="00C94F84">
        <w:rPr>
          <w:rStyle w:val="FootnoteReference"/>
          <w:color w:val="1F497D"/>
          <w:sz w:val="16"/>
          <w:szCs w:val="16"/>
        </w:rPr>
        <w:footnoteRef/>
      </w:r>
      <w:r w:rsidRPr="00C94F84">
        <w:rPr>
          <w:color w:val="1F497D"/>
          <w:sz w:val="16"/>
          <w:szCs w:val="16"/>
        </w:rPr>
        <w:t xml:space="preserve"> </w:t>
      </w:r>
      <w:r w:rsidR="0043796D" w:rsidRPr="0043796D">
        <w:rPr>
          <w:rFonts w:asciiTheme="minorHAnsi" w:hAnsiTheme="minorHAnsi" w:cs="Arial"/>
          <w:sz w:val="16"/>
          <w:szCs w:val="16"/>
        </w:rPr>
        <w:t xml:space="preserve">Since 1985, ISDA has worked to make the global over-the-counter (OTC) derivatives markets safer and more efficient. Today, ISDA has over 800 member institutions from 60 countries. These members include a broad range of OTC derivatives market participants including corporations, investment managers, government and supranational entities, insurance companies, energy and commodities firms, and international and regional banks. In addition to market participants, members also include key components of the derivatives market infrastructure including exchanges, clearinghouses and repositories, as well as law firms, accounting firms and other service providers. Information about ISDA and its activities is available on the Association's web site: </w:t>
      </w:r>
      <w:hyperlink r:id="rId2" w:history="1">
        <w:r w:rsidR="0043796D" w:rsidRPr="0043796D">
          <w:rPr>
            <w:rStyle w:val="Hyperlink"/>
            <w:rFonts w:asciiTheme="minorHAnsi" w:hAnsiTheme="minorHAnsi" w:cs="Arial"/>
            <w:sz w:val="16"/>
            <w:szCs w:val="16"/>
          </w:rPr>
          <w:t>www.isda.org</w:t>
        </w:r>
      </w:hyperlink>
      <w:r w:rsidR="0043796D" w:rsidRPr="0043796D">
        <w:rPr>
          <w:rFonts w:asciiTheme="minorHAnsi" w:hAnsiTheme="minorHAnsi" w:cs="Arial"/>
          <w:sz w:val="16"/>
          <w:szCs w:val="16"/>
        </w:rPr>
        <w:t>.</w:t>
      </w:r>
    </w:p>
    <w:p w:rsidR="00803738" w:rsidRPr="00C94F84" w:rsidRDefault="00803738" w:rsidP="006C1BBB">
      <w:pPr>
        <w:pStyle w:val="FootnoteText"/>
        <w:rPr>
          <w:color w:val="1F497D"/>
          <w:sz w:val="16"/>
          <w:szCs w:val="16"/>
          <w:lang w:val="en-GB"/>
        </w:rPr>
      </w:pPr>
    </w:p>
    <w:p w:rsidR="00803738" w:rsidRPr="00C94F84" w:rsidRDefault="00803738">
      <w:pPr>
        <w:pStyle w:val="FootnoteText"/>
        <w:rPr>
          <w:color w:val="1F497D"/>
          <w:sz w:val="16"/>
          <w:szCs w:val="16"/>
          <w:lang w:val="en-GB"/>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3738" w:rsidRDefault="00866050">
    <w:pPr>
      <w:pStyle w:val="Header"/>
      <w:jc w:val="right"/>
    </w:pPr>
    <w:r>
      <w:fldChar w:fldCharType="begin"/>
    </w:r>
    <w:r w:rsidR="00E55589">
      <w:instrText xml:space="preserve"> PAGE   \* MERGEFORMAT </w:instrText>
    </w:r>
    <w:r>
      <w:fldChar w:fldCharType="separate"/>
    </w:r>
    <w:r w:rsidR="009704D2">
      <w:rPr>
        <w:noProof/>
      </w:rPr>
      <w:t>5</w:t>
    </w:r>
    <w:r>
      <w:rPr>
        <w:noProof/>
      </w:rPr>
      <w:fldChar w:fldCharType="end"/>
    </w:r>
  </w:p>
  <w:p w:rsidR="00803738" w:rsidRDefault="0080373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C35F9"/>
    <w:multiLevelType w:val="hybridMultilevel"/>
    <w:tmpl w:val="AD52CDD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50E70F7"/>
    <w:multiLevelType w:val="hybridMultilevel"/>
    <w:tmpl w:val="E6A4E5D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17D3757"/>
    <w:multiLevelType w:val="hybridMultilevel"/>
    <w:tmpl w:val="A70605C6"/>
    <w:lvl w:ilvl="0" w:tplc="0809001B">
      <w:start w:val="1"/>
      <w:numFmt w:val="lowerRoman"/>
      <w:lvlText w:val="%1."/>
      <w:lvlJc w:val="right"/>
      <w:pPr>
        <w:ind w:left="761" w:hanging="360"/>
      </w:pPr>
    </w:lvl>
    <w:lvl w:ilvl="1" w:tplc="04090019">
      <w:start w:val="1"/>
      <w:numFmt w:val="lowerLetter"/>
      <w:lvlText w:val="%2."/>
      <w:lvlJc w:val="left"/>
      <w:pPr>
        <w:ind w:left="1481"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34E20232"/>
    <w:multiLevelType w:val="hybridMultilevel"/>
    <w:tmpl w:val="ADD2EDA4"/>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35FF22F9"/>
    <w:multiLevelType w:val="hybridMultilevel"/>
    <w:tmpl w:val="D640DC8A"/>
    <w:lvl w:ilvl="0" w:tplc="1AEC108E">
      <w:start w:val="1"/>
      <w:numFmt w:val="lowerLetter"/>
      <w:lvlText w:val="%1)"/>
      <w:lvlJc w:val="left"/>
      <w:pPr>
        <w:ind w:left="720" w:hanging="360"/>
      </w:pPr>
      <w:rPr>
        <w:i w:val="0"/>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5">
    <w:nsid w:val="437765CA"/>
    <w:multiLevelType w:val="hybridMultilevel"/>
    <w:tmpl w:val="949A66B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4DA278A8"/>
    <w:multiLevelType w:val="hybridMultilevel"/>
    <w:tmpl w:val="9D381A4C"/>
    <w:lvl w:ilvl="0" w:tplc="4B44D4CE">
      <w:start w:val="20"/>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28B53E3"/>
    <w:multiLevelType w:val="hybridMultilevel"/>
    <w:tmpl w:val="324E4758"/>
    <w:lvl w:ilvl="0" w:tplc="AA90C432">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E115830"/>
    <w:multiLevelType w:val="hybridMultilevel"/>
    <w:tmpl w:val="5B762FD2"/>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71C7330B"/>
    <w:multiLevelType w:val="hybridMultilevel"/>
    <w:tmpl w:val="DD92E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2E62B7C"/>
    <w:multiLevelType w:val="hybridMultilevel"/>
    <w:tmpl w:val="9C5AD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34F6F99"/>
    <w:multiLevelType w:val="hybridMultilevel"/>
    <w:tmpl w:val="3E7A4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4F70592"/>
    <w:multiLevelType w:val="hybridMultilevel"/>
    <w:tmpl w:val="AA82BE3C"/>
    <w:lvl w:ilvl="0" w:tplc="D5E8CF1A">
      <w:start w:val="1"/>
      <w:numFmt w:val="lowerRoman"/>
      <w:lvlText w:val="%1)"/>
      <w:lvlJc w:val="left"/>
      <w:pPr>
        <w:ind w:left="765" w:hanging="72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3">
    <w:nsid w:val="77CD5424"/>
    <w:multiLevelType w:val="hybridMultilevel"/>
    <w:tmpl w:val="429E1BF4"/>
    <w:lvl w:ilvl="0" w:tplc="CF08F966">
      <w:start w:val="1"/>
      <w:numFmt w:val="lowerRoman"/>
      <w:lvlText w:val="(%1)"/>
      <w:lvlJc w:val="left"/>
      <w:pPr>
        <w:ind w:left="720" w:hanging="360"/>
      </w:pPr>
      <w:rPr>
        <w:rFonts w:ascii="Calibri" w:eastAsia="Calibri" w:hAnsi="Calibri" w:cs="EUAlbertina"/>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4">
    <w:nsid w:val="7C7A1A4E"/>
    <w:multiLevelType w:val="hybridMultilevel"/>
    <w:tmpl w:val="1166B1CC"/>
    <w:lvl w:ilvl="0" w:tplc="68AE6320">
      <w:start w:val="1"/>
      <w:numFmt w:val="lowerLetter"/>
      <w:lvlText w:val="%1)"/>
      <w:lvlJc w:val="left"/>
      <w:pPr>
        <w:ind w:left="720" w:hanging="360"/>
      </w:pPr>
      <w:rPr>
        <w:i w:val="0"/>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5">
    <w:nsid w:val="7C936819"/>
    <w:multiLevelType w:val="hybridMultilevel"/>
    <w:tmpl w:val="7AE2A578"/>
    <w:lvl w:ilvl="0" w:tplc="08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D560D97"/>
    <w:multiLevelType w:val="hybridMultilevel"/>
    <w:tmpl w:val="1B46D65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1"/>
  </w:num>
  <w:num w:numId="3">
    <w:abstractNumId w:val="3"/>
  </w:num>
  <w:num w:numId="4">
    <w:abstractNumId w:val="15"/>
  </w:num>
  <w:num w:numId="5">
    <w:abstractNumId w:val="16"/>
  </w:num>
  <w:num w:numId="6">
    <w:abstractNumId w:val="0"/>
  </w:num>
  <w:num w:numId="7">
    <w:abstractNumId w:val="1"/>
  </w:num>
  <w:num w:numId="8">
    <w:abstractNumId w:val="12"/>
  </w:num>
  <w:num w:numId="9">
    <w:abstractNumId w:val="9"/>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6"/>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hyphenationZone w:val="425"/>
  <w:characterSpacingControl w:val="doNotCompress"/>
  <w:hdrShapeDefaults>
    <o:shapedefaults v:ext="edit" spidmax="24578"/>
  </w:hdrShapeDefaults>
  <w:footnotePr>
    <w:footnote w:id="-1"/>
    <w:footnote w:id="0"/>
  </w:footnotePr>
  <w:endnotePr>
    <w:endnote w:id="-1"/>
    <w:endnote w:id="0"/>
  </w:endnotePr>
  <w:compat/>
  <w:rsids>
    <w:rsidRoot w:val="00B562CB"/>
    <w:rsid w:val="000035E1"/>
    <w:rsid w:val="00003A66"/>
    <w:rsid w:val="00005398"/>
    <w:rsid w:val="0001162F"/>
    <w:rsid w:val="00012187"/>
    <w:rsid w:val="00012261"/>
    <w:rsid w:val="000148C5"/>
    <w:rsid w:val="00015FC8"/>
    <w:rsid w:val="00016542"/>
    <w:rsid w:val="00016C95"/>
    <w:rsid w:val="0002388C"/>
    <w:rsid w:val="00027D4A"/>
    <w:rsid w:val="00030859"/>
    <w:rsid w:val="000310CB"/>
    <w:rsid w:val="000322D8"/>
    <w:rsid w:val="000326C3"/>
    <w:rsid w:val="000326C4"/>
    <w:rsid w:val="00036F2D"/>
    <w:rsid w:val="000403EE"/>
    <w:rsid w:val="00041363"/>
    <w:rsid w:val="00043CFE"/>
    <w:rsid w:val="000440FB"/>
    <w:rsid w:val="00050337"/>
    <w:rsid w:val="00050651"/>
    <w:rsid w:val="00050BB3"/>
    <w:rsid w:val="000516EF"/>
    <w:rsid w:val="00053970"/>
    <w:rsid w:val="000553B9"/>
    <w:rsid w:val="00055524"/>
    <w:rsid w:val="000607BD"/>
    <w:rsid w:val="00061001"/>
    <w:rsid w:val="000610A1"/>
    <w:rsid w:val="00062B22"/>
    <w:rsid w:val="000637B7"/>
    <w:rsid w:val="00065920"/>
    <w:rsid w:val="00065D6B"/>
    <w:rsid w:val="00065E03"/>
    <w:rsid w:val="0006649C"/>
    <w:rsid w:val="00067AC0"/>
    <w:rsid w:val="0007296D"/>
    <w:rsid w:val="00076EBF"/>
    <w:rsid w:val="00077185"/>
    <w:rsid w:val="0008009A"/>
    <w:rsid w:val="00080340"/>
    <w:rsid w:val="0008128F"/>
    <w:rsid w:val="00081804"/>
    <w:rsid w:val="00085C87"/>
    <w:rsid w:val="00085D2F"/>
    <w:rsid w:val="000864CD"/>
    <w:rsid w:val="00087898"/>
    <w:rsid w:val="000879D0"/>
    <w:rsid w:val="00092309"/>
    <w:rsid w:val="000924C7"/>
    <w:rsid w:val="00095B6F"/>
    <w:rsid w:val="000A15BF"/>
    <w:rsid w:val="000A32FA"/>
    <w:rsid w:val="000A456E"/>
    <w:rsid w:val="000A55AD"/>
    <w:rsid w:val="000A7E9E"/>
    <w:rsid w:val="000B0E3C"/>
    <w:rsid w:val="000B4069"/>
    <w:rsid w:val="000B4423"/>
    <w:rsid w:val="000B5684"/>
    <w:rsid w:val="000B5EC4"/>
    <w:rsid w:val="000B79BE"/>
    <w:rsid w:val="000C1609"/>
    <w:rsid w:val="000C39A3"/>
    <w:rsid w:val="000C4859"/>
    <w:rsid w:val="000C560A"/>
    <w:rsid w:val="000C6A9F"/>
    <w:rsid w:val="000C6FF9"/>
    <w:rsid w:val="000D084F"/>
    <w:rsid w:val="000D0CE3"/>
    <w:rsid w:val="000D5538"/>
    <w:rsid w:val="000D5763"/>
    <w:rsid w:val="000E01F6"/>
    <w:rsid w:val="000E03A0"/>
    <w:rsid w:val="000E323D"/>
    <w:rsid w:val="000E4B3A"/>
    <w:rsid w:val="000E509E"/>
    <w:rsid w:val="000F067F"/>
    <w:rsid w:val="000F2C33"/>
    <w:rsid w:val="000F37DD"/>
    <w:rsid w:val="000F5C60"/>
    <w:rsid w:val="000F71E9"/>
    <w:rsid w:val="000F7699"/>
    <w:rsid w:val="00100FD5"/>
    <w:rsid w:val="00103416"/>
    <w:rsid w:val="00103877"/>
    <w:rsid w:val="0010445F"/>
    <w:rsid w:val="001127BA"/>
    <w:rsid w:val="00120272"/>
    <w:rsid w:val="00120B22"/>
    <w:rsid w:val="00123A1F"/>
    <w:rsid w:val="0012599E"/>
    <w:rsid w:val="00125F04"/>
    <w:rsid w:val="0012625A"/>
    <w:rsid w:val="001264E9"/>
    <w:rsid w:val="00127CEA"/>
    <w:rsid w:val="001322C6"/>
    <w:rsid w:val="00133BFF"/>
    <w:rsid w:val="00136621"/>
    <w:rsid w:val="00136D58"/>
    <w:rsid w:val="00140120"/>
    <w:rsid w:val="00152313"/>
    <w:rsid w:val="00152A93"/>
    <w:rsid w:val="00154918"/>
    <w:rsid w:val="001559DD"/>
    <w:rsid w:val="00157E28"/>
    <w:rsid w:val="0016064D"/>
    <w:rsid w:val="00160807"/>
    <w:rsid w:val="001612F5"/>
    <w:rsid w:val="00161322"/>
    <w:rsid w:val="001627BC"/>
    <w:rsid w:val="0016331E"/>
    <w:rsid w:val="00163F2A"/>
    <w:rsid w:val="00165091"/>
    <w:rsid w:val="0017082B"/>
    <w:rsid w:val="00172D34"/>
    <w:rsid w:val="0017328E"/>
    <w:rsid w:val="00173F70"/>
    <w:rsid w:val="00183835"/>
    <w:rsid w:val="0018568F"/>
    <w:rsid w:val="001872AB"/>
    <w:rsid w:val="0019228C"/>
    <w:rsid w:val="001974DF"/>
    <w:rsid w:val="00197A82"/>
    <w:rsid w:val="001A1DD3"/>
    <w:rsid w:val="001A3687"/>
    <w:rsid w:val="001A79E1"/>
    <w:rsid w:val="001B2A7C"/>
    <w:rsid w:val="001B48BC"/>
    <w:rsid w:val="001B4C73"/>
    <w:rsid w:val="001B54DD"/>
    <w:rsid w:val="001B633B"/>
    <w:rsid w:val="001C0C88"/>
    <w:rsid w:val="001C368C"/>
    <w:rsid w:val="001C41A3"/>
    <w:rsid w:val="001C52E5"/>
    <w:rsid w:val="001C6954"/>
    <w:rsid w:val="001C6C20"/>
    <w:rsid w:val="001D004B"/>
    <w:rsid w:val="001D2B7E"/>
    <w:rsid w:val="001D7E35"/>
    <w:rsid w:val="001E0A5C"/>
    <w:rsid w:val="001E0FAD"/>
    <w:rsid w:val="001E2B1A"/>
    <w:rsid w:val="001E2C0B"/>
    <w:rsid w:val="001E650E"/>
    <w:rsid w:val="001E6E0B"/>
    <w:rsid w:val="001E7540"/>
    <w:rsid w:val="001E78C2"/>
    <w:rsid w:val="001E7E23"/>
    <w:rsid w:val="001F094A"/>
    <w:rsid w:val="001F1025"/>
    <w:rsid w:val="001F2572"/>
    <w:rsid w:val="001F3F47"/>
    <w:rsid w:val="001F68B5"/>
    <w:rsid w:val="00201050"/>
    <w:rsid w:val="00202B4F"/>
    <w:rsid w:val="00207194"/>
    <w:rsid w:val="00212986"/>
    <w:rsid w:val="00214F16"/>
    <w:rsid w:val="00215145"/>
    <w:rsid w:val="00216F8A"/>
    <w:rsid w:val="002249B2"/>
    <w:rsid w:val="002260F6"/>
    <w:rsid w:val="0022739B"/>
    <w:rsid w:val="00231428"/>
    <w:rsid w:val="002337D1"/>
    <w:rsid w:val="002352EE"/>
    <w:rsid w:val="002401C4"/>
    <w:rsid w:val="002404F7"/>
    <w:rsid w:val="00243ADB"/>
    <w:rsid w:val="0024465E"/>
    <w:rsid w:val="0024535A"/>
    <w:rsid w:val="00245A51"/>
    <w:rsid w:val="00253566"/>
    <w:rsid w:val="00256AA7"/>
    <w:rsid w:val="002574CD"/>
    <w:rsid w:val="00260888"/>
    <w:rsid w:val="00261EB8"/>
    <w:rsid w:val="00262B73"/>
    <w:rsid w:val="00262EB5"/>
    <w:rsid w:val="002645DE"/>
    <w:rsid w:val="00267DF4"/>
    <w:rsid w:val="002717FA"/>
    <w:rsid w:val="0027371B"/>
    <w:rsid w:val="00273DFE"/>
    <w:rsid w:val="00274930"/>
    <w:rsid w:val="0027635A"/>
    <w:rsid w:val="0027646D"/>
    <w:rsid w:val="00280063"/>
    <w:rsid w:val="002807F4"/>
    <w:rsid w:val="00280D36"/>
    <w:rsid w:val="002840A0"/>
    <w:rsid w:val="002869EC"/>
    <w:rsid w:val="00287B3F"/>
    <w:rsid w:val="00290B3A"/>
    <w:rsid w:val="002917A6"/>
    <w:rsid w:val="00294010"/>
    <w:rsid w:val="00295CFA"/>
    <w:rsid w:val="002A15E3"/>
    <w:rsid w:val="002A27F5"/>
    <w:rsid w:val="002A2FFB"/>
    <w:rsid w:val="002A333F"/>
    <w:rsid w:val="002A3B63"/>
    <w:rsid w:val="002A5F65"/>
    <w:rsid w:val="002A7F28"/>
    <w:rsid w:val="002B5D57"/>
    <w:rsid w:val="002C07BC"/>
    <w:rsid w:val="002C4696"/>
    <w:rsid w:val="002C53F7"/>
    <w:rsid w:val="002C5580"/>
    <w:rsid w:val="002C63D1"/>
    <w:rsid w:val="002C79F2"/>
    <w:rsid w:val="002D0079"/>
    <w:rsid w:val="002D1052"/>
    <w:rsid w:val="002D1422"/>
    <w:rsid w:val="002D1C06"/>
    <w:rsid w:val="002D1C08"/>
    <w:rsid w:val="002D2A52"/>
    <w:rsid w:val="002D2CB3"/>
    <w:rsid w:val="002D5600"/>
    <w:rsid w:val="002E367F"/>
    <w:rsid w:val="002E480D"/>
    <w:rsid w:val="002E5C38"/>
    <w:rsid w:val="002E7110"/>
    <w:rsid w:val="002F37AD"/>
    <w:rsid w:val="002F49F8"/>
    <w:rsid w:val="002F6125"/>
    <w:rsid w:val="003047C7"/>
    <w:rsid w:val="00304897"/>
    <w:rsid w:val="00305B5E"/>
    <w:rsid w:val="00305CEA"/>
    <w:rsid w:val="00307A44"/>
    <w:rsid w:val="00307BB4"/>
    <w:rsid w:val="003101B3"/>
    <w:rsid w:val="00310655"/>
    <w:rsid w:val="003157F0"/>
    <w:rsid w:val="00316B77"/>
    <w:rsid w:val="00316C45"/>
    <w:rsid w:val="00320A35"/>
    <w:rsid w:val="003220B2"/>
    <w:rsid w:val="00322134"/>
    <w:rsid w:val="0032484D"/>
    <w:rsid w:val="00325D7F"/>
    <w:rsid w:val="003265C0"/>
    <w:rsid w:val="00327AED"/>
    <w:rsid w:val="00331A75"/>
    <w:rsid w:val="003335F9"/>
    <w:rsid w:val="00334896"/>
    <w:rsid w:val="00334977"/>
    <w:rsid w:val="0033744D"/>
    <w:rsid w:val="003431BE"/>
    <w:rsid w:val="00345FCE"/>
    <w:rsid w:val="003479E6"/>
    <w:rsid w:val="0035138E"/>
    <w:rsid w:val="00352FFE"/>
    <w:rsid w:val="00360158"/>
    <w:rsid w:val="00361142"/>
    <w:rsid w:val="00361F61"/>
    <w:rsid w:val="0036331F"/>
    <w:rsid w:val="00363752"/>
    <w:rsid w:val="00363C16"/>
    <w:rsid w:val="003651C1"/>
    <w:rsid w:val="003657AB"/>
    <w:rsid w:val="0037029A"/>
    <w:rsid w:val="003717BE"/>
    <w:rsid w:val="00373C7E"/>
    <w:rsid w:val="003740CA"/>
    <w:rsid w:val="003752E2"/>
    <w:rsid w:val="00375ADB"/>
    <w:rsid w:val="0037713F"/>
    <w:rsid w:val="00383363"/>
    <w:rsid w:val="00383D09"/>
    <w:rsid w:val="003840EE"/>
    <w:rsid w:val="00384503"/>
    <w:rsid w:val="00384D06"/>
    <w:rsid w:val="003859EB"/>
    <w:rsid w:val="0038624E"/>
    <w:rsid w:val="00387D75"/>
    <w:rsid w:val="00391AFD"/>
    <w:rsid w:val="00392086"/>
    <w:rsid w:val="00392ADC"/>
    <w:rsid w:val="003933CA"/>
    <w:rsid w:val="00394F41"/>
    <w:rsid w:val="003969E7"/>
    <w:rsid w:val="003977AD"/>
    <w:rsid w:val="003A0631"/>
    <w:rsid w:val="003A0888"/>
    <w:rsid w:val="003A1CE9"/>
    <w:rsid w:val="003A2449"/>
    <w:rsid w:val="003A3237"/>
    <w:rsid w:val="003A6D7A"/>
    <w:rsid w:val="003B1405"/>
    <w:rsid w:val="003B4617"/>
    <w:rsid w:val="003B67D9"/>
    <w:rsid w:val="003B6820"/>
    <w:rsid w:val="003B71A2"/>
    <w:rsid w:val="003C0B7A"/>
    <w:rsid w:val="003C103C"/>
    <w:rsid w:val="003C10A1"/>
    <w:rsid w:val="003C1A15"/>
    <w:rsid w:val="003C3D81"/>
    <w:rsid w:val="003D1627"/>
    <w:rsid w:val="003D1A73"/>
    <w:rsid w:val="003D27C4"/>
    <w:rsid w:val="003D3FBC"/>
    <w:rsid w:val="003D404B"/>
    <w:rsid w:val="003D55C8"/>
    <w:rsid w:val="003D55CC"/>
    <w:rsid w:val="003D7878"/>
    <w:rsid w:val="003E218A"/>
    <w:rsid w:val="003E2A5F"/>
    <w:rsid w:val="003F0E13"/>
    <w:rsid w:val="003F47A2"/>
    <w:rsid w:val="003F50FA"/>
    <w:rsid w:val="0040099E"/>
    <w:rsid w:val="00400C80"/>
    <w:rsid w:val="00400D9D"/>
    <w:rsid w:val="00402203"/>
    <w:rsid w:val="00402690"/>
    <w:rsid w:val="004051BA"/>
    <w:rsid w:val="004052F7"/>
    <w:rsid w:val="00405D0B"/>
    <w:rsid w:val="00405D17"/>
    <w:rsid w:val="00406A31"/>
    <w:rsid w:val="00411406"/>
    <w:rsid w:val="00414849"/>
    <w:rsid w:val="00414D88"/>
    <w:rsid w:val="00415534"/>
    <w:rsid w:val="004230F5"/>
    <w:rsid w:val="004247EB"/>
    <w:rsid w:val="00426DA0"/>
    <w:rsid w:val="00430011"/>
    <w:rsid w:val="004308A8"/>
    <w:rsid w:val="00431E9C"/>
    <w:rsid w:val="004328DD"/>
    <w:rsid w:val="00433EEB"/>
    <w:rsid w:val="00434F13"/>
    <w:rsid w:val="004364CF"/>
    <w:rsid w:val="0043796D"/>
    <w:rsid w:val="00440D6E"/>
    <w:rsid w:val="00443AB4"/>
    <w:rsid w:val="00445764"/>
    <w:rsid w:val="00446685"/>
    <w:rsid w:val="00447551"/>
    <w:rsid w:val="004502F6"/>
    <w:rsid w:val="00451424"/>
    <w:rsid w:val="00451B6B"/>
    <w:rsid w:val="00451E74"/>
    <w:rsid w:val="00452453"/>
    <w:rsid w:val="00453DD8"/>
    <w:rsid w:val="00456964"/>
    <w:rsid w:val="00456C47"/>
    <w:rsid w:val="0046001A"/>
    <w:rsid w:val="004606D5"/>
    <w:rsid w:val="00462FC7"/>
    <w:rsid w:val="00463964"/>
    <w:rsid w:val="00464A06"/>
    <w:rsid w:val="00467E0F"/>
    <w:rsid w:val="00471104"/>
    <w:rsid w:val="00475821"/>
    <w:rsid w:val="00475BF1"/>
    <w:rsid w:val="00477ADB"/>
    <w:rsid w:val="00480CAA"/>
    <w:rsid w:val="00480CB7"/>
    <w:rsid w:val="00481A23"/>
    <w:rsid w:val="004834BC"/>
    <w:rsid w:val="0048360F"/>
    <w:rsid w:val="00483CF7"/>
    <w:rsid w:val="004853C2"/>
    <w:rsid w:val="0048660B"/>
    <w:rsid w:val="0048743B"/>
    <w:rsid w:val="00487612"/>
    <w:rsid w:val="00493366"/>
    <w:rsid w:val="004A1037"/>
    <w:rsid w:val="004A1AD4"/>
    <w:rsid w:val="004A3BE9"/>
    <w:rsid w:val="004A462D"/>
    <w:rsid w:val="004A47D1"/>
    <w:rsid w:val="004A4B95"/>
    <w:rsid w:val="004A6508"/>
    <w:rsid w:val="004B05AE"/>
    <w:rsid w:val="004B3D7A"/>
    <w:rsid w:val="004B3E26"/>
    <w:rsid w:val="004B7338"/>
    <w:rsid w:val="004C06B5"/>
    <w:rsid w:val="004C0BFE"/>
    <w:rsid w:val="004C38A0"/>
    <w:rsid w:val="004C3E98"/>
    <w:rsid w:val="004C401B"/>
    <w:rsid w:val="004C5305"/>
    <w:rsid w:val="004C5524"/>
    <w:rsid w:val="004C757E"/>
    <w:rsid w:val="004D0C33"/>
    <w:rsid w:val="004D2323"/>
    <w:rsid w:val="004D28F2"/>
    <w:rsid w:val="004D4A02"/>
    <w:rsid w:val="004D5EA6"/>
    <w:rsid w:val="004E0C84"/>
    <w:rsid w:val="004E109E"/>
    <w:rsid w:val="004E2EC3"/>
    <w:rsid w:val="004E6251"/>
    <w:rsid w:val="004E6C64"/>
    <w:rsid w:val="004F13FB"/>
    <w:rsid w:val="004F3064"/>
    <w:rsid w:val="004F3DA4"/>
    <w:rsid w:val="004F4D40"/>
    <w:rsid w:val="004F54A0"/>
    <w:rsid w:val="00502534"/>
    <w:rsid w:val="005027D2"/>
    <w:rsid w:val="005033FE"/>
    <w:rsid w:val="00505B51"/>
    <w:rsid w:val="00505DB7"/>
    <w:rsid w:val="0051027B"/>
    <w:rsid w:val="0051554B"/>
    <w:rsid w:val="00515D54"/>
    <w:rsid w:val="00516298"/>
    <w:rsid w:val="005165AA"/>
    <w:rsid w:val="00517BD9"/>
    <w:rsid w:val="0052043B"/>
    <w:rsid w:val="0052129F"/>
    <w:rsid w:val="00526AE3"/>
    <w:rsid w:val="00526C3E"/>
    <w:rsid w:val="00530B85"/>
    <w:rsid w:val="0053374A"/>
    <w:rsid w:val="0053409E"/>
    <w:rsid w:val="00537F67"/>
    <w:rsid w:val="00540405"/>
    <w:rsid w:val="0054240E"/>
    <w:rsid w:val="005434DD"/>
    <w:rsid w:val="00543F7A"/>
    <w:rsid w:val="00544402"/>
    <w:rsid w:val="0054565C"/>
    <w:rsid w:val="0055186F"/>
    <w:rsid w:val="0055740F"/>
    <w:rsid w:val="005576F4"/>
    <w:rsid w:val="00557A1D"/>
    <w:rsid w:val="00557ECA"/>
    <w:rsid w:val="0056078E"/>
    <w:rsid w:val="00562227"/>
    <w:rsid w:val="005631D2"/>
    <w:rsid w:val="00564EE3"/>
    <w:rsid w:val="00564F74"/>
    <w:rsid w:val="00565711"/>
    <w:rsid w:val="00565897"/>
    <w:rsid w:val="00567EAB"/>
    <w:rsid w:val="00571FDE"/>
    <w:rsid w:val="005720F6"/>
    <w:rsid w:val="005723B6"/>
    <w:rsid w:val="00572E1A"/>
    <w:rsid w:val="00573660"/>
    <w:rsid w:val="00574675"/>
    <w:rsid w:val="00575134"/>
    <w:rsid w:val="005766C9"/>
    <w:rsid w:val="0057697E"/>
    <w:rsid w:val="00577331"/>
    <w:rsid w:val="0057776F"/>
    <w:rsid w:val="00582B36"/>
    <w:rsid w:val="0058412E"/>
    <w:rsid w:val="005847CE"/>
    <w:rsid w:val="00587BA8"/>
    <w:rsid w:val="00591EB0"/>
    <w:rsid w:val="005928DD"/>
    <w:rsid w:val="00594CAB"/>
    <w:rsid w:val="00595226"/>
    <w:rsid w:val="00595756"/>
    <w:rsid w:val="00595DD6"/>
    <w:rsid w:val="00595FD8"/>
    <w:rsid w:val="00597898"/>
    <w:rsid w:val="005A1B32"/>
    <w:rsid w:val="005A487E"/>
    <w:rsid w:val="005A64CD"/>
    <w:rsid w:val="005A6CCD"/>
    <w:rsid w:val="005B0329"/>
    <w:rsid w:val="005B17D7"/>
    <w:rsid w:val="005B1B0F"/>
    <w:rsid w:val="005B42E2"/>
    <w:rsid w:val="005B763C"/>
    <w:rsid w:val="005C190F"/>
    <w:rsid w:val="005C3921"/>
    <w:rsid w:val="005C645E"/>
    <w:rsid w:val="005C72EE"/>
    <w:rsid w:val="005C7C44"/>
    <w:rsid w:val="005D06DC"/>
    <w:rsid w:val="005D0A7E"/>
    <w:rsid w:val="005D4831"/>
    <w:rsid w:val="005D5290"/>
    <w:rsid w:val="005D6C24"/>
    <w:rsid w:val="005D70D9"/>
    <w:rsid w:val="005D758C"/>
    <w:rsid w:val="005E0428"/>
    <w:rsid w:val="005E0B2D"/>
    <w:rsid w:val="005E543F"/>
    <w:rsid w:val="005E5606"/>
    <w:rsid w:val="005E7A04"/>
    <w:rsid w:val="005F0971"/>
    <w:rsid w:val="005F0A31"/>
    <w:rsid w:val="005F1430"/>
    <w:rsid w:val="005F2F5A"/>
    <w:rsid w:val="005F51F7"/>
    <w:rsid w:val="005F5466"/>
    <w:rsid w:val="005F57FB"/>
    <w:rsid w:val="005F6E87"/>
    <w:rsid w:val="005F73D1"/>
    <w:rsid w:val="00600982"/>
    <w:rsid w:val="006026D4"/>
    <w:rsid w:val="00603175"/>
    <w:rsid w:val="00603CE6"/>
    <w:rsid w:val="00604313"/>
    <w:rsid w:val="0060471D"/>
    <w:rsid w:val="006055B1"/>
    <w:rsid w:val="00606AC0"/>
    <w:rsid w:val="0060716B"/>
    <w:rsid w:val="00607E8E"/>
    <w:rsid w:val="00610ED0"/>
    <w:rsid w:val="00611C27"/>
    <w:rsid w:val="00611D21"/>
    <w:rsid w:val="00612554"/>
    <w:rsid w:val="00613FF0"/>
    <w:rsid w:val="00614614"/>
    <w:rsid w:val="0061481A"/>
    <w:rsid w:val="006155DD"/>
    <w:rsid w:val="00615BAC"/>
    <w:rsid w:val="00615FA5"/>
    <w:rsid w:val="00616CE2"/>
    <w:rsid w:val="006212B1"/>
    <w:rsid w:val="00621AB2"/>
    <w:rsid w:val="00622152"/>
    <w:rsid w:val="006222DC"/>
    <w:rsid w:val="00622568"/>
    <w:rsid w:val="00623140"/>
    <w:rsid w:val="0063219A"/>
    <w:rsid w:val="00632900"/>
    <w:rsid w:val="00634680"/>
    <w:rsid w:val="00634862"/>
    <w:rsid w:val="00635CBE"/>
    <w:rsid w:val="00642B3B"/>
    <w:rsid w:val="0064406B"/>
    <w:rsid w:val="006445BA"/>
    <w:rsid w:val="006456B7"/>
    <w:rsid w:val="00656151"/>
    <w:rsid w:val="00656965"/>
    <w:rsid w:val="00660030"/>
    <w:rsid w:val="0066066D"/>
    <w:rsid w:val="0066082E"/>
    <w:rsid w:val="0066087B"/>
    <w:rsid w:val="00660B56"/>
    <w:rsid w:val="006624E5"/>
    <w:rsid w:val="00663403"/>
    <w:rsid w:val="0066547C"/>
    <w:rsid w:val="00667408"/>
    <w:rsid w:val="00670270"/>
    <w:rsid w:val="00670D12"/>
    <w:rsid w:val="00672776"/>
    <w:rsid w:val="00687976"/>
    <w:rsid w:val="00692C8D"/>
    <w:rsid w:val="00693585"/>
    <w:rsid w:val="00693E68"/>
    <w:rsid w:val="006954C2"/>
    <w:rsid w:val="006A0E2D"/>
    <w:rsid w:val="006A30FE"/>
    <w:rsid w:val="006A3675"/>
    <w:rsid w:val="006A5E95"/>
    <w:rsid w:val="006B316A"/>
    <w:rsid w:val="006B3702"/>
    <w:rsid w:val="006B3B94"/>
    <w:rsid w:val="006B4C62"/>
    <w:rsid w:val="006B69EC"/>
    <w:rsid w:val="006C0DF8"/>
    <w:rsid w:val="006C1BBB"/>
    <w:rsid w:val="006C238B"/>
    <w:rsid w:val="006C2EB3"/>
    <w:rsid w:val="006C6F7A"/>
    <w:rsid w:val="006D030B"/>
    <w:rsid w:val="006D10A6"/>
    <w:rsid w:val="006D16DD"/>
    <w:rsid w:val="006D33B1"/>
    <w:rsid w:val="006D3F74"/>
    <w:rsid w:val="006D687D"/>
    <w:rsid w:val="006E1CDC"/>
    <w:rsid w:val="006E334A"/>
    <w:rsid w:val="006E7624"/>
    <w:rsid w:val="006E77C9"/>
    <w:rsid w:val="006E7C65"/>
    <w:rsid w:val="006F02E0"/>
    <w:rsid w:val="006F12C9"/>
    <w:rsid w:val="006F13D0"/>
    <w:rsid w:val="006F6D97"/>
    <w:rsid w:val="006F6FC1"/>
    <w:rsid w:val="00702193"/>
    <w:rsid w:val="007048B2"/>
    <w:rsid w:val="00704977"/>
    <w:rsid w:val="00706550"/>
    <w:rsid w:val="00706EE1"/>
    <w:rsid w:val="00710DA7"/>
    <w:rsid w:val="0071400C"/>
    <w:rsid w:val="0071564E"/>
    <w:rsid w:val="00726AF4"/>
    <w:rsid w:val="007307D6"/>
    <w:rsid w:val="007332EE"/>
    <w:rsid w:val="0073332A"/>
    <w:rsid w:val="00733955"/>
    <w:rsid w:val="00735774"/>
    <w:rsid w:val="00744081"/>
    <w:rsid w:val="007461D6"/>
    <w:rsid w:val="00746455"/>
    <w:rsid w:val="00746549"/>
    <w:rsid w:val="0074687B"/>
    <w:rsid w:val="00747936"/>
    <w:rsid w:val="00747BD6"/>
    <w:rsid w:val="00754EA7"/>
    <w:rsid w:val="007628EB"/>
    <w:rsid w:val="00762A00"/>
    <w:rsid w:val="00764948"/>
    <w:rsid w:val="0076595E"/>
    <w:rsid w:val="00767C08"/>
    <w:rsid w:val="0077059B"/>
    <w:rsid w:val="00771708"/>
    <w:rsid w:val="00771EA2"/>
    <w:rsid w:val="0077621C"/>
    <w:rsid w:val="0077698C"/>
    <w:rsid w:val="00776ADD"/>
    <w:rsid w:val="007772CC"/>
    <w:rsid w:val="00777634"/>
    <w:rsid w:val="00777E25"/>
    <w:rsid w:val="007823D0"/>
    <w:rsid w:val="0078492E"/>
    <w:rsid w:val="00784D4F"/>
    <w:rsid w:val="00787816"/>
    <w:rsid w:val="007923B6"/>
    <w:rsid w:val="0079713D"/>
    <w:rsid w:val="00797F08"/>
    <w:rsid w:val="007A083A"/>
    <w:rsid w:val="007A45A8"/>
    <w:rsid w:val="007A5413"/>
    <w:rsid w:val="007A5A00"/>
    <w:rsid w:val="007B14BD"/>
    <w:rsid w:val="007B1CBA"/>
    <w:rsid w:val="007B2160"/>
    <w:rsid w:val="007B48E4"/>
    <w:rsid w:val="007B5B8F"/>
    <w:rsid w:val="007B75BE"/>
    <w:rsid w:val="007B75C6"/>
    <w:rsid w:val="007B7965"/>
    <w:rsid w:val="007B7ADC"/>
    <w:rsid w:val="007B7E60"/>
    <w:rsid w:val="007C1B4C"/>
    <w:rsid w:val="007C3B6B"/>
    <w:rsid w:val="007C6012"/>
    <w:rsid w:val="007C681A"/>
    <w:rsid w:val="007D0462"/>
    <w:rsid w:val="007D3FE2"/>
    <w:rsid w:val="007D4E10"/>
    <w:rsid w:val="007D5940"/>
    <w:rsid w:val="007D68E3"/>
    <w:rsid w:val="007D7A6F"/>
    <w:rsid w:val="007E1842"/>
    <w:rsid w:val="007E1A81"/>
    <w:rsid w:val="007E2CCC"/>
    <w:rsid w:val="007E3CE4"/>
    <w:rsid w:val="007E5D6D"/>
    <w:rsid w:val="007E6569"/>
    <w:rsid w:val="007F0356"/>
    <w:rsid w:val="007F07FC"/>
    <w:rsid w:val="007F08B1"/>
    <w:rsid w:val="007F0B86"/>
    <w:rsid w:val="007F1FAD"/>
    <w:rsid w:val="007F3C4F"/>
    <w:rsid w:val="007F4AA3"/>
    <w:rsid w:val="00801172"/>
    <w:rsid w:val="00803273"/>
    <w:rsid w:val="00803738"/>
    <w:rsid w:val="008059E4"/>
    <w:rsid w:val="00807311"/>
    <w:rsid w:val="00811244"/>
    <w:rsid w:val="008115EC"/>
    <w:rsid w:val="00811885"/>
    <w:rsid w:val="00821749"/>
    <w:rsid w:val="00822E40"/>
    <w:rsid w:val="00826B9A"/>
    <w:rsid w:val="008274FC"/>
    <w:rsid w:val="00827D51"/>
    <w:rsid w:val="0083153C"/>
    <w:rsid w:val="00833819"/>
    <w:rsid w:val="008344A9"/>
    <w:rsid w:val="00834676"/>
    <w:rsid w:val="0083471E"/>
    <w:rsid w:val="00835859"/>
    <w:rsid w:val="00837718"/>
    <w:rsid w:val="008404A0"/>
    <w:rsid w:val="00843B22"/>
    <w:rsid w:val="00843E90"/>
    <w:rsid w:val="00844939"/>
    <w:rsid w:val="00844AA6"/>
    <w:rsid w:val="00845141"/>
    <w:rsid w:val="00846700"/>
    <w:rsid w:val="00846ADE"/>
    <w:rsid w:val="00847DE3"/>
    <w:rsid w:val="00850C16"/>
    <w:rsid w:val="0085142C"/>
    <w:rsid w:val="008535B1"/>
    <w:rsid w:val="00855241"/>
    <w:rsid w:val="00861C45"/>
    <w:rsid w:val="0086303D"/>
    <w:rsid w:val="00866050"/>
    <w:rsid w:val="008670CF"/>
    <w:rsid w:val="00871C9C"/>
    <w:rsid w:val="00871CC0"/>
    <w:rsid w:val="00872602"/>
    <w:rsid w:val="00872B3D"/>
    <w:rsid w:val="00876DEE"/>
    <w:rsid w:val="008812CC"/>
    <w:rsid w:val="008831FE"/>
    <w:rsid w:val="0088571C"/>
    <w:rsid w:val="00887D19"/>
    <w:rsid w:val="00891A7D"/>
    <w:rsid w:val="008930A0"/>
    <w:rsid w:val="00893BC8"/>
    <w:rsid w:val="00893DC8"/>
    <w:rsid w:val="0089742C"/>
    <w:rsid w:val="008A1124"/>
    <w:rsid w:val="008A35B8"/>
    <w:rsid w:val="008B0666"/>
    <w:rsid w:val="008B2E81"/>
    <w:rsid w:val="008B3480"/>
    <w:rsid w:val="008B4325"/>
    <w:rsid w:val="008B4CCB"/>
    <w:rsid w:val="008B6276"/>
    <w:rsid w:val="008B7EB1"/>
    <w:rsid w:val="008C22C3"/>
    <w:rsid w:val="008C2918"/>
    <w:rsid w:val="008C2F48"/>
    <w:rsid w:val="008C33EE"/>
    <w:rsid w:val="008C3916"/>
    <w:rsid w:val="008C3F60"/>
    <w:rsid w:val="008C4005"/>
    <w:rsid w:val="008C49B8"/>
    <w:rsid w:val="008C54C9"/>
    <w:rsid w:val="008D1338"/>
    <w:rsid w:val="008D2E85"/>
    <w:rsid w:val="008D624C"/>
    <w:rsid w:val="008D671B"/>
    <w:rsid w:val="008D74F1"/>
    <w:rsid w:val="008E0F05"/>
    <w:rsid w:val="008E1A83"/>
    <w:rsid w:val="008E6F29"/>
    <w:rsid w:val="008E711B"/>
    <w:rsid w:val="008F0A61"/>
    <w:rsid w:val="008F2149"/>
    <w:rsid w:val="008F2927"/>
    <w:rsid w:val="008F3FC7"/>
    <w:rsid w:val="008F5F70"/>
    <w:rsid w:val="00900A18"/>
    <w:rsid w:val="0090183F"/>
    <w:rsid w:val="0090188A"/>
    <w:rsid w:val="00902E4D"/>
    <w:rsid w:val="00904CCD"/>
    <w:rsid w:val="00905203"/>
    <w:rsid w:val="00907D8E"/>
    <w:rsid w:val="009132F5"/>
    <w:rsid w:val="009146BB"/>
    <w:rsid w:val="0091714A"/>
    <w:rsid w:val="00917675"/>
    <w:rsid w:val="00921F10"/>
    <w:rsid w:val="00922F6B"/>
    <w:rsid w:val="0092669B"/>
    <w:rsid w:val="00930D9A"/>
    <w:rsid w:val="00931053"/>
    <w:rsid w:val="009313EC"/>
    <w:rsid w:val="0093161C"/>
    <w:rsid w:val="00931CF6"/>
    <w:rsid w:val="00932A25"/>
    <w:rsid w:val="009352FF"/>
    <w:rsid w:val="00936AC9"/>
    <w:rsid w:val="00937A60"/>
    <w:rsid w:val="00940C84"/>
    <w:rsid w:val="00941985"/>
    <w:rsid w:val="00942C59"/>
    <w:rsid w:val="00943603"/>
    <w:rsid w:val="009452C9"/>
    <w:rsid w:val="00945D7C"/>
    <w:rsid w:val="00946B6B"/>
    <w:rsid w:val="00946FCD"/>
    <w:rsid w:val="009471CC"/>
    <w:rsid w:val="00950780"/>
    <w:rsid w:val="009511B1"/>
    <w:rsid w:val="00952536"/>
    <w:rsid w:val="00952BBF"/>
    <w:rsid w:val="00957E9F"/>
    <w:rsid w:val="00960822"/>
    <w:rsid w:val="0096084E"/>
    <w:rsid w:val="00960F25"/>
    <w:rsid w:val="009619F5"/>
    <w:rsid w:val="00963E51"/>
    <w:rsid w:val="00964D42"/>
    <w:rsid w:val="00964FF0"/>
    <w:rsid w:val="00965A1E"/>
    <w:rsid w:val="009704D2"/>
    <w:rsid w:val="009727DB"/>
    <w:rsid w:val="0097314A"/>
    <w:rsid w:val="00975F3A"/>
    <w:rsid w:val="00981C92"/>
    <w:rsid w:val="0098261B"/>
    <w:rsid w:val="009847D1"/>
    <w:rsid w:val="009900DC"/>
    <w:rsid w:val="00990920"/>
    <w:rsid w:val="009922C6"/>
    <w:rsid w:val="0099250C"/>
    <w:rsid w:val="00993632"/>
    <w:rsid w:val="00993654"/>
    <w:rsid w:val="00994686"/>
    <w:rsid w:val="009947E8"/>
    <w:rsid w:val="0099649F"/>
    <w:rsid w:val="00996F25"/>
    <w:rsid w:val="009A4794"/>
    <w:rsid w:val="009B066F"/>
    <w:rsid w:val="009B11B6"/>
    <w:rsid w:val="009B335B"/>
    <w:rsid w:val="009B378E"/>
    <w:rsid w:val="009B3937"/>
    <w:rsid w:val="009C05AB"/>
    <w:rsid w:val="009C31BB"/>
    <w:rsid w:val="009D0F41"/>
    <w:rsid w:val="009D40F8"/>
    <w:rsid w:val="009D4B33"/>
    <w:rsid w:val="009D4F04"/>
    <w:rsid w:val="009D55EF"/>
    <w:rsid w:val="009D68B3"/>
    <w:rsid w:val="009E1982"/>
    <w:rsid w:val="009E2D9A"/>
    <w:rsid w:val="009F08CF"/>
    <w:rsid w:val="009F4650"/>
    <w:rsid w:val="009F5E5D"/>
    <w:rsid w:val="009F74FF"/>
    <w:rsid w:val="00A05EC7"/>
    <w:rsid w:val="00A076B1"/>
    <w:rsid w:val="00A104C6"/>
    <w:rsid w:val="00A10795"/>
    <w:rsid w:val="00A138FB"/>
    <w:rsid w:val="00A16E2A"/>
    <w:rsid w:val="00A23D9E"/>
    <w:rsid w:val="00A24B91"/>
    <w:rsid w:val="00A253D4"/>
    <w:rsid w:val="00A25BC8"/>
    <w:rsid w:val="00A3456C"/>
    <w:rsid w:val="00A354E0"/>
    <w:rsid w:val="00A408B6"/>
    <w:rsid w:val="00A40DF7"/>
    <w:rsid w:val="00A41CEA"/>
    <w:rsid w:val="00A41EB8"/>
    <w:rsid w:val="00A45498"/>
    <w:rsid w:val="00A457E9"/>
    <w:rsid w:val="00A46DBB"/>
    <w:rsid w:val="00A46ED1"/>
    <w:rsid w:val="00A5016D"/>
    <w:rsid w:val="00A54ECE"/>
    <w:rsid w:val="00A5579E"/>
    <w:rsid w:val="00A55B0F"/>
    <w:rsid w:val="00A56D8B"/>
    <w:rsid w:val="00A57BE1"/>
    <w:rsid w:val="00A6505A"/>
    <w:rsid w:val="00A6531C"/>
    <w:rsid w:val="00A65B34"/>
    <w:rsid w:val="00A669E8"/>
    <w:rsid w:val="00A71A1D"/>
    <w:rsid w:val="00A73319"/>
    <w:rsid w:val="00A734E2"/>
    <w:rsid w:val="00A80699"/>
    <w:rsid w:val="00A806D2"/>
    <w:rsid w:val="00A8632F"/>
    <w:rsid w:val="00A92A82"/>
    <w:rsid w:val="00A9341F"/>
    <w:rsid w:val="00A94DCC"/>
    <w:rsid w:val="00A95F1E"/>
    <w:rsid w:val="00A96CF1"/>
    <w:rsid w:val="00A97254"/>
    <w:rsid w:val="00AA277A"/>
    <w:rsid w:val="00AA3286"/>
    <w:rsid w:val="00AA34B3"/>
    <w:rsid w:val="00AA4B0B"/>
    <w:rsid w:val="00AA6A5A"/>
    <w:rsid w:val="00AB39DC"/>
    <w:rsid w:val="00AB3ED5"/>
    <w:rsid w:val="00AB4FFA"/>
    <w:rsid w:val="00AB6176"/>
    <w:rsid w:val="00AC0299"/>
    <w:rsid w:val="00AC03F8"/>
    <w:rsid w:val="00AC1533"/>
    <w:rsid w:val="00AC28BA"/>
    <w:rsid w:val="00AC4353"/>
    <w:rsid w:val="00AC6E8A"/>
    <w:rsid w:val="00AD0357"/>
    <w:rsid w:val="00AD13A9"/>
    <w:rsid w:val="00AD15C7"/>
    <w:rsid w:val="00AD168A"/>
    <w:rsid w:val="00AD1717"/>
    <w:rsid w:val="00AD2A8F"/>
    <w:rsid w:val="00AD54AF"/>
    <w:rsid w:val="00AD58E4"/>
    <w:rsid w:val="00AD7A1A"/>
    <w:rsid w:val="00AE1A9E"/>
    <w:rsid w:val="00AE2023"/>
    <w:rsid w:val="00AE3745"/>
    <w:rsid w:val="00AE3AE0"/>
    <w:rsid w:val="00AE446B"/>
    <w:rsid w:val="00AE54B1"/>
    <w:rsid w:val="00AE57D0"/>
    <w:rsid w:val="00AE60B4"/>
    <w:rsid w:val="00AE663B"/>
    <w:rsid w:val="00AE6E1C"/>
    <w:rsid w:val="00AE703B"/>
    <w:rsid w:val="00AF0CFA"/>
    <w:rsid w:val="00AF363E"/>
    <w:rsid w:val="00AF4E43"/>
    <w:rsid w:val="00B020B3"/>
    <w:rsid w:val="00B03691"/>
    <w:rsid w:val="00B03894"/>
    <w:rsid w:val="00B0457B"/>
    <w:rsid w:val="00B05FB9"/>
    <w:rsid w:val="00B06057"/>
    <w:rsid w:val="00B061F9"/>
    <w:rsid w:val="00B06975"/>
    <w:rsid w:val="00B06C96"/>
    <w:rsid w:val="00B076EE"/>
    <w:rsid w:val="00B10040"/>
    <w:rsid w:val="00B1503C"/>
    <w:rsid w:val="00B15966"/>
    <w:rsid w:val="00B16FD7"/>
    <w:rsid w:val="00B207AE"/>
    <w:rsid w:val="00B21722"/>
    <w:rsid w:val="00B23AA2"/>
    <w:rsid w:val="00B27497"/>
    <w:rsid w:val="00B30342"/>
    <w:rsid w:val="00B3047F"/>
    <w:rsid w:val="00B30810"/>
    <w:rsid w:val="00B3228F"/>
    <w:rsid w:val="00B36ABC"/>
    <w:rsid w:val="00B42228"/>
    <w:rsid w:val="00B439E7"/>
    <w:rsid w:val="00B43B89"/>
    <w:rsid w:val="00B44277"/>
    <w:rsid w:val="00B453CC"/>
    <w:rsid w:val="00B467C7"/>
    <w:rsid w:val="00B5459F"/>
    <w:rsid w:val="00B562CB"/>
    <w:rsid w:val="00B56E51"/>
    <w:rsid w:val="00B5795C"/>
    <w:rsid w:val="00B61970"/>
    <w:rsid w:val="00B625F6"/>
    <w:rsid w:val="00B64734"/>
    <w:rsid w:val="00B70D17"/>
    <w:rsid w:val="00B71A3A"/>
    <w:rsid w:val="00B73001"/>
    <w:rsid w:val="00B74283"/>
    <w:rsid w:val="00B744B7"/>
    <w:rsid w:val="00B75C97"/>
    <w:rsid w:val="00B830E8"/>
    <w:rsid w:val="00B84B26"/>
    <w:rsid w:val="00B857BA"/>
    <w:rsid w:val="00B9072F"/>
    <w:rsid w:val="00B9149A"/>
    <w:rsid w:val="00B9309C"/>
    <w:rsid w:val="00B94DEB"/>
    <w:rsid w:val="00B94EA2"/>
    <w:rsid w:val="00B9514F"/>
    <w:rsid w:val="00BA16EA"/>
    <w:rsid w:val="00BA19B5"/>
    <w:rsid w:val="00BA3190"/>
    <w:rsid w:val="00BA33B6"/>
    <w:rsid w:val="00BA4547"/>
    <w:rsid w:val="00BA47EA"/>
    <w:rsid w:val="00BA4F8E"/>
    <w:rsid w:val="00BA68CF"/>
    <w:rsid w:val="00BA6F29"/>
    <w:rsid w:val="00BA7D4A"/>
    <w:rsid w:val="00BA7DB4"/>
    <w:rsid w:val="00BB0312"/>
    <w:rsid w:val="00BB1AFF"/>
    <w:rsid w:val="00BB28EF"/>
    <w:rsid w:val="00BB406F"/>
    <w:rsid w:val="00BB4B04"/>
    <w:rsid w:val="00BB530D"/>
    <w:rsid w:val="00BB5641"/>
    <w:rsid w:val="00BC045E"/>
    <w:rsid w:val="00BC12E9"/>
    <w:rsid w:val="00BC1E9B"/>
    <w:rsid w:val="00BC28B8"/>
    <w:rsid w:val="00BC32F9"/>
    <w:rsid w:val="00BC50A0"/>
    <w:rsid w:val="00BC61DE"/>
    <w:rsid w:val="00BC7939"/>
    <w:rsid w:val="00BD04CF"/>
    <w:rsid w:val="00BD0780"/>
    <w:rsid w:val="00BD196E"/>
    <w:rsid w:val="00BD4884"/>
    <w:rsid w:val="00BD5E85"/>
    <w:rsid w:val="00BD6F51"/>
    <w:rsid w:val="00BD7010"/>
    <w:rsid w:val="00BD76D0"/>
    <w:rsid w:val="00BE3BCA"/>
    <w:rsid w:val="00BF1ED8"/>
    <w:rsid w:val="00BF3A5F"/>
    <w:rsid w:val="00BF3C26"/>
    <w:rsid w:val="00BF3D29"/>
    <w:rsid w:val="00BF58F3"/>
    <w:rsid w:val="00BF6DD8"/>
    <w:rsid w:val="00BF7A91"/>
    <w:rsid w:val="00C00596"/>
    <w:rsid w:val="00C00B24"/>
    <w:rsid w:val="00C02554"/>
    <w:rsid w:val="00C038A8"/>
    <w:rsid w:val="00C07847"/>
    <w:rsid w:val="00C11690"/>
    <w:rsid w:val="00C11758"/>
    <w:rsid w:val="00C16061"/>
    <w:rsid w:val="00C17213"/>
    <w:rsid w:val="00C2017B"/>
    <w:rsid w:val="00C21984"/>
    <w:rsid w:val="00C237BF"/>
    <w:rsid w:val="00C27125"/>
    <w:rsid w:val="00C365D8"/>
    <w:rsid w:val="00C36D3E"/>
    <w:rsid w:val="00C40155"/>
    <w:rsid w:val="00C402BE"/>
    <w:rsid w:val="00C41F17"/>
    <w:rsid w:val="00C42BAC"/>
    <w:rsid w:val="00C442ED"/>
    <w:rsid w:val="00C453E2"/>
    <w:rsid w:val="00C4588D"/>
    <w:rsid w:val="00C471CF"/>
    <w:rsid w:val="00C5161E"/>
    <w:rsid w:val="00C52C0D"/>
    <w:rsid w:val="00C53283"/>
    <w:rsid w:val="00C5504D"/>
    <w:rsid w:val="00C559EA"/>
    <w:rsid w:val="00C573F9"/>
    <w:rsid w:val="00C6075C"/>
    <w:rsid w:val="00C63365"/>
    <w:rsid w:val="00C63820"/>
    <w:rsid w:val="00C65B76"/>
    <w:rsid w:val="00C664B0"/>
    <w:rsid w:val="00C672C1"/>
    <w:rsid w:val="00C7285A"/>
    <w:rsid w:val="00C729D0"/>
    <w:rsid w:val="00C72B3B"/>
    <w:rsid w:val="00C732CF"/>
    <w:rsid w:val="00C732EB"/>
    <w:rsid w:val="00C75193"/>
    <w:rsid w:val="00C75411"/>
    <w:rsid w:val="00C769FE"/>
    <w:rsid w:val="00C770EE"/>
    <w:rsid w:val="00C8054A"/>
    <w:rsid w:val="00C8058A"/>
    <w:rsid w:val="00C8118C"/>
    <w:rsid w:val="00C927D2"/>
    <w:rsid w:val="00C93155"/>
    <w:rsid w:val="00C94205"/>
    <w:rsid w:val="00C94CFA"/>
    <w:rsid w:val="00C94F84"/>
    <w:rsid w:val="00C962F2"/>
    <w:rsid w:val="00C972F9"/>
    <w:rsid w:val="00CA06A3"/>
    <w:rsid w:val="00CA1C55"/>
    <w:rsid w:val="00CA3F76"/>
    <w:rsid w:val="00CA5723"/>
    <w:rsid w:val="00CA74EF"/>
    <w:rsid w:val="00CB0407"/>
    <w:rsid w:val="00CB2119"/>
    <w:rsid w:val="00CB2C78"/>
    <w:rsid w:val="00CB66D7"/>
    <w:rsid w:val="00CB6F11"/>
    <w:rsid w:val="00CB6FCF"/>
    <w:rsid w:val="00CC2F0A"/>
    <w:rsid w:val="00CC4E79"/>
    <w:rsid w:val="00CC60F7"/>
    <w:rsid w:val="00CC613F"/>
    <w:rsid w:val="00CC6A9A"/>
    <w:rsid w:val="00CC7B51"/>
    <w:rsid w:val="00CD095D"/>
    <w:rsid w:val="00CD210E"/>
    <w:rsid w:val="00CD2515"/>
    <w:rsid w:val="00CD364E"/>
    <w:rsid w:val="00CD38F1"/>
    <w:rsid w:val="00CD4E3B"/>
    <w:rsid w:val="00CD559C"/>
    <w:rsid w:val="00CE1776"/>
    <w:rsid w:val="00CE4483"/>
    <w:rsid w:val="00CE5F09"/>
    <w:rsid w:val="00CE63A0"/>
    <w:rsid w:val="00CE77C3"/>
    <w:rsid w:val="00CF0761"/>
    <w:rsid w:val="00CF239B"/>
    <w:rsid w:val="00CF28A7"/>
    <w:rsid w:val="00CF399E"/>
    <w:rsid w:val="00CF4B29"/>
    <w:rsid w:val="00CF6135"/>
    <w:rsid w:val="00CF67DA"/>
    <w:rsid w:val="00CF7879"/>
    <w:rsid w:val="00D03F06"/>
    <w:rsid w:val="00D060A0"/>
    <w:rsid w:val="00D06DE7"/>
    <w:rsid w:val="00D12116"/>
    <w:rsid w:val="00D12496"/>
    <w:rsid w:val="00D15255"/>
    <w:rsid w:val="00D16713"/>
    <w:rsid w:val="00D17819"/>
    <w:rsid w:val="00D20EEC"/>
    <w:rsid w:val="00D21002"/>
    <w:rsid w:val="00D211C9"/>
    <w:rsid w:val="00D22289"/>
    <w:rsid w:val="00D23EAA"/>
    <w:rsid w:val="00D249B7"/>
    <w:rsid w:val="00D2543E"/>
    <w:rsid w:val="00D27931"/>
    <w:rsid w:val="00D27F88"/>
    <w:rsid w:val="00D30B5C"/>
    <w:rsid w:val="00D313E2"/>
    <w:rsid w:val="00D31955"/>
    <w:rsid w:val="00D32E18"/>
    <w:rsid w:val="00D331D3"/>
    <w:rsid w:val="00D33376"/>
    <w:rsid w:val="00D34AF1"/>
    <w:rsid w:val="00D36BBA"/>
    <w:rsid w:val="00D40C92"/>
    <w:rsid w:val="00D4157E"/>
    <w:rsid w:val="00D422CE"/>
    <w:rsid w:val="00D50D63"/>
    <w:rsid w:val="00D53060"/>
    <w:rsid w:val="00D62554"/>
    <w:rsid w:val="00D62DE3"/>
    <w:rsid w:val="00D63710"/>
    <w:rsid w:val="00D65BC8"/>
    <w:rsid w:val="00D67605"/>
    <w:rsid w:val="00D704DC"/>
    <w:rsid w:val="00D710FA"/>
    <w:rsid w:val="00D75559"/>
    <w:rsid w:val="00D75A3A"/>
    <w:rsid w:val="00D76B64"/>
    <w:rsid w:val="00D81CE9"/>
    <w:rsid w:val="00D83EEE"/>
    <w:rsid w:val="00D8677D"/>
    <w:rsid w:val="00D86ADF"/>
    <w:rsid w:val="00D90948"/>
    <w:rsid w:val="00D90C3B"/>
    <w:rsid w:val="00D91318"/>
    <w:rsid w:val="00DA1DC7"/>
    <w:rsid w:val="00DA3CD6"/>
    <w:rsid w:val="00DA4FD7"/>
    <w:rsid w:val="00DA5349"/>
    <w:rsid w:val="00DA6BE9"/>
    <w:rsid w:val="00DB0C9D"/>
    <w:rsid w:val="00DB17FC"/>
    <w:rsid w:val="00DB2943"/>
    <w:rsid w:val="00DB3504"/>
    <w:rsid w:val="00DB4F9A"/>
    <w:rsid w:val="00DB51D1"/>
    <w:rsid w:val="00DB711D"/>
    <w:rsid w:val="00DC20BB"/>
    <w:rsid w:val="00DC2F60"/>
    <w:rsid w:val="00DC6244"/>
    <w:rsid w:val="00DD79B4"/>
    <w:rsid w:val="00DE0066"/>
    <w:rsid w:val="00DE0360"/>
    <w:rsid w:val="00DE21F7"/>
    <w:rsid w:val="00DE303B"/>
    <w:rsid w:val="00DF0EEE"/>
    <w:rsid w:val="00DF2FF1"/>
    <w:rsid w:val="00DF63F1"/>
    <w:rsid w:val="00E01387"/>
    <w:rsid w:val="00E01FD5"/>
    <w:rsid w:val="00E025F3"/>
    <w:rsid w:val="00E04A53"/>
    <w:rsid w:val="00E050FB"/>
    <w:rsid w:val="00E059FE"/>
    <w:rsid w:val="00E060AA"/>
    <w:rsid w:val="00E13522"/>
    <w:rsid w:val="00E14F60"/>
    <w:rsid w:val="00E155C6"/>
    <w:rsid w:val="00E23730"/>
    <w:rsid w:val="00E2436E"/>
    <w:rsid w:val="00E24D59"/>
    <w:rsid w:val="00E340BF"/>
    <w:rsid w:val="00E351B6"/>
    <w:rsid w:val="00E35B66"/>
    <w:rsid w:val="00E42B1A"/>
    <w:rsid w:val="00E42DD0"/>
    <w:rsid w:val="00E43E77"/>
    <w:rsid w:val="00E457FE"/>
    <w:rsid w:val="00E53214"/>
    <w:rsid w:val="00E53F9C"/>
    <w:rsid w:val="00E55589"/>
    <w:rsid w:val="00E61009"/>
    <w:rsid w:val="00E619C0"/>
    <w:rsid w:val="00E63B49"/>
    <w:rsid w:val="00E6536C"/>
    <w:rsid w:val="00E67DF0"/>
    <w:rsid w:val="00E71B89"/>
    <w:rsid w:val="00E724ED"/>
    <w:rsid w:val="00E80E86"/>
    <w:rsid w:val="00E823A2"/>
    <w:rsid w:val="00E8393B"/>
    <w:rsid w:val="00E8466B"/>
    <w:rsid w:val="00E84BBF"/>
    <w:rsid w:val="00E84E39"/>
    <w:rsid w:val="00E906DD"/>
    <w:rsid w:val="00E9601E"/>
    <w:rsid w:val="00E968ED"/>
    <w:rsid w:val="00EA0C12"/>
    <w:rsid w:val="00EA28C6"/>
    <w:rsid w:val="00EA2B0D"/>
    <w:rsid w:val="00EA56DE"/>
    <w:rsid w:val="00EB0351"/>
    <w:rsid w:val="00EB04BC"/>
    <w:rsid w:val="00EB4C7E"/>
    <w:rsid w:val="00EB4D16"/>
    <w:rsid w:val="00EC15A7"/>
    <w:rsid w:val="00EC334A"/>
    <w:rsid w:val="00EC4FF8"/>
    <w:rsid w:val="00EC614D"/>
    <w:rsid w:val="00EC67FD"/>
    <w:rsid w:val="00ED3151"/>
    <w:rsid w:val="00ED44FB"/>
    <w:rsid w:val="00ED4862"/>
    <w:rsid w:val="00ED7E6D"/>
    <w:rsid w:val="00EE123E"/>
    <w:rsid w:val="00EE19FC"/>
    <w:rsid w:val="00EE1CBC"/>
    <w:rsid w:val="00EE2D65"/>
    <w:rsid w:val="00EE3B87"/>
    <w:rsid w:val="00EE3C09"/>
    <w:rsid w:val="00EE561A"/>
    <w:rsid w:val="00EE681D"/>
    <w:rsid w:val="00EE7901"/>
    <w:rsid w:val="00F000D7"/>
    <w:rsid w:val="00F002EA"/>
    <w:rsid w:val="00F00815"/>
    <w:rsid w:val="00F0206F"/>
    <w:rsid w:val="00F050ED"/>
    <w:rsid w:val="00F05C98"/>
    <w:rsid w:val="00F06D23"/>
    <w:rsid w:val="00F105E7"/>
    <w:rsid w:val="00F11D87"/>
    <w:rsid w:val="00F1378E"/>
    <w:rsid w:val="00F1399B"/>
    <w:rsid w:val="00F20794"/>
    <w:rsid w:val="00F20D00"/>
    <w:rsid w:val="00F25A6D"/>
    <w:rsid w:val="00F25D9E"/>
    <w:rsid w:val="00F262A8"/>
    <w:rsid w:val="00F26EE6"/>
    <w:rsid w:val="00F31199"/>
    <w:rsid w:val="00F37340"/>
    <w:rsid w:val="00F42B77"/>
    <w:rsid w:val="00F43102"/>
    <w:rsid w:val="00F47268"/>
    <w:rsid w:val="00F506C7"/>
    <w:rsid w:val="00F508BE"/>
    <w:rsid w:val="00F51609"/>
    <w:rsid w:val="00F53792"/>
    <w:rsid w:val="00F54DFE"/>
    <w:rsid w:val="00F55018"/>
    <w:rsid w:val="00F56509"/>
    <w:rsid w:val="00F57AF3"/>
    <w:rsid w:val="00F61974"/>
    <w:rsid w:val="00F63033"/>
    <w:rsid w:val="00F63036"/>
    <w:rsid w:val="00F63F5B"/>
    <w:rsid w:val="00F666CE"/>
    <w:rsid w:val="00F71E4A"/>
    <w:rsid w:val="00F72270"/>
    <w:rsid w:val="00F73165"/>
    <w:rsid w:val="00F75FBC"/>
    <w:rsid w:val="00F7667D"/>
    <w:rsid w:val="00F77042"/>
    <w:rsid w:val="00F807DF"/>
    <w:rsid w:val="00F849D2"/>
    <w:rsid w:val="00F86AB7"/>
    <w:rsid w:val="00F87B13"/>
    <w:rsid w:val="00F87DF3"/>
    <w:rsid w:val="00F90ABB"/>
    <w:rsid w:val="00F91BE5"/>
    <w:rsid w:val="00F92912"/>
    <w:rsid w:val="00F96A1C"/>
    <w:rsid w:val="00F97A8C"/>
    <w:rsid w:val="00FA11EC"/>
    <w:rsid w:val="00FA34A6"/>
    <w:rsid w:val="00FA40F9"/>
    <w:rsid w:val="00FA7D45"/>
    <w:rsid w:val="00FB171E"/>
    <w:rsid w:val="00FB6183"/>
    <w:rsid w:val="00FB75A6"/>
    <w:rsid w:val="00FB77A2"/>
    <w:rsid w:val="00FC0DB4"/>
    <w:rsid w:val="00FC16A0"/>
    <w:rsid w:val="00FC1D0B"/>
    <w:rsid w:val="00FC23F0"/>
    <w:rsid w:val="00FC3340"/>
    <w:rsid w:val="00FC410D"/>
    <w:rsid w:val="00FC6146"/>
    <w:rsid w:val="00FD0B76"/>
    <w:rsid w:val="00FD162E"/>
    <w:rsid w:val="00FD19D6"/>
    <w:rsid w:val="00FD6718"/>
    <w:rsid w:val="00FD691E"/>
    <w:rsid w:val="00FE7486"/>
    <w:rsid w:val="00FF18E5"/>
    <w:rsid w:val="00FF1C88"/>
    <w:rsid w:val="00FF3EEB"/>
    <w:rsid w:val="00FF53A0"/>
    <w:rsid w:val="00FF5655"/>
    <w:rsid w:val="00FF5EAD"/>
    <w:rsid w:val="00FF6154"/>
    <w:rsid w:val="00FF6B6B"/>
    <w:rsid w:val="00FF785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1172"/>
    <w:pPr>
      <w:spacing w:after="200" w:line="276" w:lineRule="auto"/>
    </w:pPr>
    <w:rPr>
      <w:rFonts w:eastAsia="Times New Roman"/>
      <w:sz w:val="22"/>
      <w:szCs w:val="22"/>
      <w:lang w:val="en-US" w:eastAsia="en-US"/>
    </w:rPr>
  </w:style>
  <w:style w:type="paragraph" w:styleId="Heading1">
    <w:name w:val="heading 1"/>
    <w:basedOn w:val="Normal"/>
    <w:next w:val="Normal"/>
    <w:link w:val="Heading1Char"/>
    <w:qFormat/>
    <w:rsid w:val="006222DC"/>
    <w:pPr>
      <w:keepNext/>
      <w:keepLines/>
      <w:spacing w:before="480" w:after="0" w:line="240" w:lineRule="auto"/>
      <w:outlineLvl w:val="0"/>
    </w:pPr>
    <w:rPr>
      <w:rFonts w:ascii="Arial" w:eastAsia="Calibri" w:hAnsi="Arial"/>
      <w:b/>
      <w:bCs/>
      <w:sz w:val="28"/>
      <w:szCs w:val="28"/>
      <w:lang w:val="en-GB" w:eastAsia="ja-JP"/>
    </w:rPr>
  </w:style>
  <w:style w:type="paragraph" w:styleId="Heading2">
    <w:name w:val="heading 2"/>
    <w:basedOn w:val="Normal"/>
    <w:next w:val="Normal"/>
    <w:link w:val="Heading2Char"/>
    <w:qFormat/>
    <w:rsid w:val="006222DC"/>
    <w:pPr>
      <w:keepNext/>
      <w:keepLines/>
      <w:spacing w:before="240" w:after="120"/>
      <w:outlineLvl w:val="1"/>
    </w:pPr>
    <w:rPr>
      <w:rFonts w:ascii="Arial" w:eastAsia="Calibri" w:hAnsi="Arial"/>
      <w:b/>
      <w:bCs/>
      <w:sz w:val="26"/>
      <w:szCs w:val="26"/>
      <w:lang w:val="en-GB" w:eastAsia="ja-JP"/>
    </w:rPr>
  </w:style>
  <w:style w:type="paragraph" w:styleId="Heading3">
    <w:name w:val="heading 3"/>
    <w:basedOn w:val="Normal"/>
    <w:next w:val="Normal"/>
    <w:link w:val="Heading3Char"/>
    <w:qFormat/>
    <w:rsid w:val="006222DC"/>
    <w:pPr>
      <w:keepNext/>
      <w:keepLines/>
      <w:spacing w:before="200" w:after="0" w:line="360" w:lineRule="auto"/>
      <w:outlineLvl w:val="2"/>
    </w:pPr>
    <w:rPr>
      <w:rFonts w:ascii="Arial" w:eastAsia="Calibri" w:hAnsi="Arial"/>
      <w:b/>
      <w:bCs/>
      <w:sz w:val="24"/>
      <w:szCs w:val="20"/>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B562CB"/>
    <w:pPr>
      <w:spacing w:after="0" w:line="240" w:lineRule="auto"/>
    </w:pPr>
    <w:rPr>
      <w:rFonts w:ascii="Tahoma" w:eastAsia="Calibri" w:hAnsi="Tahoma"/>
      <w:sz w:val="16"/>
      <w:szCs w:val="16"/>
    </w:rPr>
  </w:style>
  <w:style w:type="character" w:customStyle="1" w:styleId="BalloonTextChar">
    <w:name w:val="Balloon Text Char"/>
    <w:link w:val="BalloonText"/>
    <w:semiHidden/>
    <w:rsid w:val="00B562CB"/>
    <w:rPr>
      <w:rFonts w:ascii="Tahoma" w:hAnsi="Tahoma" w:cs="Tahoma"/>
      <w:sz w:val="16"/>
      <w:szCs w:val="16"/>
    </w:rPr>
  </w:style>
  <w:style w:type="character" w:styleId="Hyperlink">
    <w:name w:val="Hyperlink"/>
    <w:rsid w:val="00415534"/>
    <w:rPr>
      <w:rFonts w:cs="Times New Roman"/>
      <w:color w:val="0000FF"/>
      <w:u w:val="single"/>
    </w:rPr>
  </w:style>
  <w:style w:type="paragraph" w:styleId="ListParagraph">
    <w:name w:val="List Paragraph"/>
    <w:basedOn w:val="Normal"/>
    <w:uiPriority w:val="34"/>
    <w:qFormat/>
    <w:rsid w:val="00D211C9"/>
    <w:pPr>
      <w:ind w:left="720"/>
      <w:contextualSpacing/>
    </w:pPr>
  </w:style>
  <w:style w:type="paragraph" w:styleId="Header">
    <w:name w:val="header"/>
    <w:basedOn w:val="Normal"/>
    <w:link w:val="HeaderChar"/>
    <w:uiPriority w:val="99"/>
    <w:rsid w:val="004A47D1"/>
    <w:pPr>
      <w:tabs>
        <w:tab w:val="center" w:pos="4680"/>
        <w:tab w:val="right" w:pos="9360"/>
      </w:tabs>
      <w:spacing w:after="0" w:line="240" w:lineRule="auto"/>
    </w:pPr>
    <w:rPr>
      <w:rFonts w:eastAsia="Calibri"/>
      <w:sz w:val="20"/>
      <w:szCs w:val="20"/>
    </w:rPr>
  </w:style>
  <w:style w:type="character" w:customStyle="1" w:styleId="HeaderChar">
    <w:name w:val="Header Char"/>
    <w:link w:val="Header"/>
    <w:uiPriority w:val="99"/>
    <w:rsid w:val="004A47D1"/>
    <w:rPr>
      <w:rFonts w:cs="Times New Roman"/>
    </w:rPr>
  </w:style>
  <w:style w:type="paragraph" w:styleId="Footer">
    <w:name w:val="footer"/>
    <w:basedOn w:val="Normal"/>
    <w:link w:val="FooterChar"/>
    <w:rsid w:val="004A47D1"/>
    <w:pPr>
      <w:tabs>
        <w:tab w:val="center" w:pos="4680"/>
        <w:tab w:val="right" w:pos="9360"/>
      </w:tabs>
      <w:spacing w:after="0" w:line="240" w:lineRule="auto"/>
    </w:pPr>
    <w:rPr>
      <w:rFonts w:eastAsia="Calibri"/>
      <w:sz w:val="20"/>
      <w:szCs w:val="20"/>
    </w:rPr>
  </w:style>
  <w:style w:type="character" w:customStyle="1" w:styleId="FooterChar">
    <w:name w:val="Footer Char"/>
    <w:link w:val="Footer"/>
    <w:rsid w:val="004A47D1"/>
    <w:rPr>
      <w:rFonts w:cs="Times New Roman"/>
    </w:rPr>
  </w:style>
  <w:style w:type="character" w:styleId="CommentReference">
    <w:name w:val="annotation reference"/>
    <w:uiPriority w:val="99"/>
    <w:semiHidden/>
    <w:rsid w:val="00A457E9"/>
    <w:rPr>
      <w:rFonts w:cs="Times New Roman"/>
      <w:sz w:val="16"/>
      <w:szCs w:val="16"/>
    </w:rPr>
  </w:style>
  <w:style w:type="paragraph" w:styleId="CommentText">
    <w:name w:val="annotation text"/>
    <w:basedOn w:val="Normal"/>
    <w:link w:val="CommentTextChar"/>
    <w:uiPriority w:val="99"/>
    <w:rsid w:val="00A457E9"/>
    <w:pPr>
      <w:spacing w:line="240" w:lineRule="auto"/>
    </w:pPr>
    <w:rPr>
      <w:rFonts w:eastAsia="Calibri"/>
      <w:sz w:val="20"/>
      <w:szCs w:val="20"/>
    </w:rPr>
  </w:style>
  <w:style w:type="character" w:customStyle="1" w:styleId="CommentTextChar">
    <w:name w:val="Comment Text Char"/>
    <w:link w:val="CommentText"/>
    <w:uiPriority w:val="99"/>
    <w:rsid w:val="00A457E9"/>
    <w:rPr>
      <w:rFonts w:cs="Times New Roman"/>
      <w:sz w:val="20"/>
      <w:szCs w:val="20"/>
    </w:rPr>
  </w:style>
  <w:style w:type="paragraph" w:styleId="CommentSubject">
    <w:name w:val="annotation subject"/>
    <w:basedOn w:val="CommentText"/>
    <w:next w:val="CommentText"/>
    <w:link w:val="CommentSubjectChar"/>
    <w:semiHidden/>
    <w:rsid w:val="00A457E9"/>
    <w:rPr>
      <w:b/>
      <w:bCs/>
    </w:rPr>
  </w:style>
  <w:style w:type="character" w:customStyle="1" w:styleId="CommentSubjectChar">
    <w:name w:val="Comment Subject Char"/>
    <w:link w:val="CommentSubject"/>
    <w:semiHidden/>
    <w:rsid w:val="00A457E9"/>
    <w:rPr>
      <w:rFonts w:cs="Times New Roman"/>
      <w:b/>
      <w:bCs/>
      <w:sz w:val="20"/>
      <w:szCs w:val="20"/>
    </w:rPr>
  </w:style>
  <w:style w:type="paragraph" w:styleId="PlainText">
    <w:name w:val="Plain Text"/>
    <w:basedOn w:val="Normal"/>
    <w:link w:val="PlainTextChar"/>
    <w:uiPriority w:val="99"/>
    <w:rsid w:val="000B79BE"/>
    <w:pPr>
      <w:spacing w:after="0" w:line="240" w:lineRule="auto"/>
    </w:pPr>
    <w:rPr>
      <w:rFonts w:ascii="Consolas" w:eastAsia="Calibri" w:hAnsi="Consolas"/>
      <w:sz w:val="21"/>
      <w:szCs w:val="21"/>
    </w:rPr>
  </w:style>
  <w:style w:type="character" w:customStyle="1" w:styleId="PlainTextChar">
    <w:name w:val="Plain Text Char"/>
    <w:link w:val="PlainText"/>
    <w:uiPriority w:val="99"/>
    <w:rsid w:val="000B79BE"/>
    <w:rPr>
      <w:rFonts w:ascii="Consolas" w:hAnsi="Consolas" w:cs="Times New Roman"/>
      <w:sz w:val="21"/>
      <w:szCs w:val="21"/>
    </w:rPr>
  </w:style>
  <w:style w:type="paragraph" w:customStyle="1" w:styleId="Default">
    <w:name w:val="Default"/>
    <w:rsid w:val="000B79BE"/>
    <w:pPr>
      <w:autoSpaceDE w:val="0"/>
      <w:autoSpaceDN w:val="0"/>
      <w:adjustRightInd w:val="0"/>
    </w:pPr>
    <w:rPr>
      <w:rFonts w:cs="Calibri"/>
      <w:color w:val="000000"/>
      <w:sz w:val="24"/>
      <w:szCs w:val="24"/>
      <w:lang w:val="en-US" w:eastAsia="en-US"/>
    </w:rPr>
  </w:style>
  <w:style w:type="paragraph" w:styleId="FootnoteText">
    <w:name w:val="footnote text"/>
    <w:basedOn w:val="Normal"/>
    <w:link w:val="FootnoteTextChar"/>
    <w:semiHidden/>
    <w:rsid w:val="00D8677D"/>
    <w:pPr>
      <w:spacing w:after="0" w:line="240" w:lineRule="auto"/>
    </w:pPr>
    <w:rPr>
      <w:rFonts w:eastAsia="Calibri"/>
      <w:sz w:val="20"/>
      <w:szCs w:val="20"/>
    </w:rPr>
  </w:style>
  <w:style w:type="character" w:customStyle="1" w:styleId="FootnoteTextChar">
    <w:name w:val="Footnote Text Char"/>
    <w:link w:val="FootnoteText"/>
    <w:semiHidden/>
    <w:rsid w:val="00D8677D"/>
    <w:rPr>
      <w:rFonts w:cs="Times New Roman"/>
      <w:sz w:val="20"/>
      <w:szCs w:val="20"/>
    </w:rPr>
  </w:style>
  <w:style w:type="character" w:styleId="FootnoteReference">
    <w:name w:val="footnote reference"/>
    <w:semiHidden/>
    <w:rsid w:val="00D8677D"/>
    <w:rPr>
      <w:rFonts w:cs="Times New Roman"/>
      <w:vertAlign w:val="superscript"/>
    </w:rPr>
  </w:style>
  <w:style w:type="character" w:customStyle="1" w:styleId="Heading1Char">
    <w:name w:val="Heading 1 Char"/>
    <w:link w:val="Heading1"/>
    <w:rsid w:val="006222DC"/>
    <w:rPr>
      <w:rFonts w:ascii="Arial" w:hAnsi="Arial" w:cs="Times New Roman"/>
      <w:b/>
      <w:bCs/>
      <w:sz w:val="28"/>
      <w:szCs w:val="28"/>
      <w:lang w:val="en-GB" w:eastAsia="ja-JP"/>
    </w:rPr>
  </w:style>
  <w:style w:type="character" w:customStyle="1" w:styleId="Heading2Char">
    <w:name w:val="Heading 2 Char"/>
    <w:link w:val="Heading2"/>
    <w:rsid w:val="006222DC"/>
    <w:rPr>
      <w:rFonts w:ascii="Arial" w:hAnsi="Arial" w:cs="Times New Roman"/>
      <w:b/>
      <w:bCs/>
      <w:sz w:val="26"/>
      <w:szCs w:val="26"/>
      <w:lang w:val="en-GB" w:eastAsia="ja-JP"/>
    </w:rPr>
  </w:style>
  <w:style w:type="character" w:customStyle="1" w:styleId="Heading3Char">
    <w:name w:val="Heading 3 Char"/>
    <w:link w:val="Heading3"/>
    <w:rsid w:val="006222DC"/>
    <w:rPr>
      <w:rFonts w:ascii="Arial" w:hAnsi="Arial" w:cs="Times New Roman"/>
      <w:b/>
      <w:bCs/>
      <w:sz w:val="24"/>
      <w:lang w:val="en-GB" w:eastAsia="ja-JP"/>
    </w:rPr>
  </w:style>
  <w:style w:type="paragraph" w:styleId="Date">
    <w:name w:val="Date"/>
    <w:basedOn w:val="Normal"/>
    <w:next w:val="Normal"/>
    <w:link w:val="DateChar"/>
    <w:semiHidden/>
    <w:rsid w:val="006222DC"/>
    <w:pPr>
      <w:spacing w:after="0" w:line="360" w:lineRule="auto"/>
    </w:pPr>
    <w:rPr>
      <w:rFonts w:ascii="Arial" w:eastAsia="MS Mincho" w:hAnsi="Arial"/>
      <w:sz w:val="24"/>
      <w:szCs w:val="24"/>
      <w:lang w:val="en-GB" w:eastAsia="ja-JP"/>
    </w:rPr>
  </w:style>
  <w:style w:type="character" w:customStyle="1" w:styleId="DateChar">
    <w:name w:val="Date Char"/>
    <w:link w:val="Date"/>
    <w:semiHidden/>
    <w:rsid w:val="006222DC"/>
    <w:rPr>
      <w:rFonts w:ascii="Arial" w:eastAsia="MS Mincho" w:hAnsi="Arial" w:cs="Times New Roman"/>
      <w:sz w:val="24"/>
      <w:szCs w:val="24"/>
      <w:lang w:val="en-GB" w:eastAsia="ja-JP"/>
    </w:rPr>
  </w:style>
  <w:style w:type="table" w:styleId="TableGrid">
    <w:name w:val="Table Grid"/>
    <w:basedOn w:val="TableNormal"/>
    <w:rsid w:val="006222DC"/>
    <w:rPr>
      <w:rFonts w:ascii="Helvetica N Light" w:eastAsia="MS Mincho" w:hAnsi="Helvetica N Light"/>
      <w:lang w:val="fr-FR" w:eastAsia="zh-CN"/>
    </w:rPr>
    <w:tblPr>
      <w:tblInd w:w="0" w:type="dxa"/>
      <w:tblBorders>
        <w:bottom w:val="single" w:sz="12" w:space="0" w:color="E6E5E7"/>
      </w:tblBorders>
      <w:tblCellMar>
        <w:top w:w="0" w:type="dxa"/>
        <w:left w:w="108" w:type="dxa"/>
        <w:bottom w:w="0" w:type="dxa"/>
        <w:right w:w="108" w:type="dxa"/>
      </w:tblCellMar>
    </w:tblPr>
    <w:tblStylePr w:type="firstRow">
      <w:rPr>
        <w:rFonts w:ascii="Times New Roman" w:hAnsi="Times New Roman" w:cs="Times New Roman"/>
        <w:b w:val="0"/>
        <w:sz w:val="20"/>
      </w:rPr>
    </w:tblStylePr>
    <w:tblStylePr w:type="firstCol">
      <w:pPr>
        <w:jc w:val="left"/>
      </w:pPr>
      <w:rPr>
        <w:rFonts w:ascii="Times New Roman" w:hAnsi="Times New Roman" w:cs="Times New Roman"/>
        <w:sz w:val="20"/>
      </w:rPr>
    </w:tblStylePr>
  </w:style>
  <w:style w:type="paragraph" w:customStyle="1" w:styleId="BodyTextIndent1">
    <w:name w:val="Body Text Indent1"/>
    <w:basedOn w:val="Normal"/>
    <w:link w:val="BodyTextIndentChar"/>
    <w:rsid w:val="006222DC"/>
    <w:pPr>
      <w:spacing w:after="120" w:line="360" w:lineRule="auto"/>
      <w:ind w:left="851"/>
      <w:jc w:val="both"/>
    </w:pPr>
    <w:rPr>
      <w:rFonts w:ascii="Arial" w:eastAsia="MS Mincho" w:hAnsi="Arial"/>
      <w:sz w:val="20"/>
      <w:szCs w:val="20"/>
      <w:lang w:val="en-GB" w:eastAsia="ja-JP"/>
    </w:rPr>
  </w:style>
  <w:style w:type="character" w:customStyle="1" w:styleId="BodyTextIndentChar">
    <w:name w:val="Body Text Indent Char"/>
    <w:link w:val="BodyTextIndent1"/>
    <w:rsid w:val="006222DC"/>
    <w:rPr>
      <w:rFonts w:ascii="Arial" w:eastAsia="MS Mincho" w:hAnsi="Arial" w:cs="Times New Roman"/>
      <w:sz w:val="20"/>
      <w:szCs w:val="20"/>
      <w:lang w:val="en-GB" w:eastAsia="ja-JP"/>
    </w:rPr>
  </w:style>
  <w:style w:type="paragraph" w:styleId="NoSpacing">
    <w:name w:val="No Spacing"/>
    <w:qFormat/>
    <w:rsid w:val="006222DC"/>
    <w:rPr>
      <w:rFonts w:ascii="Arial" w:hAnsi="Arial" w:cs="Arial"/>
      <w:sz w:val="22"/>
      <w:szCs w:val="22"/>
      <w:lang w:eastAsia="ja-JP"/>
    </w:rPr>
  </w:style>
  <w:style w:type="character" w:styleId="PlaceholderText">
    <w:name w:val="Placeholder Text"/>
    <w:semiHidden/>
    <w:rsid w:val="006222DC"/>
    <w:rPr>
      <w:rFonts w:cs="Times New Roman"/>
      <w:color w:val="808080"/>
    </w:rPr>
  </w:style>
  <w:style w:type="character" w:customStyle="1" w:styleId="Car4">
    <w:name w:val="Car4"/>
    <w:semiHidden/>
    <w:rsid w:val="00307A44"/>
    <w:rPr>
      <w:rFonts w:cs="Times New Roman"/>
      <w:sz w:val="20"/>
      <w:szCs w:val="20"/>
    </w:rPr>
  </w:style>
  <w:style w:type="paragraph" w:styleId="Revision">
    <w:name w:val="Revision"/>
    <w:hidden/>
    <w:uiPriority w:val="99"/>
    <w:semiHidden/>
    <w:rsid w:val="006B3B94"/>
    <w:rPr>
      <w:rFonts w:eastAsia="Times New Roman"/>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1172"/>
    <w:pPr>
      <w:spacing w:after="200" w:line="276" w:lineRule="auto"/>
    </w:pPr>
    <w:rPr>
      <w:rFonts w:eastAsia="Times New Roman"/>
      <w:sz w:val="22"/>
      <w:szCs w:val="22"/>
      <w:lang w:val="en-US" w:eastAsia="en-US"/>
    </w:rPr>
  </w:style>
  <w:style w:type="paragraph" w:styleId="Heading1">
    <w:name w:val="heading 1"/>
    <w:basedOn w:val="Normal"/>
    <w:next w:val="Normal"/>
    <w:link w:val="Heading1Char"/>
    <w:qFormat/>
    <w:rsid w:val="006222DC"/>
    <w:pPr>
      <w:keepNext/>
      <w:keepLines/>
      <w:spacing w:before="480" w:after="0" w:line="240" w:lineRule="auto"/>
      <w:outlineLvl w:val="0"/>
    </w:pPr>
    <w:rPr>
      <w:rFonts w:ascii="Arial" w:eastAsia="Calibri" w:hAnsi="Arial"/>
      <w:b/>
      <w:bCs/>
      <w:sz w:val="28"/>
      <w:szCs w:val="28"/>
      <w:lang w:val="en-GB" w:eastAsia="ja-JP"/>
    </w:rPr>
  </w:style>
  <w:style w:type="paragraph" w:styleId="Heading2">
    <w:name w:val="heading 2"/>
    <w:basedOn w:val="Normal"/>
    <w:next w:val="Normal"/>
    <w:link w:val="Heading2Char"/>
    <w:qFormat/>
    <w:rsid w:val="006222DC"/>
    <w:pPr>
      <w:keepNext/>
      <w:keepLines/>
      <w:spacing w:before="240" w:after="120"/>
      <w:outlineLvl w:val="1"/>
    </w:pPr>
    <w:rPr>
      <w:rFonts w:ascii="Arial" w:eastAsia="Calibri" w:hAnsi="Arial"/>
      <w:b/>
      <w:bCs/>
      <w:sz w:val="26"/>
      <w:szCs w:val="26"/>
      <w:lang w:val="en-GB" w:eastAsia="ja-JP"/>
    </w:rPr>
  </w:style>
  <w:style w:type="paragraph" w:styleId="Heading3">
    <w:name w:val="heading 3"/>
    <w:basedOn w:val="Normal"/>
    <w:next w:val="Normal"/>
    <w:link w:val="Heading3Char"/>
    <w:qFormat/>
    <w:rsid w:val="006222DC"/>
    <w:pPr>
      <w:keepNext/>
      <w:keepLines/>
      <w:spacing w:before="200" w:after="0" w:line="360" w:lineRule="auto"/>
      <w:outlineLvl w:val="2"/>
    </w:pPr>
    <w:rPr>
      <w:rFonts w:ascii="Arial" w:eastAsia="Calibri" w:hAnsi="Arial"/>
      <w:b/>
      <w:bCs/>
      <w:sz w:val="24"/>
      <w:szCs w:val="20"/>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B562CB"/>
    <w:pPr>
      <w:spacing w:after="0" w:line="240" w:lineRule="auto"/>
    </w:pPr>
    <w:rPr>
      <w:rFonts w:ascii="Tahoma" w:eastAsia="Calibri" w:hAnsi="Tahoma"/>
      <w:sz w:val="16"/>
      <w:szCs w:val="16"/>
    </w:rPr>
  </w:style>
  <w:style w:type="character" w:customStyle="1" w:styleId="BalloonTextChar">
    <w:name w:val="Balloon Text Char"/>
    <w:link w:val="BalloonText"/>
    <w:semiHidden/>
    <w:rsid w:val="00B562CB"/>
    <w:rPr>
      <w:rFonts w:ascii="Tahoma" w:hAnsi="Tahoma" w:cs="Tahoma"/>
      <w:sz w:val="16"/>
      <w:szCs w:val="16"/>
    </w:rPr>
  </w:style>
  <w:style w:type="character" w:styleId="Hyperlink">
    <w:name w:val="Hyperlink"/>
    <w:rsid w:val="00415534"/>
    <w:rPr>
      <w:rFonts w:cs="Times New Roman"/>
      <w:color w:val="0000FF"/>
      <w:u w:val="single"/>
    </w:rPr>
  </w:style>
  <w:style w:type="paragraph" w:styleId="ListParagraph">
    <w:name w:val="List Paragraph"/>
    <w:basedOn w:val="Normal"/>
    <w:uiPriority w:val="34"/>
    <w:qFormat/>
    <w:rsid w:val="00D211C9"/>
    <w:pPr>
      <w:ind w:left="720"/>
      <w:contextualSpacing/>
    </w:pPr>
  </w:style>
  <w:style w:type="paragraph" w:styleId="Header">
    <w:name w:val="header"/>
    <w:basedOn w:val="Normal"/>
    <w:link w:val="HeaderChar"/>
    <w:uiPriority w:val="99"/>
    <w:rsid w:val="004A47D1"/>
    <w:pPr>
      <w:tabs>
        <w:tab w:val="center" w:pos="4680"/>
        <w:tab w:val="right" w:pos="9360"/>
      </w:tabs>
      <w:spacing w:after="0" w:line="240" w:lineRule="auto"/>
    </w:pPr>
    <w:rPr>
      <w:rFonts w:eastAsia="Calibri"/>
      <w:sz w:val="20"/>
      <w:szCs w:val="20"/>
    </w:rPr>
  </w:style>
  <w:style w:type="character" w:customStyle="1" w:styleId="HeaderChar">
    <w:name w:val="Header Char"/>
    <w:link w:val="Header"/>
    <w:uiPriority w:val="99"/>
    <w:rsid w:val="004A47D1"/>
    <w:rPr>
      <w:rFonts w:cs="Times New Roman"/>
    </w:rPr>
  </w:style>
  <w:style w:type="paragraph" w:styleId="Footer">
    <w:name w:val="footer"/>
    <w:basedOn w:val="Normal"/>
    <w:link w:val="FooterChar"/>
    <w:rsid w:val="004A47D1"/>
    <w:pPr>
      <w:tabs>
        <w:tab w:val="center" w:pos="4680"/>
        <w:tab w:val="right" w:pos="9360"/>
      </w:tabs>
      <w:spacing w:after="0" w:line="240" w:lineRule="auto"/>
    </w:pPr>
    <w:rPr>
      <w:rFonts w:eastAsia="Calibri"/>
      <w:sz w:val="20"/>
      <w:szCs w:val="20"/>
    </w:rPr>
  </w:style>
  <w:style w:type="character" w:customStyle="1" w:styleId="FooterChar">
    <w:name w:val="Footer Char"/>
    <w:link w:val="Footer"/>
    <w:rsid w:val="004A47D1"/>
    <w:rPr>
      <w:rFonts w:cs="Times New Roman"/>
    </w:rPr>
  </w:style>
  <w:style w:type="character" w:styleId="CommentReference">
    <w:name w:val="annotation reference"/>
    <w:uiPriority w:val="99"/>
    <w:semiHidden/>
    <w:rsid w:val="00A457E9"/>
    <w:rPr>
      <w:rFonts w:cs="Times New Roman"/>
      <w:sz w:val="16"/>
      <w:szCs w:val="16"/>
    </w:rPr>
  </w:style>
  <w:style w:type="paragraph" w:styleId="CommentText">
    <w:name w:val="annotation text"/>
    <w:basedOn w:val="Normal"/>
    <w:link w:val="CommentTextChar"/>
    <w:uiPriority w:val="99"/>
    <w:rsid w:val="00A457E9"/>
    <w:pPr>
      <w:spacing w:line="240" w:lineRule="auto"/>
    </w:pPr>
    <w:rPr>
      <w:rFonts w:eastAsia="Calibri"/>
      <w:sz w:val="20"/>
      <w:szCs w:val="20"/>
    </w:rPr>
  </w:style>
  <w:style w:type="character" w:customStyle="1" w:styleId="CommentTextChar">
    <w:name w:val="Comment Text Char"/>
    <w:link w:val="CommentText"/>
    <w:uiPriority w:val="99"/>
    <w:rsid w:val="00A457E9"/>
    <w:rPr>
      <w:rFonts w:cs="Times New Roman"/>
      <w:sz w:val="20"/>
      <w:szCs w:val="20"/>
    </w:rPr>
  </w:style>
  <w:style w:type="paragraph" w:styleId="CommentSubject">
    <w:name w:val="annotation subject"/>
    <w:basedOn w:val="CommentText"/>
    <w:next w:val="CommentText"/>
    <w:link w:val="CommentSubjectChar"/>
    <w:semiHidden/>
    <w:rsid w:val="00A457E9"/>
    <w:rPr>
      <w:b/>
      <w:bCs/>
    </w:rPr>
  </w:style>
  <w:style w:type="character" w:customStyle="1" w:styleId="CommentSubjectChar">
    <w:name w:val="Comment Subject Char"/>
    <w:link w:val="CommentSubject"/>
    <w:semiHidden/>
    <w:rsid w:val="00A457E9"/>
    <w:rPr>
      <w:rFonts w:cs="Times New Roman"/>
      <w:b/>
      <w:bCs/>
      <w:sz w:val="20"/>
      <w:szCs w:val="20"/>
    </w:rPr>
  </w:style>
  <w:style w:type="paragraph" w:styleId="PlainText">
    <w:name w:val="Plain Text"/>
    <w:basedOn w:val="Normal"/>
    <w:link w:val="PlainTextChar"/>
    <w:uiPriority w:val="99"/>
    <w:rsid w:val="000B79BE"/>
    <w:pPr>
      <w:spacing w:after="0" w:line="240" w:lineRule="auto"/>
    </w:pPr>
    <w:rPr>
      <w:rFonts w:ascii="Consolas" w:eastAsia="Calibri" w:hAnsi="Consolas"/>
      <w:sz w:val="21"/>
      <w:szCs w:val="21"/>
    </w:rPr>
  </w:style>
  <w:style w:type="character" w:customStyle="1" w:styleId="PlainTextChar">
    <w:name w:val="Plain Text Char"/>
    <w:link w:val="PlainText"/>
    <w:uiPriority w:val="99"/>
    <w:rsid w:val="000B79BE"/>
    <w:rPr>
      <w:rFonts w:ascii="Consolas" w:hAnsi="Consolas" w:cs="Times New Roman"/>
      <w:sz w:val="21"/>
      <w:szCs w:val="21"/>
    </w:rPr>
  </w:style>
  <w:style w:type="paragraph" w:customStyle="1" w:styleId="Default">
    <w:name w:val="Default"/>
    <w:rsid w:val="000B79BE"/>
    <w:pPr>
      <w:autoSpaceDE w:val="0"/>
      <w:autoSpaceDN w:val="0"/>
      <w:adjustRightInd w:val="0"/>
    </w:pPr>
    <w:rPr>
      <w:rFonts w:cs="Calibri"/>
      <w:color w:val="000000"/>
      <w:sz w:val="24"/>
      <w:szCs w:val="24"/>
      <w:lang w:val="en-US" w:eastAsia="en-US"/>
    </w:rPr>
  </w:style>
  <w:style w:type="paragraph" w:styleId="FootnoteText">
    <w:name w:val="footnote text"/>
    <w:basedOn w:val="Normal"/>
    <w:link w:val="FootnoteTextChar"/>
    <w:semiHidden/>
    <w:rsid w:val="00D8677D"/>
    <w:pPr>
      <w:spacing w:after="0" w:line="240" w:lineRule="auto"/>
    </w:pPr>
    <w:rPr>
      <w:rFonts w:eastAsia="Calibri"/>
      <w:sz w:val="20"/>
      <w:szCs w:val="20"/>
    </w:rPr>
  </w:style>
  <w:style w:type="character" w:customStyle="1" w:styleId="FootnoteTextChar">
    <w:name w:val="Footnote Text Char"/>
    <w:link w:val="FootnoteText"/>
    <w:semiHidden/>
    <w:rsid w:val="00D8677D"/>
    <w:rPr>
      <w:rFonts w:cs="Times New Roman"/>
      <w:sz w:val="20"/>
      <w:szCs w:val="20"/>
    </w:rPr>
  </w:style>
  <w:style w:type="character" w:styleId="FootnoteReference">
    <w:name w:val="footnote reference"/>
    <w:semiHidden/>
    <w:rsid w:val="00D8677D"/>
    <w:rPr>
      <w:rFonts w:cs="Times New Roman"/>
      <w:vertAlign w:val="superscript"/>
    </w:rPr>
  </w:style>
  <w:style w:type="character" w:customStyle="1" w:styleId="Heading1Char">
    <w:name w:val="Heading 1 Char"/>
    <w:link w:val="Heading1"/>
    <w:rsid w:val="006222DC"/>
    <w:rPr>
      <w:rFonts w:ascii="Arial" w:hAnsi="Arial" w:cs="Times New Roman"/>
      <w:b/>
      <w:bCs/>
      <w:sz w:val="28"/>
      <w:szCs w:val="28"/>
      <w:lang w:val="en-GB" w:eastAsia="ja-JP"/>
    </w:rPr>
  </w:style>
  <w:style w:type="character" w:customStyle="1" w:styleId="Heading2Char">
    <w:name w:val="Heading 2 Char"/>
    <w:link w:val="Heading2"/>
    <w:rsid w:val="006222DC"/>
    <w:rPr>
      <w:rFonts w:ascii="Arial" w:hAnsi="Arial" w:cs="Times New Roman"/>
      <w:b/>
      <w:bCs/>
      <w:sz w:val="26"/>
      <w:szCs w:val="26"/>
      <w:lang w:val="en-GB" w:eastAsia="ja-JP"/>
    </w:rPr>
  </w:style>
  <w:style w:type="character" w:customStyle="1" w:styleId="Heading3Char">
    <w:name w:val="Heading 3 Char"/>
    <w:link w:val="Heading3"/>
    <w:rsid w:val="006222DC"/>
    <w:rPr>
      <w:rFonts w:ascii="Arial" w:hAnsi="Arial" w:cs="Times New Roman"/>
      <w:b/>
      <w:bCs/>
      <w:sz w:val="24"/>
      <w:lang w:val="en-GB" w:eastAsia="ja-JP"/>
    </w:rPr>
  </w:style>
  <w:style w:type="paragraph" w:styleId="Date">
    <w:name w:val="Date"/>
    <w:basedOn w:val="Normal"/>
    <w:next w:val="Normal"/>
    <w:link w:val="DateChar"/>
    <w:semiHidden/>
    <w:rsid w:val="006222DC"/>
    <w:pPr>
      <w:spacing w:after="0" w:line="360" w:lineRule="auto"/>
    </w:pPr>
    <w:rPr>
      <w:rFonts w:ascii="Arial" w:eastAsia="MS Mincho" w:hAnsi="Arial"/>
      <w:sz w:val="24"/>
      <w:szCs w:val="24"/>
      <w:lang w:val="en-GB" w:eastAsia="ja-JP"/>
    </w:rPr>
  </w:style>
  <w:style w:type="character" w:customStyle="1" w:styleId="DateChar">
    <w:name w:val="Date Char"/>
    <w:link w:val="Date"/>
    <w:semiHidden/>
    <w:rsid w:val="006222DC"/>
    <w:rPr>
      <w:rFonts w:ascii="Arial" w:eastAsia="MS Mincho" w:hAnsi="Arial" w:cs="Times New Roman"/>
      <w:sz w:val="24"/>
      <w:szCs w:val="24"/>
      <w:lang w:val="en-GB" w:eastAsia="ja-JP"/>
    </w:rPr>
  </w:style>
  <w:style w:type="table" w:styleId="TableGrid">
    <w:name w:val="Table Grid"/>
    <w:basedOn w:val="TableNormal"/>
    <w:rsid w:val="006222DC"/>
    <w:rPr>
      <w:rFonts w:ascii="Helvetica N Light" w:eastAsia="MS Mincho" w:hAnsi="Helvetica N Light"/>
      <w:lang w:val="fr-FR" w:eastAsia="zh-CN"/>
    </w:rPr>
    <w:tblPr>
      <w:tblInd w:w="0" w:type="dxa"/>
      <w:tblBorders>
        <w:bottom w:val="single" w:sz="12" w:space="0" w:color="E6E5E7"/>
      </w:tblBorders>
      <w:tblCellMar>
        <w:top w:w="0" w:type="dxa"/>
        <w:left w:w="108" w:type="dxa"/>
        <w:bottom w:w="0" w:type="dxa"/>
        <w:right w:w="108" w:type="dxa"/>
      </w:tblCellMar>
    </w:tblPr>
    <w:tblStylePr w:type="firstRow">
      <w:rPr>
        <w:rFonts w:ascii="Times New Roman" w:hAnsi="Times New Roman" w:cs="Times New Roman"/>
        <w:b w:val="0"/>
        <w:sz w:val="20"/>
      </w:rPr>
    </w:tblStylePr>
    <w:tblStylePr w:type="firstCol">
      <w:pPr>
        <w:jc w:val="left"/>
      </w:pPr>
      <w:rPr>
        <w:rFonts w:ascii="Times New Roman" w:hAnsi="Times New Roman" w:cs="Times New Roman"/>
        <w:sz w:val="20"/>
      </w:rPr>
    </w:tblStylePr>
  </w:style>
  <w:style w:type="paragraph" w:customStyle="1" w:styleId="BodyTextIndent1">
    <w:name w:val="Body Text Indent1"/>
    <w:basedOn w:val="Normal"/>
    <w:link w:val="BodyTextIndentChar"/>
    <w:rsid w:val="006222DC"/>
    <w:pPr>
      <w:spacing w:after="120" w:line="360" w:lineRule="auto"/>
      <w:ind w:left="851"/>
      <w:jc w:val="both"/>
    </w:pPr>
    <w:rPr>
      <w:rFonts w:ascii="Arial" w:eastAsia="MS Mincho" w:hAnsi="Arial"/>
      <w:sz w:val="20"/>
      <w:szCs w:val="20"/>
      <w:lang w:val="en-GB" w:eastAsia="ja-JP"/>
    </w:rPr>
  </w:style>
  <w:style w:type="character" w:customStyle="1" w:styleId="BodyTextIndentChar">
    <w:name w:val="Body Text Indent Char"/>
    <w:link w:val="BodyTextIndent1"/>
    <w:rsid w:val="006222DC"/>
    <w:rPr>
      <w:rFonts w:ascii="Arial" w:eastAsia="MS Mincho" w:hAnsi="Arial" w:cs="Times New Roman"/>
      <w:sz w:val="20"/>
      <w:szCs w:val="20"/>
      <w:lang w:val="en-GB" w:eastAsia="ja-JP"/>
    </w:rPr>
  </w:style>
  <w:style w:type="paragraph" w:styleId="NoSpacing">
    <w:name w:val="No Spacing"/>
    <w:qFormat/>
    <w:rsid w:val="006222DC"/>
    <w:rPr>
      <w:rFonts w:ascii="Arial" w:hAnsi="Arial" w:cs="Arial"/>
      <w:sz w:val="22"/>
      <w:szCs w:val="22"/>
      <w:lang w:eastAsia="ja-JP"/>
    </w:rPr>
  </w:style>
  <w:style w:type="character" w:styleId="PlaceholderText">
    <w:name w:val="Placeholder Text"/>
    <w:semiHidden/>
    <w:rsid w:val="006222DC"/>
    <w:rPr>
      <w:rFonts w:cs="Times New Roman"/>
      <w:color w:val="808080"/>
    </w:rPr>
  </w:style>
  <w:style w:type="character" w:customStyle="1" w:styleId="Car4">
    <w:name w:val="Car4"/>
    <w:semiHidden/>
    <w:rsid w:val="00307A44"/>
    <w:rPr>
      <w:rFonts w:cs="Times New Roman"/>
      <w:sz w:val="20"/>
      <w:szCs w:val="20"/>
    </w:rPr>
  </w:style>
  <w:style w:type="paragraph" w:styleId="Revision">
    <w:name w:val="Revision"/>
    <w:hidden/>
    <w:uiPriority w:val="99"/>
    <w:semiHidden/>
    <w:rsid w:val="006B3B94"/>
    <w:rPr>
      <w:rFonts w:eastAsia="Times New Roman"/>
      <w:sz w:val="22"/>
      <w:szCs w:val="22"/>
      <w:lang w:val="en-US" w:eastAsia="en-US"/>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sChild>
            <w:div w:id="16">
              <w:marLeft w:val="0"/>
              <w:marRight w:val="0"/>
              <w:marTop w:val="0"/>
              <w:marBottom w:val="0"/>
              <w:divBdr>
                <w:top w:val="none" w:sz="0" w:space="0" w:color="auto"/>
                <w:left w:val="none" w:sz="0" w:space="0" w:color="auto"/>
                <w:bottom w:val="none" w:sz="0" w:space="0" w:color="auto"/>
                <w:right w:val="none" w:sz="0" w:space="0" w:color="auto"/>
              </w:divBdr>
              <w:divsChild>
                <w:div w:id="18">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sChild>
                        <w:div w:id="22">
                          <w:marLeft w:val="0"/>
                          <w:marRight w:val="0"/>
                          <w:marTop w:val="0"/>
                          <w:marBottom w:val="0"/>
                          <w:divBdr>
                            <w:top w:val="none" w:sz="0" w:space="0" w:color="auto"/>
                            <w:left w:val="none" w:sz="0" w:space="0" w:color="auto"/>
                            <w:bottom w:val="none" w:sz="0" w:space="0" w:color="auto"/>
                            <w:right w:val="none" w:sz="0" w:space="0" w:color="auto"/>
                          </w:divBdr>
                          <w:divsChild>
                            <w:div w:id="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
      <w:marLeft w:val="30"/>
      <w:marRight w:val="30"/>
      <w:marTop w:val="0"/>
      <w:marBottom w:val="0"/>
      <w:divBdr>
        <w:top w:val="none" w:sz="0" w:space="0" w:color="auto"/>
        <w:left w:val="none" w:sz="0" w:space="0" w:color="auto"/>
        <w:bottom w:val="none" w:sz="0" w:space="0" w:color="auto"/>
        <w:right w:val="none" w:sz="0" w:space="0" w:color="auto"/>
      </w:divBdr>
      <w:divsChild>
        <w:div w:id="19">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sChild>
                <w:div w:id="8">
                  <w:marLeft w:val="180"/>
                  <w:marRight w:val="0"/>
                  <w:marTop w:val="0"/>
                  <w:marBottom w:val="0"/>
                  <w:divBdr>
                    <w:top w:val="none" w:sz="0" w:space="0" w:color="auto"/>
                    <w:left w:val="none" w:sz="0" w:space="0" w:color="auto"/>
                    <w:bottom w:val="none" w:sz="0" w:space="0" w:color="auto"/>
                    <w:right w:val="none" w:sz="0" w:space="0" w:color="auto"/>
                  </w:divBdr>
                  <w:divsChild>
                    <w:div w:id="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045766">
      <w:bodyDiv w:val="1"/>
      <w:marLeft w:val="0"/>
      <w:marRight w:val="0"/>
      <w:marTop w:val="0"/>
      <w:marBottom w:val="0"/>
      <w:divBdr>
        <w:top w:val="none" w:sz="0" w:space="0" w:color="auto"/>
        <w:left w:val="none" w:sz="0" w:space="0" w:color="auto"/>
        <w:bottom w:val="none" w:sz="0" w:space="0" w:color="auto"/>
        <w:right w:val="none" w:sz="0" w:space="0" w:color="auto"/>
      </w:divBdr>
    </w:div>
    <w:div w:id="89278971">
      <w:bodyDiv w:val="1"/>
      <w:marLeft w:val="0"/>
      <w:marRight w:val="0"/>
      <w:marTop w:val="0"/>
      <w:marBottom w:val="0"/>
      <w:divBdr>
        <w:top w:val="none" w:sz="0" w:space="0" w:color="auto"/>
        <w:left w:val="none" w:sz="0" w:space="0" w:color="auto"/>
        <w:bottom w:val="none" w:sz="0" w:space="0" w:color="auto"/>
        <w:right w:val="none" w:sz="0" w:space="0" w:color="auto"/>
      </w:divBdr>
    </w:div>
    <w:div w:id="115374684">
      <w:bodyDiv w:val="1"/>
      <w:marLeft w:val="0"/>
      <w:marRight w:val="0"/>
      <w:marTop w:val="0"/>
      <w:marBottom w:val="0"/>
      <w:divBdr>
        <w:top w:val="none" w:sz="0" w:space="0" w:color="auto"/>
        <w:left w:val="none" w:sz="0" w:space="0" w:color="auto"/>
        <w:bottom w:val="none" w:sz="0" w:space="0" w:color="auto"/>
        <w:right w:val="none" w:sz="0" w:space="0" w:color="auto"/>
      </w:divBdr>
    </w:div>
    <w:div w:id="199319678">
      <w:bodyDiv w:val="1"/>
      <w:marLeft w:val="0"/>
      <w:marRight w:val="0"/>
      <w:marTop w:val="0"/>
      <w:marBottom w:val="0"/>
      <w:divBdr>
        <w:top w:val="none" w:sz="0" w:space="0" w:color="auto"/>
        <w:left w:val="none" w:sz="0" w:space="0" w:color="auto"/>
        <w:bottom w:val="none" w:sz="0" w:space="0" w:color="auto"/>
        <w:right w:val="none" w:sz="0" w:space="0" w:color="auto"/>
      </w:divBdr>
    </w:div>
    <w:div w:id="380128878">
      <w:bodyDiv w:val="1"/>
      <w:marLeft w:val="0"/>
      <w:marRight w:val="0"/>
      <w:marTop w:val="0"/>
      <w:marBottom w:val="0"/>
      <w:divBdr>
        <w:top w:val="none" w:sz="0" w:space="0" w:color="auto"/>
        <w:left w:val="none" w:sz="0" w:space="0" w:color="auto"/>
        <w:bottom w:val="none" w:sz="0" w:space="0" w:color="auto"/>
        <w:right w:val="none" w:sz="0" w:space="0" w:color="auto"/>
      </w:divBdr>
    </w:div>
    <w:div w:id="431708017">
      <w:bodyDiv w:val="1"/>
      <w:marLeft w:val="0"/>
      <w:marRight w:val="0"/>
      <w:marTop w:val="0"/>
      <w:marBottom w:val="0"/>
      <w:divBdr>
        <w:top w:val="none" w:sz="0" w:space="0" w:color="auto"/>
        <w:left w:val="none" w:sz="0" w:space="0" w:color="auto"/>
        <w:bottom w:val="none" w:sz="0" w:space="0" w:color="auto"/>
        <w:right w:val="none" w:sz="0" w:space="0" w:color="auto"/>
      </w:divBdr>
    </w:div>
    <w:div w:id="610359364">
      <w:bodyDiv w:val="1"/>
      <w:marLeft w:val="0"/>
      <w:marRight w:val="0"/>
      <w:marTop w:val="0"/>
      <w:marBottom w:val="0"/>
      <w:divBdr>
        <w:top w:val="none" w:sz="0" w:space="0" w:color="auto"/>
        <w:left w:val="none" w:sz="0" w:space="0" w:color="auto"/>
        <w:bottom w:val="none" w:sz="0" w:space="0" w:color="auto"/>
        <w:right w:val="none" w:sz="0" w:space="0" w:color="auto"/>
      </w:divBdr>
    </w:div>
    <w:div w:id="882060604">
      <w:bodyDiv w:val="1"/>
      <w:marLeft w:val="0"/>
      <w:marRight w:val="0"/>
      <w:marTop w:val="0"/>
      <w:marBottom w:val="0"/>
      <w:divBdr>
        <w:top w:val="none" w:sz="0" w:space="0" w:color="auto"/>
        <w:left w:val="none" w:sz="0" w:space="0" w:color="auto"/>
        <w:bottom w:val="none" w:sz="0" w:space="0" w:color="auto"/>
        <w:right w:val="none" w:sz="0" w:space="0" w:color="auto"/>
      </w:divBdr>
    </w:div>
    <w:div w:id="886913480">
      <w:bodyDiv w:val="1"/>
      <w:marLeft w:val="0"/>
      <w:marRight w:val="0"/>
      <w:marTop w:val="0"/>
      <w:marBottom w:val="0"/>
      <w:divBdr>
        <w:top w:val="none" w:sz="0" w:space="0" w:color="auto"/>
        <w:left w:val="none" w:sz="0" w:space="0" w:color="auto"/>
        <w:bottom w:val="none" w:sz="0" w:space="0" w:color="auto"/>
        <w:right w:val="none" w:sz="0" w:space="0" w:color="auto"/>
      </w:divBdr>
    </w:div>
    <w:div w:id="978614773">
      <w:bodyDiv w:val="1"/>
      <w:marLeft w:val="0"/>
      <w:marRight w:val="0"/>
      <w:marTop w:val="0"/>
      <w:marBottom w:val="0"/>
      <w:divBdr>
        <w:top w:val="none" w:sz="0" w:space="0" w:color="auto"/>
        <w:left w:val="none" w:sz="0" w:space="0" w:color="auto"/>
        <w:bottom w:val="none" w:sz="0" w:space="0" w:color="auto"/>
        <w:right w:val="none" w:sz="0" w:space="0" w:color="auto"/>
      </w:divBdr>
    </w:div>
    <w:div w:id="1096906083">
      <w:bodyDiv w:val="1"/>
      <w:marLeft w:val="0"/>
      <w:marRight w:val="0"/>
      <w:marTop w:val="0"/>
      <w:marBottom w:val="0"/>
      <w:divBdr>
        <w:top w:val="none" w:sz="0" w:space="0" w:color="auto"/>
        <w:left w:val="none" w:sz="0" w:space="0" w:color="auto"/>
        <w:bottom w:val="none" w:sz="0" w:space="0" w:color="auto"/>
        <w:right w:val="none" w:sz="0" w:space="0" w:color="auto"/>
      </w:divBdr>
    </w:div>
    <w:div w:id="1270309270">
      <w:bodyDiv w:val="1"/>
      <w:marLeft w:val="0"/>
      <w:marRight w:val="0"/>
      <w:marTop w:val="0"/>
      <w:marBottom w:val="0"/>
      <w:divBdr>
        <w:top w:val="none" w:sz="0" w:space="0" w:color="auto"/>
        <w:left w:val="none" w:sz="0" w:space="0" w:color="auto"/>
        <w:bottom w:val="none" w:sz="0" w:space="0" w:color="auto"/>
        <w:right w:val="none" w:sz="0" w:space="0" w:color="auto"/>
      </w:divBdr>
    </w:div>
    <w:div w:id="1362127349">
      <w:bodyDiv w:val="1"/>
      <w:marLeft w:val="0"/>
      <w:marRight w:val="0"/>
      <w:marTop w:val="0"/>
      <w:marBottom w:val="0"/>
      <w:divBdr>
        <w:top w:val="none" w:sz="0" w:space="0" w:color="auto"/>
        <w:left w:val="none" w:sz="0" w:space="0" w:color="auto"/>
        <w:bottom w:val="none" w:sz="0" w:space="0" w:color="auto"/>
        <w:right w:val="none" w:sz="0" w:space="0" w:color="auto"/>
      </w:divBdr>
    </w:div>
    <w:div w:id="1661887046">
      <w:bodyDiv w:val="1"/>
      <w:marLeft w:val="0"/>
      <w:marRight w:val="0"/>
      <w:marTop w:val="0"/>
      <w:marBottom w:val="0"/>
      <w:divBdr>
        <w:top w:val="none" w:sz="0" w:space="0" w:color="auto"/>
        <w:left w:val="none" w:sz="0" w:space="0" w:color="auto"/>
        <w:bottom w:val="none" w:sz="0" w:space="0" w:color="auto"/>
        <w:right w:val="none" w:sz="0" w:space="0" w:color="auto"/>
      </w:divBdr>
    </w:div>
    <w:div w:id="2067488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www.isda.org" TargetMode="External"/><Relationship Id="rId1" Type="http://schemas.openxmlformats.org/officeDocument/2006/relationships/hyperlink" Target="http://www.afme.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C96FD2-D6FE-4C2D-976F-E8E9D78674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4788</Words>
  <Characters>27294</Characters>
  <Application>Microsoft Office Word</Application>
  <DocSecurity>0</DocSecurity>
  <Lines>227</Lines>
  <Paragraphs>64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lpstr>
    </vt:vector>
  </TitlesOfParts>
  <Company>Credit Suisse</Company>
  <LinksUpToDate>false</LinksUpToDate>
  <CharactersWithSpaces>32018</CharactersWithSpaces>
  <SharedDoc>false</SharedDoc>
  <HLinks>
    <vt:vector size="12" baseType="variant">
      <vt:variant>
        <vt:i4>5570634</vt:i4>
      </vt:variant>
      <vt:variant>
        <vt:i4>3</vt:i4>
      </vt:variant>
      <vt:variant>
        <vt:i4>0</vt:i4>
      </vt:variant>
      <vt:variant>
        <vt:i4>5</vt:i4>
      </vt:variant>
      <vt:variant>
        <vt:lpwstr>http://www.isda.org/</vt:lpwstr>
      </vt:variant>
      <vt:variant>
        <vt:lpwstr/>
      </vt:variant>
      <vt:variant>
        <vt:i4>8126518</vt:i4>
      </vt:variant>
      <vt:variant>
        <vt:i4>0</vt:i4>
      </vt:variant>
      <vt:variant>
        <vt:i4>0</vt:i4>
      </vt:variant>
      <vt:variant>
        <vt:i4>5</vt:i4>
      </vt:variant>
      <vt:variant>
        <vt:lpwstr>http://www.afme.eu/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Olivier Miart</dc:creator>
  <cp:lastModifiedBy>bharte</cp:lastModifiedBy>
  <cp:revision>2</cp:revision>
  <cp:lastPrinted>2013-10-07T13:42:00Z</cp:lastPrinted>
  <dcterms:created xsi:type="dcterms:W3CDTF">2013-10-08T12:06:00Z</dcterms:created>
  <dcterms:modified xsi:type="dcterms:W3CDTF">2013-10-08T12:06:00Z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Project">
    <vt:lpwstr/>
  </property>
</Properties>
</file>