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6552" w14:textId="77777777" w:rsidR="00941D6F" w:rsidRDefault="00941D6F" w:rsidP="00941D6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45"/>
      </w:tblGrid>
      <w:tr w:rsidR="005A1BA1" w:rsidRPr="00C374F2" w14:paraId="6A55DA5D" w14:textId="77777777">
        <w:trPr>
          <w:trHeight w:val="159"/>
        </w:trPr>
        <w:tc>
          <w:tcPr>
            <w:tcW w:w="7545" w:type="dxa"/>
          </w:tcPr>
          <w:p w14:paraId="2BEAD0B8" w14:textId="61F827D5" w:rsidR="005A1BA1" w:rsidRPr="005A1BA1" w:rsidRDefault="00FC404B" w:rsidP="005A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</w:pPr>
            <w:r w:rsidRPr="00FC404B">
              <w:rPr>
                <w:sz w:val="32"/>
                <w:szCs w:val="32"/>
                <w:lang w:val="en-GB"/>
              </w:rPr>
              <w:t>Consultation Paper</w:t>
            </w:r>
            <w:r>
              <w:rPr>
                <w:sz w:val="32"/>
                <w:szCs w:val="32"/>
                <w:lang w:val="en-GB"/>
              </w:rPr>
              <w:t xml:space="preserve"> - </w:t>
            </w:r>
            <w:r w:rsidR="005A1BA1">
              <w:rPr>
                <w:sz w:val="32"/>
                <w:szCs w:val="32"/>
                <w:lang w:val="en-GB"/>
              </w:rPr>
              <w:t xml:space="preserve"> </w:t>
            </w:r>
            <w:r w:rsidR="005A1BA1" w:rsidRPr="005A1BA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5A1BA1" w:rsidRPr="005A1BA1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EBA draft Guidelines on ICT and </w:t>
            </w:r>
            <w:r w:rsidR="005A1BA1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 s</w:t>
            </w:r>
            <w:r w:rsidR="005A1BA1" w:rsidRPr="005A1BA1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ecurity risk management </w:t>
            </w:r>
            <w:r w:rsidR="00C374F2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 - Bits AS, Norway</w:t>
            </w:r>
            <w:bookmarkStart w:id="0" w:name="_GoBack"/>
            <w:bookmarkEnd w:id="0"/>
          </w:p>
        </w:tc>
      </w:tr>
    </w:tbl>
    <w:p w14:paraId="201CBC81" w14:textId="67019CA7" w:rsidR="00941D6F" w:rsidRPr="005A1BA1" w:rsidRDefault="00941D6F" w:rsidP="00941D6F">
      <w:pPr>
        <w:rPr>
          <w:lang w:val="en-US"/>
        </w:rPr>
      </w:pPr>
    </w:p>
    <w:p w14:paraId="0F6A7253" w14:textId="232E17AD" w:rsidR="003E0197" w:rsidRPr="001E6A13" w:rsidRDefault="001E6A13" w:rsidP="001E6A13">
      <w:pPr>
        <w:pStyle w:val="Listeavsnitt"/>
        <w:numPr>
          <w:ilvl w:val="0"/>
          <w:numId w:val="2"/>
        </w:numPr>
        <w:rPr>
          <w:lang w:val="en-GB"/>
        </w:rPr>
      </w:pPr>
      <w:r w:rsidRPr="001E6A13">
        <w:rPr>
          <w:lang w:val="en-GB"/>
        </w:rPr>
        <w:t>Specific comments</w:t>
      </w:r>
    </w:p>
    <w:p w14:paraId="79198F02" w14:textId="1A5DC889" w:rsidR="00423524" w:rsidRDefault="00423524" w:rsidP="0035397D">
      <w:pPr>
        <w:rPr>
          <w:lang w:val="en-GB"/>
        </w:rPr>
      </w:pPr>
      <w:r>
        <w:rPr>
          <w:lang w:val="en-GB"/>
        </w:rPr>
        <w:t>Chapter 4.2.1 Governance</w:t>
      </w:r>
    </w:p>
    <w:p w14:paraId="09C9A3A0" w14:textId="50B7349A" w:rsidR="00423524" w:rsidRDefault="00B60C96" w:rsidP="0035397D">
      <w:pPr>
        <w:rPr>
          <w:lang w:val="en-GB"/>
        </w:rPr>
      </w:pPr>
      <w:r w:rsidRPr="00B60C96">
        <w:rPr>
          <w:lang w:val="en-GB"/>
        </w:rPr>
        <w:t>3.</w:t>
      </w:r>
      <w:r>
        <w:rPr>
          <w:lang w:val="en-GB"/>
        </w:rPr>
        <w:t xml:space="preserve"> </w:t>
      </w:r>
      <w:r w:rsidR="009A2C36">
        <w:rPr>
          <w:lang w:val="en-GB"/>
        </w:rPr>
        <w:t xml:space="preserve">The guidelines specify that ‘members occupying key </w:t>
      </w:r>
      <w:proofErr w:type="gramStart"/>
      <w:r w:rsidR="00E57AF3">
        <w:rPr>
          <w:lang w:val="en-GB"/>
        </w:rPr>
        <w:t>roles’</w:t>
      </w:r>
      <w:proofErr w:type="gramEnd"/>
      <w:r w:rsidR="009A2C36">
        <w:rPr>
          <w:lang w:val="en-GB"/>
        </w:rPr>
        <w:t xml:space="preserve"> </w:t>
      </w:r>
      <w:r w:rsidR="00C25B74">
        <w:rPr>
          <w:lang w:val="en-GB"/>
        </w:rPr>
        <w:t>must receive appropriate training. We believe that this must apply to all members of staff</w:t>
      </w:r>
      <w:r w:rsidR="00416144">
        <w:rPr>
          <w:lang w:val="en-GB"/>
        </w:rPr>
        <w:t>, not only to an undefined set of key roles.</w:t>
      </w:r>
      <w:r w:rsidR="00ED4F56">
        <w:rPr>
          <w:lang w:val="en-GB"/>
        </w:rPr>
        <w:t xml:space="preserve"> This is also in contrast to the principle in </w:t>
      </w:r>
      <w:r w:rsidR="00EA45B2">
        <w:rPr>
          <w:lang w:val="en-GB"/>
        </w:rPr>
        <w:t>section 30 of chapter 4.4.1 where it is clearly stated that the information security policy sh</w:t>
      </w:r>
      <w:r w:rsidR="00101A37">
        <w:rPr>
          <w:lang w:val="en-GB"/>
        </w:rPr>
        <w:t>ould apply to all employees</w:t>
      </w:r>
      <w:r w:rsidR="001B1842">
        <w:rPr>
          <w:lang w:val="en-GB"/>
        </w:rPr>
        <w:t xml:space="preserve">, and </w:t>
      </w:r>
      <w:r w:rsidR="004512FF">
        <w:rPr>
          <w:lang w:val="en-GB"/>
        </w:rPr>
        <w:t>section 52 chapter 4.4.8 where training applies to all employees.</w:t>
      </w:r>
    </w:p>
    <w:p w14:paraId="326A0223" w14:textId="1C462C5D" w:rsidR="00416144" w:rsidRDefault="00237F52" w:rsidP="0035397D">
      <w:pPr>
        <w:rPr>
          <w:lang w:val="en-GB"/>
        </w:rPr>
      </w:pPr>
      <w:r>
        <w:rPr>
          <w:lang w:val="en-GB"/>
        </w:rPr>
        <w:t>Chapter 4.3.5 Reporting</w:t>
      </w:r>
    </w:p>
    <w:p w14:paraId="4B20BD4F" w14:textId="61B17987" w:rsidR="00237F52" w:rsidRDefault="00FE49DB" w:rsidP="0035397D">
      <w:pPr>
        <w:rPr>
          <w:lang w:val="en-GB"/>
        </w:rPr>
      </w:pPr>
      <w:r>
        <w:rPr>
          <w:lang w:val="en-GB"/>
        </w:rPr>
        <w:t>25. For many financial institutions the results of the individual r</w:t>
      </w:r>
      <w:r w:rsidR="00724AB0">
        <w:rPr>
          <w:lang w:val="en-GB"/>
        </w:rPr>
        <w:t>isk assessments may constitute information at a too detailed level</w:t>
      </w:r>
      <w:r w:rsidR="004E3E71">
        <w:rPr>
          <w:lang w:val="en-GB"/>
        </w:rPr>
        <w:t xml:space="preserve"> to be reported to the management body</w:t>
      </w:r>
      <w:r w:rsidR="00724AB0">
        <w:rPr>
          <w:lang w:val="en-GB"/>
        </w:rPr>
        <w:t>.</w:t>
      </w:r>
      <w:r w:rsidR="004E3E71">
        <w:rPr>
          <w:lang w:val="en-GB"/>
        </w:rPr>
        <w:t xml:space="preserve"> We propose that the </w:t>
      </w:r>
      <w:r w:rsidR="00FA2A4A">
        <w:rPr>
          <w:lang w:val="en-GB"/>
        </w:rPr>
        <w:t>management body only shall receive aggregated information about the total risk</w:t>
      </w:r>
      <w:r w:rsidR="00735785">
        <w:rPr>
          <w:lang w:val="en-GB"/>
        </w:rPr>
        <w:t xml:space="preserve"> ICT risk picture for the financial institution.</w:t>
      </w:r>
    </w:p>
    <w:p w14:paraId="709013EB" w14:textId="7338E776" w:rsidR="00735785" w:rsidRDefault="000C20F9" w:rsidP="0035397D">
      <w:pPr>
        <w:rPr>
          <w:lang w:val="en-GB"/>
        </w:rPr>
      </w:pPr>
      <w:r>
        <w:rPr>
          <w:lang w:val="en-GB"/>
        </w:rPr>
        <w:t>Chapter 4.4.2 Information security function</w:t>
      </w:r>
    </w:p>
    <w:p w14:paraId="691498DE" w14:textId="5D8CAE13" w:rsidR="000C20F9" w:rsidRDefault="004948A1" w:rsidP="0035397D">
      <w:pPr>
        <w:rPr>
          <w:lang w:val="en-GB"/>
        </w:rPr>
      </w:pPr>
      <w:r>
        <w:rPr>
          <w:lang w:val="en-GB"/>
        </w:rPr>
        <w:t xml:space="preserve">The guidelines </w:t>
      </w:r>
      <w:r w:rsidR="00E15152">
        <w:rPr>
          <w:lang w:val="en-GB"/>
        </w:rPr>
        <w:t>specify</w:t>
      </w:r>
      <w:r>
        <w:rPr>
          <w:lang w:val="en-GB"/>
        </w:rPr>
        <w:t xml:space="preserve"> that the financial institutions should </w:t>
      </w:r>
      <w:r w:rsidR="009F3663">
        <w:rPr>
          <w:lang w:val="en-GB"/>
        </w:rPr>
        <w:t xml:space="preserve">assign the responsibilities to a designated person at the second </w:t>
      </w:r>
      <w:r w:rsidR="00165775">
        <w:rPr>
          <w:lang w:val="en-GB"/>
        </w:rPr>
        <w:t>line of defence</w:t>
      </w:r>
      <w:r w:rsidR="00787380">
        <w:rPr>
          <w:lang w:val="en-GB"/>
        </w:rPr>
        <w:t>, i.e. in the control function</w:t>
      </w:r>
      <w:r w:rsidR="00165775">
        <w:rPr>
          <w:lang w:val="en-GB"/>
        </w:rPr>
        <w:t>.</w:t>
      </w:r>
      <w:r w:rsidR="003465D0">
        <w:rPr>
          <w:lang w:val="en-GB"/>
        </w:rPr>
        <w:t xml:space="preserve"> We believe that the control function should monitor and control the </w:t>
      </w:r>
      <w:r w:rsidR="00D67AAD">
        <w:rPr>
          <w:lang w:val="en-GB"/>
        </w:rPr>
        <w:t>information security function and hence that this person must be located independently of the control function.</w:t>
      </w:r>
    </w:p>
    <w:p w14:paraId="7F97803C" w14:textId="5009D847" w:rsidR="007E1D1A" w:rsidRDefault="007E1D1A" w:rsidP="0035397D">
      <w:pPr>
        <w:rPr>
          <w:lang w:val="en-GB"/>
        </w:rPr>
      </w:pPr>
      <w:r>
        <w:rPr>
          <w:lang w:val="en-GB"/>
        </w:rPr>
        <w:t>Chapter 4.4.5</w:t>
      </w:r>
      <w:r w:rsidR="007E7E09">
        <w:rPr>
          <w:lang w:val="en-GB"/>
        </w:rPr>
        <w:t xml:space="preserve"> ICT operations security</w:t>
      </w:r>
    </w:p>
    <w:p w14:paraId="3D415F65" w14:textId="3B68D789" w:rsidR="007E1D1A" w:rsidRDefault="007E1D1A" w:rsidP="0035397D">
      <w:pPr>
        <w:rPr>
          <w:lang w:val="en-GB"/>
        </w:rPr>
      </w:pPr>
      <w:r>
        <w:rPr>
          <w:lang w:val="en-GB"/>
        </w:rPr>
        <w:t xml:space="preserve">The chapter </w:t>
      </w:r>
      <w:r w:rsidR="007E7E09">
        <w:rPr>
          <w:lang w:val="en-GB"/>
        </w:rPr>
        <w:t xml:space="preserve">starts with an ambition to “identify potential vulnerabilities”, but then continues to describe a set of best practices for </w:t>
      </w:r>
      <w:r w:rsidR="00706134">
        <w:rPr>
          <w:lang w:val="en-GB"/>
        </w:rPr>
        <w:t>ICT security. There must be a clearer connection between the identification of the potential vulnerabilities and the</w:t>
      </w:r>
      <w:r w:rsidR="005D3C93">
        <w:rPr>
          <w:lang w:val="en-GB"/>
        </w:rPr>
        <w:t xml:space="preserve"> actions that must be taken </w:t>
      </w:r>
      <w:proofErr w:type="gramStart"/>
      <w:r w:rsidR="005D3C93">
        <w:rPr>
          <w:lang w:val="en-GB"/>
        </w:rPr>
        <w:t>as a consequence of</w:t>
      </w:r>
      <w:proofErr w:type="gramEnd"/>
      <w:r w:rsidR="005D3C93">
        <w:rPr>
          <w:lang w:val="en-GB"/>
        </w:rPr>
        <w:t xml:space="preserve"> the identification of the potential vulnerabilities.</w:t>
      </w:r>
    </w:p>
    <w:p w14:paraId="50C6C757" w14:textId="271632E2" w:rsidR="008D6DEA" w:rsidRDefault="001E6A13" w:rsidP="0035397D">
      <w:pPr>
        <w:rPr>
          <w:lang w:val="en-GB"/>
        </w:rPr>
      </w:pPr>
      <w:r>
        <w:rPr>
          <w:lang w:val="en-GB"/>
        </w:rPr>
        <w:t>Chapter 4.6.1 ICT project management</w:t>
      </w:r>
      <w:r w:rsidR="008D6DEA">
        <w:rPr>
          <w:lang w:val="en-GB"/>
        </w:rPr>
        <w:br/>
        <w:t>Chapter 4.6.2 ICT systems acquisition and development</w:t>
      </w:r>
    </w:p>
    <w:p w14:paraId="1450CD5C" w14:textId="4A609A0F" w:rsidR="00CE7CE0" w:rsidRDefault="00CE7CE0" w:rsidP="0035397D">
      <w:pPr>
        <w:rPr>
          <w:lang w:val="en-GB"/>
        </w:rPr>
      </w:pPr>
      <w:r>
        <w:rPr>
          <w:lang w:val="en-GB"/>
        </w:rPr>
        <w:t xml:space="preserve">Although we agree with the guidelines in this chapter, </w:t>
      </w:r>
      <w:r w:rsidR="000C3A0C">
        <w:rPr>
          <w:lang w:val="en-GB"/>
        </w:rPr>
        <w:t>we believe that they relate primarily to large development projects using the waterfall method. Most financial institutions</w:t>
      </w:r>
      <w:r>
        <w:rPr>
          <w:lang w:val="en-GB"/>
        </w:rPr>
        <w:t xml:space="preserve"> </w:t>
      </w:r>
      <w:r w:rsidR="00FB3626">
        <w:rPr>
          <w:lang w:val="en-GB"/>
        </w:rPr>
        <w:t xml:space="preserve">are using an agile project method, and hence these guidelines </w:t>
      </w:r>
      <w:r w:rsidR="002C5B38">
        <w:rPr>
          <w:lang w:val="en-GB"/>
        </w:rPr>
        <w:t>will increase the burden on project management</w:t>
      </w:r>
      <w:r w:rsidR="000C35EF">
        <w:rPr>
          <w:lang w:val="en-GB"/>
        </w:rPr>
        <w:t xml:space="preserve"> effectively reducing the speed of development. </w:t>
      </w:r>
      <w:r w:rsidR="00DD15A9">
        <w:rPr>
          <w:lang w:val="en-GB"/>
        </w:rPr>
        <w:t xml:space="preserve">The guidelines could benefit from a </w:t>
      </w:r>
      <w:r w:rsidR="00A3314F">
        <w:rPr>
          <w:lang w:val="en-GB"/>
        </w:rPr>
        <w:t xml:space="preserve">more outcome-oriented focus enabling the project management to deploy these principles without setting up a specific organisation and </w:t>
      </w:r>
      <w:r w:rsidR="0064562A">
        <w:rPr>
          <w:lang w:val="en-GB"/>
        </w:rPr>
        <w:t>following principles of waterfall project management.</w:t>
      </w:r>
    </w:p>
    <w:p w14:paraId="78C496F7" w14:textId="77777777" w:rsidR="002D5DEA" w:rsidRPr="0035397D" w:rsidRDefault="002D5DEA" w:rsidP="0035397D">
      <w:pPr>
        <w:rPr>
          <w:lang w:val="en-GB"/>
        </w:rPr>
      </w:pPr>
    </w:p>
    <w:sectPr w:rsidR="002D5DEA" w:rsidRPr="0035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2256"/>
    <w:multiLevelType w:val="hybridMultilevel"/>
    <w:tmpl w:val="EF726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1738"/>
    <w:multiLevelType w:val="hybridMultilevel"/>
    <w:tmpl w:val="08228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13"/>
    <w:rsid w:val="000C20F9"/>
    <w:rsid w:val="000C35EF"/>
    <w:rsid w:val="000C3A0C"/>
    <w:rsid w:val="00101A37"/>
    <w:rsid w:val="00107913"/>
    <w:rsid w:val="00165775"/>
    <w:rsid w:val="001B1842"/>
    <w:rsid w:val="001E6A13"/>
    <w:rsid w:val="0023404E"/>
    <w:rsid w:val="00237F52"/>
    <w:rsid w:val="00282683"/>
    <w:rsid w:val="002C5B38"/>
    <w:rsid w:val="002D5DEA"/>
    <w:rsid w:val="00324430"/>
    <w:rsid w:val="003465D0"/>
    <w:rsid w:val="0035397D"/>
    <w:rsid w:val="003716E7"/>
    <w:rsid w:val="003C5A24"/>
    <w:rsid w:val="003E0197"/>
    <w:rsid w:val="00416144"/>
    <w:rsid w:val="00423524"/>
    <w:rsid w:val="004512FF"/>
    <w:rsid w:val="00455AE2"/>
    <w:rsid w:val="004948A1"/>
    <w:rsid w:val="004E3E71"/>
    <w:rsid w:val="00595230"/>
    <w:rsid w:val="005A1BA1"/>
    <w:rsid w:val="005D3C93"/>
    <w:rsid w:val="005E7813"/>
    <w:rsid w:val="0064562A"/>
    <w:rsid w:val="0067411D"/>
    <w:rsid w:val="00706134"/>
    <w:rsid w:val="00724AB0"/>
    <w:rsid w:val="00735785"/>
    <w:rsid w:val="0074734B"/>
    <w:rsid w:val="00787380"/>
    <w:rsid w:val="007972BB"/>
    <w:rsid w:val="007E1D1A"/>
    <w:rsid w:val="007E59A4"/>
    <w:rsid w:val="007E7E09"/>
    <w:rsid w:val="0083713C"/>
    <w:rsid w:val="008B6371"/>
    <w:rsid w:val="008D6DEA"/>
    <w:rsid w:val="009132B3"/>
    <w:rsid w:val="00941D6F"/>
    <w:rsid w:val="009564DC"/>
    <w:rsid w:val="009A2C36"/>
    <w:rsid w:val="009F3663"/>
    <w:rsid w:val="00A042A3"/>
    <w:rsid w:val="00A3314F"/>
    <w:rsid w:val="00A96A88"/>
    <w:rsid w:val="00B111A0"/>
    <w:rsid w:val="00B60C96"/>
    <w:rsid w:val="00B621AD"/>
    <w:rsid w:val="00BA3C2B"/>
    <w:rsid w:val="00BF3C9A"/>
    <w:rsid w:val="00C25B74"/>
    <w:rsid w:val="00C374F2"/>
    <w:rsid w:val="00CD7BE4"/>
    <w:rsid w:val="00CE7CE0"/>
    <w:rsid w:val="00D11348"/>
    <w:rsid w:val="00D67AAD"/>
    <w:rsid w:val="00DD15A9"/>
    <w:rsid w:val="00E15152"/>
    <w:rsid w:val="00E57AF3"/>
    <w:rsid w:val="00EA45B2"/>
    <w:rsid w:val="00ED4F56"/>
    <w:rsid w:val="00FA2A4A"/>
    <w:rsid w:val="00FB3626"/>
    <w:rsid w:val="00FC404B"/>
    <w:rsid w:val="00FE49DB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F4CD"/>
  <w15:chartTrackingRefBased/>
  <w15:docId w15:val="{C02C8EA7-DA25-40E1-BE10-F1184B2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1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94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F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Brynjel Johnsen</dc:creator>
  <cp:keywords/>
  <dc:description/>
  <cp:lastModifiedBy>Brynjel Johnsen</cp:lastModifiedBy>
  <cp:revision>69</cp:revision>
  <dcterms:created xsi:type="dcterms:W3CDTF">2018-06-29T06:01:00Z</dcterms:created>
  <dcterms:modified xsi:type="dcterms:W3CDTF">2019-03-13T14:27:00Z</dcterms:modified>
</cp:coreProperties>
</file>