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5102"/>
        <w:gridCol w:w="4649"/>
      </w:tblGrid>
      <w:tr w:rsidR="00642235" w:rsidRPr="008E0154" w:rsidTr="0017413A">
        <w:trPr>
          <w:trHeight w:hRule="exact" w:val="3261"/>
        </w:trPr>
        <w:tc>
          <w:tcPr>
            <w:tcW w:w="5102" w:type="dxa"/>
          </w:tcPr>
          <w:p w:rsidR="00B51CB0" w:rsidRPr="00011DC9" w:rsidRDefault="00650AE5" w:rsidP="00CE5D6F">
            <w:pPr>
              <w:rPr>
                <w:b/>
              </w:rPr>
            </w:pPr>
            <w:r w:rsidRPr="00011DC9">
              <w:rPr>
                <w:b/>
                <w:lang w:val="fi-FI"/>
              </w:rPr>
              <w:br/>
            </w:r>
          </w:p>
          <w:p w:rsidR="00B51CB0" w:rsidRDefault="008E0154" w:rsidP="00CE5D6F">
            <w:pPr>
              <w:rPr>
                <w:lang w:val="fi-FI"/>
              </w:rPr>
            </w:pPr>
            <w:r>
              <w:rPr>
                <w:lang w:val="fi-FI"/>
              </w:rPr>
              <w:t>European Banking Authority (EBA)</w:t>
            </w:r>
          </w:p>
          <w:p w:rsidR="00CB2954" w:rsidRPr="00B22761" w:rsidRDefault="00CB2954" w:rsidP="00CE5D6F">
            <w:pPr>
              <w:rPr>
                <w:sz w:val="52"/>
                <w:szCs w:val="52"/>
                <w:lang w:val="fi-FI"/>
              </w:rPr>
            </w:pPr>
          </w:p>
        </w:tc>
        <w:tc>
          <w:tcPr>
            <w:tcW w:w="4649" w:type="dxa"/>
          </w:tcPr>
          <w:p w:rsidR="00642235" w:rsidRPr="00D364F4" w:rsidRDefault="00642235" w:rsidP="00CE5D6F">
            <w:pPr>
              <w:spacing w:line="220" w:lineRule="atLeast"/>
              <w:jc w:val="right"/>
              <w:rPr>
                <w:b/>
                <w:bCs/>
                <w:color w:val="000000"/>
                <w:sz w:val="6"/>
                <w:szCs w:val="6"/>
                <w:lang w:val="fi-FI"/>
              </w:rPr>
            </w:pPr>
          </w:p>
          <w:p w:rsidR="00642235" w:rsidRPr="00D364F4" w:rsidRDefault="00642235" w:rsidP="00CE5D6F">
            <w:pPr>
              <w:spacing w:line="220" w:lineRule="atLeast"/>
              <w:jc w:val="right"/>
              <w:rPr>
                <w:b/>
                <w:bCs/>
                <w:color w:val="000000"/>
                <w:sz w:val="6"/>
                <w:szCs w:val="6"/>
                <w:lang w:val="fi-FI"/>
              </w:rPr>
            </w:pPr>
          </w:p>
          <w:p w:rsidR="00642235" w:rsidRPr="00D364F4" w:rsidRDefault="00642235" w:rsidP="00CE5D6F">
            <w:pPr>
              <w:spacing w:line="220" w:lineRule="atLeast"/>
              <w:jc w:val="right"/>
              <w:rPr>
                <w:b/>
                <w:bCs/>
                <w:color w:val="000000"/>
                <w:sz w:val="6"/>
                <w:szCs w:val="6"/>
                <w:lang w:val="fi-FI"/>
              </w:rPr>
            </w:pPr>
          </w:p>
          <w:p w:rsidR="00642235" w:rsidRPr="00D364F4" w:rsidRDefault="00642235" w:rsidP="00CE5D6F">
            <w:pPr>
              <w:spacing w:line="260" w:lineRule="atLeast"/>
              <w:jc w:val="right"/>
              <w:rPr>
                <w:b/>
                <w:bCs/>
                <w:noProof/>
                <w:color w:val="000000"/>
                <w:sz w:val="18"/>
                <w:szCs w:val="18"/>
                <w:lang w:val="en-GB"/>
              </w:rPr>
            </w:pPr>
            <w:r w:rsidRPr="00B55633">
              <w:rPr>
                <w:b/>
                <w:bCs/>
                <w:noProof/>
                <w:color w:val="000000"/>
                <w:sz w:val="18"/>
                <w:szCs w:val="18"/>
                <w:lang w:val="fi-FI"/>
              </w:rPr>
              <w:t xml:space="preserve"> </w:t>
            </w:r>
            <w:r w:rsidRPr="00D364F4">
              <w:rPr>
                <w:b/>
                <w:bCs/>
                <w:noProof/>
                <w:color w:val="000000"/>
                <w:sz w:val="18"/>
                <w:szCs w:val="18"/>
                <w:lang w:val="en-GB"/>
              </w:rPr>
              <w:t>Division Bank and Insurance</w:t>
            </w:r>
          </w:p>
          <w:p w:rsidR="00C47B46" w:rsidRPr="00D364F4" w:rsidRDefault="00C47B46" w:rsidP="00CE5D6F">
            <w:pPr>
              <w:spacing w:line="260" w:lineRule="atLeast"/>
              <w:jc w:val="right"/>
              <w:rPr>
                <w:bCs/>
                <w:color w:val="000000"/>
                <w:sz w:val="18"/>
                <w:szCs w:val="18"/>
                <w:lang w:val="en-GB"/>
              </w:rPr>
            </w:pPr>
            <w:r w:rsidRPr="00D364F4">
              <w:rPr>
                <w:bCs/>
                <w:noProof/>
                <w:color w:val="000000"/>
                <w:sz w:val="18"/>
                <w:szCs w:val="18"/>
                <w:lang w:val="en-GB"/>
              </w:rPr>
              <w:t>Austrian Federal Economic Chamber</w:t>
            </w:r>
          </w:p>
          <w:p w:rsidR="00642235" w:rsidRPr="00CE5D6F" w:rsidRDefault="00642235" w:rsidP="00CE5D6F">
            <w:pPr>
              <w:spacing w:line="260" w:lineRule="atLeast"/>
              <w:jc w:val="right"/>
              <w:rPr>
                <w:color w:val="000000"/>
                <w:sz w:val="18"/>
                <w:szCs w:val="18"/>
                <w:lang w:val="de-AT"/>
              </w:rPr>
            </w:pPr>
            <w:r w:rsidRPr="00CE5D6F">
              <w:rPr>
                <w:noProof/>
                <w:color w:val="000000"/>
                <w:sz w:val="18"/>
                <w:szCs w:val="18"/>
                <w:lang w:val="de-AT"/>
              </w:rPr>
              <w:t>Wiedner Hauptstraße 63 | P.O. Box 320</w:t>
            </w:r>
          </w:p>
          <w:p w:rsidR="00642235" w:rsidRPr="00CE5D6F" w:rsidRDefault="00642235" w:rsidP="00CE5D6F">
            <w:pPr>
              <w:spacing w:line="260" w:lineRule="atLeast"/>
              <w:jc w:val="right"/>
              <w:rPr>
                <w:color w:val="000000"/>
                <w:sz w:val="18"/>
                <w:szCs w:val="18"/>
                <w:lang w:val="de-AT"/>
              </w:rPr>
            </w:pPr>
            <w:r w:rsidRPr="00CE5D6F">
              <w:rPr>
                <w:noProof/>
                <w:color w:val="000000"/>
                <w:sz w:val="18"/>
                <w:szCs w:val="18"/>
                <w:lang w:val="de-AT"/>
              </w:rPr>
              <w:t>1045 Vienna</w:t>
            </w:r>
          </w:p>
          <w:p w:rsidR="00642235" w:rsidRPr="00D364F4" w:rsidRDefault="00642235" w:rsidP="00CE5D6F">
            <w:pPr>
              <w:spacing w:line="260" w:lineRule="atLeast"/>
              <w:jc w:val="right"/>
              <w:rPr>
                <w:color w:val="000000"/>
                <w:sz w:val="18"/>
                <w:szCs w:val="18"/>
              </w:rPr>
            </w:pPr>
            <w:r w:rsidRPr="00B51CB0">
              <w:rPr>
                <w:noProof/>
                <w:color w:val="000000"/>
                <w:sz w:val="18"/>
                <w:szCs w:val="18"/>
                <w:lang w:val="de-AT"/>
              </w:rPr>
              <w:t>T +43 (0)5 90 900-DW | F +43 (0)5 90 900-27</w:t>
            </w:r>
            <w:r w:rsidRPr="00D364F4">
              <w:rPr>
                <w:noProof/>
                <w:color w:val="000000"/>
                <w:sz w:val="18"/>
                <w:szCs w:val="18"/>
              </w:rPr>
              <w:t>2</w:t>
            </w:r>
          </w:p>
          <w:p w:rsidR="00642235" w:rsidRPr="00D364F4" w:rsidRDefault="00642235" w:rsidP="00CE5D6F">
            <w:pPr>
              <w:spacing w:line="260" w:lineRule="atLeast"/>
              <w:jc w:val="right"/>
              <w:rPr>
                <w:color w:val="000000"/>
                <w:sz w:val="18"/>
                <w:szCs w:val="18"/>
              </w:rPr>
            </w:pPr>
            <w:r w:rsidRPr="00D364F4">
              <w:rPr>
                <w:noProof/>
                <w:color w:val="000000"/>
                <w:sz w:val="18"/>
                <w:szCs w:val="18"/>
              </w:rPr>
              <w:t>E  bsbv@wko.at</w:t>
            </w:r>
          </w:p>
          <w:p w:rsidR="00642235" w:rsidRPr="00D364F4" w:rsidRDefault="00642235" w:rsidP="00CE5D6F">
            <w:pPr>
              <w:spacing w:line="260" w:lineRule="atLeast"/>
              <w:jc w:val="right"/>
              <w:rPr>
                <w:lang w:val="en-GB"/>
              </w:rPr>
            </w:pPr>
            <w:r w:rsidRPr="00D364F4">
              <w:rPr>
                <w:noProof/>
                <w:color w:val="000000"/>
                <w:sz w:val="18"/>
                <w:szCs w:val="18"/>
                <w:lang w:val="en-GB"/>
              </w:rPr>
              <w:t>W  http://wko.at/bsbv</w:t>
            </w:r>
          </w:p>
        </w:tc>
      </w:tr>
    </w:tbl>
    <w:p w:rsidR="00642235" w:rsidRPr="00C21BF0" w:rsidRDefault="00642235" w:rsidP="00CE5D6F">
      <w:pPr>
        <w:tabs>
          <w:tab w:val="left" w:pos="2892"/>
          <w:tab w:val="left" w:pos="5783"/>
          <w:tab w:val="left" w:pos="7655"/>
        </w:tabs>
        <w:rPr>
          <w:color w:val="000000"/>
          <w:sz w:val="16"/>
          <w:szCs w:val="16"/>
          <w:lang w:val="en-GB"/>
        </w:rPr>
      </w:pPr>
      <w:r w:rsidRPr="00C21BF0">
        <w:rPr>
          <w:noProof/>
          <w:color w:val="000000"/>
          <w:sz w:val="16"/>
          <w:szCs w:val="16"/>
          <w:lang w:val="en-GB"/>
        </w:rPr>
        <w:t>Your ref., Your message of</w:t>
      </w:r>
      <w:r w:rsidRPr="00C21BF0">
        <w:rPr>
          <w:color w:val="000000"/>
          <w:sz w:val="16"/>
          <w:szCs w:val="16"/>
          <w:lang w:val="en-GB"/>
        </w:rPr>
        <w:tab/>
      </w:r>
      <w:r w:rsidRPr="00C21BF0">
        <w:rPr>
          <w:noProof/>
          <w:color w:val="000000"/>
          <w:sz w:val="16"/>
          <w:szCs w:val="16"/>
          <w:lang w:val="en-GB"/>
        </w:rPr>
        <w:t>Our ref., person in charge</w:t>
      </w:r>
      <w:r w:rsidRPr="00C21BF0">
        <w:rPr>
          <w:color w:val="000000"/>
          <w:sz w:val="16"/>
          <w:szCs w:val="16"/>
          <w:lang w:val="en-GB"/>
        </w:rPr>
        <w:tab/>
      </w:r>
      <w:r w:rsidRPr="00C21BF0">
        <w:rPr>
          <w:noProof/>
          <w:color w:val="000000"/>
          <w:sz w:val="16"/>
          <w:szCs w:val="16"/>
          <w:lang w:val="en-GB"/>
        </w:rPr>
        <w:t>Extension</w:t>
      </w:r>
      <w:r w:rsidRPr="00C21BF0">
        <w:rPr>
          <w:color w:val="000000"/>
          <w:sz w:val="16"/>
          <w:szCs w:val="16"/>
          <w:lang w:val="en-GB"/>
        </w:rPr>
        <w:tab/>
      </w:r>
      <w:r w:rsidRPr="00C21BF0">
        <w:rPr>
          <w:noProof/>
          <w:color w:val="000000"/>
          <w:sz w:val="16"/>
          <w:szCs w:val="16"/>
          <w:lang w:val="en-GB"/>
        </w:rPr>
        <w:t>Date</w:t>
      </w:r>
    </w:p>
    <w:p w:rsidR="00642235" w:rsidRPr="00DC0A36" w:rsidRDefault="00642235" w:rsidP="00CE5D6F">
      <w:pPr>
        <w:tabs>
          <w:tab w:val="left" w:pos="2892"/>
          <w:tab w:val="left" w:pos="5783"/>
          <w:tab w:val="left" w:pos="7655"/>
        </w:tabs>
        <w:rPr>
          <w:color w:val="000000"/>
          <w:lang w:val="en-GB"/>
        </w:rPr>
      </w:pPr>
      <w:r w:rsidRPr="00C21BF0">
        <w:rPr>
          <w:color w:val="000000"/>
          <w:lang w:val="en-GB"/>
        </w:rPr>
        <w:tab/>
      </w:r>
      <w:r w:rsidRPr="00DC0A36">
        <w:rPr>
          <w:noProof/>
          <w:color w:val="000000"/>
          <w:lang w:val="en-GB"/>
        </w:rPr>
        <w:t>BSBV</w:t>
      </w:r>
      <w:r w:rsidR="00CE5D6F">
        <w:rPr>
          <w:noProof/>
          <w:color w:val="000000"/>
          <w:lang w:val="en-GB"/>
        </w:rPr>
        <w:t xml:space="preserve"> </w:t>
      </w:r>
      <w:r w:rsidR="00D161B5">
        <w:rPr>
          <w:noProof/>
          <w:color w:val="000000"/>
          <w:lang w:val="en-GB"/>
        </w:rPr>
        <w:t>115</w:t>
      </w:r>
      <w:r w:rsidR="00641DC4" w:rsidRPr="00DC0A36">
        <w:rPr>
          <w:noProof/>
          <w:color w:val="000000"/>
          <w:lang w:val="en-GB"/>
        </w:rPr>
        <w:t>/</w:t>
      </w:r>
      <w:r w:rsidR="00D20260">
        <w:rPr>
          <w:noProof/>
          <w:color w:val="000000"/>
          <w:lang w:val="en-GB"/>
        </w:rPr>
        <w:t>Dr. Egger</w:t>
      </w:r>
      <w:r w:rsidR="00641DC4" w:rsidRPr="00DC0A36">
        <w:rPr>
          <w:noProof/>
          <w:color w:val="000000"/>
          <w:lang w:val="en-GB"/>
        </w:rPr>
        <w:tab/>
        <w:t>31</w:t>
      </w:r>
      <w:r w:rsidR="00D20260">
        <w:rPr>
          <w:noProof/>
          <w:color w:val="000000"/>
          <w:lang w:val="en-GB"/>
        </w:rPr>
        <w:t>37</w:t>
      </w:r>
      <w:r w:rsidRPr="00DC0A36">
        <w:rPr>
          <w:color w:val="000000"/>
          <w:lang w:val="en-GB"/>
        </w:rPr>
        <w:tab/>
      </w:r>
      <w:r w:rsidR="00D20260">
        <w:rPr>
          <w:color w:val="000000"/>
          <w:lang w:val="en-GB"/>
        </w:rPr>
        <w:t>25 October 2016</w:t>
      </w:r>
    </w:p>
    <w:p w:rsidR="00E754C8" w:rsidRDefault="00E754C8" w:rsidP="00CE5D6F">
      <w:pPr>
        <w:rPr>
          <w:color w:val="000000"/>
          <w:sz w:val="24"/>
          <w:szCs w:val="24"/>
          <w:lang w:val="en-GB"/>
        </w:rPr>
      </w:pPr>
    </w:p>
    <w:p w:rsidR="00A82C13" w:rsidRPr="00DC0A36" w:rsidRDefault="00A82C13" w:rsidP="00CE5D6F">
      <w:pPr>
        <w:rPr>
          <w:color w:val="000000"/>
          <w:sz w:val="24"/>
          <w:szCs w:val="24"/>
          <w:lang w:val="en-GB"/>
        </w:rPr>
      </w:pPr>
    </w:p>
    <w:p w:rsidR="00D161B5" w:rsidRPr="00D161B5" w:rsidRDefault="00D161B5" w:rsidP="00D161B5">
      <w:pPr>
        <w:pStyle w:val="Default"/>
        <w:rPr>
          <w:rFonts w:ascii="Trebuchet MS" w:hAnsi="Trebuchet MS"/>
          <w:b/>
          <w:lang w:val="en-US"/>
        </w:rPr>
      </w:pPr>
      <w:r w:rsidRPr="00D161B5">
        <w:rPr>
          <w:rFonts w:ascii="Trebuchet MS" w:hAnsi="Trebuchet MS"/>
          <w:b/>
          <w:lang w:val="en-US"/>
        </w:rPr>
        <w:t>EBA</w:t>
      </w:r>
      <w:r w:rsidR="005B2525" w:rsidRPr="00D161B5">
        <w:rPr>
          <w:rFonts w:ascii="Trebuchet MS" w:hAnsi="Trebuchet MS"/>
          <w:b/>
          <w:lang w:val="en-US"/>
        </w:rPr>
        <w:t xml:space="preserve"> Consultation </w:t>
      </w:r>
      <w:r>
        <w:rPr>
          <w:rFonts w:ascii="Trebuchet MS" w:hAnsi="Trebuchet MS"/>
          <w:b/>
          <w:lang w:val="en-US"/>
        </w:rPr>
        <w:t xml:space="preserve">on </w:t>
      </w:r>
      <w:r w:rsidRPr="00D161B5">
        <w:rPr>
          <w:rFonts w:ascii="Trebuchet MS" w:hAnsi="Trebuchet MS"/>
          <w:b/>
          <w:lang w:val="en-US"/>
        </w:rPr>
        <w:t xml:space="preserve">Draft Guidelines on </w:t>
      </w:r>
      <w:r w:rsidR="000E0A0D">
        <w:rPr>
          <w:rFonts w:ascii="Trebuchet MS" w:hAnsi="Trebuchet MS"/>
          <w:b/>
          <w:lang w:val="en-US"/>
        </w:rPr>
        <w:t xml:space="preserve">the treatment of connected clients for large exposures </w:t>
      </w:r>
    </w:p>
    <w:p w:rsidR="00B22761" w:rsidRPr="00D161B5" w:rsidRDefault="00B22761" w:rsidP="00CE5D6F">
      <w:pPr>
        <w:rPr>
          <w:lang w:val="en-GB"/>
        </w:rPr>
      </w:pPr>
    </w:p>
    <w:p w:rsidR="00DC0A36" w:rsidRDefault="00DC0A36" w:rsidP="00C11030">
      <w:pPr>
        <w:spacing w:line="240" w:lineRule="auto"/>
        <w:rPr>
          <w:rFonts w:cs="Arial"/>
          <w:color w:val="000000"/>
          <w:lang w:val="en-GB" w:eastAsia="en-US"/>
        </w:rPr>
      </w:pPr>
      <w:r w:rsidRPr="00DC0A36">
        <w:rPr>
          <w:lang w:val="en-GB"/>
        </w:rPr>
        <w:t xml:space="preserve">The Division Bank and Insurance of the Austrian Federal Economic </w:t>
      </w:r>
      <w:proofErr w:type="gramStart"/>
      <w:r w:rsidRPr="00DC0A36">
        <w:rPr>
          <w:lang w:val="en-GB"/>
        </w:rPr>
        <w:t>Chamber,</w:t>
      </w:r>
      <w:proofErr w:type="gramEnd"/>
      <w:r w:rsidRPr="00DC0A36">
        <w:rPr>
          <w:lang w:val="en-GB"/>
        </w:rPr>
        <w:t xml:space="preserve"> as representative of the entire Austrian banking industry, appreciates the possibility to</w:t>
      </w:r>
      <w:r w:rsidR="00B467F0" w:rsidRPr="00487A00">
        <w:rPr>
          <w:rFonts w:cs="Arial"/>
          <w:color w:val="000000"/>
          <w:lang w:val="en-GB" w:eastAsia="en-US"/>
        </w:rPr>
        <w:t xml:space="preserve"> comment on </w:t>
      </w:r>
      <w:r w:rsidR="00B467F0">
        <w:rPr>
          <w:rFonts w:cs="Arial"/>
          <w:color w:val="000000"/>
          <w:lang w:val="en-GB" w:eastAsia="en-US"/>
        </w:rPr>
        <w:t xml:space="preserve">the above cited </w:t>
      </w:r>
      <w:r w:rsidR="00CE5D6F">
        <w:rPr>
          <w:rFonts w:cs="Arial"/>
          <w:color w:val="000000"/>
          <w:lang w:val="en-GB" w:eastAsia="en-US"/>
        </w:rPr>
        <w:t xml:space="preserve">consultation </w:t>
      </w:r>
      <w:r w:rsidR="005B2525">
        <w:rPr>
          <w:rFonts w:cs="Arial"/>
          <w:color w:val="000000"/>
          <w:lang w:val="en-GB" w:eastAsia="en-US"/>
        </w:rPr>
        <w:t>document</w:t>
      </w:r>
      <w:r w:rsidR="00B467F0">
        <w:rPr>
          <w:rFonts w:cs="Arial"/>
          <w:color w:val="000000"/>
          <w:lang w:val="en-GB" w:eastAsia="en-US"/>
        </w:rPr>
        <w:t xml:space="preserve"> </w:t>
      </w:r>
      <w:r w:rsidR="00B467F0" w:rsidRPr="00487A00">
        <w:rPr>
          <w:rFonts w:cs="Arial"/>
          <w:color w:val="000000"/>
          <w:lang w:val="en-GB" w:eastAsia="en-US"/>
        </w:rPr>
        <w:t>and would like to submit the following position:</w:t>
      </w:r>
    </w:p>
    <w:p w:rsidR="003C35DC" w:rsidRDefault="003C35DC" w:rsidP="00CE5D6F">
      <w:pPr>
        <w:rPr>
          <w:lang w:val="en-GB"/>
        </w:rPr>
      </w:pPr>
    </w:p>
    <w:p w:rsidR="00452A16" w:rsidRPr="0094444B" w:rsidRDefault="005808AD" w:rsidP="0094444B">
      <w:pPr>
        <w:rPr>
          <w:b/>
          <w:lang w:val="en-GB"/>
        </w:rPr>
      </w:pPr>
      <w:r w:rsidRPr="005808AD">
        <w:rPr>
          <w:b/>
          <w:lang w:val="en-GB"/>
        </w:rPr>
        <w:t>General comments</w:t>
      </w:r>
    </w:p>
    <w:p w:rsidR="00847491" w:rsidRPr="0094444B" w:rsidRDefault="00452A16" w:rsidP="0094444B">
      <w:pPr>
        <w:pStyle w:val="Default"/>
        <w:tabs>
          <w:tab w:val="left" w:pos="991"/>
        </w:tabs>
        <w:spacing w:after="120"/>
        <w:rPr>
          <w:rFonts w:ascii="Trebuchet MS" w:eastAsia="Times New Roman" w:hAnsi="Trebuchet MS" w:cs="Trebuchet MS"/>
          <w:snapToGrid w:val="0"/>
          <w:color w:val="auto"/>
          <w:sz w:val="22"/>
          <w:szCs w:val="22"/>
          <w:lang w:val="en-GB" w:eastAsia="de-AT"/>
        </w:rPr>
      </w:pPr>
      <w:r w:rsidRPr="0094444B">
        <w:rPr>
          <w:rFonts w:ascii="Trebuchet MS" w:eastAsia="Times New Roman" w:hAnsi="Trebuchet MS" w:cs="Trebuchet MS"/>
          <w:snapToGrid w:val="0"/>
          <w:color w:val="auto"/>
          <w:sz w:val="22"/>
          <w:szCs w:val="22"/>
          <w:lang w:val="en-GB" w:eastAsia="de-AT"/>
        </w:rPr>
        <w:t xml:space="preserve">The new definition of economic dependency will lead to substantial changes and particularly to expansions regarding the classification of </w:t>
      </w:r>
      <w:r w:rsidR="0094444B">
        <w:rPr>
          <w:rFonts w:ascii="Trebuchet MS" w:eastAsia="Times New Roman" w:hAnsi="Trebuchet MS" w:cs="Trebuchet MS"/>
          <w:snapToGrid w:val="0"/>
          <w:color w:val="auto"/>
          <w:sz w:val="22"/>
          <w:szCs w:val="22"/>
          <w:lang w:val="en-GB" w:eastAsia="de-AT"/>
        </w:rPr>
        <w:t xml:space="preserve">a </w:t>
      </w:r>
      <w:r w:rsidRPr="0094444B">
        <w:rPr>
          <w:rFonts w:ascii="Trebuchet MS" w:eastAsia="Times New Roman" w:hAnsi="Trebuchet MS" w:cs="Trebuchet MS"/>
          <w:snapToGrid w:val="0"/>
          <w:color w:val="auto"/>
          <w:sz w:val="22"/>
          <w:szCs w:val="22"/>
          <w:lang w:val="en-GB" w:eastAsia="de-AT"/>
        </w:rPr>
        <w:t xml:space="preserve">group of connected clients within institutions. </w:t>
      </w:r>
    </w:p>
    <w:p w:rsidR="00847491" w:rsidRPr="0094444B" w:rsidRDefault="00847491" w:rsidP="0094444B">
      <w:pPr>
        <w:pStyle w:val="Default"/>
        <w:tabs>
          <w:tab w:val="left" w:pos="991"/>
        </w:tabs>
        <w:spacing w:after="120"/>
        <w:rPr>
          <w:rFonts w:ascii="Trebuchet MS" w:eastAsia="Times New Roman" w:hAnsi="Trebuchet MS" w:cs="Trebuchet MS"/>
          <w:snapToGrid w:val="0"/>
          <w:color w:val="auto"/>
          <w:sz w:val="22"/>
          <w:szCs w:val="22"/>
          <w:lang w:val="en-GB" w:eastAsia="de-AT"/>
        </w:rPr>
      </w:pPr>
      <w:r w:rsidRPr="0094444B">
        <w:rPr>
          <w:rFonts w:ascii="Trebuchet MS" w:eastAsia="Times New Roman" w:hAnsi="Trebuchet MS" w:cs="Trebuchet MS"/>
          <w:snapToGrid w:val="0"/>
          <w:color w:val="auto"/>
          <w:sz w:val="22"/>
          <w:szCs w:val="22"/>
          <w:lang w:val="en-GB" w:eastAsia="de-AT"/>
        </w:rPr>
        <w:t>Clear instructions and definitions which are operationally manageable are needed. A broader application of the economic dependency criterion would involve a significant operational and IT effort by banks which will have to adjust and change substantially their procedures (collection of information, definition of new rules, interconnection with other areas that use the concept of connected clients, validation, etc.) and IT systems. Since information on suppliers or other counterparts that are dependent on the large corporate is often not made public, economic interdependence is most often revealed by evaluating the credit risk of the supplier or dependent party itself. A proper identification process therefore can only be bottom up, which makes it operationally complex. Further, any form of economic dependence that a supplier has to one single client will be reflected in its internal rating and form an integral part of the admission policies. It should suffice to have auditable principles or policies for monitoring economic interdependencies, instead of requiring banks to monitor and report exposures that are perhaps not even material.</w:t>
      </w:r>
    </w:p>
    <w:p w:rsidR="00847491" w:rsidRPr="0094444B" w:rsidRDefault="00847491" w:rsidP="0094444B">
      <w:pPr>
        <w:pStyle w:val="Default"/>
        <w:tabs>
          <w:tab w:val="left" w:pos="991"/>
        </w:tabs>
        <w:spacing w:after="120"/>
        <w:rPr>
          <w:rFonts w:ascii="Trebuchet MS" w:eastAsia="Times New Roman" w:hAnsi="Trebuchet MS" w:cs="Trebuchet MS"/>
          <w:snapToGrid w:val="0"/>
          <w:color w:val="auto"/>
          <w:sz w:val="22"/>
          <w:szCs w:val="22"/>
          <w:lang w:val="en-GB" w:eastAsia="de-AT"/>
        </w:rPr>
      </w:pPr>
      <w:r w:rsidRPr="0094444B">
        <w:rPr>
          <w:rFonts w:ascii="Trebuchet MS" w:eastAsia="Times New Roman" w:hAnsi="Trebuchet MS" w:cs="Trebuchet MS"/>
          <w:snapToGrid w:val="0"/>
          <w:color w:val="auto"/>
          <w:sz w:val="22"/>
          <w:szCs w:val="22"/>
          <w:lang w:val="en-GB" w:eastAsia="de-AT"/>
        </w:rPr>
        <w:t xml:space="preserve">When assessing interconnectedness based on control relationship and/or economic dependency, actual substantiality and material impact on credit risk in the individual case is to be considered. </w:t>
      </w:r>
    </w:p>
    <w:p w:rsidR="00452A16" w:rsidRPr="0094444B" w:rsidRDefault="00452A16" w:rsidP="0094444B">
      <w:pPr>
        <w:pStyle w:val="Default"/>
        <w:tabs>
          <w:tab w:val="left" w:pos="991"/>
        </w:tabs>
        <w:spacing w:after="120"/>
        <w:rPr>
          <w:rFonts w:ascii="Trebuchet MS" w:eastAsia="Times New Roman" w:hAnsi="Trebuchet MS" w:cs="Trebuchet MS"/>
          <w:snapToGrid w:val="0"/>
          <w:color w:val="auto"/>
          <w:sz w:val="22"/>
          <w:szCs w:val="22"/>
          <w:lang w:val="en-GB" w:eastAsia="de-AT"/>
        </w:rPr>
      </w:pPr>
      <w:r w:rsidRPr="0094444B">
        <w:rPr>
          <w:rFonts w:ascii="Trebuchet MS" w:eastAsia="Times New Roman" w:hAnsi="Trebuchet MS" w:cs="Trebuchet MS"/>
          <w:snapToGrid w:val="0"/>
          <w:color w:val="auto"/>
          <w:sz w:val="22"/>
          <w:szCs w:val="22"/>
          <w:lang w:val="en-GB" w:eastAsia="de-AT"/>
        </w:rPr>
        <w:t>The requirements related to control and management procedures are very extensive and have to be set up which means not only high costs for institutions regarding the implementation, administration and monitoring but also a certain amount of time. To fulfill these requirements a close monitoring of almost all clients including their interconnectedness would be needed. It would be useful if the guideline would be more precise regarding the establishment of control and management procedures (Chapter 3.5). In any case it would be important and necessary to foresee a transitional period since the proposed concept means an extensive enlargement compared to the existing CEBS guideline.</w:t>
      </w:r>
    </w:p>
    <w:p w:rsidR="00452A16" w:rsidRPr="0094444B" w:rsidRDefault="00452A16" w:rsidP="0094444B">
      <w:pPr>
        <w:pStyle w:val="Default"/>
        <w:tabs>
          <w:tab w:val="left" w:pos="991"/>
        </w:tabs>
        <w:spacing w:after="120"/>
        <w:rPr>
          <w:rFonts w:ascii="Trebuchet MS" w:eastAsia="Times New Roman" w:hAnsi="Trebuchet MS" w:cs="Trebuchet MS"/>
          <w:snapToGrid w:val="0"/>
          <w:color w:val="auto"/>
          <w:sz w:val="22"/>
          <w:szCs w:val="22"/>
          <w:lang w:val="en-GB" w:eastAsia="de-AT"/>
        </w:rPr>
      </w:pPr>
    </w:p>
    <w:p w:rsidR="0094444B" w:rsidRDefault="00452A16" w:rsidP="0094444B">
      <w:pPr>
        <w:pStyle w:val="Default"/>
        <w:tabs>
          <w:tab w:val="left" w:pos="991"/>
        </w:tabs>
        <w:spacing w:after="120"/>
        <w:rPr>
          <w:rFonts w:ascii="Trebuchet MS" w:eastAsia="Times New Roman" w:hAnsi="Trebuchet MS" w:cs="Trebuchet MS"/>
          <w:snapToGrid w:val="0"/>
          <w:color w:val="auto"/>
          <w:sz w:val="22"/>
          <w:szCs w:val="22"/>
          <w:lang w:val="en-GB" w:eastAsia="de-AT"/>
        </w:rPr>
      </w:pPr>
      <w:r w:rsidRPr="0094444B">
        <w:rPr>
          <w:rFonts w:ascii="Trebuchet MS" w:eastAsia="Times New Roman" w:hAnsi="Trebuchet MS" w:cs="Trebuchet MS"/>
          <w:snapToGrid w:val="0"/>
          <w:color w:val="auto"/>
          <w:sz w:val="22"/>
          <w:szCs w:val="22"/>
          <w:lang w:val="en-GB" w:eastAsia="de-AT"/>
        </w:rPr>
        <w:lastRenderedPageBreak/>
        <w:t xml:space="preserve">From a practical point of view we have to note that lots of individually arbitrary decisions have to be taken in regard to the classification of a group of connected clients. To take these decisions, in practice, however, it may be difficult to obtain the required information, which is often not available even from current customer relationships. At this point the question arises not only </w:t>
      </w:r>
    </w:p>
    <w:p w:rsidR="0094444B" w:rsidRDefault="00452A16" w:rsidP="0094444B">
      <w:pPr>
        <w:pStyle w:val="Default"/>
        <w:numPr>
          <w:ilvl w:val="0"/>
          <w:numId w:val="24"/>
        </w:numPr>
        <w:tabs>
          <w:tab w:val="left" w:pos="991"/>
        </w:tabs>
        <w:spacing w:after="120"/>
        <w:rPr>
          <w:rFonts w:ascii="Trebuchet MS" w:eastAsia="Times New Roman" w:hAnsi="Trebuchet MS" w:cs="Trebuchet MS"/>
          <w:snapToGrid w:val="0"/>
          <w:color w:val="auto"/>
          <w:sz w:val="22"/>
          <w:szCs w:val="22"/>
          <w:lang w:val="en-GB" w:eastAsia="de-AT"/>
        </w:rPr>
      </w:pPr>
      <w:r w:rsidRPr="0094444B">
        <w:rPr>
          <w:rFonts w:ascii="Trebuchet MS" w:eastAsia="Times New Roman" w:hAnsi="Trebuchet MS" w:cs="Trebuchet MS"/>
          <w:snapToGrid w:val="0"/>
          <w:color w:val="auto"/>
          <w:sz w:val="22"/>
          <w:szCs w:val="22"/>
          <w:lang w:val="en-GB" w:eastAsia="de-AT"/>
        </w:rPr>
        <w:t>how the information procurement should be achieved but also</w:t>
      </w:r>
    </w:p>
    <w:p w:rsidR="00452A16" w:rsidRPr="0094444B" w:rsidRDefault="00452A16" w:rsidP="0094444B">
      <w:pPr>
        <w:pStyle w:val="Default"/>
        <w:numPr>
          <w:ilvl w:val="0"/>
          <w:numId w:val="24"/>
        </w:numPr>
        <w:tabs>
          <w:tab w:val="left" w:pos="991"/>
        </w:tabs>
        <w:spacing w:after="120"/>
        <w:rPr>
          <w:rFonts w:ascii="Trebuchet MS" w:eastAsia="Times New Roman" w:hAnsi="Trebuchet MS" w:cs="Trebuchet MS"/>
          <w:snapToGrid w:val="0"/>
          <w:color w:val="auto"/>
          <w:sz w:val="22"/>
          <w:szCs w:val="22"/>
          <w:lang w:val="en-GB" w:eastAsia="de-AT"/>
        </w:rPr>
      </w:pPr>
      <w:proofErr w:type="gramStart"/>
      <w:r w:rsidRPr="0094444B">
        <w:rPr>
          <w:rFonts w:ascii="Trebuchet MS" w:eastAsia="Times New Roman" w:hAnsi="Trebuchet MS" w:cs="Trebuchet MS"/>
          <w:snapToGrid w:val="0"/>
          <w:color w:val="auto"/>
          <w:sz w:val="22"/>
          <w:szCs w:val="22"/>
          <w:lang w:val="en-GB" w:eastAsia="de-AT"/>
        </w:rPr>
        <w:t>how</w:t>
      </w:r>
      <w:proofErr w:type="gramEnd"/>
      <w:r w:rsidRPr="0094444B">
        <w:rPr>
          <w:rFonts w:ascii="Trebuchet MS" w:eastAsia="Times New Roman" w:hAnsi="Trebuchet MS" w:cs="Trebuchet MS"/>
          <w:snapToGrid w:val="0"/>
          <w:color w:val="auto"/>
          <w:sz w:val="22"/>
          <w:szCs w:val="22"/>
          <w:lang w:val="en-GB" w:eastAsia="de-AT"/>
        </w:rPr>
        <w:t xml:space="preserve"> these administrative burdens could be carrie</w:t>
      </w:r>
      <w:r w:rsidR="0094444B" w:rsidRPr="0094444B">
        <w:rPr>
          <w:rFonts w:ascii="Trebuchet MS" w:eastAsia="Times New Roman" w:hAnsi="Trebuchet MS" w:cs="Trebuchet MS"/>
          <w:snapToGrid w:val="0"/>
          <w:color w:val="auto"/>
          <w:sz w:val="22"/>
          <w:szCs w:val="22"/>
          <w:lang w:val="en-GB" w:eastAsia="de-AT"/>
        </w:rPr>
        <w:t xml:space="preserve">d by the relationship managers, </w:t>
      </w:r>
      <w:r w:rsidRPr="0094444B">
        <w:rPr>
          <w:rFonts w:ascii="Trebuchet MS" w:eastAsia="Times New Roman" w:hAnsi="Trebuchet MS" w:cs="Trebuchet MS"/>
          <w:snapToGrid w:val="0"/>
          <w:color w:val="auto"/>
          <w:sz w:val="22"/>
          <w:szCs w:val="22"/>
          <w:lang w:val="en-GB" w:eastAsia="de-AT"/>
        </w:rPr>
        <w:t>wh</w:t>
      </w:r>
      <w:r w:rsidR="00E52ECE">
        <w:rPr>
          <w:rFonts w:ascii="Trebuchet MS" w:eastAsia="Times New Roman" w:hAnsi="Trebuchet MS" w:cs="Trebuchet MS"/>
          <w:snapToGrid w:val="0"/>
          <w:color w:val="auto"/>
          <w:sz w:val="22"/>
          <w:szCs w:val="22"/>
          <w:lang w:val="en-GB" w:eastAsia="de-AT"/>
        </w:rPr>
        <w:t>ose main mission is to serve their</w:t>
      </w:r>
      <w:r w:rsidRPr="0094444B">
        <w:rPr>
          <w:rFonts w:ascii="Trebuchet MS" w:eastAsia="Times New Roman" w:hAnsi="Trebuchet MS" w:cs="Trebuchet MS"/>
          <w:snapToGrid w:val="0"/>
          <w:color w:val="auto"/>
          <w:sz w:val="22"/>
          <w:szCs w:val="22"/>
          <w:lang w:val="en-GB" w:eastAsia="de-AT"/>
        </w:rPr>
        <w:t xml:space="preserve"> clients.</w:t>
      </w:r>
    </w:p>
    <w:p w:rsidR="00452A16" w:rsidRPr="0094444B" w:rsidRDefault="00452A16" w:rsidP="00452A16">
      <w:pPr>
        <w:pStyle w:val="Default"/>
        <w:tabs>
          <w:tab w:val="left" w:pos="991"/>
        </w:tabs>
        <w:spacing w:after="120"/>
        <w:rPr>
          <w:rFonts w:ascii="Trebuchet MS" w:eastAsia="Times New Roman" w:hAnsi="Trebuchet MS" w:cs="Trebuchet MS"/>
          <w:snapToGrid w:val="0"/>
          <w:color w:val="auto"/>
          <w:sz w:val="22"/>
          <w:szCs w:val="22"/>
          <w:lang w:val="en-GB" w:eastAsia="de-AT"/>
        </w:rPr>
      </w:pPr>
      <w:r w:rsidRPr="0094444B">
        <w:rPr>
          <w:rFonts w:ascii="Trebuchet MS" w:eastAsia="Times New Roman" w:hAnsi="Trebuchet MS" w:cs="Trebuchet MS"/>
          <w:snapToGrid w:val="0"/>
          <w:color w:val="auto"/>
          <w:sz w:val="22"/>
          <w:szCs w:val="22"/>
          <w:lang w:val="en-GB" w:eastAsia="de-AT"/>
        </w:rPr>
        <w:t xml:space="preserve">According to the proposed guidelines, institutions should assess the existence of a group of connected (GCC) clients as defined in Article 4(1)(39) CRR based on the criteria described in the draft guideline for the purpose of </w:t>
      </w:r>
      <w:r w:rsidR="00E52ECE">
        <w:rPr>
          <w:rFonts w:ascii="Trebuchet MS" w:eastAsia="Times New Roman" w:hAnsi="Trebuchet MS" w:cs="Trebuchet MS"/>
          <w:snapToGrid w:val="0"/>
          <w:color w:val="auto"/>
          <w:sz w:val="22"/>
          <w:szCs w:val="22"/>
          <w:lang w:val="en-GB" w:eastAsia="de-AT"/>
        </w:rPr>
        <w:t>part four of the CRR, i.e. for large e</w:t>
      </w:r>
      <w:r w:rsidRPr="0094444B">
        <w:rPr>
          <w:rFonts w:ascii="Trebuchet MS" w:eastAsia="Times New Roman" w:hAnsi="Trebuchet MS" w:cs="Trebuchet MS"/>
          <w:snapToGrid w:val="0"/>
          <w:color w:val="auto"/>
          <w:sz w:val="22"/>
          <w:szCs w:val="22"/>
          <w:lang w:val="en-GB" w:eastAsia="de-AT"/>
        </w:rPr>
        <w:t>xposures only. It is unclear how the institutions are expected to handle this asse</w:t>
      </w:r>
      <w:r w:rsidR="00E52ECE">
        <w:rPr>
          <w:rFonts w:ascii="Trebuchet MS" w:eastAsia="Times New Roman" w:hAnsi="Trebuchet MS" w:cs="Trebuchet MS"/>
          <w:snapToGrid w:val="0"/>
          <w:color w:val="auto"/>
          <w:sz w:val="22"/>
          <w:szCs w:val="22"/>
          <w:lang w:val="en-GB" w:eastAsia="de-AT"/>
        </w:rPr>
        <w:t>ssment in cases not related to large e</w:t>
      </w:r>
      <w:r w:rsidRPr="0094444B">
        <w:rPr>
          <w:rFonts w:ascii="Trebuchet MS" w:eastAsia="Times New Roman" w:hAnsi="Trebuchet MS" w:cs="Trebuchet MS"/>
          <w:snapToGrid w:val="0"/>
          <w:color w:val="auto"/>
          <w:sz w:val="22"/>
          <w:szCs w:val="22"/>
          <w:lang w:val="en-GB" w:eastAsia="de-AT"/>
        </w:rPr>
        <w:t xml:space="preserve">xposures. In our opinion it would be not feasible to have different approaches, which could lead to </w:t>
      </w:r>
      <w:r w:rsidR="00E52ECE">
        <w:rPr>
          <w:rFonts w:ascii="Trebuchet MS" w:eastAsia="Times New Roman" w:hAnsi="Trebuchet MS" w:cs="Trebuchet MS"/>
          <w:snapToGrid w:val="0"/>
          <w:color w:val="auto"/>
          <w:sz w:val="22"/>
          <w:szCs w:val="22"/>
          <w:lang w:val="en-GB" w:eastAsia="de-AT"/>
        </w:rPr>
        <w:t xml:space="preserve">the </w:t>
      </w:r>
      <w:r w:rsidRPr="0094444B">
        <w:rPr>
          <w:rFonts w:ascii="Trebuchet MS" w:eastAsia="Times New Roman" w:hAnsi="Trebuchet MS" w:cs="Trebuchet MS"/>
          <w:snapToGrid w:val="0"/>
          <w:color w:val="auto"/>
          <w:sz w:val="22"/>
          <w:szCs w:val="22"/>
          <w:lang w:val="en-GB" w:eastAsia="de-AT"/>
        </w:rPr>
        <w:t xml:space="preserve">creation of different GCCs, depending on the different purposes GCC definition according to Article 4(1)(39) CRR is used for. </w:t>
      </w:r>
    </w:p>
    <w:p w:rsidR="00452A16" w:rsidRPr="0094444B" w:rsidRDefault="00452A16" w:rsidP="00452A16">
      <w:pPr>
        <w:pStyle w:val="Default"/>
        <w:tabs>
          <w:tab w:val="left" w:pos="991"/>
        </w:tabs>
        <w:spacing w:after="120"/>
        <w:rPr>
          <w:rFonts w:ascii="Trebuchet MS" w:eastAsia="Times New Roman" w:hAnsi="Trebuchet MS" w:cs="Trebuchet MS"/>
          <w:snapToGrid w:val="0"/>
          <w:color w:val="auto"/>
          <w:sz w:val="22"/>
          <w:szCs w:val="22"/>
          <w:lang w:val="en-GB" w:eastAsia="de-AT"/>
        </w:rPr>
      </w:pPr>
      <w:r w:rsidRPr="0094444B">
        <w:rPr>
          <w:rFonts w:ascii="Trebuchet MS" w:eastAsia="Times New Roman" w:hAnsi="Trebuchet MS" w:cs="Trebuchet MS"/>
          <w:snapToGrid w:val="0"/>
          <w:color w:val="auto"/>
          <w:sz w:val="22"/>
          <w:szCs w:val="22"/>
          <w:lang w:val="en-GB" w:eastAsia="de-AT"/>
        </w:rPr>
        <w:t>As you are aware, CRR requires the use of GCC as defined in Article 4(1</w:t>
      </w:r>
      <w:proofErr w:type="gramStart"/>
      <w:r w:rsidRPr="0094444B">
        <w:rPr>
          <w:rFonts w:ascii="Trebuchet MS" w:eastAsia="Times New Roman" w:hAnsi="Trebuchet MS" w:cs="Trebuchet MS"/>
          <w:snapToGrid w:val="0"/>
          <w:color w:val="auto"/>
          <w:sz w:val="22"/>
          <w:szCs w:val="22"/>
          <w:lang w:val="en-GB" w:eastAsia="de-AT"/>
        </w:rPr>
        <w:t>)(</w:t>
      </w:r>
      <w:proofErr w:type="gramEnd"/>
      <w:r w:rsidRPr="0094444B">
        <w:rPr>
          <w:rFonts w:ascii="Trebuchet MS" w:eastAsia="Times New Roman" w:hAnsi="Trebuchet MS" w:cs="Trebuchet MS"/>
          <w:snapToGrid w:val="0"/>
          <w:color w:val="auto"/>
          <w:sz w:val="22"/>
          <w:szCs w:val="22"/>
          <w:lang w:val="en-GB" w:eastAsia="de-AT"/>
        </w:rPr>
        <w:t>39) CRR, for fol</w:t>
      </w:r>
      <w:r w:rsidR="00E52ECE">
        <w:rPr>
          <w:rFonts w:ascii="Trebuchet MS" w:eastAsia="Times New Roman" w:hAnsi="Trebuchet MS" w:cs="Trebuchet MS"/>
          <w:snapToGrid w:val="0"/>
          <w:color w:val="auto"/>
          <w:sz w:val="22"/>
          <w:szCs w:val="22"/>
          <w:lang w:val="en-GB" w:eastAsia="de-AT"/>
        </w:rPr>
        <w:t>lowing purposes in addition to the large e</w:t>
      </w:r>
      <w:r w:rsidRPr="0094444B">
        <w:rPr>
          <w:rFonts w:ascii="Trebuchet MS" w:eastAsia="Times New Roman" w:hAnsi="Trebuchet MS" w:cs="Trebuchet MS"/>
          <w:snapToGrid w:val="0"/>
          <w:color w:val="auto"/>
          <w:sz w:val="22"/>
          <w:szCs w:val="22"/>
          <w:lang w:val="en-GB" w:eastAsia="de-AT"/>
        </w:rPr>
        <w:t xml:space="preserve">xposure chapter: Article 123 and Article 147 CRR for the definition of Retail segment in both STD-Approach and IRB-Approach, Article 172(1)(d) CRR for rating process and Article 501 CRR for SME supporting factor. It is unclear what definition shall be used for the above listed purposes that are not subject of the draft guidelines and how the existence of different GCC definitions based on the same CRR definition can be explained and defended both in internal governance and for the supervisory authorities. </w:t>
      </w:r>
    </w:p>
    <w:p w:rsidR="00452A16" w:rsidRPr="0094444B" w:rsidRDefault="00452A16" w:rsidP="00452A16">
      <w:pPr>
        <w:pStyle w:val="Default"/>
        <w:tabs>
          <w:tab w:val="left" w:pos="991"/>
        </w:tabs>
        <w:spacing w:after="120"/>
        <w:rPr>
          <w:rFonts w:ascii="Trebuchet MS" w:eastAsia="Times New Roman" w:hAnsi="Trebuchet MS" w:cs="Trebuchet MS"/>
          <w:snapToGrid w:val="0"/>
          <w:color w:val="auto"/>
          <w:sz w:val="22"/>
          <w:szCs w:val="22"/>
          <w:lang w:val="en-GB" w:eastAsia="de-AT"/>
        </w:rPr>
      </w:pPr>
      <w:r w:rsidRPr="0094444B">
        <w:rPr>
          <w:rFonts w:ascii="Trebuchet MS" w:eastAsia="Times New Roman" w:hAnsi="Trebuchet MS" w:cs="Trebuchet MS"/>
          <w:snapToGrid w:val="0"/>
          <w:color w:val="auto"/>
          <w:sz w:val="22"/>
          <w:szCs w:val="22"/>
          <w:lang w:val="en-GB" w:eastAsia="de-AT"/>
        </w:rPr>
        <w:t>In our opinion, group of connected customers as defined in Article 4(1</w:t>
      </w:r>
      <w:proofErr w:type="gramStart"/>
      <w:r w:rsidRPr="0094444B">
        <w:rPr>
          <w:rFonts w:ascii="Trebuchet MS" w:eastAsia="Times New Roman" w:hAnsi="Trebuchet MS" w:cs="Trebuchet MS"/>
          <w:snapToGrid w:val="0"/>
          <w:color w:val="auto"/>
          <w:sz w:val="22"/>
          <w:szCs w:val="22"/>
          <w:lang w:val="en-GB" w:eastAsia="de-AT"/>
        </w:rPr>
        <w:t>)(</w:t>
      </w:r>
      <w:proofErr w:type="gramEnd"/>
      <w:r w:rsidRPr="0094444B">
        <w:rPr>
          <w:rFonts w:ascii="Trebuchet MS" w:eastAsia="Times New Roman" w:hAnsi="Trebuchet MS" w:cs="Trebuchet MS"/>
          <w:snapToGrid w:val="0"/>
          <w:color w:val="auto"/>
          <w:sz w:val="22"/>
          <w:szCs w:val="22"/>
          <w:lang w:val="en-GB" w:eastAsia="de-AT"/>
        </w:rPr>
        <w:t>39) CRR is a concept firmly established in overall risk management processes of the institutions. Established lending policies and credit application processes usually take into account the whole GCC and not each member separately. All GCC members are treated in the same portfolio of the respective business and risk management units who are consequently responsible for them throughout the lifetime of the GCC. Therefore, we find it necessary to clearly define how the assessment of control relationship and economic dependency should be performed in general, and if there can be any differences between such assessments, depending on the purpose Article 4(1</w:t>
      </w:r>
      <w:proofErr w:type="gramStart"/>
      <w:r w:rsidRPr="0094444B">
        <w:rPr>
          <w:rFonts w:ascii="Trebuchet MS" w:eastAsia="Times New Roman" w:hAnsi="Trebuchet MS" w:cs="Trebuchet MS"/>
          <w:snapToGrid w:val="0"/>
          <w:color w:val="auto"/>
          <w:sz w:val="22"/>
          <w:szCs w:val="22"/>
          <w:lang w:val="en-GB" w:eastAsia="de-AT"/>
        </w:rPr>
        <w:t>)(</w:t>
      </w:r>
      <w:proofErr w:type="gramEnd"/>
      <w:r w:rsidRPr="0094444B">
        <w:rPr>
          <w:rFonts w:ascii="Trebuchet MS" w:eastAsia="Times New Roman" w:hAnsi="Trebuchet MS" w:cs="Trebuchet MS"/>
          <w:snapToGrid w:val="0"/>
          <w:color w:val="auto"/>
          <w:sz w:val="22"/>
          <w:szCs w:val="22"/>
          <w:lang w:val="en-GB" w:eastAsia="de-AT"/>
        </w:rPr>
        <w:t>39) CRR definition is used for.</w:t>
      </w:r>
    </w:p>
    <w:p w:rsidR="00452A16" w:rsidRPr="0094444B" w:rsidRDefault="00452A16" w:rsidP="0094444B">
      <w:pPr>
        <w:pStyle w:val="Default"/>
        <w:tabs>
          <w:tab w:val="left" w:pos="991"/>
        </w:tabs>
        <w:spacing w:after="120"/>
        <w:rPr>
          <w:rFonts w:ascii="Trebuchet MS" w:eastAsia="Times New Roman" w:hAnsi="Trebuchet MS" w:cs="Trebuchet MS"/>
          <w:snapToGrid w:val="0"/>
          <w:color w:val="auto"/>
          <w:sz w:val="22"/>
          <w:szCs w:val="22"/>
          <w:lang w:val="en-GB" w:eastAsia="de-AT"/>
        </w:rPr>
      </w:pPr>
      <w:r w:rsidRPr="0094444B">
        <w:rPr>
          <w:rFonts w:ascii="Trebuchet MS" w:eastAsia="Times New Roman" w:hAnsi="Trebuchet MS" w:cs="Trebuchet MS"/>
          <w:snapToGrid w:val="0"/>
          <w:color w:val="auto"/>
          <w:sz w:val="22"/>
          <w:szCs w:val="22"/>
          <w:lang w:val="en-GB" w:eastAsia="de-AT"/>
        </w:rPr>
        <w:t>Moreover, we find it absolutely necessary to clarify the relation between the concept of ‘single risk’ and the same probability of default. The draft guidelines interpret ‘single risk’ cases when the failure of a client would lead to ‘repayment difficulties’ of another client of an institution. In this case, these clients shall form one group of connected clients. In both cases, control relationship and economic dependency, the chain of contagion (‘domino effect’) leading to ‘possible default’ of all entities concerned is a relevant factor for the grouping. In our opinion, it should be made clearer how such likeliness to default or to experience financial difficulties should be treated in the rating assessment of the members of the GCC, and especially in the cases when one member of the GCC defaults. In our understanding (i) ‘repayment difficulties’ do not equate to ‘default’</w:t>
      </w:r>
      <w:r w:rsidR="00E52ECE">
        <w:rPr>
          <w:rFonts w:ascii="Trebuchet MS" w:eastAsia="Times New Roman" w:hAnsi="Trebuchet MS" w:cs="Trebuchet MS"/>
          <w:snapToGrid w:val="0"/>
          <w:color w:val="auto"/>
          <w:sz w:val="22"/>
          <w:szCs w:val="22"/>
          <w:lang w:val="en-GB" w:eastAsia="de-AT"/>
        </w:rPr>
        <w:t xml:space="preserve"> and (ii) ‘single risk’ does </w:t>
      </w:r>
      <w:r w:rsidR="00E52ECE" w:rsidRPr="00E52ECE">
        <w:rPr>
          <w:rFonts w:ascii="Trebuchet MS" w:eastAsia="Times New Roman" w:hAnsi="Trebuchet MS" w:cs="Trebuchet MS"/>
          <w:snapToGrid w:val="0"/>
          <w:color w:val="auto"/>
          <w:sz w:val="22"/>
          <w:szCs w:val="22"/>
          <w:u w:val="single"/>
          <w:lang w:val="en-GB" w:eastAsia="de-AT"/>
        </w:rPr>
        <w:t>not</w:t>
      </w:r>
      <w:r w:rsidRPr="0094444B">
        <w:rPr>
          <w:rFonts w:ascii="Trebuchet MS" w:eastAsia="Times New Roman" w:hAnsi="Trebuchet MS" w:cs="Trebuchet MS"/>
          <w:snapToGrid w:val="0"/>
          <w:color w:val="auto"/>
          <w:sz w:val="22"/>
          <w:szCs w:val="22"/>
          <w:lang w:val="en-GB" w:eastAsia="de-AT"/>
        </w:rPr>
        <w:t xml:space="preserve"> equate to ‘the same probability of default’. However, this distinction is not clear, as the terminology of the draft guidelines uses wording that also apply for Article 178 CRR default definition that is a cornerstone of IRB rating systems.</w:t>
      </w:r>
    </w:p>
    <w:p w:rsidR="00847491" w:rsidRPr="0094444B" w:rsidRDefault="00847491" w:rsidP="0094444B">
      <w:pPr>
        <w:pStyle w:val="Default"/>
        <w:tabs>
          <w:tab w:val="left" w:pos="991"/>
        </w:tabs>
        <w:spacing w:after="120"/>
        <w:rPr>
          <w:rFonts w:ascii="Trebuchet MS" w:eastAsia="Times New Roman" w:hAnsi="Trebuchet MS" w:cs="Trebuchet MS"/>
          <w:snapToGrid w:val="0"/>
          <w:color w:val="auto"/>
          <w:sz w:val="22"/>
          <w:szCs w:val="22"/>
          <w:lang w:val="en-GB" w:eastAsia="de-AT"/>
        </w:rPr>
      </w:pPr>
      <w:r w:rsidRPr="0094444B">
        <w:rPr>
          <w:rFonts w:ascii="Trebuchet MS" w:eastAsia="Times New Roman" w:hAnsi="Trebuchet MS" w:cs="Trebuchet MS"/>
          <w:snapToGrid w:val="0"/>
          <w:color w:val="auto"/>
          <w:sz w:val="22"/>
          <w:szCs w:val="22"/>
          <w:lang w:val="en-GB" w:eastAsia="de-AT"/>
        </w:rPr>
        <w:t xml:space="preserve">The EBA’s proposal to reduce to 2% of the eligible capital the threshold which triggers investigation of potential economic connections would override the Basel framework jeopardising the level playing field. Moreover, we deem that such an important change should not be implemented via EBA guidelines but rather through a revision of the level one regulation. Overall we think that the 5% level is already a conservative threshold as long as large exposures are defined as those which overcome the 10% of bank’s eligible capital. In any case, the investigation required by the 2% should not imply any additional documentation to be provided by the institutions. Finally, we would appreciate it to be clarified whether the threshold is </w:t>
      </w:r>
      <w:r w:rsidRPr="0094444B">
        <w:rPr>
          <w:rFonts w:ascii="Trebuchet MS" w:eastAsia="Times New Roman" w:hAnsi="Trebuchet MS" w:cs="Trebuchet MS"/>
          <w:snapToGrid w:val="0"/>
          <w:color w:val="auto"/>
          <w:sz w:val="22"/>
          <w:szCs w:val="22"/>
          <w:lang w:val="en-GB" w:eastAsia="de-AT"/>
        </w:rPr>
        <w:lastRenderedPageBreak/>
        <w:t>intended to be applied at group or single counterparty level.</w:t>
      </w:r>
    </w:p>
    <w:p w:rsidR="00847491" w:rsidRPr="0094444B" w:rsidRDefault="00847491" w:rsidP="0094444B">
      <w:pPr>
        <w:pStyle w:val="Default"/>
        <w:tabs>
          <w:tab w:val="left" w:pos="991"/>
        </w:tabs>
        <w:spacing w:after="120"/>
        <w:rPr>
          <w:rFonts w:ascii="Trebuchet MS" w:eastAsia="Times New Roman" w:hAnsi="Trebuchet MS" w:cs="Trebuchet MS"/>
          <w:snapToGrid w:val="0"/>
          <w:color w:val="auto"/>
          <w:sz w:val="22"/>
          <w:szCs w:val="22"/>
          <w:lang w:val="en-GB" w:eastAsia="de-AT"/>
        </w:rPr>
      </w:pPr>
      <w:r w:rsidRPr="0094444B">
        <w:rPr>
          <w:rFonts w:ascii="Trebuchet MS" w:eastAsia="Times New Roman" w:hAnsi="Trebuchet MS" w:cs="Trebuchet MS"/>
          <w:snapToGrid w:val="0"/>
          <w:color w:val="auto"/>
          <w:sz w:val="22"/>
          <w:szCs w:val="22"/>
          <w:lang w:val="en-GB" w:eastAsia="de-AT"/>
        </w:rPr>
        <w:t xml:space="preserve">The presentation of the examples in the consultation paper is very helpful and appreciated. However, from a practical perspective the implementation of the examples  E 2, E 3, E 6 (page 17/18) and C/E 1 – 3 (page 19 – 22) will be very difficult to implement and connections between e.g. different retailers and wholesalers or supply chains in different business sectors will be hardly identifiable.  </w:t>
      </w:r>
    </w:p>
    <w:p w:rsidR="00847491" w:rsidRPr="0094444B" w:rsidRDefault="00847491" w:rsidP="0094444B">
      <w:pPr>
        <w:pStyle w:val="Default"/>
        <w:tabs>
          <w:tab w:val="left" w:pos="991"/>
        </w:tabs>
        <w:spacing w:after="120"/>
        <w:rPr>
          <w:rFonts w:ascii="Trebuchet MS" w:eastAsia="Times New Roman" w:hAnsi="Trebuchet MS" w:cs="Trebuchet MS"/>
          <w:snapToGrid w:val="0"/>
          <w:color w:val="auto"/>
          <w:sz w:val="22"/>
          <w:szCs w:val="22"/>
          <w:lang w:val="en-GB" w:eastAsia="de-AT"/>
        </w:rPr>
      </w:pPr>
      <w:r w:rsidRPr="0094444B">
        <w:rPr>
          <w:rFonts w:ascii="Trebuchet MS" w:eastAsia="Times New Roman" w:hAnsi="Trebuchet MS" w:cs="Trebuchet MS"/>
          <w:snapToGrid w:val="0"/>
          <w:color w:val="auto"/>
          <w:sz w:val="22"/>
          <w:szCs w:val="22"/>
          <w:lang w:val="en-GB" w:eastAsia="de-AT"/>
        </w:rPr>
        <w:t>Furthermore, clarification would be needed whether para 36 (page 23) refers to the example provided in E 2 (page 14) as well.</w:t>
      </w:r>
    </w:p>
    <w:p w:rsidR="0094444B" w:rsidRDefault="00847491" w:rsidP="0094444B">
      <w:pPr>
        <w:pStyle w:val="Default"/>
        <w:tabs>
          <w:tab w:val="left" w:pos="991"/>
        </w:tabs>
        <w:spacing w:after="120"/>
        <w:rPr>
          <w:rFonts w:ascii="Trebuchet MS" w:eastAsia="Times New Roman" w:hAnsi="Trebuchet MS" w:cs="Trebuchet MS"/>
          <w:snapToGrid w:val="0"/>
          <w:color w:val="auto"/>
          <w:sz w:val="22"/>
          <w:szCs w:val="22"/>
          <w:lang w:val="en-GB" w:eastAsia="de-AT"/>
        </w:rPr>
      </w:pPr>
      <w:r w:rsidRPr="0094444B">
        <w:rPr>
          <w:rFonts w:ascii="Trebuchet MS" w:eastAsia="Times New Roman" w:hAnsi="Trebuchet MS" w:cs="Trebuchet MS"/>
          <w:snapToGrid w:val="0"/>
          <w:color w:val="auto"/>
          <w:sz w:val="22"/>
          <w:szCs w:val="22"/>
          <w:lang w:val="en-GB" w:eastAsia="de-AT"/>
        </w:rPr>
        <w:t>Regarding example E2 (section 3.2.3) we note the variation to main case (no direct exposure to source of risk). It can be a very subjective identification and burdensome due to manual task to identify such a group where the relation is dependent on a customer to which the institution has no exposure against and limited knowledge about. What has to be the exact criteria for the relations to the common customer with no direct exposure if it has to be identified as connected client?</w:t>
      </w:r>
    </w:p>
    <w:p w:rsidR="0094444B" w:rsidRPr="0094444B" w:rsidRDefault="005808AD" w:rsidP="0094444B">
      <w:pPr>
        <w:pStyle w:val="Default"/>
        <w:tabs>
          <w:tab w:val="left" w:pos="991"/>
        </w:tabs>
        <w:spacing w:after="120"/>
        <w:rPr>
          <w:rFonts w:ascii="Trebuchet MS" w:eastAsia="Times New Roman" w:hAnsi="Trebuchet MS" w:cs="Trebuchet MS"/>
          <w:b/>
          <w:i/>
          <w:snapToGrid w:val="0"/>
          <w:color w:val="auto"/>
          <w:sz w:val="22"/>
          <w:szCs w:val="22"/>
          <w:lang w:val="en-GB" w:eastAsia="de-AT"/>
        </w:rPr>
      </w:pPr>
      <w:r w:rsidRPr="0094444B">
        <w:rPr>
          <w:rFonts w:ascii="Trebuchet MS" w:eastAsia="Times New Roman" w:hAnsi="Trebuchet MS" w:cs="Trebuchet MS"/>
          <w:b/>
          <w:i/>
          <w:snapToGrid w:val="0"/>
          <w:color w:val="auto"/>
          <w:sz w:val="22"/>
          <w:szCs w:val="22"/>
          <w:lang w:val="en-GB" w:eastAsia="de-AT"/>
        </w:rPr>
        <w:t>Question 1: Are you aware of any situations where the existence of a control relationship among clients does not lead to a ‘single risk’?</w:t>
      </w:r>
    </w:p>
    <w:p w:rsidR="00847491" w:rsidRPr="0094444B" w:rsidRDefault="00847491" w:rsidP="0094444B">
      <w:pPr>
        <w:pStyle w:val="Default"/>
        <w:tabs>
          <w:tab w:val="left" w:pos="991"/>
        </w:tabs>
        <w:spacing w:after="120"/>
        <w:rPr>
          <w:rFonts w:ascii="Trebuchet MS" w:eastAsia="Times New Roman" w:hAnsi="Trebuchet MS" w:cs="Trebuchet MS"/>
          <w:snapToGrid w:val="0"/>
          <w:color w:val="auto"/>
          <w:sz w:val="22"/>
          <w:szCs w:val="22"/>
          <w:lang w:val="en-GB" w:eastAsia="de-AT"/>
        </w:rPr>
      </w:pPr>
      <w:r w:rsidRPr="0094444B">
        <w:rPr>
          <w:rFonts w:ascii="Trebuchet MS" w:eastAsia="Times New Roman" w:hAnsi="Trebuchet MS" w:cs="Trebuchet MS"/>
          <w:snapToGrid w:val="0"/>
          <w:color w:val="auto"/>
          <w:sz w:val="22"/>
          <w:szCs w:val="22"/>
          <w:lang w:val="en-GB" w:eastAsia="de-AT"/>
        </w:rPr>
        <w:t xml:space="preserve">In most cases a control relationship triggers ‘single risk’ and hence if financial distress occurs, the controlling entity will intervene to support the troubled subsidiary and vice versa. </w:t>
      </w:r>
      <w:proofErr w:type="gramStart"/>
      <w:r w:rsidRPr="0094444B">
        <w:rPr>
          <w:rFonts w:ascii="Trebuchet MS" w:eastAsia="Times New Roman" w:hAnsi="Trebuchet MS" w:cs="Trebuchet MS"/>
          <w:snapToGrid w:val="0"/>
          <w:color w:val="auto"/>
          <w:sz w:val="22"/>
          <w:szCs w:val="22"/>
          <w:lang w:val="en-GB" w:eastAsia="de-AT"/>
        </w:rPr>
        <w:t>This being said, it might be the case in situations where another party has such control as described in guideline No. 13 c), such as management rights based on contractual conditions, clauses, etc.</w:t>
      </w:r>
      <w:proofErr w:type="gramEnd"/>
      <w:r w:rsidRPr="0094444B">
        <w:rPr>
          <w:rFonts w:ascii="Trebuchet MS" w:eastAsia="Times New Roman" w:hAnsi="Trebuchet MS" w:cs="Trebuchet MS"/>
          <w:snapToGrid w:val="0"/>
          <w:color w:val="auto"/>
          <w:sz w:val="22"/>
          <w:szCs w:val="22"/>
          <w:lang w:val="en-GB" w:eastAsia="de-AT"/>
        </w:rPr>
        <w:t xml:space="preserve"> Such types of control do not necessarily have any impact on financial difficulties, etc.</w:t>
      </w:r>
    </w:p>
    <w:p w:rsidR="00847491" w:rsidRPr="0094444B" w:rsidRDefault="00847491" w:rsidP="0094444B">
      <w:pPr>
        <w:pStyle w:val="Default"/>
        <w:tabs>
          <w:tab w:val="left" w:pos="991"/>
        </w:tabs>
        <w:spacing w:after="120"/>
        <w:rPr>
          <w:rFonts w:ascii="Trebuchet MS" w:eastAsia="Times New Roman" w:hAnsi="Trebuchet MS" w:cs="Trebuchet MS"/>
          <w:snapToGrid w:val="0"/>
          <w:color w:val="auto"/>
          <w:sz w:val="22"/>
          <w:szCs w:val="22"/>
          <w:lang w:val="en-GB" w:eastAsia="de-AT"/>
        </w:rPr>
      </w:pPr>
      <w:r w:rsidRPr="0094444B">
        <w:rPr>
          <w:rFonts w:ascii="Trebuchet MS" w:eastAsia="Times New Roman" w:hAnsi="Trebuchet MS" w:cs="Trebuchet MS"/>
          <w:snapToGrid w:val="0"/>
          <w:color w:val="auto"/>
          <w:sz w:val="22"/>
          <w:szCs w:val="22"/>
          <w:lang w:val="en-GB" w:eastAsia="de-AT"/>
        </w:rPr>
        <w:t>Hence i</w:t>
      </w:r>
      <w:r w:rsidR="005808AD" w:rsidRPr="0094444B">
        <w:rPr>
          <w:rFonts w:ascii="Trebuchet MS" w:eastAsia="Times New Roman" w:hAnsi="Trebuchet MS" w:cs="Trebuchet MS"/>
          <w:snapToGrid w:val="0"/>
          <w:color w:val="auto"/>
          <w:sz w:val="22"/>
          <w:szCs w:val="22"/>
          <w:lang w:val="en-GB" w:eastAsia="de-AT"/>
        </w:rPr>
        <w:t>n our opinion, there are situations, in which a control relationship does not lead to a single</w:t>
      </w:r>
      <w:r w:rsidRPr="0094444B">
        <w:rPr>
          <w:rFonts w:ascii="Trebuchet MS" w:eastAsia="Times New Roman" w:hAnsi="Trebuchet MS" w:cs="Trebuchet MS"/>
          <w:snapToGrid w:val="0"/>
          <w:color w:val="auto"/>
          <w:sz w:val="22"/>
          <w:szCs w:val="22"/>
          <w:lang w:val="en-GB" w:eastAsia="de-AT"/>
        </w:rPr>
        <w:t xml:space="preserve"> </w:t>
      </w:r>
      <w:r w:rsidR="005808AD" w:rsidRPr="0094444B">
        <w:rPr>
          <w:rFonts w:ascii="Trebuchet MS" w:eastAsia="Times New Roman" w:hAnsi="Trebuchet MS" w:cs="Trebuchet MS"/>
          <w:snapToGrid w:val="0"/>
          <w:color w:val="auto"/>
          <w:sz w:val="22"/>
          <w:szCs w:val="22"/>
          <w:lang w:val="en-GB" w:eastAsia="de-AT"/>
        </w:rPr>
        <w:t>risk, as e.g. fund structures or SPV financings with paid-up equity commitment or ring-fenced</w:t>
      </w:r>
      <w:r w:rsidRPr="0094444B">
        <w:rPr>
          <w:rFonts w:ascii="Trebuchet MS" w:eastAsia="Times New Roman" w:hAnsi="Trebuchet MS" w:cs="Trebuchet MS"/>
          <w:snapToGrid w:val="0"/>
          <w:color w:val="auto"/>
          <w:sz w:val="22"/>
          <w:szCs w:val="22"/>
          <w:lang w:val="en-GB" w:eastAsia="de-AT"/>
        </w:rPr>
        <w:t xml:space="preserve"> </w:t>
      </w:r>
      <w:r w:rsidR="005808AD" w:rsidRPr="0094444B">
        <w:rPr>
          <w:rFonts w:ascii="Trebuchet MS" w:eastAsia="Times New Roman" w:hAnsi="Trebuchet MS" w:cs="Trebuchet MS"/>
          <w:snapToGrid w:val="0"/>
          <w:color w:val="auto"/>
          <w:sz w:val="22"/>
          <w:szCs w:val="22"/>
          <w:lang w:val="en-GB" w:eastAsia="de-AT"/>
        </w:rPr>
        <w:t>financings with specific restrictions (on distributions, intercompany loans etc.).</w:t>
      </w:r>
    </w:p>
    <w:p w:rsidR="00452A16" w:rsidRPr="0094444B" w:rsidRDefault="00452A16" w:rsidP="0094444B">
      <w:pPr>
        <w:pStyle w:val="Default"/>
        <w:tabs>
          <w:tab w:val="left" w:pos="991"/>
        </w:tabs>
        <w:spacing w:after="120"/>
        <w:rPr>
          <w:rFonts w:ascii="Trebuchet MS" w:eastAsia="Times New Roman" w:hAnsi="Trebuchet MS" w:cs="Trebuchet MS"/>
          <w:snapToGrid w:val="0"/>
          <w:color w:val="auto"/>
          <w:sz w:val="22"/>
          <w:szCs w:val="22"/>
          <w:lang w:val="en-GB" w:eastAsia="de-AT"/>
        </w:rPr>
      </w:pPr>
      <w:r w:rsidRPr="0094444B">
        <w:rPr>
          <w:rFonts w:ascii="Trebuchet MS" w:eastAsia="Times New Roman" w:hAnsi="Trebuchet MS" w:cs="Trebuchet MS"/>
          <w:snapToGrid w:val="0"/>
          <w:color w:val="auto"/>
          <w:sz w:val="22"/>
          <w:szCs w:val="22"/>
          <w:lang w:val="en-GB" w:eastAsia="de-AT"/>
        </w:rPr>
        <w:t xml:space="preserve">Another situation where interconnectedness through control does not necessarily lead to a “single risk”, which is not very likely but deserves to be mentioned, occurs when a parent holding controls several sub-holdings but explicitly states that it leaves to one or more of them a high degree of autonomy without exercising managing and controlling activities. In this situation, if it is also likely that possible financial difficulties would not generate a domino effect, then the autonomous sub-holding should constitute a separate group of connected clients. </w:t>
      </w:r>
    </w:p>
    <w:p w:rsidR="00452A16" w:rsidRPr="0094444B" w:rsidRDefault="00452A16" w:rsidP="0094444B">
      <w:pPr>
        <w:pStyle w:val="Default"/>
        <w:tabs>
          <w:tab w:val="left" w:pos="991"/>
        </w:tabs>
        <w:spacing w:after="120"/>
        <w:rPr>
          <w:rFonts w:ascii="Trebuchet MS" w:eastAsia="Times New Roman" w:hAnsi="Trebuchet MS" w:cs="Trebuchet MS"/>
          <w:snapToGrid w:val="0"/>
          <w:color w:val="auto"/>
          <w:sz w:val="22"/>
          <w:szCs w:val="22"/>
          <w:lang w:val="en-GB" w:eastAsia="de-AT"/>
        </w:rPr>
      </w:pPr>
      <w:r w:rsidRPr="0094444B">
        <w:rPr>
          <w:rFonts w:ascii="Trebuchet MS" w:eastAsia="Times New Roman" w:hAnsi="Trebuchet MS" w:cs="Trebuchet MS"/>
          <w:snapToGrid w:val="0"/>
          <w:color w:val="auto"/>
          <w:sz w:val="22"/>
          <w:szCs w:val="22"/>
          <w:lang w:val="en-GB" w:eastAsia="de-AT"/>
        </w:rPr>
        <w:t xml:space="preserve">A very typical feature of many SPV types (basically those established for undertaking business initiatives, like project finance and real estate) in practice is their bankruptcy-remote style set-up. Such ring-fencing design typically results in most SPVs being economically independent from other parties´ (such as the originator´s) economic fate even if accounting rules require the relationship to be deemed a controlling one. </w:t>
      </w:r>
    </w:p>
    <w:p w:rsidR="00452A16" w:rsidRPr="0094444B" w:rsidRDefault="00452A16" w:rsidP="0094444B">
      <w:pPr>
        <w:pStyle w:val="Default"/>
        <w:tabs>
          <w:tab w:val="left" w:pos="991"/>
        </w:tabs>
        <w:spacing w:after="120"/>
        <w:rPr>
          <w:rFonts w:ascii="Trebuchet MS" w:eastAsia="Times New Roman" w:hAnsi="Trebuchet MS" w:cs="Trebuchet MS"/>
          <w:snapToGrid w:val="0"/>
          <w:color w:val="auto"/>
          <w:sz w:val="22"/>
          <w:szCs w:val="22"/>
          <w:lang w:val="en-GB" w:eastAsia="de-AT"/>
        </w:rPr>
      </w:pPr>
      <w:r w:rsidRPr="0094444B">
        <w:rPr>
          <w:rFonts w:ascii="Trebuchet MS" w:eastAsia="Times New Roman" w:hAnsi="Trebuchet MS" w:cs="Trebuchet MS"/>
          <w:snapToGrid w:val="0"/>
          <w:color w:val="auto"/>
          <w:sz w:val="22"/>
          <w:szCs w:val="22"/>
          <w:lang w:val="en-GB" w:eastAsia="de-AT"/>
        </w:rPr>
        <w:t xml:space="preserve">We only would agree with the concept that the existence of a control relationship </w:t>
      </w:r>
      <w:r w:rsidR="00CF62F5" w:rsidRPr="0094444B">
        <w:rPr>
          <w:rFonts w:ascii="Trebuchet MS" w:eastAsia="Times New Roman" w:hAnsi="Trebuchet MS" w:cs="Trebuchet MS"/>
          <w:snapToGrid w:val="0"/>
          <w:color w:val="auto"/>
          <w:sz w:val="22"/>
          <w:szCs w:val="22"/>
          <w:lang w:val="en-GB" w:eastAsia="de-AT"/>
        </w:rPr>
        <w:t>as it wou</w:t>
      </w:r>
      <w:r w:rsidRPr="0094444B">
        <w:rPr>
          <w:rFonts w:ascii="Trebuchet MS" w:eastAsia="Times New Roman" w:hAnsi="Trebuchet MS" w:cs="Trebuchet MS"/>
          <w:snapToGrid w:val="0"/>
          <w:color w:val="auto"/>
          <w:sz w:val="22"/>
          <w:szCs w:val="22"/>
          <w:lang w:val="en-GB" w:eastAsia="de-AT"/>
        </w:rPr>
        <w:t>ld always lead to a ‘single risk’ if control relat</w:t>
      </w:r>
      <w:r w:rsidR="00CF62F5" w:rsidRPr="0094444B">
        <w:rPr>
          <w:rFonts w:ascii="Trebuchet MS" w:eastAsia="Times New Roman" w:hAnsi="Trebuchet MS" w:cs="Trebuchet MS"/>
          <w:snapToGrid w:val="0"/>
          <w:color w:val="auto"/>
          <w:sz w:val="22"/>
          <w:szCs w:val="22"/>
          <w:lang w:val="en-GB" w:eastAsia="de-AT"/>
        </w:rPr>
        <w:t>ionship does no</w:t>
      </w:r>
      <w:r w:rsidRPr="0094444B">
        <w:rPr>
          <w:rFonts w:ascii="Trebuchet MS" w:eastAsia="Times New Roman" w:hAnsi="Trebuchet MS" w:cs="Trebuchet MS"/>
          <w:snapToGrid w:val="0"/>
          <w:color w:val="auto"/>
          <w:sz w:val="22"/>
          <w:szCs w:val="22"/>
          <w:lang w:val="en-GB" w:eastAsia="de-AT"/>
        </w:rPr>
        <w:t>t mean the same probability of default. Otherwise all counterparties within the same scope of consolidation of the parent undertaking would have to have the same PD/rating under the IRB Approach. In our opinion this would not reflect the economic reality.</w:t>
      </w:r>
    </w:p>
    <w:p w:rsidR="00452A16" w:rsidRPr="0094444B" w:rsidRDefault="00452A16" w:rsidP="0094444B">
      <w:pPr>
        <w:pStyle w:val="Default"/>
        <w:tabs>
          <w:tab w:val="left" w:pos="991"/>
        </w:tabs>
        <w:spacing w:after="120"/>
        <w:rPr>
          <w:rFonts w:ascii="Trebuchet MS" w:eastAsia="Times New Roman" w:hAnsi="Trebuchet MS" w:cs="Trebuchet MS"/>
          <w:snapToGrid w:val="0"/>
          <w:color w:val="auto"/>
          <w:sz w:val="22"/>
          <w:szCs w:val="22"/>
          <w:lang w:val="en-GB" w:eastAsia="de-AT"/>
        </w:rPr>
      </w:pPr>
      <w:r w:rsidRPr="0094444B">
        <w:rPr>
          <w:rFonts w:ascii="Trebuchet MS" w:eastAsia="Times New Roman" w:hAnsi="Trebuchet MS" w:cs="Trebuchet MS"/>
          <w:snapToGrid w:val="0"/>
          <w:color w:val="auto"/>
          <w:sz w:val="22"/>
          <w:szCs w:val="22"/>
          <w:lang w:val="en-GB" w:eastAsia="de-AT"/>
        </w:rPr>
        <w:t>This concept is also elaborated by external rating agencies (please see below the quote from Standard &amp; Poor’s RatingDirect paper: “Parent and Subsidiary Ratings”, August 29, 2000):</w:t>
      </w:r>
    </w:p>
    <w:p w:rsidR="00452A16" w:rsidRPr="0094444B" w:rsidRDefault="00452A16" w:rsidP="00452A16">
      <w:pPr>
        <w:rPr>
          <w:i/>
          <w:lang w:val="en-US"/>
        </w:rPr>
      </w:pPr>
      <w:r w:rsidRPr="0094444B">
        <w:rPr>
          <w:lang w:val="en-US"/>
        </w:rPr>
        <w:t>“</w:t>
      </w:r>
      <w:r w:rsidRPr="0094444B">
        <w:rPr>
          <w:i/>
          <w:lang w:val="en-US"/>
        </w:rPr>
        <w:t>Insulation</w:t>
      </w:r>
    </w:p>
    <w:p w:rsidR="00452A16" w:rsidRPr="0094444B" w:rsidRDefault="00452A16" w:rsidP="00452A16">
      <w:pPr>
        <w:rPr>
          <w:i/>
          <w:lang w:val="en-US"/>
        </w:rPr>
      </w:pPr>
      <w:r w:rsidRPr="0094444B">
        <w:rPr>
          <w:i/>
          <w:lang w:val="en-US"/>
        </w:rPr>
        <w:t xml:space="preserve">It is possible for a subsidiary to achieve a higher rating than that of a parent or a consolidated family if it is insulated. </w:t>
      </w:r>
    </w:p>
    <w:p w:rsidR="00452A16" w:rsidRPr="0094444B" w:rsidRDefault="00452A16" w:rsidP="00452A16">
      <w:pPr>
        <w:rPr>
          <w:i/>
          <w:lang w:val="en-US"/>
        </w:rPr>
      </w:pPr>
      <w:r w:rsidRPr="0094444B">
        <w:rPr>
          <w:i/>
          <w:lang w:val="en-US"/>
        </w:rPr>
        <w:t xml:space="preserve">As a result of insulation, parent companies may be prevented or restricted from accessing the resources of the subsidiary. The two strongest means of insulation are through either </w:t>
      </w:r>
      <w:r w:rsidRPr="0094444B">
        <w:rPr>
          <w:i/>
          <w:lang w:val="en-US"/>
        </w:rPr>
        <w:lastRenderedPageBreak/>
        <w:t>regulatory or legal barriers, which prevent excessive dividend upstreaming, intercompany loans, or any "non-arm's-length" transactions.</w:t>
      </w:r>
    </w:p>
    <w:p w:rsidR="00452A16" w:rsidRPr="0094444B" w:rsidRDefault="00452A16" w:rsidP="00452A16">
      <w:pPr>
        <w:rPr>
          <w:i/>
          <w:lang w:val="en-US"/>
        </w:rPr>
      </w:pPr>
      <w:r w:rsidRPr="0094444B">
        <w:rPr>
          <w:i/>
          <w:lang w:val="en-US"/>
        </w:rPr>
        <w:t xml:space="preserve">Generally, the rating of a bankruptcy-remote, special-purpose vehicle (SPV) can exceed a parent rating or group rating by up to three notches. Thus, while insulation can protect the credit of a stronger entity, it cannot totally delink it from a weaker parent or weaker group rating. Legal or regulatory insulation in and of itself can be sufficient to warrant an entity ICR above the group's credit quality. However, other factors in combination can serve to enhance a rating. </w:t>
      </w:r>
    </w:p>
    <w:p w:rsidR="00452A16" w:rsidRPr="0094444B" w:rsidRDefault="00452A16" w:rsidP="00452A16">
      <w:pPr>
        <w:rPr>
          <w:i/>
          <w:lang w:val="en-US"/>
        </w:rPr>
      </w:pPr>
      <w:r w:rsidRPr="0094444B">
        <w:rPr>
          <w:i/>
          <w:lang w:val="en-US"/>
        </w:rPr>
        <w:t>Insulation factors include:</w:t>
      </w:r>
    </w:p>
    <w:p w:rsidR="00452A16" w:rsidRPr="0094444B" w:rsidRDefault="00452A16" w:rsidP="00452A16">
      <w:pPr>
        <w:rPr>
          <w:i/>
          <w:lang w:val="en-US"/>
        </w:rPr>
      </w:pPr>
      <w:r w:rsidRPr="0094444B">
        <w:rPr>
          <w:i/>
          <w:lang w:val="en-US"/>
        </w:rPr>
        <w:t>· Legal structure—an SPV with a cash waterfall distribution that limits disbursements to owners;</w:t>
      </w:r>
    </w:p>
    <w:p w:rsidR="00452A16" w:rsidRPr="0094444B" w:rsidRDefault="00452A16" w:rsidP="00452A16">
      <w:pPr>
        <w:rPr>
          <w:i/>
          <w:lang w:val="en-US"/>
        </w:rPr>
      </w:pPr>
      <w:r w:rsidRPr="0094444B">
        <w:rPr>
          <w:i/>
          <w:lang w:val="en-US"/>
        </w:rPr>
        <w:t>· National legal systems—for example, in certain countries corporations can only declare dividends up to a limited amount of earnings;</w:t>
      </w:r>
    </w:p>
    <w:p w:rsidR="00452A16" w:rsidRPr="0094444B" w:rsidRDefault="00452A16" w:rsidP="00452A16">
      <w:pPr>
        <w:rPr>
          <w:i/>
          <w:lang w:val="en-US"/>
        </w:rPr>
      </w:pPr>
      <w:r w:rsidRPr="0094444B">
        <w:rPr>
          <w:i/>
          <w:lang w:val="en-US"/>
        </w:rPr>
        <w:t>· Explicit regulatory restrictions or the threat of repercussions via tariff setting authority;</w:t>
      </w:r>
    </w:p>
    <w:p w:rsidR="00452A16" w:rsidRPr="0094444B" w:rsidRDefault="00452A16" w:rsidP="00452A16">
      <w:pPr>
        <w:rPr>
          <w:i/>
          <w:lang w:val="en-US"/>
        </w:rPr>
      </w:pPr>
      <w:r w:rsidRPr="0094444B">
        <w:rPr>
          <w:i/>
          <w:lang w:val="en-US"/>
        </w:rPr>
        <w:t>· Separate management and/or board of directors;</w:t>
      </w:r>
    </w:p>
    <w:p w:rsidR="00452A16" w:rsidRPr="0094444B" w:rsidRDefault="00452A16" w:rsidP="00452A16">
      <w:pPr>
        <w:rPr>
          <w:i/>
          <w:lang w:val="en-US"/>
        </w:rPr>
      </w:pPr>
      <w:r w:rsidRPr="0094444B">
        <w:rPr>
          <w:i/>
          <w:lang w:val="en-US"/>
        </w:rPr>
        <w:t>· Different countries with different legal jurisdictions;</w:t>
      </w:r>
    </w:p>
    <w:p w:rsidR="00452A16" w:rsidRPr="0094444B" w:rsidRDefault="00452A16" w:rsidP="00452A16">
      <w:pPr>
        <w:rPr>
          <w:lang w:val="en-US"/>
        </w:rPr>
      </w:pPr>
      <w:proofErr w:type="gramStart"/>
      <w:r w:rsidRPr="0094444B">
        <w:rPr>
          <w:i/>
          <w:lang w:val="en-US"/>
        </w:rPr>
        <w:t>· Tax disincentives discouraging repatriation of dividends/cash between countries.</w:t>
      </w:r>
      <w:r w:rsidRPr="0094444B">
        <w:rPr>
          <w:lang w:val="en-US"/>
        </w:rPr>
        <w:t>”</w:t>
      </w:r>
      <w:proofErr w:type="gramEnd"/>
    </w:p>
    <w:p w:rsidR="00452A16" w:rsidRDefault="00452A16" w:rsidP="005808AD">
      <w:pPr>
        <w:autoSpaceDE w:val="0"/>
        <w:autoSpaceDN w:val="0"/>
        <w:adjustRightInd w:val="0"/>
        <w:spacing w:line="240" w:lineRule="auto"/>
        <w:rPr>
          <w:rFonts w:cs="Calibri,Bold"/>
          <w:b/>
          <w:bCs/>
          <w:snapToGrid/>
          <w:lang w:val="de-AT"/>
        </w:rPr>
      </w:pPr>
    </w:p>
    <w:p w:rsidR="005808AD" w:rsidRPr="0094444B" w:rsidRDefault="005808AD" w:rsidP="0094444B">
      <w:pPr>
        <w:pStyle w:val="Default"/>
        <w:tabs>
          <w:tab w:val="left" w:pos="991"/>
        </w:tabs>
        <w:spacing w:after="120"/>
        <w:rPr>
          <w:rFonts w:ascii="Trebuchet MS" w:eastAsia="Times New Roman" w:hAnsi="Trebuchet MS" w:cs="Trebuchet MS"/>
          <w:b/>
          <w:i/>
          <w:snapToGrid w:val="0"/>
          <w:color w:val="auto"/>
          <w:sz w:val="22"/>
          <w:szCs w:val="22"/>
          <w:lang w:val="en-GB" w:eastAsia="de-AT"/>
        </w:rPr>
      </w:pPr>
      <w:r w:rsidRPr="0094444B">
        <w:rPr>
          <w:rFonts w:ascii="Trebuchet MS" w:eastAsia="Times New Roman" w:hAnsi="Trebuchet MS" w:cs="Trebuchet MS"/>
          <w:b/>
          <w:i/>
          <w:snapToGrid w:val="0"/>
          <w:color w:val="auto"/>
          <w:sz w:val="22"/>
          <w:szCs w:val="22"/>
          <w:lang w:val="en-GB" w:eastAsia="de-AT"/>
        </w:rPr>
        <w:t>Question 2: What is the likely impact of the clarification of having an exceptional case when the existence of a control relationship does not lead to a ‘single risk’? Please provide an estimation of the associated quantitative costs.</w:t>
      </w:r>
    </w:p>
    <w:p w:rsidR="00CF62F5" w:rsidRPr="0094444B" w:rsidRDefault="00CF62F5" w:rsidP="0094444B">
      <w:pPr>
        <w:pStyle w:val="Default"/>
        <w:tabs>
          <w:tab w:val="left" w:pos="991"/>
        </w:tabs>
        <w:spacing w:after="120"/>
        <w:rPr>
          <w:rFonts w:ascii="Trebuchet MS" w:eastAsia="Times New Roman" w:hAnsi="Trebuchet MS" w:cs="Trebuchet MS"/>
          <w:snapToGrid w:val="0"/>
          <w:color w:val="auto"/>
          <w:sz w:val="22"/>
          <w:szCs w:val="22"/>
          <w:lang w:val="en-GB" w:eastAsia="de-AT"/>
        </w:rPr>
      </w:pPr>
      <w:r w:rsidRPr="0094444B">
        <w:rPr>
          <w:rFonts w:ascii="Trebuchet MS" w:eastAsia="Times New Roman" w:hAnsi="Trebuchet MS" w:cs="Trebuchet MS"/>
          <w:snapToGrid w:val="0"/>
          <w:color w:val="auto"/>
          <w:sz w:val="22"/>
          <w:szCs w:val="22"/>
          <w:lang w:val="en-GB" w:eastAsia="de-AT"/>
        </w:rPr>
        <w:t>The impact is positive; it permits more accurate counterparty credit risk underwriting and steering by not mixing cash-flows that should not be related.</w:t>
      </w:r>
    </w:p>
    <w:p w:rsidR="005808AD" w:rsidRPr="0094444B" w:rsidRDefault="005808AD" w:rsidP="0094444B">
      <w:pPr>
        <w:pStyle w:val="Default"/>
        <w:tabs>
          <w:tab w:val="left" w:pos="991"/>
        </w:tabs>
        <w:spacing w:after="120"/>
        <w:rPr>
          <w:rFonts w:ascii="Trebuchet MS" w:eastAsia="Times New Roman" w:hAnsi="Trebuchet MS" w:cs="Trebuchet MS"/>
          <w:snapToGrid w:val="0"/>
          <w:color w:val="auto"/>
          <w:sz w:val="22"/>
          <w:szCs w:val="22"/>
          <w:lang w:val="en-GB" w:eastAsia="de-AT"/>
        </w:rPr>
      </w:pPr>
      <w:r w:rsidRPr="0094444B">
        <w:rPr>
          <w:rFonts w:ascii="Trebuchet MS" w:eastAsia="Times New Roman" w:hAnsi="Trebuchet MS" w:cs="Trebuchet MS"/>
          <w:snapToGrid w:val="0"/>
          <w:color w:val="auto"/>
          <w:sz w:val="22"/>
          <w:szCs w:val="22"/>
          <w:lang w:val="en-GB" w:eastAsia="de-AT"/>
        </w:rPr>
        <w:t>For most SPV financings, this should already be covered by the legal due diligence; for some other cases, extra due diligence may need to be commissioned at significant cost.</w:t>
      </w:r>
    </w:p>
    <w:p w:rsidR="0094444B" w:rsidRPr="0094444B" w:rsidRDefault="00452A16" w:rsidP="0094444B">
      <w:pPr>
        <w:pStyle w:val="Default"/>
        <w:tabs>
          <w:tab w:val="left" w:pos="991"/>
        </w:tabs>
        <w:spacing w:after="120"/>
        <w:rPr>
          <w:rFonts w:ascii="Trebuchet MS" w:eastAsia="Times New Roman" w:hAnsi="Trebuchet MS" w:cs="Trebuchet MS"/>
          <w:snapToGrid w:val="0"/>
          <w:color w:val="auto"/>
          <w:sz w:val="22"/>
          <w:szCs w:val="22"/>
          <w:lang w:val="en-GB" w:eastAsia="de-AT"/>
        </w:rPr>
      </w:pPr>
      <w:r w:rsidRPr="0094444B">
        <w:rPr>
          <w:rFonts w:ascii="Trebuchet MS" w:eastAsia="Times New Roman" w:hAnsi="Trebuchet MS" w:cs="Trebuchet MS"/>
          <w:snapToGrid w:val="0"/>
          <w:color w:val="auto"/>
          <w:sz w:val="22"/>
          <w:szCs w:val="22"/>
          <w:lang w:val="en-GB" w:eastAsia="de-AT"/>
        </w:rPr>
        <w:t xml:space="preserve">As we are dealing with information contained in the official documentation (e.g. annual reports, local registries), which is collected from group clients, it would be sufficient to document the lack of single risk in a detailed and comprehensive manner. Hence, we estimated that the impact would be overall null or low in line with the current operating practices.  It is expected that no further information/analyses will be required in addition to the documents already set used by mapping functions in risk management. Otherwise, the impact will be relevant. </w:t>
      </w:r>
    </w:p>
    <w:p w:rsidR="005808AD" w:rsidRPr="0094444B" w:rsidRDefault="005808AD" w:rsidP="0094444B">
      <w:pPr>
        <w:pStyle w:val="Default"/>
        <w:tabs>
          <w:tab w:val="left" w:pos="991"/>
        </w:tabs>
        <w:spacing w:after="120"/>
        <w:rPr>
          <w:rFonts w:ascii="Trebuchet MS" w:eastAsia="Times New Roman" w:hAnsi="Trebuchet MS" w:cs="Trebuchet MS"/>
          <w:b/>
          <w:i/>
          <w:snapToGrid w:val="0"/>
          <w:color w:val="auto"/>
          <w:sz w:val="22"/>
          <w:szCs w:val="22"/>
          <w:lang w:val="en-GB" w:eastAsia="de-AT"/>
        </w:rPr>
      </w:pPr>
      <w:r w:rsidRPr="0094444B">
        <w:rPr>
          <w:rFonts w:ascii="Trebuchet MS" w:eastAsia="Times New Roman" w:hAnsi="Trebuchet MS" w:cs="Trebuchet MS"/>
          <w:b/>
          <w:i/>
          <w:snapToGrid w:val="0"/>
          <w:color w:val="auto"/>
          <w:sz w:val="22"/>
          <w:szCs w:val="22"/>
          <w:lang w:val="en-GB" w:eastAsia="de-AT"/>
        </w:rPr>
        <w:t>Question 3: Do you see a need for further clarification of the accounting provisions which are relevant for large exposures purposes? If yes, please point out the exact indicator of control according to the Directive 2013/34/EU or Regulation (EC) No 1606/2002 which should be clarified with respect to the large exposures regime.</w:t>
      </w:r>
    </w:p>
    <w:p w:rsidR="00452A16" w:rsidRDefault="005808AD" w:rsidP="005808AD">
      <w:pPr>
        <w:autoSpaceDE w:val="0"/>
        <w:autoSpaceDN w:val="0"/>
        <w:adjustRightInd w:val="0"/>
        <w:spacing w:line="240" w:lineRule="auto"/>
        <w:rPr>
          <w:lang w:val="en-GB"/>
        </w:rPr>
      </w:pPr>
      <w:r w:rsidRPr="0094444B">
        <w:rPr>
          <w:lang w:val="en-GB"/>
        </w:rPr>
        <w:t>No further clarification required.</w:t>
      </w:r>
    </w:p>
    <w:p w:rsidR="0094444B" w:rsidRPr="0094444B" w:rsidRDefault="0094444B" w:rsidP="005808AD">
      <w:pPr>
        <w:autoSpaceDE w:val="0"/>
        <w:autoSpaceDN w:val="0"/>
        <w:adjustRightInd w:val="0"/>
        <w:spacing w:line="240" w:lineRule="auto"/>
        <w:rPr>
          <w:i/>
          <w:lang w:val="en-GB"/>
        </w:rPr>
      </w:pPr>
    </w:p>
    <w:p w:rsidR="005808AD" w:rsidRPr="0094444B" w:rsidRDefault="005808AD" w:rsidP="005808AD">
      <w:pPr>
        <w:autoSpaceDE w:val="0"/>
        <w:autoSpaceDN w:val="0"/>
        <w:adjustRightInd w:val="0"/>
        <w:spacing w:line="240" w:lineRule="auto"/>
        <w:rPr>
          <w:rFonts w:cs="Calibri,Bold"/>
          <w:b/>
          <w:bCs/>
          <w:i/>
          <w:snapToGrid/>
          <w:lang w:val="de-AT"/>
        </w:rPr>
      </w:pPr>
      <w:r w:rsidRPr="0094444B">
        <w:rPr>
          <w:rFonts w:cs="Calibri,Bold"/>
          <w:b/>
          <w:bCs/>
          <w:i/>
          <w:snapToGrid/>
          <w:lang w:val="de-AT"/>
        </w:rPr>
        <w:t>Question 4: Are there any other indicators of control in the case of a similar relationship which are useful to add to this list of indicators?</w:t>
      </w:r>
    </w:p>
    <w:p w:rsidR="00452A16" w:rsidRDefault="00452A16" w:rsidP="005808AD">
      <w:pPr>
        <w:autoSpaceDE w:val="0"/>
        <w:autoSpaceDN w:val="0"/>
        <w:adjustRightInd w:val="0"/>
        <w:spacing w:line="240" w:lineRule="auto"/>
        <w:rPr>
          <w:rFonts w:cs="Calibri,Bold"/>
          <w:b/>
          <w:bCs/>
          <w:snapToGrid/>
          <w:lang w:val="de-AT"/>
        </w:rPr>
      </w:pPr>
    </w:p>
    <w:p w:rsidR="00452A16" w:rsidRPr="0094444B" w:rsidRDefault="00452A16" w:rsidP="0094444B">
      <w:pPr>
        <w:pStyle w:val="Default"/>
        <w:tabs>
          <w:tab w:val="left" w:pos="991"/>
        </w:tabs>
        <w:spacing w:after="120"/>
        <w:rPr>
          <w:rFonts w:ascii="Trebuchet MS" w:eastAsia="Times New Roman" w:hAnsi="Trebuchet MS" w:cs="Trebuchet MS"/>
          <w:snapToGrid w:val="0"/>
          <w:color w:val="auto"/>
          <w:sz w:val="22"/>
          <w:szCs w:val="22"/>
          <w:lang w:val="en-GB" w:eastAsia="de-AT"/>
        </w:rPr>
      </w:pPr>
      <w:r w:rsidRPr="0094444B">
        <w:rPr>
          <w:rFonts w:ascii="Trebuchet MS" w:eastAsia="Times New Roman" w:hAnsi="Trebuchet MS" w:cs="Trebuchet MS"/>
          <w:snapToGrid w:val="0"/>
          <w:color w:val="auto"/>
          <w:sz w:val="22"/>
          <w:szCs w:val="22"/>
          <w:lang w:val="en-GB" w:eastAsia="de-AT"/>
        </w:rPr>
        <w:t xml:space="preserve">In our view there are no other indicators of control which should be added to the list. Nevertheless, we find the list not clear enough in terms of relations between the situations described, i.e. ranking of criteria. Especially, it should be clarified how the cases when more than one situation is fulfilled between different natural or legal persons should be treated. For example, if for the same legal entity </w:t>
      </w:r>
      <w:proofErr w:type="gramStart"/>
      <w:r w:rsidRPr="0094444B">
        <w:rPr>
          <w:rFonts w:ascii="Trebuchet MS" w:eastAsia="Times New Roman" w:hAnsi="Trebuchet MS" w:cs="Trebuchet MS"/>
          <w:snapToGrid w:val="0"/>
          <w:color w:val="auto"/>
          <w:sz w:val="22"/>
          <w:szCs w:val="22"/>
          <w:lang w:val="en-GB" w:eastAsia="de-AT"/>
        </w:rPr>
        <w:t>one counterparty</w:t>
      </w:r>
      <w:proofErr w:type="gramEnd"/>
      <w:r w:rsidRPr="0094444B">
        <w:rPr>
          <w:rFonts w:ascii="Trebuchet MS" w:eastAsia="Times New Roman" w:hAnsi="Trebuchet MS" w:cs="Trebuchet MS"/>
          <w:snapToGrid w:val="0"/>
          <w:color w:val="auto"/>
          <w:sz w:val="22"/>
          <w:szCs w:val="22"/>
          <w:lang w:val="en-GB" w:eastAsia="de-AT"/>
        </w:rPr>
        <w:t xml:space="preserve"> holds the majority of voting rights whereas a different counterparty holds the majority of shares of capital. According to our understanding the majority of voting rights should be a decisive criterion for the control relationship.</w:t>
      </w:r>
    </w:p>
    <w:p w:rsidR="00452A16" w:rsidRDefault="00452A16" w:rsidP="005808AD">
      <w:pPr>
        <w:autoSpaceDE w:val="0"/>
        <w:autoSpaceDN w:val="0"/>
        <w:adjustRightInd w:val="0"/>
        <w:spacing w:line="240" w:lineRule="auto"/>
        <w:rPr>
          <w:rFonts w:cs="Calibri,Bold"/>
          <w:b/>
          <w:bCs/>
          <w:snapToGrid/>
          <w:lang w:val="de-AT"/>
        </w:rPr>
      </w:pPr>
    </w:p>
    <w:p w:rsidR="005808AD" w:rsidRPr="0094444B" w:rsidRDefault="005808AD" w:rsidP="005808AD">
      <w:pPr>
        <w:autoSpaceDE w:val="0"/>
        <w:autoSpaceDN w:val="0"/>
        <w:adjustRightInd w:val="0"/>
        <w:spacing w:line="240" w:lineRule="auto"/>
        <w:rPr>
          <w:rFonts w:cs="Calibri,Bold"/>
          <w:b/>
          <w:bCs/>
          <w:i/>
          <w:snapToGrid/>
          <w:lang w:val="de-AT"/>
        </w:rPr>
      </w:pPr>
      <w:r w:rsidRPr="0094444B">
        <w:rPr>
          <w:rFonts w:cs="Calibri,Bold"/>
          <w:b/>
          <w:bCs/>
          <w:i/>
          <w:snapToGrid/>
          <w:lang w:val="de-AT"/>
        </w:rPr>
        <w:lastRenderedPageBreak/>
        <w:t>Question 5: What would be the cost of the assessment of the existence of control relationships in the case of subsidiaries exempted from accounting consolidation? Please provide an estimation of quantitative costs. In your experience, how significant are these cases?</w:t>
      </w:r>
    </w:p>
    <w:p w:rsidR="0094444B" w:rsidRPr="005808AD" w:rsidRDefault="0094444B" w:rsidP="005808AD">
      <w:pPr>
        <w:autoSpaceDE w:val="0"/>
        <w:autoSpaceDN w:val="0"/>
        <w:adjustRightInd w:val="0"/>
        <w:spacing w:line="240" w:lineRule="auto"/>
        <w:rPr>
          <w:rFonts w:cs="Calibri,Bold"/>
          <w:b/>
          <w:bCs/>
          <w:snapToGrid/>
          <w:lang w:val="de-AT"/>
        </w:rPr>
      </w:pPr>
    </w:p>
    <w:p w:rsidR="00CF62F5" w:rsidRPr="0094444B" w:rsidRDefault="00CF62F5" w:rsidP="0094444B">
      <w:pPr>
        <w:pStyle w:val="Default"/>
        <w:tabs>
          <w:tab w:val="left" w:pos="991"/>
        </w:tabs>
        <w:spacing w:after="120"/>
        <w:rPr>
          <w:rFonts w:ascii="Trebuchet MS" w:eastAsia="Times New Roman" w:hAnsi="Trebuchet MS" w:cs="Trebuchet MS"/>
          <w:snapToGrid w:val="0"/>
          <w:color w:val="auto"/>
          <w:sz w:val="22"/>
          <w:szCs w:val="22"/>
          <w:lang w:val="en-GB" w:eastAsia="de-AT"/>
        </w:rPr>
      </w:pPr>
      <w:r w:rsidRPr="0094444B">
        <w:rPr>
          <w:rFonts w:ascii="Trebuchet MS" w:eastAsia="Times New Roman" w:hAnsi="Trebuchet MS" w:cs="Trebuchet MS"/>
          <w:snapToGrid w:val="0"/>
          <w:color w:val="auto"/>
          <w:sz w:val="22"/>
          <w:szCs w:val="22"/>
          <w:lang w:val="en-GB" w:eastAsia="de-AT"/>
        </w:rPr>
        <w:t xml:space="preserve">According to our assessment this is not a significant problem as far as this information can be retrieved from official documentation (e.g. financial statements, public registries). Additional costs may arise in countries where centralised databases on control relationships among companies are not available. </w:t>
      </w:r>
    </w:p>
    <w:p w:rsidR="00452A16" w:rsidRPr="00E52ECE" w:rsidRDefault="005808AD" w:rsidP="00E52ECE">
      <w:pPr>
        <w:pStyle w:val="Default"/>
        <w:tabs>
          <w:tab w:val="left" w:pos="991"/>
        </w:tabs>
        <w:spacing w:after="120"/>
        <w:rPr>
          <w:rFonts w:ascii="Trebuchet MS" w:eastAsia="Times New Roman" w:hAnsi="Trebuchet MS" w:cs="Trebuchet MS"/>
          <w:snapToGrid w:val="0"/>
          <w:color w:val="auto"/>
          <w:sz w:val="22"/>
          <w:szCs w:val="22"/>
          <w:lang w:val="en-GB" w:eastAsia="de-AT"/>
        </w:rPr>
      </w:pPr>
      <w:r w:rsidRPr="0094444B">
        <w:rPr>
          <w:rFonts w:ascii="Trebuchet MS" w:eastAsia="Times New Roman" w:hAnsi="Trebuchet MS" w:cs="Trebuchet MS"/>
          <w:snapToGrid w:val="0"/>
          <w:color w:val="auto"/>
          <w:sz w:val="22"/>
          <w:szCs w:val="22"/>
          <w:lang w:val="en-GB" w:eastAsia="de-AT"/>
        </w:rPr>
        <w:t xml:space="preserve">Indicators for such an assessment should be provided out of the Know-Your-Customer Procedures at no relevant additional cost. If there are control relationships which cannot be derived out of the KYC documents (e.g. corporate registries extracts) the cost of establishing the control relationship would be higher. </w:t>
      </w:r>
    </w:p>
    <w:p w:rsidR="005808AD" w:rsidRPr="0094444B" w:rsidRDefault="005808AD" w:rsidP="005808AD">
      <w:pPr>
        <w:autoSpaceDE w:val="0"/>
        <w:autoSpaceDN w:val="0"/>
        <w:adjustRightInd w:val="0"/>
        <w:spacing w:line="240" w:lineRule="auto"/>
        <w:rPr>
          <w:rFonts w:cs="Calibri,Bold"/>
          <w:b/>
          <w:bCs/>
          <w:i/>
          <w:snapToGrid/>
          <w:lang w:val="de-AT"/>
        </w:rPr>
      </w:pPr>
      <w:r w:rsidRPr="0094444B">
        <w:rPr>
          <w:rFonts w:cs="Calibri,Bold"/>
          <w:b/>
          <w:bCs/>
          <w:i/>
          <w:snapToGrid/>
          <w:lang w:val="de-AT"/>
        </w:rPr>
        <w:t>Question 6: Is the guidance provided in section 5. ‘Alternative approach for exposures to central governments’ clear? If not, please provide concrete suggestions.</w:t>
      </w:r>
    </w:p>
    <w:p w:rsidR="00CF62F5" w:rsidRPr="0094444B" w:rsidRDefault="00CF62F5" w:rsidP="005808AD">
      <w:pPr>
        <w:autoSpaceDE w:val="0"/>
        <w:autoSpaceDN w:val="0"/>
        <w:adjustRightInd w:val="0"/>
        <w:spacing w:line="240" w:lineRule="auto"/>
        <w:rPr>
          <w:rFonts w:cs="Calibri,Bold"/>
          <w:bCs/>
          <w:snapToGrid/>
          <w:lang w:val="de-AT"/>
        </w:rPr>
      </w:pPr>
    </w:p>
    <w:p w:rsidR="00452A16" w:rsidRPr="0094444B" w:rsidRDefault="005808AD" w:rsidP="00CF62F5">
      <w:pPr>
        <w:autoSpaceDE w:val="0"/>
        <w:autoSpaceDN w:val="0"/>
        <w:adjustRightInd w:val="0"/>
        <w:spacing w:line="240" w:lineRule="auto"/>
        <w:rPr>
          <w:rFonts w:cs="Calibri,Bold"/>
          <w:bCs/>
          <w:snapToGrid/>
          <w:lang w:val="de-AT"/>
        </w:rPr>
      </w:pPr>
      <w:r w:rsidRPr="0094444B">
        <w:rPr>
          <w:rFonts w:cs="Calibri,Bold"/>
          <w:bCs/>
          <w:snapToGrid/>
          <w:lang w:val="de-AT"/>
        </w:rPr>
        <w:t>The guidance is clear.</w:t>
      </w:r>
      <w:r w:rsidR="00CF62F5" w:rsidRPr="0094444B">
        <w:rPr>
          <w:rFonts w:cs="Calibri,Bold"/>
          <w:bCs/>
          <w:snapToGrid/>
          <w:lang w:val="de-AT"/>
        </w:rPr>
        <w:t xml:space="preserve"> </w:t>
      </w:r>
      <w:r w:rsidR="00452A16" w:rsidRPr="0094444B">
        <w:rPr>
          <w:rFonts w:cs="Calibri,Bold"/>
          <w:bCs/>
          <w:snapToGrid/>
          <w:lang w:val="de-AT"/>
        </w:rPr>
        <w:t>We understand that institutions are granted full flexibility in choosing the approach - full approach, alternative approach and partial alternative - to be applied to central governments, on a case by case basis, in order to limit the operating burdens.</w:t>
      </w:r>
    </w:p>
    <w:p w:rsidR="00452A16" w:rsidRPr="0094444B" w:rsidRDefault="00452A16" w:rsidP="0094444B">
      <w:pPr>
        <w:autoSpaceDE w:val="0"/>
        <w:autoSpaceDN w:val="0"/>
        <w:adjustRightInd w:val="0"/>
        <w:spacing w:line="240" w:lineRule="auto"/>
        <w:rPr>
          <w:rFonts w:cs="Calibri,Bold"/>
          <w:bCs/>
          <w:snapToGrid/>
          <w:lang w:val="de-AT"/>
        </w:rPr>
      </w:pPr>
      <w:r w:rsidRPr="0094444B">
        <w:rPr>
          <w:rFonts w:cs="Calibri,Bold"/>
          <w:bCs/>
          <w:snapToGrid/>
          <w:lang w:val="de-AT"/>
        </w:rPr>
        <w:t xml:space="preserve">With respect to the examples outlined in the consultation paper, the group of connected clients constituted by the controlled entities (A, A1, A2, B, B1, B2) in the case illustrated in Example CG4 seems not to be explicitly required by the CRR and therefore in our opinion it should not be considered. </w:t>
      </w:r>
    </w:p>
    <w:p w:rsidR="005808AD" w:rsidRDefault="005808AD" w:rsidP="005808AD">
      <w:pPr>
        <w:autoSpaceDE w:val="0"/>
        <w:autoSpaceDN w:val="0"/>
        <w:adjustRightInd w:val="0"/>
        <w:spacing w:line="240" w:lineRule="auto"/>
        <w:rPr>
          <w:rFonts w:cs="Calibri,Bold"/>
          <w:b/>
          <w:bCs/>
          <w:snapToGrid/>
          <w:lang w:val="de-AT"/>
        </w:rPr>
      </w:pPr>
    </w:p>
    <w:p w:rsidR="005808AD" w:rsidRPr="005808AD" w:rsidRDefault="005808AD" w:rsidP="005808AD">
      <w:pPr>
        <w:autoSpaceDE w:val="0"/>
        <w:autoSpaceDN w:val="0"/>
        <w:adjustRightInd w:val="0"/>
        <w:spacing w:line="240" w:lineRule="auto"/>
        <w:rPr>
          <w:rFonts w:cs="Calibri,Bold"/>
          <w:b/>
          <w:bCs/>
          <w:snapToGrid/>
          <w:lang w:val="de-AT"/>
        </w:rPr>
      </w:pPr>
      <w:r>
        <w:rPr>
          <w:rFonts w:cs="Calibri,Bold"/>
          <w:b/>
          <w:bCs/>
          <w:snapToGrid/>
          <w:lang w:val="de-AT"/>
        </w:rPr>
        <w:t xml:space="preserve">Question </w:t>
      </w:r>
      <w:r w:rsidRPr="005808AD">
        <w:rPr>
          <w:rFonts w:cs="Calibri,Bold"/>
          <w:b/>
          <w:bCs/>
          <w:snapToGrid/>
          <w:lang w:val="de-AT"/>
        </w:rPr>
        <w:t>7: What is the likely impact of considering that clients are connected as soon as the</w:t>
      </w:r>
    </w:p>
    <w:p w:rsidR="005808AD" w:rsidRPr="005808AD" w:rsidRDefault="005808AD" w:rsidP="005808AD">
      <w:pPr>
        <w:autoSpaceDE w:val="0"/>
        <w:autoSpaceDN w:val="0"/>
        <w:adjustRightInd w:val="0"/>
        <w:spacing w:line="240" w:lineRule="auto"/>
        <w:rPr>
          <w:rFonts w:cs="Calibri,Bold"/>
          <w:b/>
          <w:bCs/>
          <w:snapToGrid/>
          <w:lang w:val="de-AT"/>
        </w:rPr>
      </w:pPr>
      <w:r w:rsidRPr="005808AD">
        <w:rPr>
          <w:rFonts w:cs="Calibri,Bold"/>
          <w:b/>
          <w:bCs/>
          <w:snapToGrid/>
          <w:lang w:val="de-AT"/>
        </w:rPr>
        <w:t>failure of a client would lead to ‘repayment difficulties’ of another client? Please provide an</w:t>
      </w:r>
    </w:p>
    <w:p w:rsidR="005808AD" w:rsidRPr="005808AD" w:rsidRDefault="005808AD" w:rsidP="005808AD">
      <w:pPr>
        <w:autoSpaceDE w:val="0"/>
        <w:autoSpaceDN w:val="0"/>
        <w:adjustRightInd w:val="0"/>
        <w:spacing w:line="240" w:lineRule="auto"/>
        <w:rPr>
          <w:rFonts w:cs="Calibri,Bold"/>
          <w:b/>
          <w:bCs/>
          <w:snapToGrid/>
          <w:lang w:val="de-AT"/>
        </w:rPr>
      </w:pPr>
      <w:r w:rsidRPr="005808AD">
        <w:rPr>
          <w:rFonts w:cs="Calibri,Bold"/>
          <w:b/>
          <w:bCs/>
          <w:snapToGrid/>
          <w:lang w:val="de-AT"/>
        </w:rPr>
        <w:t>estimation of any associated quantitative costs.</w:t>
      </w:r>
    </w:p>
    <w:p w:rsidR="0053760D" w:rsidRDefault="0053760D" w:rsidP="005808AD">
      <w:pPr>
        <w:autoSpaceDE w:val="0"/>
        <w:autoSpaceDN w:val="0"/>
        <w:adjustRightInd w:val="0"/>
        <w:spacing w:line="240" w:lineRule="auto"/>
        <w:rPr>
          <w:rFonts w:cs="Calibri"/>
          <w:snapToGrid/>
          <w:lang w:val="de-AT"/>
        </w:rPr>
      </w:pPr>
    </w:p>
    <w:p w:rsidR="0053760D" w:rsidRPr="0094444B" w:rsidRDefault="0053760D" w:rsidP="0094444B">
      <w:pPr>
        <w:pStyle w:val="Default"/>
        <w:tabs>
          <w:tab w:val="left" w:pos="991"/>
        </w:tabs>
        <w:spacing w:after="120"/>
        <w:rPr>
          <w:rFonts w:ascii="Trebuchet MS" w:eastAsia="Times New Roman" w:hAnsi="Trebuchet MS" w:cs="Trebuchet MS"/>
          <w:snapToGrid w:val="0"/>
          <w:color w:val="auto"/>
          <w:sz w:val="22"/>
          <w:szCs w:val="22"/>
          <w:lang w:val="en-GB" w:eastAsia="de-AT"/>
        </w:rPr>
      </w:pPr>
      <w:r w:rsidRPr="0094444B">
        <w:rPr>
          <w:rFonts w:ascii="Trebuchet MS" w:eastAsia="Times New Roman" w:hAnsi="Trebuchet MS" w:cs="Trebuchet MS"/>
          <w:snapToGrid w:val="0"/>
          <w:color w:val="auto"/>
          <w:sz w:val="22"/>
          <w:szCs w:val="22"/>
          <w:lang w:val="en-GB" w:eastAsia="de-AT"/>
        </w:rPr>
        <w:t xml:space="preserve">Switching from the restrictive concept of 'default contagion' (“substantial existence-threatening repayment difficulties”) </w:t>
      </w:r>
      <w:r w:rsidRPr="0094444B">
        <w:rPr>
          <w:rFonts w:ascii="Trebuchet MS" w:eastAsia="Times New Roman" w:hAnsi="Trebuchet MS" w:cs="Trebuchet MS"/>
          <w:snapToGrid w:val="0"/>
          <w:color w:val="auto"/>
          <w:sz w:val="22"/>
          <w:szCs w:val="22"/>
          <w:u w:val="single"/>
          <w:lang w:val="en-GB" w:eastAsia="de-AT"/>
        </w:rPr>
        <w:t>to the less restrictive concept of 'repayment difficulties' is counterproductive and effectively prevents proper counterparty risk assessment and risk steering</w:t>
      </w:r>
      <w:r w:rsidRPr="0094444B">
        <w:rPr>
          <w:rFonts w:ascii="Trebuchet MS" w:eastAsia="Times New Roman" w:hAnsi="Trebuchet MS" w:cs="Trebuchet MS"/>
          <w:snapToGrid w:val="0"/>
          <w:color w:val="auto"/>
          <w:sz w:val="22"/>
          <w:szCs w:val="22"/>
          <w:lang w:val="en-GB" w:eastAsia="de-AT"/>
        </w:rPr>
        <w:t xml:space="preserve">. </w:t>
      </w:r>
    </w:p>
    <w:p w:rsidR="0053760D" w:rsidRPr="0094444B" w:rsidRDefault="0053760D" w:rsidP="0094444B">
      <w:pPr>
        <w:pStyle w:val="Default"/>
        <w:tabs>
          <w:tab w:val="left" w:pos="991"/>
        </w:tabs>
        <w:spacing w:after="120"/>
        <w:rPr>
          <w:rFonts w:ascii="Trebuchet MS" w:eastAsia="Times New Roman" w:hAnsi="Trebuchet MS" w:cs="Trebuchet MS"/>
          <w:snapToGrid w:val="0"/>
          <w:color w:val="auto"/>
          <w:sz w:val="22"/>
          <w:szCs w:val="22"/>
          <w:lang w:val="en-GB" w:eastAsia="de-AT"/>
        </w:rPr>
      </w:pPr>
      <w:r w:rsidRPr="0094444B">
        <w:rPr>
          <w:rFonts w:ascii="Trebuchet MS" w:eastAsia="Times New Roman" w:hAnsi="Trebuchet MS" w:cs="Trebuchet MS"/>
          <w:snapToGrid w:val="0"/>
          <w:color w:val="auto"/>
          <w:sz w:val="22"/>
          <w:szCs w:val="22"/>
          <w:lang w:val="en-GB" w:eastAsia="de-AT"/>
        </w:rPr>
        <w:t>By removing the crucial qualification that economic dependence exists only in case of 'default contagion', entire value chains may or must be connected. This creates artificial groupings that cannot be managed with the tools of counterparty credit risk management any more (financial analysis, counterparty rating</w:t>
      </w:r>
      <w:proofErr w:type="gramStart"/>
      <w:r w:rsidRPr="0094444B">
        <w:rPr>
          <w:rFonts w:ascii="Trebuchet MS" w:eastAsia="Times New Roman" w:hAnsi="Trebuchet MS" w:cs="Trebuchet MS"/>
          <w:snapToGrid w:val="0"/>
          <w:color w:val="auto"/>
          <w:sz w:val="22"/>
          <w:szCs w:val="22"/>
          <w:lang w:val="en-GB" w:eastAsia="de-AT"/>
        </w:rPr>
        <w:t>,…</w:t>
      </w:r>
      <w:proofErr w:type="gramEnd"/>
      <w:r w:rsidRPr="0094444B">
        <w:rPr>
          <w:rFonts w:ascii="Trebuchet MS" w:eastAsia="Times New Roman" w:hAnsi="Trebuchet MS" w:cs="Trebuchet MS"/>
          <w:snapToGrid w:val="0"/>
          <w:color w:val="auto"/>
          <w:sz w:val="22"/>
          <w:szCs w:val="22"/>
          <w:lang w:val="en-GB" w:eastAsia="de-AT"/>
        </w:rPr>
        <w:t xml:space="preserve">) and significantly deteriorates the quality of credit risk management in a bank. </w:t>
      </w:r>
    </w:p>
    <w:p w:rsidR="0053760D" w:rsidRPr="0094444B" w:rsidRDefault="0053760D" w:rsidP="0094444B">
      <w:pPr>
        <w:pStyle w:val="Default"/>
        <w:tabs>
          <w:tab w:val="left" w:pos="991"/>
        </w:tabs>
        <w:spacing w:after="120"/>
        <w:rPr>
          <w:rFonts w:ascii="Trebuchet MS" w:eastAsia="Times New Roman" w:hAnsi="Trebuchet MS" w:cs="Trebuchet MS"/>
          <w:snapToGrid w:val="0"/>
          <w:color w:val="auto"/>
          <w:sz w:val="22"/>
          <w:szCs w:val="22"/>
          <w:lang w:val="en-GB" w:eastAsia="de-AT"/>
        </w:rPr>
      </w:pPr>
      <w:r w:rsidRPr="0094444B">
        <w:rPr>
          <w:rFonts w:ascii="Trebuchet MS" w:eastAsia="Times New Roman" w:hAnsi="Trebuchet MS" w:cs="Trebuchet MS"/>
          <w:snapToGrid w:val="0"/>
          <w:color w:val="auto"/>
          <w:sz w:val="22"/>
          <w:szCs w:val="22"/>
          <w:lang w:val="en-GB" w:eastAsia="de-AT"/>
        </w:rPr>
        <w:t xml:space="preserve">The further clarification provided by para 24 &amp; para 25 (page 16) does not remove this fundamental problem of the proposed modification to the current definition. </w:t>
      </w:r>
    </w:p>
    <w:p w:rsidR="0053760D" w:rsidRPr="0094444B" w:rsidRDefault="0053760D" w:rsidP="0094444B">
      <w:pPr>
        <w:pStyle w:val="Default"/>
        <w:tabs>
          <w:tab w:val="left" w:pos="991"/>
        </w:tabs>
        <w:spacing w:after="120"/>
        <w:rPr>
          <w:rFonts w:ascii="Trebuchet MS" w:eastAsia="Times New Roman" w:hAnsi="Trebuchet MS" w:cs="Trebuchet MS"/>
          <w:snapToGrid w:val="0"/>
          <w:color w:val="auto"/>
          <w:sz w:val="22"/>
          <w:szCs w:val="22"/>
          <w:lang w:val="en-GB" w:eastAsia="de-AT"/>
        </w:rPr>
      </w:pPr>
      <w:r w:rsidRPr="0094444B">
        <w:rPr>
          <w:rFonts w:ascii="Trebuchet MS" w:eastAsia="Times New Roman" w:hAnsi="Trebuchet MS" w:cs="Trebuchet MS"/>
          <w:snapToGrid w:val="0"/>
          <w:color w:val="auto"/>
          <w:sz w:val="22"/>
          <w:szCs w:val="22"/>
          <w:lang w:val="en-GB" w:eastAsia="de-AT"/>
        </w:rPr>
        <w:t>We generally doubt whether individual loan officers and relationship managers do have the soft information needed to identify connected clients according to the new guideline (para 34, page 23). To fulfill these extended requirements banks could be forced to take additional external data providers to closely monitor their business relationships of the clients.</w:t>
      </w:r>
    </w:p>
    <w:p w:rsidR="0053760D" w:rsidRPr="0094444B" w:rsidRDefault="0053760D" w:rsidP="0094444B">
      <w:pPr>
        <w:pStyle w:val="Default"/>
        <w:tabs>
          <w:tab w:val="left" w:pos="991"/>
        </w:tabs>
        <w:spacing w:after="120"/>
        <w:rPr>
          <w:rFonts w:ascii="Trebuchet MS" w:eastAsia="Times New Roman" w:hAnsi="Trebuchet MS" w:cs="Trebuchet MS"/>
          <w:snapToGrid w:val="0"/>
          <w:color w:val="auto"/>
          <w:sz w:val="22"/>
          <w:szCs w:val="22"/>
          <w:lang w:val="en-GB" w:eastAsia="de-AT"/>
        </w:rPr>
      </w:pPr>
      <w:r w:rsidRPr="0094444B">
        <w:rPr>
          <w:rFonts w:ascii="Trebuchet MS" w:eastAsia="Times New Roman" w:hAnsi="Trebuchet MS" w:cs="Trebuchet MS"/>
          <w:snapToGrid w:val="0"/>
          <w:color w:val="auto"/>
          <w:sz w:val="22"/>
          <w:szCs w:val="22"/>
          <w:lang w:val="en-GB" w:eastAsia="de-AT"/>
        </w:rPr>
        <w:t xml:space="preserve">Economic dependence is an extremely important criterion for determining single risks that, by its very nature, can and </w:t>
      </w:r>
      <w:r w:rsidRPr="0094444B">
        <w:rPr>
          <w:rFonts w:ascii="Trebuchet MS" w:eastAsia="Times New Roman" w:hAnsi="Trebuchet MS" w:cs="Trebuchet MS"/>
          <w:snapToGrid w:val="0"/>
          <w:color w:val="auto"/>
          <w:sz w:val="22"/>
          <w:szCs w:val="22"/>
          <w:u w:val="single"/>
          <w:lang w:val="en-GB" w:eastAsia="de-AT"/>
        </w:rPr>
        <w:t>should only be established based on a thorough case-by-case assessment</w:t>
      </w:r>
      <w:r w:rsidRPr="0094444B">
        <w:rPr>
          <w:rFonts w:ascii="Trebuchet MS" w:eastAsia="Times New Roman" w:hAnsi="Trebuchet MS" w:cs="Trebuchet MS"/>
          <w:snapToGrid w:val="0"/>
          <w:color w:val="auto"/>
          <w:sz w:val="22"/>
          <w:szCs w:val="22"/>
          <w:lang w:val="en-GB" w:eastAsia="de-AT"/>
        </w:rPr>
        <w:t xml:space="preserve">. Except for para k), any of the criteria listed in paragraph. 23 (page 35) may indicate economic dependence, but does not conclusively define it. The case-by-case assessment must be conducted by adequately skilled professionals familiar with the individual case. Defining any list of criteria may – and in actual practice – does lead to situations where Group of Connected Clients formation is done algorithmically by IT-processes or by back-office functions not familiar with the particular case. This creates groupings that may not constitute a single risk which </w:t>
      </w:r>
      <w:r w:rsidR="00823E75">
        <w:rPr>
          <w:rFonts w:ascii="Trebuchet MS" w:eastAsia="Times New Roman" w:hAnsi="Trebuchet MS" w:cs="Trebuchet MS"/>
          <w:snapToGrid w:val="0"/>
          <w:color w:val="auto"/>
          <w:sz w:val="22"/>
          <w:szCs w:val="22"/>
          <w:lang w:val="en-GB" w:eastAsia="de-AT"/>
        </w:rPr>
        <w:lastRenderedPageBreak/>
        <w:t>undermines the very concept and</w:t>
      </w:r>
      <w:r w:rsidRPr="0094444B">
        <w:rPr>
          <w:rFonts w:ascii="Trebuchet MS" w:eastAsia="Times New Roman" w:hAnsi="Trebuchet MS" w:cs="Trebuchet MS"/>
          <w:snapToGrid w:val="0"/>
          <w:color w:val="auto"/>
          <w:sz w:val="22"/>
          <w:szCs w:val="22"/>
          <w:lang w:val="en-GB" w:eastAsia="de-AT"/>
        </w:rPr>
        <w:t xml:space="preserve"> usefulness of a group of connected clients.</w:t>
      </w:r>
    </w:p>
    <w:p w:rsidR="005808AD" w:rsidRPr="005808AD" w:rsidRDefault="005808AD" w:rsidP="005808AD">
      <w:pPr>
        <w:autoSpaceDE w:val="0"/>
        <w:autoSpaceDN w:val="0"/>
        <w:adjustRightInd w:val="0"/>
        <w:spacing w:line="240" w:lineRule="auto"/>
        <w:rPr>
          <w:rFonts w:cs="Calibri"/>
          <w:snapToGrid/>
          <w:lang w:val="de-AT"/>
        </w:rPr>
      </w:pPr>
      <w:r w:rsidRPr="00823E75">
        <w:rPr>
          <w:rFonts w:cs="Calibri"/>
          <w:snapToGrid/>
          <w:lang w:val="de-AT"/>
        </w:rPr>
        <w:t>If “repayment</w:t>
      </w:r>
      <w:r w:rsidRPr="005808AD">
        <w:rPr>
          <w:rFonts w:cs="Calibri"/>
          <w:snapToGrid/>
          <w:lang w:val="de-AT"/>
        </w:rPr>
        <w:t xml:space="preserve"> difficulties” are used as basis for the establishment of client groups instead of</w:t>
      </w:r>
    </w:p>
    <w:p w:rsidR="005808AD" w:rsidRPr="005808AD" w:rsidRDefault="005808AD" w:rsidP="005808AD">
      <w:pPr>
        <w:autoSpaceDE w:val="0"/>
        <w:autoSpaceDN w:val="0"/>
        <w:adjustRightInd w:val="0"/>
        <w:spacing w:line="240" w:lineRule="auto"/>
        <w:rPr>
          <w:rFonts w:cs="Calibri"/>
          <w:snapToGrid/>
          <w:lang w:val="de-AT"/>
        </w:rPr>
      </w:pPr>
      <w:r w:rsidRPr="005808AD">
        <w:rPr>
          <w:rFonts w:cs="Calibri"/>
          <w:snapToGrid/>
          <w:lang w:val="de-AT"/>
        </w:rPr>
        <w:t>“Substantial, existence threatening repayment difficulties” (as use</w:t>
      </w:r>
      <w:r w:rsidR="0053760D">
        <w:rPr>
          <w:rFonts w:cs="Calibri"/>
          <w:snapToGrid/>
          <w:lang w:val="de-AT"/>
        </w:rPr>
        <w:t>d so far), the consequence could</w:t>
      </w:r>
      <w:r>
        <w:rPr>
          <w:rFonts w:cs="Calibri"/>
          <w:snapToGrid/>
          <w:lang w:val="de-AT"/>
        </w:rPr>
        <w:t xml:space="preserve"> </w:t>
      </w:r>
      <w:r w:rsidRPr="005808AD">
        <w:rPr>
          <w:rFonts w:cs="Calibri"/>
          <w:snapToGrid/>
          <w:lang w:val="de-AT"/>
        </w:rPr>
        <w:t>be</w:t>
      </w:r>
    </w:p>
    <w:p w:rsidR="005808AD" w:rsidRPr="0094444B" w:rsidRDefault="005808AD" w:rsidP="005808AD">
      <w:pPr>
        <w:pStyle w:val="Listenabsatz"/>
        <w:numPr>
          <w:ilvl w:val="0"/>
          <w:numId w:val="25"/>
        </w:numPr>
        <w:autoSpaceDE w:val="0"/>
        <w:autoSpaceDN w:val="0"/>
        <w:adjustRightInd w:val="0"/>
        <w:spacing w:line="240" w:lineRule="auto"/>
        <w:rPr>
          <w:rFonts w:cs="Calibri"/>
          <w:snapToGrid/>
          <w:lang w:val="de-AT"/>
        </w:rPr>
      </w:pPr>
      <w:r w:rsidRPr="0094444B">
        <w:rPr>
          <w:rFonts w:cs="Calibri"/>
          <w:snapToGrid/>
          <w:lang w:val="de-AT"/>
        </w:rPr>
        <w:t>That more effort needs to be undertaken and a more detailed analysis would be required in</w:t>
      </w:r>
      <w:r w:rsidR="0094444B">
        <w:rPr>
          <w:rFonts w:cs="Calibri"/>
          <w:snapToGrid/>
          <w:lang w:val="de-AT"/>
        </w:rPr>
        <w:t xml:space="preserve"> </w:t>
      </w:r>
      <w:r w:rsidRPr="0094444B">
        <w:rPr>
          <w:rFonts w:cs="Calibri"/>
          <w:snapToGrid/>
          <w:lang w:val="de-AT"/>
        </w:rPr>
        <w:t>order to establish such difficulties (i.e. the analysis whether a compensation for a loss could be</w:t>
      </w:r>
      <w:r w:rsidR="0094444B">
        <w:rPr>
          <w:rFonts w:cs="Calibri"/>
          <w:snapToGrid/>
          <w:lang w:val="de-AT"/>
        </w:rPr>
        <w:t xml:space="preserve"> </w:t>
      </w:r>
      <w:r w:rsidRPr="0094444B">
        <w:rPr>
          <w:rFonts w:cs="Calibri"/>
          <w:snapToGrid/>
          <w:lang w:val="de-AT"/>
        </w:rPr>
        <w:t>found by other means). In many cases, the detailed insight in the business might not be given or</w:t>
      </w:r>
      <w:r w:rsidR="0094444B">
        <w:rPr>
          <w:rFonts w:cs="Calibri"/>
          <w:snapToGrid/>
          <w:lang w:val="de-AT"/>
        </w:rPr>
        <w:t xml:space="preserve"> </w:t>
      </w:r>
      <w:r w:rsidRPr="0094444B">
        <w:rPr>
          <w:rFonts w:cs="Calibri"/>
          <w:snapToGrid/>
          <w:lang w:val="de-AT"/>
        </w:rPr>
        <w:t>is legally impossible; thus it would be hard to see whether e.g. cost cuts are possible to</w:t>
      </w:r>
      <w:r w:rsidR="0094444B">
        <w:rPr>
          <w:rFonts w:cs="Calibri"/>
          <w:snapToGrid/>
          <w:lang w:val="de-AT"/>
        </w:rPr>
        <w:t xml:space="preserve"> </w:t>
      </w:r>
      <w:r w:rsidRPr="0094444B">
        <w:rPr>
          <w:rFonts w:cs="Calibri"/>
          <w:snapToGrid/>
          <w:lang w:val="de-AT"/>
        </w:rPr>
        <w:t>compensate for a loss.</w:t>
      </w:r>
    </w:p>
    <w:p w:rsidR="0094444B" w:rsidRDefault="005808AD" w:rsidP="005808AD">
      <w:pPr>
        <w:pStyle w:val="Listenabsatz"/>
        <w:numPr>
          <w:ilvl w:val="0"/>
          <w:numId w:val="25"/>
        </w:numPr>
        <w:autoSpaceDE w:val="0"/>
        <w:autoSpaceDN w:val="0"/>
        <w:adjustRightInd w:val="0"/>
        <w:spacing w:line="240" w:lineRule="auto"/>
        <w:rPr>
          <w:rFonts w:cs="Calibri"/>
          <w:snapToGrid/>
          <w:lang w:val="de-AT"/>
        </w:rPr>
      </w:pPr>
      <w:r w:rsidRPr="0094444B">
        <w:rPr>
          <w:rFonts w:cs="Calibri"/>
          <w:snapToGrid/>
          <w:lang w:val="de-AT"/>
        </w:rPr>
        <w:t>That a more judgemental factor is introduced, as one analyst might easier come to another</w:t>
      </w:r>
      <w:r w:rsidR="0094444B">
        <w:rPr>
          <w:rFonts w:cs="Calibri"/>
          <w:snapToGrid/>
          <w:lang w:val="de-AT"/>
        </w:rPr>
        <w:t xml:space="preserve"> </w:t>
      </w:r>
      <w:r w:rsidRPr="0094444B">
        <w:rPr>
          <w:rFonts w:cs="Calibri"/>
          <w:snapToGrid/>
          <w:lang w:val="de-AT"/>
        </w:rPr>
        <w:t>conclusion as another if a credit repayment could be made</w:t>
      </w:r>
      <w:r w:rsidR="0094444B">
        <w:rPr>
          <w:rFonts w:cs="Calibri"/>
          <w:snapToGrid/>
          <w:lang w:val="de-AT"/>
        </w:rPr>
        <w:t>.</w:t>
      </w:r>
    </w:p>
    <w:p w:rsidR="005808AD" w:rsidRPr="0094444B" w:rsidRDefault="005808AD" w:rsidP="005808AD">
      <w:pPr>
        <w:pStyle w:val="Listenabsatz"/>
        <w:numPr>
          <w:ilvl w:val="0"/>
          <w:numId w:val="25"/>
        </w:numPr>
        <w:autoSpaceDE w:val="0"/>
        <w:autoSpaceDN w:val="0"/>
        <w:adjustRightInd w:val="0"/>
        <w:spacing w:line="240" w:lineRule="auto"/>
        <w:rPr>
          <w:rFonts w:cs="Calibri"/>
          <w:snapToGrid/>
          <w:lang w:val="de-AT"/>
        </w:rPr>
      </w:pPr>
      <w:r w:rsidRPr="0094444B">
        <w:rPr>
          <w:rFonts w:cs="Calibri"/>
          <w:snapToGrid/>
          <w:lang w:val="de-AT"/>
        </w:rPr>
        <w:t>More interdependencies between clients will exist which leads to more groups of connected</w:t>
      </w:r>
      <w:r w:rsidR="0094444B">
        <w:rPr>
          <w:rFonts w:cs="Calibri"/>
          <w:snapToGrid/>
          <w:lang w:val="de-AT"/>
        </w:rPr>
        <w:t xml:space="preserve"> </w:t>
      </w:r>
      <w:r w:rsidRPr="0094444B">
        <w:rPr>
          <w:rFonts w:cs="Calibri"/>
          <w:snapToGrid/>
          <w:lang w:val="de-AT"/>
        </w:rPr>
        <w:t>clients. This in turn leads to higher workload, as more companies will have to be included in</w:t>
      </w:r>
      <w:r w:rsidR="0094444B">
        <w:rPr>
          <w:rFonts w:cs="Calibri"/>
          <w:snapToGrid/>
          <w:lang w:val="de-AT"/>
        </w:rPr>
        <w:t xml:space="preserve"> </w:t>
      </w:r>
      <w:r w:rsidRPr="0094444B">
        <w:rPr>
          <w:rFonts w:cs="Calibri"/>
          <w:snapToGrid/>
          <w:lang w:val="de-AT"/>
        </w:rPr>
        <w:t>proposals than before. Due to the limit restrictions loan volumes will decrease.</w:t>
      </w:r>
      <w:r w:rsidR="0094444B">
        <w:rPr>
          <w:rFonts w:cs="Calibri"/>
          <w:snapToGrid/>
          <w:lang w:val="de-AT"/>
        </w:rPr>
        <w:t xml:space="preserve"> </w:t>
      </w:r>
      <w:r w:rsidRPr="0094444B">
        <w:rPr>
          <w:rFonts w:cs="Calibri"/>
          <w:snapToGrid/>
          <w:lang w:val="de-AT"/>
        </w:rPr>
        <w:t>An estimation of costs is not possible without reviewing the whole portfolio in detail in order to</w:t>
      </w:r>
      <w:r w:rsidR="0094444B">
        <w:rPr>
          <w:rFonts w:cs="Calibri"/>
          <w:snapToGrid/>
          <w:lang w:val="de-AT"/>
        </w:rPr>
        <w:t xml:space="preserve"> </w:t>
      </w:r>
      <w:r w:rsidRPr="0094444B">
        <w:rPr>
          <w:rFonts w:cs="Calibri"/>
          <w:snapToGrid/>
          <w:lang w:val="de-AT"/>
        </w:rPr>
        <w:t>establish the groups to be built out of this change of guidance.</w:t>
      </w:r>
    </w:p>
    <w:p w:rsidR="00452A16" w:rsidRPr="0094444B" w:rsidRDefault="00452A16" w:rsidP="005808AD">
      <w:pPr>
        <w:autoSpaceDE w:val="0"/>
        <w:autoSpaceDN w:val="0"/>
        <w:adjustRightInd w:val="0"/>
        <w:spacing w:line="240" w:lineRule="auto"/>
        <w:rPr>
          <w:rFonts w:cs="Calibri"/>
          <w:snapToGrid/>
          <w:lang w:val="de-AT"/>
        </w:rPr>
      </w:pPr>
    </w:p>
    <w:p w:rsidR="00452A16" w:rsidRPr="0094444B" w:rsidRDefault="00452A16" w:rsidP="0094444B">
      <w:pPr>
        <w:autoSpaceDE w:val="0"/>
        <w:autoSpaceDN w:val="0"/>
        <w:adjustRightInd w:val="0"/>
        <w:spacing w:line="240" w:lineRule="auto"/>
        <w:rPr>
          <w:rFonts w:cs="Calibri"/>
          <w:snapToGrid/>
          <w:lang w:val="de-AT"/>
        </w:rPr>
      </w:pPr>
      <w:r w:rsidRPr="0094444B">
        <w:rPr>
          <w:rFonts w:cs="Calibri"/>
          <w:snapToGrid/>
          <w:lang w:val="de-AT"/>
        </w:rPr>
        <w:t>As already mentioned in our general comments, we find it absolutely necessary to clarify the terminology used in the draft guidelines, especially in relation to the default definition. In our understanding (i) ‘repayment difficulties’ do not equate to ‘default’ and (ii) ‘single risk’ does not equate to ‘the same probability of default’.</w:t>
      </w:r>
    </w:p>
    <w:p w:rsidR="00452A16" w:rsidRDefault="00452A16" w:rsidP="005808AD">
      <w:pPr>
        <w:autoSpaceDE w:val="0"/>
        <w:autoSpaceDN w:val="0"/>
        <w:adjustRightInd w:val="0"/>
        <w:spacing w:line="240" w:lineRule="auto"/>
        <w:rPr>
          <w:rFonts w:cs="Calibri,Bold"/>
          <w:b/>
          <w:bCs/>
          <w:snapToGrid/>
          <w:lang w:val="de-AT"/>
        </w:rPr>
      </w:pPr>
    </w:p>
    <w:p w:rsidR="005808AD" w:rsidRPr="0094444B" w:rsidRDefault="005808AD" w:rsidP="005808AD">
      <w:pPr>
        <w:autoSpaceDE w:val="0"/>
        <w:autoSpaceDN w:val="0"/>
        <w:adjustRightInd w:val="0"/>
        <w:spacing w:line="240" w:lineRule="auto"/>
        <w:rPr>
          <w:rFonts w:cs="Calibri,Bold"/>
          <w:b/>
          <w:bCs/>
          <w:i/>
          <w:snapToGrid/>
          <w:lang w:val="de-AT"/>
        </w:rPr>
      </w:pPr>
      <w:r w:rsidRPr="0094444B">
        <w:rPr>
          <w:rFonts w:cs="Calibri,Bold"/>
          <w:b/>
          <w:bCs/>
          <w:i/>
          <w:snapToGrid/>
          <w:lang w:val="de-AT"/>
        </w:rPr>
        <w:t>Question 8: Are the situations described in the list in paragraph 23 as constituting economic</w:t>
      </w:r>
      <w:r w:rsidR="0094444B">
        <w:rPr>
          <w:rFonts w:cs="Calibri,Bold"/>
          <w:b/>
          <w:bCs/>
          <w:i/>
          <w:snapToGrid/>
          <w:lang w:val="de-AT"/>
        </w:rPr>
        <w:t xml:space="preserve"> </w:t>
      </w:r>
      <w:r w:rsidRPr="0094444B">
        <w:rPr>
          <w:rFonts w:cs="Calibri,Bold"/>
          <w:b/>
          <w:bCs/>
          <w:i/>
          <w:snapToGrid/>
          <w:lang w:val="de-AT"/>
        </w:rPr>
        <w:t>dependency clear? If not, provide concrete suggestions. In particular, do you have any comments regarding the introduction of the threshold of ‘at least 50%’ in points c), d), f) and g)?</w:t>
      </w:r>
    </w:p>
    <w:p w:rsidR="0094444B" w:rsidRDefault="0094444B" w:rsidP="005808AD">
      <w:pPr>
        <w:autoSpaceDE w:val="0"/>
        <w:autoSpaceDN w:val="0"/>
        <w:adjustRightInd w:val="0"/>
        <w:spacing w:line="240" w:lineRule="auto"/>
        <w:rPr>
          <w:rFonts w:cs="Calibri"/>
          <w:snapToGrid/>
          <w:lang w:val="de-AT"/>
        </w:rPr>
      </w:pPr>
    </w:p>
    <w:p w:rsidR="005808AD" w:rsidRPr="005808AD" w:rsidRDefault="005808AD" w:rsidP="005808AD">
      <w:pPr>
        <w:autoSpaceDE w:val="0"/>
        <w:autoSpaceDN w:val="0"/>
        <w:adjustRightInd w:val="0"/>
        <w:spacing w:line="240" w:lineRule="auto"/>
        <w:rPr>
          <w:rFonts w:cs="Calibri"/>
          <w:snapToGrid/>
          <w:lang w:val="de-AT"/>
        </w:rPr>
      </w:pPr>
      <w:r w:rsidRPr="005808AD">
        <w:rPr>
          <w:rFonts w:cs="Calibri"/>
          <w:snapToGrid/>
          <w:lang w:val="de-AT"/>
        </w:rPr>
        <w:t>In general, the guidance is clear. The threshold of “at least 50%” is a helpful benchmark.</w:t>
      </w:r>
    </w:p>
    <w:p w:rsidR="005808AD" w:rsidRPr="005808AD" w:rsidRDefault="005808AD" w:rsidP="005808AD">
      <w:pPr>
        <w:autoSpaceDE w:val="0"/>
        <w:autoSpaceDN w:val="0"/>
        <w:adjustRightInd w:val="0"/>
        <w:spacing w:line="240" w:lineRule="auto"/>
        <w:rPr>
          <w:rFonts w:cs="Calibri"/>
          <w:snapToGrid/>
          <w:lang w:val="de-AT"/>
        </w:rPr>
      </w:pPr>
      <w:r w:rsidRPr="005808AD">
        <w:rPr>
          <w:rFonts w:cs="Calibri"/>
          <w:snapToGrid/>
          <w:lang w:val="de-AT"/>
        </w:rPr>
        <w:t>However, room for reasoning should be left for individual cases, if one item of the list applies, but</w:t>
      </w:r>
      <w:r>
        <w:rPr>
          <w:rFonts w:cs="Calibri"/>
          <w:snapToGrid/>
          <w:lang w:val="de-AT"/>
        </w:rPr>
        <w:t xml:space="preserve"> </w:t>
      </w:r>
      <w:r w:rsidRPr="005808AD">
        <w:rPr>
          <w:rFonts w:cs="Calibri"/>
          <w:snapToGrid/>
          <w:lang w:val="de-AT"/>
        </w:rPr>
        <w:t>there are reasons, why nevertheless no depen</w:t>
      </w:r>
      <w:r w:rsidR="0053760D">
        <w:rPr>
          <w:rFonts w:cs="Calibri"/>
          <w:snapToGrid/>
          <w:lang w:val="de-AT"/>
        </w:rPr>
        <w:t>dency exists. Example: a client</w:t>
      </w:r>
      <w:r w:rsidRPr="005808AD">
        <w:rPr>
          <w:rFonts w:cs="Calibri"/>
          <w:snapToGrid/>
          <w:lang w:val="de-AT"/>
        </w:rPr>
        <w:t>‘s gross receipts from</w:t>
      </w:r>
      <w:r>
        <w:rPr>
          <w:rFonts w:cs="Calibri"/>
          <w:snapToGrid/>
          <w:lang w:val="de-AT"/>
        </w:rPr>
        <w:t xml:space="preserve"> </w:t>
      </w:r>
      <w:r w:rsidRPr="005808AD">
        <w:rPr>
          <w:rFonts w:cs="Calibri"/>
          <w:snapToGrid/>
          <w:lang w:val="de-AT"/>
        </w:rPr>
        <w:t>renting a property to a tenant exceeds 50% of the client’s gross receipts, but the property is so easily</w:t>
      </w:r>
      <w:r>
        <w:rPr>
          <w:rFonts w:cs="Calibri"/>
          <w:snapToGrid/>
          <w:lang w:val="de-AT"/>
        </w:rPr>
        <w:t xml:space="preserve"> </w:t>
      </w:r>
      <w:r w:rsidRPr="005808AD">
        <w:rPr>
          <w:rFonts w:cs="Calibri"/>
          <w:snapToGrid/>
          <w:lang w:val="de-AT"/>
        </w:rPr>
        <w:t>rentable that another tenant can be found.</w:t>
      </w:r>
    </w:p>
    <w:p w:rsidR="005808AD" w:rsidRPr="0094444B" w:rsidRDefault="005808AD" w:rsidP="005808AD">
      <w:pPr>
        <w:autoSpaceDE w:val="0"/>
        <w:autoSpaceDN w:val="0"/>
        <w:adjustRightInd w:val="0"/>
        <w:spacing w:line="240" w:lineRule="auto"/>
        <w:rPr>
          <w:rFonts w:cs="Calibri"/>
          <w:snapToGrid/>
          <w:lang w:val="de-AT"/>
        </w:rPr>
      </w:pPr>
    </w:p>
    <w:p w:rsidR="00452A16" w:rsidRPr="0094444B" w:rsidRDefault="0053760D" w:rsidP="0094444B">
      <w:pPr>
        <w:autoSpaceDE w:val="0"/>
        <w:autoSpaceDN w:val="0"/>
        <w:adjustRightInd w:val="0"/>
        <w:spacing w:line="240" w:lineRule="auto"/>
        <w:rPr>
          <w:rFonts w:cs="Calibri"/>
          <w:snapToGrid/>
          <w:lang w:val="de-AT"/>
        </w:rPr>
      </w:pPr>
      <w:r w:rsidRPr="0094444B">
        <w:rPr>
          <w:rFonts w:cs="Calibri"/>
          <w:snapToGrid/>
          <w:lang w:val="de-AT"/>
        </w:rPr>
        <w:t>Economic</w:t>
      </w:r>
      <w:r w:rsidR="00452A16" w:rsidRPr="0094444B">
        <w:rPr>
          <w:rFonts w:cs="Calibri"/>
          <w:snapToGrid/>
          <w:lang w:val="de-AT"/>
        </w:rPr>
        <w:t xml:space="preserve"> interdependencies should be established, in any case, considering the materiality of the impact in the levels of credit risk for the bank due to the repayment difficulties of the connected counterparty. The examples provided in the draft guidelines help to identify circumstances where economic interconnectedness may be established; however, the guidelines should clarify that these examples do not automatically lead to an economic interdependence and therefore, these clients may not be automatically considered as a group of connected clients. </w:t>
      </w:r>
    </w:p>
    <w:p w:rsidR="0094444B" w:rsidRDefault="0094444B" w:rsidP="0094444B">
      <w:pPr>
        <w:autoSpaceDE w:val="0"/>
        <w:autoSpaceDN w:val="0"/>
        <w:adjustRightInd w:val="0"/>
        <w:spacing w:line="240" w:lineRule="auto"/>
        <w:rPr>
          <w:rFonts w:cs="Calibri"/>
          <w:snapToGrid/>
          <w:lang w:val="de-AT"/>
        </w:rPr>
      </w:pPr>
    </w:p>
    <w:p w:rsidR="00452A16" w:rsidRPr="0094444B" w:rsidRDefault="00452A16" w:rsidP="0094444B">
      <w:pPr>
        <w:autoSpaceDE w:val="0"/>
        <w:autoSpaceDN w:val="0"/>
        <w:adjustRightInd w:val="0"/>
        <w:spacing w:line="240" w:lineRule="auto"/>
        <w:rPr>
          <w:rFonts w:cs="Calibri"/>
          <w:snapToGrid/>
          <w:lang w:val="de-AT"/>
        </w:rPr>
      </w:pPr>
      <w:r w:rsidRPr="0094444B">
        <w:rPr>
          <w:rFonts w:cs="Calibri"/>
          <w:snapToGrid/>
          <w:lang w:val="de-AT"/>
        </w:rPr>
        <w:t>In the assessments of situations where control may exist and grouping must be done, except for companies included in the consolidation for accounting purposes, it is indicated that the listed criteria should be considered in the assessment process. Regarding economic dependency it is however written in the proposed guidelines that a dependency shall be deemed to exist ("deem") if the criteria are met. In such cases it becomes particularly important that the conditions actually are believed to lead to defa</w:t>
      </w:r>
      <w:r w:rsidR="00EB2B6D">
        <w:rPr>
          <w:rFonts w:cs="Calibri"/>
          <w:snapToGrid/>
          <w:lang w:val="de-AT"/>
        </w:rPr>
        <w:t>ult or non-payment issues. For m</w:t>
      </w:r>
      <w:r w:rsidRPr="0094444B">
        <w:rPr>
          <w:rFonts w:cs="Calibri"/>
          <w:snapToGrid/>
          <w:lang w:val="de-AT"/>
        </w:rPr>
        <w:t xml:space="preserve">any of the criteria such a condition is described as a prerequisite («… so significant for the … is likely to default or experience financial difficulties…»). For the second criterion this condition is not included. These are criteria for a possible grouping where it may be more likely than not that this will be the consequence, but not necessarily. It will, inter alia, depend on the relevant customer's relative debt burden, cost structure, general adaptability, etc. Also for criteria c (income / </w:t>
      </w:r>
      <w:r w:rsidRPr="0094444B">
        <w:rPr>
          <w:rFonts w:cs="Calibri"/>
          <w:snapToGrid/>
          <w:lang w:val="de-AT"/>
        </w:rPr>
        <w:lastRenderedPageBreak/>
        <w:t xml:space="preserve">expense), d (production), f (assets / liabilities), h (customer base), i (ownership structure) and j (relations to co-borrowers) this should be included as a condition. </w:t>
      </w:r>
    </w:p>
    <w:p w:rsidR="0094444B" w:rsidRDefault="0094444B" w:rsidP="0094444B">
      <w:pPr>
        <w:autoSpaceDE w:val="0"/>
        <w:autoSpaceDN w:val="0"/>
        <w:adjustRightInd w:val="0"/>
        <w:spacing w:line="240" w:lineRule="auto"/>
        <w:rPr>
          <w:rFonts w:cs="Calibri"/>
          <w:snapToGrid/>
          <w:lang w:val="de-AT"/>
        </w:rPr>
      </w:pPr>
    </w:p>
    <w:p w:rsidR="00452A16" w:rsidRPr="0094444B" w:rsidRDefault="00452A16" w:rsidP="0094444B">
      <w:pPr>
        <w:autoSpaceDE w:val="0"/>
        <w:autoSpaceDN w:val="0"/>
        <w:adjustRightInd w:val="0"/>
        <w:spacing w:line="240" w:lineRule="auto"/>
        <w:rPr>
          <w:rFonts w:cs="Calibri"/>
          <w:snapToGrid/>
          <w:lang w:val="de-AT"/>
        </w:rPr>
      </w:pPr>
      <w:r w:rsidRPr="0094444B">
        <w:rPr>
          <w:rFonts w:cs="Calibri"/>
          <w:snapToGrid/>
          <w:lang w:val="de-AT"/>
        </w:rPr>
        <w:t>The existence of such criteria should not automatically lead to the conclusion that a grouping must be done. The expert judgement of the bank, based on credit experience and knowledge of its customers, should necessarily play a role in the decision about the existence of interconnectedness through economic dependency. Consistently, the 50% threshold should not represent a mandatory threshold that triggers the existence of such connection, but rather a warning, prompting the bank to further analysing the clients.</w:t>
      </w:r>
    </w:p>
    <w:p w:rsidR="0094444B" w:rsidRDefault="0094444B" w:rsidP="0094444B">
      <w:pPr>
        <w:autoSpaceDE w:val="0"/>
        <w:autoSpaceDN w:val="0"/>
        <w:adjustRightInd w:val="0"/>
        <w:spacing w:line="240" w:lineRule="auto"/>
        <w:rPr>
          <w:rFonts w:cs="Calibri"/>
          <w:snapToGrid/>
          <w:lang w:val="de-AT"/>
        </w:rPr>
      </w:pPr>
    </w:p>
    <w:p w:rsidR="00452A16" w:rsidRPr="0094444B" w:rsidRDefault="00452A16" w:rsidP="0094444B">
      <w:pPr>
        <w:autoSpaceDE w:val="0"/>
        <w:autoSpaceDN w:val="0"/>
        <w:adjustRightInd w:val="0"/>
        <w:spacing w:line="240" w:lineRule="auto"/>
        <w:rPr>
          <w:rFonts w:cs="Calibri"/>
          <w:snapToGrid/>
          <w:lang w:val="de-AT"/>
        </w:rPr>
      </w:pPr>
      <w:r w:rsidRPr="0094444B">
        <w:rPr>
          <w:rFonts w:cs="Calibri"/>
          <w:snapToGrid/>
          <w:lang w:val="de-AT"/>
        </w:rPr>
        <w:t>It follows from the introductory comments in the consultation document that the grouping should not be based on risk concentrations as a result of industry or geography. Meanwhile, criterion 23 e) could be read as that such a common source of income can be a geographical region or a sector (what you produce / sell). Thus, it would be beneficial if the guidelines, in the introduction to chapter 6, indicate that the risk concentrations as a result of industry or geography matter shall not give rise to demands for grouping.</w:t>
      </w:r>
    </w:p>
    <w:p w:rsidR="0094444B" w:rsidRDefault="0094444B" w:rsidP="0094444B">
      <w:pPr>
        <w:autoSpaceDE w:val="0"/>
        <w:autoSpaceDN w:val="0"/>
        <w:adjustRightInd w:val="0"/>
        <w:spacing w:line="240" w:lineRule="auto"/>
        <w:rPr>
          <w:rFonts w:cs="Calibri"/>
          <w:snapToGrid/>
          <w:lang w:val="de-AT"/>
        </w:rPr>
      </w:pPr>
    </w:p>
    <w:p w:rsidR="00452A16" w:rsidRPr="0094444B" w:rsidRDefault="00452A16" w:rsidP="0094444B">
      <w:pPr>
        <w:autoSpaceDE w:val="0"/>
        <w:autoSpaceDN w:val="0"/>
        <w:adjustRightInd w:val="0"/>
        <w:spacing w:line="240" w:lineRule="auto"/>
        <w:rPr>
          <w:rFonts w:cs="Calibri"/>
          <w:snapToGrid/>
          <w:lang w:val="de-AT"/>
        </w:rPr>
      </w:pPr>
      <w:r w:rsidRPr="0094444B">
        <w:rPr>
          <w:rFonts w:cs="Calibri"/>
          <w:snapToGrid/>
          <w:lang w:val="de-AT"/>
        </w:rPr>
        <w:t>Cri</w:t>
      </w:r>
      <w:r w:rsidR="00ED16BB">
        <w:rPr>
          <w:rFonts w:cs="Calibri"/>
          <w:snapToGrid/>
          <w:lang w:val="de-AT"/>
        </w:rPr>
        <w:t>terion j (</w:t>
      </w:r>
      <w:r w:rsidRPr="0094444B">
        <w:rPr>
          <w:rFonts w:cs="Calibri"/>
          <w:snapToGrid/>
          <w:lang w:val="de-AT"/>
        </w:rPr>
        <w:t>"The relationship between a debtor and his / her co-borrowers") appears in any case not as a sufficiently precise indication of a situation that necessarily describe economic dependence as this among other things will have to depend on the relative importance of the loan they are co-borrowers for compared to their total economic and financial situations.</w:t>
      </w:r>
    </w:p>
    <w:p w:rsidR="00452A16" w:rsidRPr="0094444B" w:rsidRDefault="00452A16" w:rsidP="0094444B">
      <w:pPr>
        <w:autoSpaceDE w:val="0"/>
        <w:autoSpaceDN w:val="0"/>
        <w:adjustRightInd w:val="0"/>
        <w:spacing w:line="240" w:lineRule="auto"/>
        <w:rPr>
          <w:rFonts w:cs="Calibri"/>
          <w:snapToGrid/>
          <w:lang w:val="de-AT"/>
        </w:rPr>
      </w:pPr>
      <w:r w:rsidRPr="0094444B">
        <w:rPr>
          <w:rFonts w:cs="Calibri"/>
          <w:snapToGrid/>
          <w:lang w:val="de-AT"/>
        </w:rPr>
        <w:t>Furthermore, along with the size of the economic relationship, other aspects should be taken into account for the purpose of identifying genuine economic dependency, such as the stability of the interconnection. For example, the bank could deem that the clients should be regarded as connected only after a permanence of the link for a predefined period of time. This would help in reducing volatility in the composition of the groups of connected clients (see also the answer to question 7) and would affect the magnitude of the single risk (i.e. if a counterparty’s repayment difficulties affect temporarily or permanently the likeliness of repayment of another counterparty, the risk for the bank is different).</w:t>
      </w:r>
    </w:p>
    <w:p w:rsidR="0094444B" w:rsidRDefault="0094444B" w:rsidP="0094444B">
      <w:pPr>
        <w:autoSpaceDE w:val="0"/>
        <w:autoSpaceDN w:val="0"/>
        <w:adjustRightInd w:val="0"/>
        <w:spacing w:line="240" w:lineRule="auto"/>
        <w:rPr>
          <w:rFonts w:cs="Calibri"/>
          <w:snapToGrid/>
          <w:lang w:val="de-AT"/>
        </w:rPr>
      </w:pPr>
    </w:p>
    <w:p w:rsidR="00452A16" w:rsidRPr="0094444B" w:rsidRDefault="00452A16" w:rsidP="0094444B">
      <w:pPr>
        <w:autoSpaceDE w:val="0"/>
        <w:autoSpaceDN w:val="0"/>
        <w:adjustRightInd w:val="0"/>
        <w:spacing w:line="240" w:lineRule="auto"/>
        <w:rPr>
          <w:rFonts w:cs="Calibri"/>
          <w:snapToGrid/>
          <w:lang w:val="de-AT"/>
        </w:rPr>
      </w:pPr>
      <w:r w:rsidRPr="0094444B">
        <w:rPr>
          <w:rFonts w:cs="Calibri"/>
          <w:snapToGrid/>
          <w:lang w:val="de-AT"/>
        </w:rPr>
        <w:t xml:space="preserve">The </w:t>
      </w:r>
      <w:proofErr w:type="gramStart"/>
      <w:r w:rsidRPr="0094444B">
        <w:rPr>
          <w:rFonts w:cs="Calibri"/>
          <w:snapToGrid/>
          <w:lang w:val="de-AT"/>
        </w:rPr>
        <w:t>list</w:t>
      </w:r>
      <w:proofErr w:type="gramEnd"/>
      <w:r w:rsidRPr="0094444B">
        <w:rPr>
          <w:rFonts w:cs="Calibri"/>
          <w:snapToGrid/>
          <w:lang w:val="de-AT"/>
        </w:rPr>
        <w:t xml:space="preserve"> provided in paragraph 23 is detailed and exhaustive. However, in our opinion it will be very difficult to identify and prove these dependencies. It will not be feasible to assess the threshold of ‘at least 50%’ with reference to particular customers operating in less transparent markets where this information is deemed to be confidential. Generally, in such cases it is possible to check whether the situations described in paragraph 23 take place only if it is publicly available information. We think that the cost of research on economic dependency relations would be disproportionate. </w:t>
      </w:r>
    </w:p>
    <w:p w:rsidR="00452A16" w:rsidRPr="0094444B" w:rsidRDefault="00452A16" w:rsidP="005808AD">
      <w:pPr>
        <w:autoSpaceDE w:val="0"/>
        <w:autoSpaceDN w:val="0"/>
        <w:adjustRightInd w:val="0"/>
        <w:spacing w:line="240" w:lineRule="auto"/>
        <w:rPr>
          <w:rFonts w:cs="Calibri"/>
          <w:snapToGrid/>
          <w:lang w:val="de-AT"/>
        </w:rPr>
      </w:pPr>
    </w:p>
    <w:p w:rsidR="0053760D" w:rsidRPr="0094444B" w:rsidRDefault="0053760D" w:rsidP="005808AD">
      <w:pPr>
        <w:autoSpaceDE w:val="0"/>
        <w:autoSpaceDN w:val="0"/>
        <w:adjustRightInd w:val="0"/>
        <w:spacing w:line="240" w:lineRule="auto"/>
        <w:rPr>
          <w:rFonts w:cs="Calibri"/>
          <w:snapToGrid/>
          <w:lang w:val="de-AT"/>
        </w:rPr>
      </w:pPr>
      <w:r w:rsidRPr="0094444B">
        <w:rPr>
          <w:rFonts w:cs="Calibri"/>
          <w:snapToGrid/>
          <w:lang w:val="de-AT"/>
        </w:rPr>
        <w:t xml:space="preserve">We </w:t>
      </w:r>
      <w:r w:rsidR="00ED16BB">
        <w:rPr>
          <w:rFonts w:cs="Calibri"/>
          <w:snapToGrid/>
          <w:lang w:val="de-AT"/>
        </w:rPr>
        <w:t xml:space="preserve">therefore </w:t>
      </w:r>
      <w:r w:rsidRPr="0094444B">
        <w:rPr>
          <w:rFonts w:cs="Calibri"/>
          <w:snapToGrid/>
          <w:lang w:val="de-AT"/>
        </w:rPr>
        <w:t>call for maintaining the wording of the CEBS Guidelines ("substantial, existence-threatening repayment difficulties"), as the expression "repayment difficulties" alone is too vague. Although the wording of point (b) of Article 4 (1)(39) of the CRR only says "repayment difficulties", it was always the common understanding, that the conditions to qualify as repayment difficulties in the meaning of the CRR are: the difficulties have to be substantial and permanent economic dependency.</w:t>
      </w:r>
    </w:p>
    <w:p w:rsidR="00452A16" w:rsidRDefault="00452A16" w:rsidP="005808AD">
      <w:pPr>
        <w:autoSpaceDE w:val="0"/>
        <w:autoSpaceDN w:val="0"/>
        <w:adjustRightInd w:val="0"/>
        <w:spacing w:line="240" w:lineRule="auto"/>
        <w:rPr>
          <w:rFonts w:cs="Calibri,Bold"/>
          <w:b/>
          <w:bCs/>
          <w:snapToGrid/>
          <w:lang w:val="de-AT"/>
        </w:rPr>
      </w:pPr>
    </w:p>
    <w:p w:rsidR="005808AD" w:rsidRPr="0094444B" w:rsidRDefault="005808AD" w:rsidP="005808AD">
      <w:pPr>
        <w:autoSpaceDE w:val="0"/>
        <w:autoSpaceDN w:val="0"/>
        <w:adjustRightInd w:val="0"/>
        <w:spacing w:line="240" w:lineRule="auto"/>
        <w:rPr>
          <w:rFonts w:cs="Calibri,Bold"/>
          <w:b/>
          <w:bCs/>
          <w:i/>
          <w:snapToGrid/>
          <w:lang w:val="de-AT"/>
        </w:rPr>
      </w:pPr>
      <w:r w:rsidRPr="0094444B">
        <w:rPr>
          <w:rFonts w:cs="Calibri,Bold"/>
          <w:b/>
          <w:bCs/>
          <w:i/>
          <w:snapToGrid/>
          <w:lang w:val="de-AT"/>
        </w:rPr>
        <w:t>Question 9: Are you aware of any other situations that should be added to the list of situations that constitute economic dependency? In relation to the situation described above, would you treat these exposures as connected? Please explain.</w:t>
      </w:r>
    </w:p>
    <w:p w:rsidR="0094444B" w:rsidRDefault="0094444B" w:rsidP="005808AD">
      <w:pPr>
        <w:autoSpaceDE w:val="0"/>
        <w:autoSpaceDN w:val="0"/>
        <w:adjustRightInd w:val="0"/>
        <w:spacing w:line="240" w:lineRule="auto"/>
        <w:rPr>
          <w:rFonts w:cs="Calibri"/>
          <w:snapToGrid/>
          <w:lang w:val="de-AT"/>
        </w:rPr>
      </w:pPr>
    </w:p>
    <w:p w:rsidR="005808AD" w:rsidRPr="005808AD" w:rsidRDefault="005808AD" w:rsidP="005808AD">
      <w:pPr>
        <w:autoSpaceDE w:val="0"/>
        <w:autoSpaceDN w:val="0"/>
        <w:adjustRightInd w:val="0"/>
        <w:spacing w:line="240" w:lineRule="auto"/>
        <w:rPr>
          <w:rFonts w:cs="Calibri"/>
          <w:snapToGrid/>
          <w:lang w:val="de-AT"/>
        </w:rPr>
      </w:pPr>
      <w:r w:rsidRPr="005808AD">
        <w:rPr>
          <w:rFonts w:cs="Calibri"/>
          <w:snapToGrid/>
          <w:lang w:val="de-AT"/>
        </w:rPr>
        <w:t>We are not aware of other situations that should be added. In relation to the case with the same</w:t>
      </w:r>
    </w:p>
    <w:p w:rsidR="005808AD" w:rsidRDefault="005808AD" w:rsidP="005808AD">
      <w:pPr>
        <w:autoSpaceDE w:val="0"/>
        <w:autoSpaceDN w:val="0"/>
        <w:adjustRightInd w:val="0"/>
        <w:spacing w:line="240" w:lineRule="auto"/>
        <w:rPr>
          <w:rFonts w:cs="Calibri"/>
          <w:snapToGrid/>
          <w:lang w:val="de-AT"/>
        </w:rPr>
      </w:pPr>
      <w:r w:rsidRPr="005808AD">
        <w:rPr>
          <w:rFonts w:cs="Calibri"/>
          <w:snapToGrid/>
          <w:lang w:val="de-AT"/>
        </w:rPr>
        <w:t>guarantor, we would argue that neither the guarantor has repayment difficulties, if a guaranteed</w:t>
      </w:r>
      <w:r>
        <w:rPr>
          <w:rFonts w:cs="Calibri"/>
          <w:snapToGrid/>
          <w:lang w:val="de-AT"/>
        </w:rPr>
        <w:t xml:space="preserve"> </w:t>
      </w:r>
      <w:r w:rsidRPr="005808AD">
        <w:rPr>
          <w:rFonts w:cs="Calibri"/>
          <w:snapToGrid/>
          <w:lang w:val="de-AT"/>
        </w:rPr>
        <w:t>entity has problems nor has the guaranteed entity repayment difficulties, if the guarantor</w:t>
      </w:r>
      <w:r>
        <w:rPr>
          <w:rFonts w:cs="Calibri"/>
          <w:snapToGrid/>
          <w:lang w:val="de-AT"/>
        </w:rPr>
        <w:t xml:space="preserve"> </w:t>
      </w:r>
      <w:r w:rsidRPr="005808AD">
        <w:rPr>
          <w:rFonts w:cs="Calibri"/>
          <w:snapToGrid/>
          <w:lang w:val="de-AT"/>
        </w:rPr>
        <w:t xml:space="preserve">experiences financial trouble (as it is “only” a guarantee). If there are no other </w:t>
      </w:r>
      <w:r w:rsidRPr="005808AD">
        <w:rPr>
          <w:rFonts w:cs="Calibri"/>
          <w:snapToGrid/>
          <w:lang w:val="de-AT"/>
        </w:rPr>
        <w:lastRenderedPageBreak/>
        <w:t>factors of</w:t>
      </w:r>
      <w:r>
        <w:rPr>
          <w:rFonts w:cs="Calibri"/>
          <w:snapToGrid/>
          <w:lang w:val="de-AT"/>
        </w:rPr>
        <w:t xml:space="preserve"> </w:t>
      </w:r>
      <w:r w:rsidRPr="005808AD">
        <w:rPr>
          <w:rFonts w:cs="Calibri"/>
          <w:snapToGrid/>
          <w:lang w:val="de-AT"/>
        </w:rPr>
        <w:t>interconnectedness between the guaranteed entities, there would be no group to our mind.</w:t>
      </w:r>
    </w:p>
    <w:p w:rsidR="00ED16BB" w:rsidRDefault="00ED16BB" w:rsidP="0094444B">
      <w:pPr>
        <w:autoSpaceDE w:val="0"/>
        <w:autoSpaceDN w:val="0"/>
        <w:adjustRightInd w:val="0"/>
        <w:spacing w:line="240" w:lineRule="auto"/>
        <w:rPr>
          <w:rFonts w:cs="Calibri"/>
          <w:snapToGrid/>
          <w:lang w:val="de-AT"/>
        </w:rPr>
      </w:pPr>
    </w:p>
    <w:p w:rsidR="00ED16BB" w:rsidRPr="0094444B" w:rsidRDefault="00452A16" w:rsidP="00ED16BB">
      <w:pPr>
        <w:autoSpaceDE w:val="0"/>
        <w:autoSpaceDN w:val="0"/>
        <w:adjustRightInd w:val="0"/>
        <w:spacing w:line="240" w:lineRule="auto"/>
        <w:rPr>
          <w:rFonts w:cs="Calibri"/>
          <w:snapToGrid/>
          <w:lang w:val="de-AT"/>
        </w:rPr>
      </w:pPr>
      <w:r w:rsidRPr="0094444B">
        <w:rPr>
          <w:rFonts w:cs="Calibri"/>
          <w:snapToGrid/>
          <w:lang w:val="de-AT"/>
        </w:rPr>
        <w:t xml:space="preserve">According to our experience, this is a quite exceptional case; as the likelihood of simultaneous claims under guarantees to unrelated counterparties seems to be fairly low, we would not treat such clients as connected. The situation described in the explanatory box on page 35 would be a </w:t>
      </w:r>
      <w:r w:rsidRPr="0094444B">
        <w:rPr>
          <w:rFonts w:cs="Calibri"/>
          <w:snapToGrid/>
          <w:u w:val="single"/>
          <w:lang w:val="de-AT"/>
        </w:rPr>
        <w:t>too far reaching interpretation of the term “single risk”.</w:t>
      </w:r>
      <w:r w:rsidR="00ED16BB" w:rsidRPr="00ED16BB">
        <w:rPr>
          <w:rFonts w:cs="Calibri"/>
          <w:snapToGrid/>
          <w:lang w:val="de-AT"/>
        </w:rPr>
        <w:t xml:space="preserve"> </w:t>
      </w:r>
      <w:r w:rsidR="00ED16BB" w:rsidRPr="0094444B">
        <w:rPr>
          <w:rFonts w:cs="Calibri"/>
          <w:snapToGrid/>
          <w:lang w:val="de-AT"/>
        </w:rPr>
        <w:t>We believe that these cases shall not be considered as connected. First, such a treatment would lead to a disadvantageous treatment of smaller Member States, where the availability of guarantors is limited and therefore a group of connected clients would be reached more easily than in larger countries. Further, it would be difficult for the institutions to obtain these information and to monitor these cases.</w:t>
      </w:r>
    </w:p>
    <w:p w:rsidR="00452A16" w:rsidRPr="0094444B" w:rsidRDefault="00452A16" w:rsidP="005808AD">
      <w:pPr>
        <w:autoSpaceDE w:val="0"/>
        <w:autoSpaceDN w:val="0"/>
        <w:adjustRightInd w:val="0"/>
        <w:spacing w:line="240" w:lineRule="auto"/>
        <w:rPr>
          <w:rFonts w:cs="Calibri"/>
          <w:snapToGrid/>
          <w:lang w:val="de-AT"/>
        </w:rPr>
      </w:pPr>
    </w:p>
    <w:p w:rsidR="00452A16" w:rsidRPr="0094444B" w:rsidRDefault="00ED16BB" w:rsidP="0094444B">
      <w:pPr>
        <w:autoSpaceDE w:val="0"/>
        <w:autoSpaceDN w:val="0"/>
        <w:adjustRightInd w:val="0"/>
        <w:spacing w:line="240" w:lineRule="auto"/>
        <w:rPr>
          <w:rFonts w:cs="Calibri"/>
          <w:snapToGrid/>
          <w:lang w:val="de-AT"/>
        </w:rPr>
      </w:pPr>
      <w:r>
        <w:rPr>
          <w:rFonts w:cs="Calibri"/>
          <w:snapToGrid/>
          <w:lang w:val="de-AT"/>
        </w:rPr>
        <w:t xml:space="preserve">We think that there </w:t>
      </w:r>
      <w:r w:rsidR="00452A16" w:rsidRPr="0094444B">
        <w:rPr>
          <w:rFonts w:cs="Calibri"/>
          <w:snapToGrid/>
          <w:lang w:val="de-AT"/>
        </w:rPr>
        <w:t>are no other situations which should be added to the list from paragraph 23. As stated above, the list is already detailed and exhaustive. In particular, we do not find the additional situation described as constituting economic dependency, since the guarantee only refers to secondary credit risk. Different to the point (a) from paragraph 23, the primary credit risk in the situation described is unrelated to each other and therefore does not constitute a single risk due to risk diversification.</w:t>
      </w:r>
    </w:p>
    <w:p w:rsidR="00452A16" w:rsidRDefault="00452A16" w:rsidP="005808AD">
      <w:pPr>
        <w:autoSpaceDE w:val="0"/>
        <w:autoSpaceDN w:val="0"/>
        <w:adjustRightInd w:val="0"/>
        <w:spacing w:line="240" w:lineRule="auto"/>
        <w:rPr>
          <w:rFonts w:cs="Calibri,Bold"/>
          <w:b/>
          <w:bCs/>
          <w:snapToGrid/>
          <w:lang w:val="de-AT"/>
        </w:rPr>
      </w:pPr>
    </w:p>
    <w:p w:rsidR="005808AD" w:rsidRPr="0094444B" w:rsidRDefault="005808AD" w:rsidP="005808AD">
      <w:pPr>
        <w:autoSpaceDE w:val="0"/>
        <w:autoSpaceDN w:val="0"/>
        <w:adjustRightInd w:val="0"/>
        <w:spacing w:line="240" w:lineRule="auto"/>
        <w:rPr>
          <w:rFonts w:cs="Calibri,Bold"/>
          <w:b/>
          <w:bCs/>
          <w:i/>
          <w:snapToGrid/>
          <w:lang w:val="de-AT"/>
        </w:rPr>
      </w:pPr>
      <w:r w:rsidRPr="0094444B">
        <w:rPr>
          <w:rFonts w:cs="Calibri,Bold"/>
          <w:b/>
          <w:bCs/>
          <w:i/>
          <w:snapToGrid/>
          <w:lang w:val="de-AT"/>
        </w:rPr>
        <w:t>Question 10: Is the guidance in section 7. ‘Relation between interconnectedness through control and interconnectedness through economic dependency’ clear? If not, please provide concrete suggestions.</w:t>
      </w:r>
    </w:p>
    <w:p w:rsidR="00037778" w:rsidRDefault="00037778" w:rsidP="005808AD">
      <w:pPr>
        <w:autoSpaceDE w:val="0"/>
        <w:autoSpaceDN w:val="0"/>
        <w:adjustRightInd w:val="0"/>
        <w:spacing w:line="240" w:lineRule="auto"/>
        <w:rPr>
          <w:rFonts w:cs="Calibri"/>
          <w:snapToGrid/>
          <w:lang w:val="de-AT"/>
        </w:rPr>
      </w:pPr>
    </w:p>
    <w:p w:rsidR="005808AD" w:rsidRPr="005808AD" w:rsidRDefault="005808AD" w:rsidP="005808AD">
      <w:pPr>
        <w:autoSpaceDE w:val="0"/>
        <w:autoSpaceDN w:val="0"/>
        <w:adjustRightInd w:val="0"/>
        <w:spacing w:line="240" w:lineRule="auto"/>
        <w:rPr>
          <w:rFonts w:cs="Calibri"/>
          <w:snapToGrid/>
          <w:lang w:val="de-AT"/>
        </w:rPr>
      </w:pPr>
      <w:r w:rsidRPr="005808AD">
        <w:rPr>
          <w:rFonts w:cs="Calibri"/>
          <w:snapToGrid/>
          <w:lang w:val="de-AT"/>
        </w:rPr>
        <w:t>While the guidance is clear, since inte</w:t>
      </w:r>
      <w:r w:rsidR="00ED16BB">
        <w:rPr>
          <w:rFonts w:cs="Calibri"/>
          <w:snapToGrid/>
          <w:lang w:val="de-AT"/>
        </w:rPr>
        <w:t xml:space="preserve">rconnectedness via control will </w:t>
      </w:r>
      <w:r w:rsidRPr="005808AD">
        <w:rPr>
          <w:rFonts w:cs="Calibri"/>
          <w:snapToGrid/>
          <w:lang w:val="de-AT"/>
        </w:rPr>
        <w:t>cover most cases, we</w:t>
      </w:r>
      <w:r>
        <w:rPr>
          <w:rFonts w:cs="Calibri"/>
          <w:snapToGrid/>
          <w:lang w:val="de-AT"/>
        </w:rPr>
        <w:t xml:space="preserve"> </w:t>
      </w:r>
      <w:r w:rsidRPr="005808AD">
        <w:rPr>
          <w:rFonts w:cs="Calibri"/>
          <w:snapToGrid/>
          <w:lang w:val="de-AT"/>
        </w:rPr>
        <w:t>would suggest an approach where first the interconnectedness via control is established,</w:t>
      </w:r>
      <w:r>
        <w:rPr>
          <w:rFonts w:cs="Calibri"/>
          <w:snapToGrid/>
          <w:lang w:val="de-AT"/>
        </w:rPr>
        <w:t xml:space="preserve"> </w:t>
      </w:r>
      <w:r w:rsidRPr="005808AD">
        <w:rPr>
          <w:rFonts w:cs="Calibri"/>
          <w:snapToGrid/>
          <w:lang w:val="de-AT"/>
        </w:rPr>
        <w:t>and thereafter economic dependency is assessed only for those entities not already covered</w:t>
      </w:r>
      <w:r>
        <w:rPr>
          <w:rFonts w:cs="Calibri"/>
          <w:snapToGrid/>
          <w:lang w:val="de-AT"/>
        </w:rPr>
        <w:t xml:space="preserve"> </w:t>
      </w:r>
      <w:r w:rsidRPr="005808AD">
        <w:rPr>
          <w:rFonts w:cs="Calibri"/>
          <w:snapToGrid/>
          <w:lang w:val="de-AT"/>
        </w:rPr>
        <w:t>by control, and added then if necessary, instead of doing an all-encompassing economic</w:t>
      </w:r>
    </w:p>
    <w:p w:rsidR="005808AD" w:rsidRPr="005808AD" w:rsidRDefault="005808AD" w:rsidP="005808AD">
      <w:pPr>
        <w:autoSpaceDE w:val="0"/>
        <w:autoSpaceDN w:val="0"/>
        <w:adjustRightInd w:val="0"/>
        <w:spacing w:line="240" w:lineRule="auto"/>
        <w:rPr>
          <w:rFonts w:cs="Calibri"/>
          <w:snapToGrid/>
          <w:lang w:val="de-AT"/>
        </w:rPr>
      </w:pPr>
      <w:r w:rsidRPr="005808AD">
        <w:rPr>
          <w:rFonts w:cs="Calibri"/>
          <w:snapToGrid/>
          <w:lang w:val="de-AT"/>
        </w:rPr>
        <w:t>dependency verification for all entities. This should limit double efforts and costs which</w:t>
      </w:r>
    </w:p>
    <w:p w:rsidR="005808AD" w:rsidRPr="005808AD" w:rsidRDefault="005808AD" w:rsidP="005808AD">
      <w:pPr>
        <w:autoSpaceDE w:val="0"/>
        <w:autoSpaceDN w:val="0"/>
        <w:adjustRightInd w:val="0"/>
        <w:spacing w:line="240" w:lineRule="auto"/>
        <w:rPr>
          <w:rFonts w:cs="Calibri"/>
          <w:snapToGrid/>
          <w:lang w:val="de-AT"/>
        </w:rPr>
      </w:pPr>
      <w:r w:rsidRPr="005808AD">
        <w:rPr>
          <w:rFonts w:cs="Calibri"/>
          <w:snapToGrid/>
          <w:lang w:val="de-AT"/>
        </w:rPr>
        <w:t>would otherwise be high.</w:t>
      </w:r>
    </w:p>
    <w:p w:rsidR="005808AD" w:rsidRDefault="005808AD" w:rsidP="005808AD">
      <w:pPr>
        <w:autoSpaceDE w:val="0"/>
        <w:autoSpaceDN w:val="0"/>
        <w:adjustRightInd w:val="0"/>
        <w:spacing w:line="240" w:lineRule="auto"/>
        <w:rPr>
          <w:rFonts w:cs="Calibri"/>
          <w:snapToGrid/>
          <w:lang w:val="de-AT"/>
        </w:rPr>
      </w:pPr>
    </w:p>
    <w:p w:rsidR="00452A16" w:rsidRPr="0094444B" w:rsidRDefault="00452A16" w:rsidP="0094444B">
      <w:pPr>
        <w:autoSpaceDE w:val="0"/>
        <w:autoSpaceDN w:val="0"/>
        <w:adjustRightInd w:val="0"/>
        <w:spacing w:line="240" w:lineRule="auto"/>
        <w:rPr>
          <w:rFonts w:cs="Calibri"/>
          <w:snapToGrid/>
          <w:lang w:val="de-AT"/>
        </w:rPr>
      </w:pPr>
      <w:r w:rsidRPr="0094444B">
        <w:rPr>
          <w:rFonts w:cs="Calibri"/>
          <w:snapToGrid/>
          <w:lang w:val="de-AT"/>
        </w:rPr>
        <w:t>The implementation of the envisaged measures is likely to determine in many cases multiple counting of risk positions to clients that should be included in different groups of connected clients. We deem that double counting of exposures (due to entities being included in different groups of connec</w:t>
      </w:r>
      <w:r w:rsidR="00F31924">
        <w:rPr>
          <w:rFonts w:cs="Calibri"/>
          <w:snapToGrid/>
          <w:lang w:val="de-AT"/>
        </w:rPr>
        <w:t>ted clients) is not desirable. </w:t>
      </w:r>
      <w:r w:rsidRPr="0094444B">
        <w:rPr>
          <w:rFonts w:cs="Calibri"/>
          <w:snapToGrid/>
          <w:lang w:val="de-AT"/>
        </w:rPr>
        <w:t>In fact, this would lead to the double counting of the bank exposure to the client in the bank records aimed at sup</w:t>
      </w:r>
      <w:r w:rsidR="00F31924">
        <w:rPr>
          <w:rFonts w:cs="Calibri"/>
          <w:snapToGrid/>
          <w:lang w:val="de-AT"/>
        </w:rPr>
        <w:t xml:space="preserve">ervisory reporting. </w:t>
      </w:r>
      <w:r w:rsidRPr="0094444B">
        <w:rPr>
          <w:rFonts w:cs="Calibri"/>
          <w:snapToGrid/>
          <w:lang w:val="de-AT"/>
        </w:rPr>
        <w:t xml:space="preserve">Consequently (unless the bank creates a double-track management system detaching the credit risk management from supervisory evidences), the double counting would affect the monitoring of bank exposure to the client for risk management purposes, in terms of determination of credit limits and allocation of credit decisions. Potential consequences could also arise with respect to the identification of the actual parent company for the purpose of the attribution of the credit rating to the client.         </w:t>
      </w:r>
    </w:p>
    <w:p w:rsidR="0094444B" w:rsidRDefault="0094444B" w:rsidP="0094444B">
      <w:pPr>
        <w:autoSpaceDE w:val="0"/>
        <w:autoSpaceDN w:val="0"/>
        <w:adjustRightInd w:val="0"/>
        <w:spacing w:line="240" w:lineRule="auto"/>
        <w:rPr>
          <w:rFonts w:cs="Calibri"/>
          <w:snapToGrid/>
          <w:lang w:val="de-AT"/>
        </w:rPr>
      </w:pPr>
    </w:p>
    <w:p w:rsidR="00452A16" w:rsidRPr="0094444B" w:rsidRDefault="00452A16" w:rsidP="0094444B">
      <w:pPr>
        <w:autoSpaceDE w:val="0"/>
        <w:autoSpaceDN w:val="0"/>
        <w:adjustRightInd w:val="0"/>
        <w:spacing w:line="240" w:lineRule="auto"/>
        <w:rPr>
          <w:rFonts w:cs="Calibri"/>
          <w:snapToGrid/>
          <w:lang w:val="de-AT"/>
        </w:rPr>
      </w:pPr>
      <w:r w:rsidRPr="0094444B">
        <w:rPr>
          <w:rFonts w:cs="Calibri"/>
          <w:snapToGrid/>
          <w:lang w:val="de-AT"/>
        </w:rPr>
        <w:t>The occurrences of this situation should therefore be limited to the cases explicitly addressed in the CRR (that seems not to be the case with the simultaneous presence of interconnectedness through control and interconnectedness through economic dependency with different entities addressed in Section 7 of the proposed Guidelines).</w:t>
      </w:r>
    </w:p>
    <w:p w:rsidR="0094444B" w:rsidRDefault="0094444B" w:rsidP="0094444B">
      <w:pPr>
        <w:autoSpaceDE w:val="0"/>
        <w:autoSpaceDN w:val="0"/>
        <w:adjustRightInd w:val="0"/>
        <w:spacing w:line="240" w:lineRule="auto"/>
        <w:rPr>
          <w:rFonts w:cs="Calibri"/>
          <w:snapToGrid/>
          <w:lang w:val="de-AT"/>
        </w:rPr>
      </w:pPr>
    </w:p>
    <w:p w:rsidR="00452A16" w:rsidRPr="0094444B" w:rsidRDefault="00452A16" w:rsidP="0094444B">
      <w:pPr>
        <w:autoSpaceDE w:val="0"/>
        <w:autoSpaceDN w:val="0"/>
        <w:adjustRightInd w:val="0"/>
        <w:spacing w:line="240" w:lineRule="auto"/>
        <w:rPr>
          <w:rFonts w:cs="Calibri"/>
          <w:snapToGrid/>
          <w:lang w:val="de-AT"/>
        </w:rPr>
      </w:pPr>
      <w:r w:rsidRPr="0094444B">
        <w:rPr>
          <w:rFonts w:cs="Calibri"/>
          <w:snapToGrid/>
          <w:lang w:val="de-AT"/>
        </w:rPr>
        <w:t>In any case, the EBA proposal is quite clear, even if its application is not straightforward, for the considerations explained above but also because the assessment of the economic dependency is not always easy. In fact, the concept of “Economic dependency” and its relationship with the concept of “control” raises several doubts. Please consider the following example:</w:t>
      </w:r>
    </w:p>
    <w:p w:rsidR="00452A16" w:rsidRPr="0094444B" w:rsidRDefault="00452A16" w:rsidP="0094444B">
      <w:pPr>
        <w:autoSpaceDE w:val="0"/>
        <w:autoSpaceDN w:val="0"/>
        <w:adjustRightInd w:val="0"/>
        <w:spacing w:line="240" w:lineRule="auto"/>
        <w:rPr>
          <w:rFonts w:cs="Calibri"/>
          <w:snapToGrid/>
          <w:lang w:val="de-AT"/>
        </w:rPr>
      </w:pPr>
      <w:r w:rsidRPr="0094444B">
        <w:rPr>
          <w:rFonts w:cs="Calibri"/>
          <w:snapToGrid/>
          <w:lang w:val="de-AT"/>
        </w:rPr>
        <w:t xml:space="preserve">The set-up of a dedicated communication channel between banks and EBA is of the utmost importance, not only for questions that might arise, but also to harmonise the interpretations between banks.      </w:t>
      </w:r>
    </w:p>
    <w:p w:rsidR="0094444B" w:rsidRDefault="0094444B" w:rsidP="0094444B">
      <w:pPr>
        <w:autoSpaceDE w:val="0"/>
        <w:autoSpaceDN w:val="0"/>
        <w:adjustRightInd w:val="0"/>
        <w:spacing w:line="240" w:lineRule="auto"/>
        <w:rPr>
          <w:rFonts w:cs="Calibri"/>
          <w:snapToGrid/>
          <w:lang w:val="de-AT"/>
        </w:rPr>
      </w:pPr>
    </w:p>
    <w:p w:rsidR="00452A16" w:rsidRPr="0094444B" w:rsidRDefault="00452A16" w:rsidP="0094444B">
      <w:pPr>
        <w:autoSpaceDE w:val="0"/>
        <w:autoSpaceDN w:val="0"/>
        <w:adjustRightInd w:val="0"/>
        <w:spacing w:line="240" w:lineRule="auto"/>
        <w:rPr>
          <w:rFonts w:cs="Calibri"/>
          <w:snapToGrid/>
          <w:lang w:val="de-AT"/>
        </w:rPr>
      </w:pPr>
      <w:r w:rsidRPr="0094444B">
        <w:rPr>
          <w:rFonts w:cs="Calibri"/>
          <w:snapToGrid/>
          <w:lang w:val="de-AT"/>
        </w:rPr>
        <w:t>Moreover, the concept application is not straightforward as the assessment of the economic dependency is not always easy because of the high degree of subjectivity and the lack of relevant information; furthermore the reporting of groups’ exposures in the LE framework would be more ‘volatile’ due to the changes in the groups perimeter.</w:t>
      </w:r>
    </w:p>
    <w:p w:rsidR="00452A16" w:rsidRPr="005808AD" w:rsidRDefault="00452A16" w:rsidP="005808AD">
      <w:pPr>
        <w:autoSpaceDE w:val="0"/>
        <w:autoSpaceDN w:val="0"/>
        <w:adjustRightInd w:val="0"/>
        <w:spacing w:line="240" w:lineRule="auto"/>
        <w:rPr>
          <w:rFonts w:cs="Calibri"/>
          <w:snapToGrid/>
          <w:lang w:val="de-AT"/>
        </w:rPr>
      </w:pPr>
    </w:p>
    <w:p w:rsidR="005808AD" w:rsidRDefault="005808AD" w:rsidP="005808AD">
      <w:pPr>
        <w:autoSpaceDE w:val="0"/>
        <w:autoSpaceDN w:val="0"/>
        <w:adjustRightInd w:val="0"/>
        <w:spacing w:line="240" w:lineRule="auto"/>
        <w:rPr>
          <w:rFonts w:cs="Calibri,Bold"/>
          <w:b/>
          <w:bCs/>
          <w:snapToGrid/>
          <w:lang w:val="de-AT"/>
        </w:rPr>
      </w:pPr>
      <w:r>
        <w:rPr>
          <w:rFonts w:cs="Calibri,Bold"/>
          <w:b/>
          <w:bCs/>
          <w:snapToGrid/>
          <w:lang w:val="de-AT"/>
        </w:rPr>
        <w:t>Other issues</w:t>
      </w:r>
    </w:p>
    <w:p w:rsidR="005808AD" w:rsidRPr="005808AD" w:rsidRDefault="005808AD" w:rsidP="005808AD">
      <w:pPr>
        <w:autoSpaceDE w:val="0"/>
        <w:autoSpaceDN w:val="0"/>
        <w:adjustRightInd w:val="0"/>
        <w:spacing w:line="240" w:lineRule="auto"/>
        <w:rPr>
          <w:rFonts w:cs="Calibri,Bold"/>
          <w:b/>
          <w:bCs/>
          <w:snapToGrid/>
          <w:lang w:val="de-AT"/>
        </w:rPr>
      </w:pPr>
    </w:p>
    <w:p w:rsidR="005808AD" w:rsidRPr="005808AD" w:rsidRDefault="005808AD" w:rsidP="005808AD">
      <w:pPr>
        <w:autoSpaceDE w:val="0"/>
        <w:autoSpaceDN w:val="0"/>
        <w:adjustRightInd w:val="0"/>
        <w:spacing w:line="240" w:lineRule="auto"/>
        <w:rPr>
          <w:rFonts w:cs="Calibri"/>
          <w:snapToGrid/>
          <w:lang w:val="de-AT"/>
        </w:rPr>
      </w:pPr>
      <w:r w:rsidRPr="005808AD">
        <w:rPr>
          <w:rFonts w:cs="Calibri"/>
          <w:snapToGrid/>
          <w:lang w:val="de-AT"/>
        </w:rPr>
        <w:t>In general, the guidelines lead to the building of more groups and to more cases where an entity is</w:t>
      </w:r>
      <w:r>
        <w:rPr>
          <w:rFonts w:cs="Calibri"/>
          <w:snapToGrid/>
          <w:lang w:val="de-AT"/>
        </w:rPr>
        <w:t xml:space="preserve"> </w:t>
      </w:r>
      <w:r w:rsidRPr="005808AD">
        <w:rPr>
          <w:rFonts w:cs="Calibri"/>
          <w:snapToGrid/>
          <w:lang w:val="de-AT"/>
        </w:rPr>
        <w:t>member of more than one groups of connected clients and to more large exposures. This proves</w:t>
      </w:r>
      <w:r>
        <w:rPr>
          <w:rFonts w:cs="Calibri"/>
          <w:snapToGrid/>
          <w:lang w:val="de-AT"/>
        </w:rPr>
        <w:t xml:space="preserve"> </w:t>
      </w:r>
      <w:r w:rsidRPr="005808AD">
        <w:rPr>
          <w:rFonts w:cs="Calibri"/>
          <w:snapToGrid/>
          <w:lang w:val="de-AT"/>
        </w:rPr>
        <w:t>difficult in the day-to-day operations of a bank and would most probably induce IT-system changes.</w:t>
      </w:r>
    </w:p>
    <w:p w:rsidR="002A2428" w:rsidRDefault="002A2428" w:rsidP="002A2428">
      <w:pPr>
        <w:autoSpaceDE w:val="0"/>
        <w:autoSpaceDN w:val="0"/>
        <w:adjustRightInd w:val="0"/>
        <w:spacing w:line="240" w:lineRule="auto"/>
        <w:rPr>
          <w:rFonts w:cs="Symbol"/>
          <w:snapToGrid/>
          <w:lang w:val="de-AT"/>
        </w:rPr>
      </w:pPr>
    </w:p>
    <w:p w:rsidR="005808AD" w:rsidRPr="002A2428" w:rsidRDefault="005808AD" w:rsidP="002A2428">
      <w:pPr>
        <w:autoSpaceDE w:val="0"/>
        <w:autoSpaceDN w:val="0"/>
        <w:adjustRightInd w:val="0"/>
        <w:spacing w:line="240" w:lineRule="auto"/>
        <w:rPr>
          <w:rFonts w:cs="Calibri"/>
          <w:snapToGrid/>
          <w:lang w:val="de-AT"/>
        </w:rPr>
      </w:pPr>
      <w:r w:rsidRPr="002A2428">
        <w:rPr>
          <w:rFonts w:cs="Calibri"/>
          <w:snapToGrid/>
          <w:u w:val="single"/>
          <w:lang w:val="de-AT"/>
        </w:rPr>
        <w:t>Sovereign group building</w:t>
      </w:r>
      <w:r w:rsidRPr="002A2428">
        <w:rPr>
          <w:rFonts w:cs="Calibri"/>
          <w:snapToGrid/>
          <w:lang w:val="de-AT"/>
        </w:rPr>
        <w:t xml:space="preserve"> (with or without alternative approach) might lead to an extension</w:t>
      </w:r>
      <w:r w:rsidR="0094444B" w:rsidRPr="002A2428">
        <w:rPr>
          <w:rFonts w:cs="Calibri"/>
          <w:snapToGrid/>
          <w:lang w:val="de-AT"/>
        </w:rPr>
        <w:t xml:space="preserve"> </w:t>
      </w:r>
      <w:r w:rsidRPr="002A2428">
        <w:rPr>
          <w:rFonts w:cs="Calibri"/>
          <w:snapToGrid/>
          <w:lang w:val="de-AT"/>
        </w:rPr>
        <w:t>of costs based on the following example:</w:t>
      </w:r>
      <w:r w:rsidR="0094444B" w:rsidRPr="002A2428">
        <w:rPr>
          <w:rFonts w:cs="Calibri"/>
          <w:snapToGrid/>
          <w:lang w:val="de-AT"/>
        </w:rPr>
        <w:t xml:space="preserve"> </w:t>
      </w:r>
      <w:r w:rsidRPr="002A2428">
        <w:rPr>
          <w:rFonts w:cs="Calibri"/>
          <w:snapToGrid/>
          <w:lang w:val="de-AT"/>
        </w:rPr>
        <w:t>If the Sovereign itself is a large exposure for an institution, all entities which are dependent</w:t>
      </w:r>
      <w:r w:rsidR="0094444B" w:rsidRPr="002A2428">
        <w:rPr>
          <w:rFonts w:cs="Calibri"/>
          <w:snapToGrid/>
          <w:lang w:val="de-AT"/>
        </w:rPr>
        <w:t xml:space="preserve"> </w:t>
      </w:r>
      <w:r w:rsidRPr="002A2428">
        <w:rPr>
          <w:rFonts w:cs="Calibri"/>
          <w:snapToGrid/>
          <w:lang w:val="de-AT"/>
        </w:rPr>
        <w:t>on the Sovereign have to be in a group with the Sovereign (sub-group or single group). This</w:t>
      </w:r>
      <w:r w:rsidR="0094444B" w:rsidRPr="002A2428">
        <w:rPr>
          <w:rFonts w:cs="Calibri"/>
          <w:snapToGrid/>
          <w:lang w:val="de-AT"/>
        </w:rPr>
        <w:t xml:space="preserve"> </w:t>
      </w:r>
      <w:r w:rsidRPr="002A2428">
        <w:rPr>
          <w:rFonts w:cs="Calibri"/>
          <w:snapToGrid/>
          <w:lang w:val="de-AT"/>
        </w:rPr>
        <w:t>also applies to e.g. small associations which receive subsidies from the Sovereign. If such an</w:t>
      </w:r>
      <w:r w:rsidR="0094444B" w:rsidRPr="002A2428">
        <w:rPr>
          <w:rFonts w:cs="Calibri"/>
          <w:snapToGrid/>
          <w:lang w:val="de-AT"/>
        </w:rPr>
        <w:t xml:space="preserve"> </w:t>
      </w:r>
      <w:r w:rsidRPr="002A2428">
        <w:rPr>
          <w:rFonts w:cs="Calibri"/>
          <w:snapToGrid/>
          <w:lang w:val="de-AT"/>
        </w:rPr>
        <w:t>association would apply for a new – even very small – credit, this would lead to a required</w:t>
      </w:r>
      <w:r w:rsidR="0094444B" w:rsidRPr="002A2428">
        <w:rPr>
          <w:rFonts w:cs="Calibri"/>
          <w:snapToGrid/>
          <w:lang w:val="de-AT"/>
        </w:rPr>
        <w:t xml:space="preserve"> </w:t>
      </w:r>
      <w:r w:rsidRPr="002A2428">
        <w:rPr>
          <w:rFonts w:cs="Calibri"/>
          <w:snapToGrid/>
          <w:lang w:val="de-AT"/>
        </w:rPr>
        <w:t>decision of the Supervisory Board, as the group would be a large exposure. Business decision</w:t>
      </w:r>
      <w:r w:rsidR="0094444B" w:rsidRPr="002A2428">
        <w:rPr>
          <w:rFonts w:cs="Calibri"/>
          <w:snapToGrid/>
          <w:lang w:val="de-AT"/>
        </w:rPr>
        <w:t xml:space="preserve"> </w:t>
      </w:r>
      <w:r w:rsidRPr="002A2428">
        <w:rPr>
          <w:rFonts w:cs="Calibri"/>
          <w:snapToGrid/>
          <w:lang w:val="de-AT"/>
        </w:rPr>
        <w:t>making would slow down significantly for such cases.</w:t>
      </w:r>
    </w:p>
    <w:p w:rsidR="005808AD" w:rsidRDefault="005808AD" w:rsidP="005808AD">
      <w:pPr>
        <w:autoSpaceDE w:val="0"/>
        <w:autoSpaceDN w:val="0"/>
        <w:adjustRightInd w:val="0"/>
        <w:spacing w:line="240" w:lineRule="auto"/>
        <w:rPr>
          <w:rFonts w:cs="Calibri"/>
          <w:snapToGrid/>
          <w:lang w:val="de-AT"/>
        </w:rPr>
      </w:pPr>
    </w:p>
    <w:p w:rsidR="005808AD" w:rsidRPr="005808AD" w:rsidRDefault="005808AD" w:rsidP="005808AD">
      <w:pPr>
        <w:autoSpaceDE w:val="0"/>
        <w:autoSpaceDN w:val="0"/>
        <w:adjustRightInd w:val="0"/>
        <w:spacing w:line="240" w:lineRule="auto"/>
        <w:rPr>
          <w:rFonts w:cs="Calibri"/>
          <w:snapToGrid/>
          <w:lang w:val="de-AT"/>
        </w:rPr>
      </w:pPr>
      <w:r w:rsidRPr="005808AD">
        <w:rPr>
          <w:rFonts w:cs="Calibri"/>
          <w:snapToGrid/>
          <w:lang w:val="de-AT"/>
        </w:rPr>
        <w:t>Additionally, there would be limitations to lending due to the grouping requirements.</w:t>
      </w:r>
    </w:p>
    <w:p w:rsidR="005808AD" w:rsidRPr="002A2428" w:rsidRDefault="005808AD" w:rsidP="005808AD">
      <w:pPr>
        <w:pStyle w:val="Listenabsatz"/>
        <w:numPr>
          <w:ilvl w:val="0"/>
          <w:numId w:val="27"/>
        </w:numPr>
        <w:autoSpaceDE w:val="0"/>
        <w:autoSpaceDN w:val="0"/>
        <w:adjustRightInd w:val="0"/>
        <w:spacing w:line="240" w:lineRule="auto"/>
        <w:rPr>
          <w:rFonts w:cs="Calibri,Italic"/>
          <w:i/>
          <w:iCs/>
          <w:snapToGrid/>
          <w:lang w:val="de-AT"/>
        </w:rPr>
      </w:pPr>
      <w:r w:rsidRPr="002A2428">
        <w:rPr>
          <w:rFonts w:cs="Calibri"/>
          <w:snapToGrid/>
          <w:lang w:val="de-AT"/>
        </w:rPr>
        <w:t xml:space="preserve">Item 23 g.) </w:t>
      </w:r>
      <w:r w:rsidRPr="002A2428">
        <w:rPr>
          <w:rFonts w:cs="Calibri,Italic"/>
          <w:i/>
          <w:iCs/>
          <w:snapToGrid/>
          <w:lang w:val="de-AT"/>
        </w:rPr>
        <w:t>“(...) economic dependency: where a significant part or at least 50% of a client’s</w:t>
      </w:r>
      <w:r w:rsidR="002A2428">
        <w:rPr>
          <w:rFonts w:cs="Calibri,Italic"/>
          <w:i/>
          <w:iCs/>
          <w:snapToGrid/>
          <w:lang w:val="de-AT"/>
        </w:rPr>
        <w:t xml:space="preserve"> </w:t>
      </w:r>
      <w:r w:rsidRPr="002A2428">
        <w:rPr>
          <w:rFonts w:cs="Calibri,Italic"/>
          <w:i/>
          <w:iCs/>
          <w:snapToGrid/>
          <w:lang w:val="de-AT"/>
        </w:rPr>
        <w:t>asset is invested in another client”</w:t>
      </w:r>
      <w:r w:rsidRPr="002A2428">
        <w:rPr>
          <w:rFonts w:cs="Calibri"/>
          <w:snapToGrid/>
          <w:lang w:val="de-AT"/>
        </w:rPr>
        <w:t>: Would this lead to a group of connected clients if a funds</w:t>
      </w:r>
      <w:r w:rsidR="002A2428">
        <w:rPr>
          <w:rFonts w:cs="Calibri"/>
          <w:snapToGrid/>
          <w:lang w:val="de-AT"/>
        </w:rPr>
        <w:t xml:space="preserve"> </w:t>
      </w:r>
      <w:r w:rsidRPr="002A2428">
        <w:rPr>
          <w:rFonts w:cs="Calibri"/>
          <w:snapToGrid/>
          <w:lang w:val="de-AT"/>
        </w:rPr>
        <w:t>is invested with 51% in state bonds (which might easily be the case)?</w:t>
      </w:r>
    </w:p>
    <w:p w:rsidR="00F97B7D" w:rsidRPr="00F31924" w:rsidRDefault="005808AD" w:rsidP="00F31924">
      <w:pPr>
        <w:pStyle w:val="Listenabsatz"/>
        <w:numPr>
          <w:ilvl w:val="0"/>
          <w:numId w:val="27"/>
        </w:numPr>
        <w:autoSpaceDE w:val="0"/>
        <w:autoSpaceDN w:val="0"/>
        <w:adjustRightInd w:val="0"/>
        <w:spacing w:line="240" w:lineRule="auto"/>
        <w:rPr>
          <w:rFonts w:cs="Calibri,Italic"/>
          <w:i/>
          <w:iCs/>
          <w:snapToGrid/>
          <w:lang w:val="de-AT"/>
        </w:rPr>
      </w:pPr>
      <w:r w:rsidRPr="002A2428">
        <w:rPr>
          <w:rFonts w:cs="Calibri"/>
          <w:snapToGrid/>
          <w:lang w:val="de-AT"/>
        </w:rPr>
        <w:t>Item 26: “Institutions should form a group of connected clients where two or more of their</w:t>
      </w:r>
      <w:r w:rsidR="002A2428">
        <w:rPr>
          <w:rFonts w:cs="Calibri"/>
          <w:snapToGrid/>
          <w:lang w:val="de-AT"/>
        </w:rPr>
        <w:t xml:space="preserve"> </w:t>
      </w:r>
      <w:r w:rsidRPr="002A2428">
        <w:rPr>
          <w:rFonts w:cs="Calibri"/>
          <w:snapToGrid/>
          <w:lang w:val="de-AT"/>
        </w:rPr>
        <w:t>clients are economically dependent on an entity, even if this entity is not a client of the</w:t>
      </w:r>
      <w:r w:rsidR="002A2428">
        <w:rPr>
          <w:rFonts w:cs="Calibri"/>
          <w:snapToGrid/>
          <w:lang w:val="de-AT"/>
        </w:rPr>
        <w:t xml:space="preserve"> </w:t>
      </w:r>
      <w:r w:rsidRPr="002A2428">
        <w:rPr>
          <w:rFonts w:cs="Calibri"/>
          <w:snapToGrid/>
          <w:lang w:val="de-AT"/>
        </w:rPr>
        <w:t>institution.”</w:t>
      </w:r>
      <w:r w:rsidR="00F31924">
        <w:rPr>
          <w:rFonts w:cs="Calibri"/>
          <w:snapToGrid/>
          <w:lang w:val="de-AT"/>
        </w:rPr>
        <w:t xml:space="preserve"> </w:t>
      </w:r>
      <w:r w:rsidR="00F97B7D" w:rsidRPr="00F31924">
        <w:rPr>
          <w:lang w:val="en-GB"/>
        </w:rPr>
        <w:t>Such a requirement would cause a disproportionate administrative burden for the institutions and lead to an unintended data volume. Such a requirement should be limited to exceptional cases.</w:t>
      </w:r>
    </w:p>
    <w:p w:rsidR="002B0634" w:rsidRPr="005808AD" w:rsidRDefault="00F31924" w:rsidP="00F97B7D">
      <w:pPr>
        <w:autoSpaceDE w:val="0"/>
        <w:autoSpaceDN w:val="0"/>
        <w:adjustRightInd w:val="0"/>
        <w:rPr>
          <w:lang w:val="en-GB"/>
        </w:rPr>
      </w:pPr>
      <w:r w:rsidRPr="005808AD">
        <w:rPr>
          <w:rFonts w:cs="Calibri"/>
          <w:snapToGrid/>
          <w:lang w:val="de-AT"/>
        </w:rPr>
        <w:t>This connection cannot be established on a systematic basis.</w:t>
      </w:r>
      <w:r>
        <w:rPr>
          <w:lang w:val="en-GB"/>
        </w:rPr>
        <w:t xml:space="preserve"> We consider it</w:t>
      </w:r>
      <w:r w:rsidR="00F97B7D" w:rsidRPr="00F97B7D">
        <w:rPr>
          <w:lang w:val="en-GB"/>
        </w:rPr>
        <w:t xml:space="preserve"> difficult f</w:t>
      </w:r>
      <w:r>
        <w:rPr>
          <w:lang w:val="en-GB"/>
        </w:rPr>
        <w:t>or the institutions to get this</w:t>
      </w:r>
      <w:r w:rsidR="00F97B7D" w:rsidRPr="00F97B7D">
        <w:rPr>
          <w:lang w:val="en-GB"/>
        </w:rPr>
        <w:t xml:space="preserve"> information and to monitor these cases.</w:t>
      </w:r>
    </w:p>
    <w:p w:rsidR="002B0634" w:rsidRDefault="002B0634" w:rsidP="00B1272A">
      <w:pPr>
        <w:autoSpaceDE w:val="0"/>
        <w:autoSpaceDN w:val="0"/>
        <w:adjustRightInd w:val="0"/>
        <w:rPr>
          <w:lang w:val="en-GB"/>
        </w:rPr>
      </w:pPr>
    </w:p>
    <w:p w:rsidR="00452A16" w:rsidRPr="002A2428" w:rsidRDefault="00452A16" w:rsidP="002A2428">
      <w:pPr>
        <w:autoSpaceDE w:val="0"/>
        <w:autoSpaceDN w:val="0"/>
        <w:adjustRightInd w:val="0"/>
        <w:rPr>
          <w:b/>
          <w:lang w:val="en-GB"/>
        </w:rPr>
      </w:pPr>
      <w:r w:rsidRPr="002A2428">
        <w:rPr>
          <w:b/>
          <w:lang w:val="en-GB"/>
        </w:rPr>
        <w:t>Proposed amendments to the draft guidelines:</w:t>
      </w:r>
    </w:p>
    <w:p w:rsidR="00452A16" w:rsidRPr="002A2428" w:rsidRDefault="00452A16" w:rsidP="002A2428">
      <w:pPr>
        <w:autoSpaceDE w:val="0"/>
        <w:autoSpaceDN w:val="0"/>
        <w:adjustRightInd w:val="0"/>
        <w:rPr>
          <w:lang w:val="en-GB"/>
        </w:rPr>
      </w:pPr>
    </w:p>
    <w:p w:rsidR="00452A16" w:rsidRPr="002A2428" w:rsidRDefault="00452A16" w:rsidP="002A2428">
      <w:pPr>
        <w:autoSpaceDE w:val="0"/>
        <w:autoSpaceDN w:val="0"/>
        <w:adjustRightInd w:val="0"/>
        <w:rPr>
          <w:lang w:val="en-GB"/>
        </w:rPr>
      </w:pPr>
      <w:r w:rsidRPr="002A2428">
        <w:rPr>
          <w:lang w:val="en-GB"/>
        </w:rPr>
        <w:t xml:space="preserve">Section 6 </w:t>
      </w:r>
    </w:p>
    <w:p w:rsidR="00452A16" w:rsidRPr="002A2428" w:rsidRDefault="00452A16" w:rsidP="002A2428">
      <w:pPr>
        <w:autoSpaceDE w:val="0"/>
        <w:autoSpaceDN w:val="0"/>
        <w:adjustRightInd w:val="0"/>
        <w:rPr>
          <w:lang w:val="en-GB"/>
        </w:rPr>
      </w:pPr>
      <w:r w:rsidRPr="002A2428">
        <w:rPr>
          <w:lang w:val="en-GB"/>
        </w:rPr>
        <w:t>23</w:t>
      </w:r>
      <w:proofErr w:type="gramStart"/>
      <w:r w:rsidRPr="002A2428">
        <w:rPr>
          <w:lang w:val="en-GB"/>
        </w:rPr>
        <w:t>.j</w:t>
      </w:r>
      <w:proofErr w:type="gramEnd"/>
      <w:r w:rsidRPr="002A2428">
        <w:rPr>
          <w:lang w:val="en-GB"/>
        </w:rPr>
        <w:t>)</w:t>
      </w:r>
    </w:p>
    <w:p w:rsidR="00452A16" w:rsidRDefault="00452A16" w:rsidP="002A2428">
      <w:pPr>
        <w:spacing w:line="240" w:lineRule="auto"/>
        <w:rPr>
          <w:i/>
          <w:iCs/>
          <w:lang w:val="en-US"/>
        </w:rPr>
      </w:pPr>
      <w:proofErr w:type="gramStart"/>
      <w:r>
        <w:rPr>
          <w:lang w:val="en-US"/>
        </w:rPr>
        <w:t xml:space="preserve">The relationship between a debtor and his/her co-borrower </w:t>
      </w:r>
      <w:r w:rsidRPr="00F31924">
        <w:rPr>
          <w:i/>
          <w:u w:val="single"/>
          <w:lang w:val="en-US"/>
        </w:rPr>
        <w:t>if the loan is significant for both</w:t>
      </w:r>
      <w:r w:rsidRPr="00F31924">
        <w:rPr>
          <w:lang w:val="en-US"/>
        </w:rPr>
        <w:t>.</w:t>
      </w:r>
      <w:proofErr w:type="gramEnd"/>
    </w:p>
    <w:p w:rsidR="00452A16" w:rsidRDefault="00452A16" w:rsidP="002A2428">
      <w:pPr>
        <w:spacing w:line="240" w:lineRule="auto"/>
        <w:rPr>
          <w:lang w:val="en-US"/>
        </w:rPr>
      </w:pPr>
    </w:p>
    <w:p w:rsidR="00452A16" w:rsidRPr="002A2428" w:rsidRDefault="00452A16" w:rsidP="002A2428">
      <w:pPr>
        <w:spacing w:line="240" w:lineRule="auto"/>
        <w:rPr>
          <w:bCs/>
          <w:lang w:val="en-US"/>
        </w:rPr>
      </w:pPr>
      <w:r w:rsidRPr="002A2428">
        <w:rPr>
          <w:bCs/>
          <w:lang w:val="en-US"/>
        </w:rPr>
        <w:t>28.</w:t>
      </w:r>
    </w:p>
    <w:p w:rsidR="00452A16" w:rsidRDefault="00452A16" w:rsidP="002A2428">
      <w:pPr>
        <w:spacing w:line="240" w:lineRule="auto"/>
        <w:rPr>
          <w:i/>
          <w:iCs/>
          <w:color w:val="FF0000"/>
          <w:lang w:val="en-US"/>
        </w:rPr>
      </w:pPr>
      <w:r>
        <w:rPr>
          <w:lang w:val="en-US"/>
        </w:rPr>
        <w:t xml:space="preserve">Institutions should consider cases where the dependency on a common source of funding is provided by the institution itself, its financial group or its connected parties. </w:t>
      </w:r>
      <w:r w:rsidRPr="00F31924">
        <w:rPr>
          <w:i/>
          <w:u w:val="single"/>
          <w:lang w:val="en-US"/>
        </w:rPr>
        <w:t>This only applies in cases where the single risk is created by the use of similar structures and the funding source cannot be replaced normally.</w:t>
      </w:r>
    </w:p>
    <w:p w:rsidR="00C11030" w:rsidRDefault="00C11030" w:rsidP="00C619D3">
      <w:pPr>
        <w:rPr>
          <w:lang w:val="en-US"/>
        </w:rPr>
      </w:pPr>
    </w:p>
    <w:p w:rsidR="00F31924" w:rsidRPr="005C7948" w:rsidRDefault="00F31924" w:rsidP="00C619D3">
      <w:pPr>
        <w:rPr>
          <w:lang w:val="en-US"/>
        </w:rPr>
      </w:pPr>
    </w:p>
    <w:p w:rsidR="00686189" w:rsidRPr="00767DA3" w:rsidRDefault="00C66013" w:rsidP="00CE5D6F">
      <w:pPr>
        <w:spacing w:line="240" w:lineRule="auto"/>
        <w:rPr>
          <w:rFonts w:cs="Arial"/>
          <w:color w:val="000000"/>
          <w:lang w:val="en-GB" w:eastAsia="en-US"/>
        </w:rPr>
      </w:pPr>
      <w:r w:rsidRPr="00767DA3">
        <w:rPr>
          <w:rFonts w:cs="Arial"/>
          <w:color w:val="000000"/>
          <w:lang w:val="en-GB" w:eastAsia="en-US"/>
        </w:rPr>
        <w:t>We ask you to give our remarks du</w:t>
      </w:r>
      <w:r w:rsidR="00B960F5" w:rsidRPr="00767DA3">
        <w:rPr>
          <w:rFonts w:cs="Arial"/>
          <w:color w:val="000000"/>
          <w:lang w:val="en-GB" w:eastAsia="en-US"/>
        </w:rPr>
        <w:t>e consideration.</w:t>
      </w:r>
    </w:p>
    <w:p w:rsidR="00686189" w:rsidRPr="00767DA3" w:rsidRDefault="00686189" w:rsidP="00CE5D6F">
      <w:pPr>
        <w:spacing w:line="240" w:lineRule="auto"/>
        <w:rPr>
          <w:rFonts w:cs="Arial"/>
          <w:color w:val="000000"/>
          <w:lang w:val="en-GB" w:eastAsia="en-US"/>
        </w:rPr>
      </w:pPr>
    </w:p>
    <w:p w:rsidR="008E0154" w:rsidRPr="00767DA3" w:rsidRDefault="008E0154" w:rsidP="008E0154">
      <w:pPr>
        <w:spacing w:line="240" w:lineRule="auto"/>
        <w:rPr>
          <w:rFonts w:cs="Arial"/>
          <w:color w:val="000000"/>
          <w:lang w:val="en-GB" w:eastAsia="en-US"/>
        </w:rPr>
      </w:pPr>
      <w:r w:rsidRPr="00767DA3">
        <w:rPr>
          <w:rFonts w:cs="Arial"/>
          <w:color w:val="000000"/>
          <w:lang w:val="en-GB" w:eastAsia="en-US"/>
        </w:rPr>
        <w:t>Yours sincerely,</w:t>
      </w:r>
    </w:p>
    <w:p w:rsidR="008E0154" w:rsidRPr="00767DA3" w:rsidRDefault="008E0154" w:rsidP="008E0154">
      <w:pPr>
        <w:spacing w:line="240" w:lineRule="auto"/>
        <w:rPr>
          <w:rFonts w:cs="Arial"/>
          <w:color w:val="000000"/>
          <w:lang w:val="en-GB" w:eastAsia="en-US"/>
        </w:rPr>
      </w:pPr>
    </w:p>
    <w:p w:rsidR="008E0154" w:rsidRPr="00767DA3" w:rsidRDefault="008E0154" w:rsidP="008E0154">
      <w:pPr>
        <w:spacing w:line="240" w:lineRule="auto"/>
        <w:rPr>
          <w:rFonts w:cs="Arial"/>
          <w:color w:val="000000"/>
          <w:lang w:val="en-GB" w:eastAsia="en-US"/>
        </w:rPr>
      </w:pPr>
      <w:r w:rsidRPr="00767DA3">
        <w:rPr>
          <w:rFonts w:cs="Arial"/>
          <w:color w:val="000000"/>
          <w:lang w:val="en-GB" w:eastAsia="en-US"/>
        </w:rPr>
        <w:t>Dr. Franz Rudorfer</w:t>
      </w:r>
    </w:p>
    <w:p w:rsidR="008E0154" w:rsidRPr="00767DA3" w:rsidRDefault="008E0154" w:rsidP="008E0154">
      <w:pPr>
        <w:spacing w:line="240" w:lineRule="auto"/>
        <w:rPr>
          <w:rFonts w:cs="Arial"/>
          <w:color w:val="000000"/>
          <w:lang w:val="en-GB" w:eastAsia="en-US"/>
        </w:rPr>
      </w:pPr>
      <w:r w:rsidRPr="00767DA3">
        <w:rPr>
          <w:rFonts w:cs="Arial"/>
          <w:color w:val="000000"/>
          <w:lang w:val="en-GB" w:eastAsia="en-US"/>
        </w:rPr>
        <w:t>Managing Director</w:t>
      </w:r>
    </w:p>
    <w:p w:rsidR="00346DF4" w:rsidRPr="007C2846" w:rsidRDefault="008E0154" w:rsidP="00CE5D6F">
      <w:pPr>
        <w:spacing w:line="240" w:lineRule="auto"/>
        <w:rPr>
          <w:noProof/>
          <w:lang w:val="en-GB"/>
        </w:rPr>
      </w:pPr>
      <w:r w:rsidRPr="00767DA3">
        <w:rPr>
          <w:rFonts w:cs="Arial"/>
          <w:color w:val="000000"/>
          <w:lang w:val="en-GB" w:eastAsia="en-US"/>
        </w:rPr>
        <w:t>Division Bank and Insurance</w:t>
      </w:r>
      <w:bookmarkStart w:id="0" w:name="_GoBack"/>
      <w:bookmarkEnd w:id="0"/>
    </w:p>
    <w:sectPr w:rsidR="00346DF4" w:rsidRPr="007C2846" w:rsidSect="00F700E4">
      <w:headerReference w:type="default" r:id="rId9"/>
      <w:headerReference w:type="first" r:id="rId10"/>
      <w:pgSz w:w="11906" w:h="16838"/>
      <w:pgMar w:top="1701" w:right="851" w:bottom="1134" w:left="1418" w:header="708"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0A3" w:rsidRDefault="00B020A3">
      <w:r>
        <w:separator/>
      </w:r>
    </w:p>
  </w:endnote>
  <w:endnote w:type="continuationSeparator" w:id="0">
    <w:p w:rsidR="00B020A3" w:rsidRDefault="00B02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0A3" w:rsidRDefault="00B020A3">
      <w:r>
        <w:separator/>
      </w:r>
    </w:p>
  </w:footnote>
  <w:footnote w:type="continuationSeparator" w:id="0">
    <w:p w:rsidR="00B020A3" w:rsidRDefault="00B020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18E" w:rsidRDefault="0014018E">
    <w:pPr>
      <w:pStyle w:val="Kopfzeile"/>
      <w:jc w:val="center"/>
    </w:pPr>
    <w:r>
      <w:t xml:space="preserve">- </w:t>
    </w:r>
    <w:r w:rsidR="008D5D3B">
      <w:rPr>
        <w:rStyle w:val="Seitenzahl"/>
      </w:rPr>
      <w:fldChar w:fldCharType="begin"/>
    </w:r>
    <w:r>
      <w:rPr>
        <w:rStyle w:val="Seitenzahl"/>
      </w:rPr>
      <w:instrText xml:space="preserve"> PAGE </w:instrText>
    </w:r>
    <w:r w:rsidR="008D5D3B">
      <w:rPr>
        <w:rStyle w:val="Seitenzahl"/>
      </w:rPr>
      <w:fldChar w:fldCharType="separate"/>
    </w:r>
    <w:r w:rsidR="00F31924">
      <w:rPr>
        <w:rStyle w:val="Seitenzahl"/>
        <w:noProof/>
      </w:rPr>
      <w:t>7</w:t>
    </w:r>
    <w:r w:rsidR="008D5D3B">
      <w:rPr>
        <w:rStyle w:val="Seitenzahl"/>
      </w:rPr>
      <w:fldChar w:fldCharType="end"/>
    </w:r>
    <w:r>
      <w:rPr>
        <w:rStyle w:val="Seitenzah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18E" w:rsidRDefault="0014018E">
    <w:pPr>
      <w:pStyle w:val="Kopfzeile"/>
      <w:jc w:val="right"/>
    </w:pPr>
    <w:r>
      <w:rPr>
        <w:noProof/>
        <w:snapToGrid/>
        <w:lang w:val="de-AT"/>
      </w:rPr>
      <w:drawing>
        <wp:anchor distT="0" distB="0" distL="114300" distR="114300" simplePos="0" relativeHeight="251657728" behindDoc="0" locked="1" layoutInCell="0" allowOverlap="1">
          <wp:simplePos x="0" y="0"/>
          <wp:positionH relativeFrom="page">
            <wp:posOffset>4859655</wp:posOffset>
          </wp:positionH>
          <wp:positionV relativeFrom="page">
            <wp:posOffset>197485</wp:posOffset>
          </wp:positionV>
          <wp:extent cx="2210435" cy="861695"/>
          <wp:effectExtent l="19050" t="0" r="0" b="0"/>
          <wp:wrapTopAndBottom/>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210435" cy="8616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7379"/>
    <w:multiLevelType w:val="hybridMultilevel"/>
    <w:tmpl w:val="21AAB92E"/>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062F63C5"/>
    <w:multiLevelType w:val="hybridMultilevel"/>
    <w:tmpl w:val="758CF3B8"/>
    <w:lvl w:ilvl="0" w:tplc="42760B6C">
      <w:start w:val="1"/>
      <w:numFmt w:val="bullet"/>
      <w:lvlText w:val="-"/>
      <w:lvlJc w:val="left"/>
      <w:pPr>
        <w:ind w:left="1080" w:hanging="360"/>
      </w:pPr>
      <w:rPr>
        <w:rFonts w:ascii="Arial" w:eastAsia="Calibri" w:hAnsi="Arial" w:cs="Aria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
    <w:nsid w:val="0753262A"/>
    <w:multiLevelType w:val="hybridMultilevel"/>
    <w:tmpl w:val="78A618FA"/>
    <w:lvl w:ilvl="0" w:tplc="1A323130">
      <w:start w:val="1"/>
      <w:numFmt w:val="lowerRoman"/>
      <w:lvlText w:val="(%1)"/>
      <w:lvlJc w:val="left"/>
      <w:pPr>
        <w:ind w:left="1080" w:hanging="720"/>
      </w:pPr>
      <w:rPr>
        <w:rFonts w:cs="Symbol" w:hint="default"/>
        <w:i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0AF578A7"/>
    <w:multiLevelType w:val="hybridMultilevel"/>
    <w:tmpl w:val="A74EFC70"/>
    <w:lvl w:ilvl="0" w:tplc="719E4B78">
      <w:start w:val="1"/>
      <w:numFmt w:val="bullet"/>
      <w:lvlText w:val="-"/>
      <w:lvlJc w:val="left"/>
      <w:pPr>
        <w:ind w:left="1080" w:hanging="360"/>
      </w:pPr>
      <w:rPr>
        <w:rFonts w:ascii="Arial" w:eastAsia="Calibri" w:hAnsi="Arial" w:cs="Aria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4">
    <w:nsid w:val="16880E9B"/>
    <w:multiLevelType w:val="hybridMultilevel"/>
    <w:tmpl w:val="19B0B4CA"/>
    <w:lvl w:ilvl="0" w:tplc="1CD2FC34">
      <w:start w:val="1"/>
      <w:numFmt w:val="upperLetter"/>
      <w:lvlText w:val="%1."/>
      <w:lvlJc w:val="left"/>
      <w:pPr>
        <w:ind w:left="720" w:hanging="360"/>
      </w:pPr>
      <w:rPr>
        <w:rFonts w:ascii="Trebuchet MS" w:eastAsiaTheme="minorHAnsi" w:hAnsi="Trebuchet MS" w:cs="Arial" w:hint="default"/>
        <w:u w:val="single"/>
        <w:lang w:val="en-G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1ABC437B"/>
    <w:multiLevelType w:val="hybridMultilevel"/>
    <w:tmpl w:val="0340032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1D003BED"/>
    <w:multiLevelType w:val="hybridMultilevel"/>
    <w:tmpl w:val="6A6293A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21FB435A"/>
    <w:multiLevelType w:val="hybridMultilevel"/>
    <w:tmpl w:val="430A2FC0"/>
    <w:lvl w:ilvl="0" w:tplc="C558677A">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8">
    <w:nsid w:val="24080C1C"/>
    <w:multiLevelType w:val="hybridMultilevel"/>
    <w:tmpl w:val="29E495B8"/>
    <w:lvl w:ilvl="0" w:tplc="CAD83A2C">
      <w:start w:val="1"/>
      <w:numFmt w:val="low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25920B5A"/>
    <w:multiLevelType w:val="hybridMultilevel"/>
    <w:tmpl w:val="458C926E"/>
    <w:lvl w:ilvl="0" w:tplc="15FEF840">
      <w:numFmt w:val="bullet"/>
      <w:lvlText w:val="-"/>
      <w:lvlJc w:val="left"/>
      <w:pPr>
        <w:ind w:left="1776" w:hanging="360"/>
      </w:pPr>
      <w:rPr>
        <w:rFonts w:ascii="Arial" w:eastAsia="Calibri" w:hAnsi="Arial" w:cs="Arial" w:hint="default"/>
      </w:rPr>
    </w:lvl>
    <w:lvl w:ilvl="1" w:tplc="0C070003" w:tentative="1">
      <w:start w:val="1"/>
      <w:numFmt w:val="bullet"/>
      <w:lvlText w:val="o"/>
      <w:lvlJc w:val="left"/>
      <w:pPr>
        <w:ind w:left="2496" w:hanging="360"/>
      </w:pPr>
      <w:rPr>
        <w:rFonts w:ascii="Courier New" w:hAnsi="Courier New" w:cs="Courier New" w:hint="default"/>
      </w:rPr>
    </w:lvl>
    <w:lvl w:ilvl="2" w:tplc="0C070005" w:tentative="1">
      <w:start w:val="1"/>
      <w:numFmt w:val="bullet"/>
      <w:lvlText w:val=""/>
      <w:lvlJc w:val="left"/>
      <w:pPr>
        <w:ind w:left="3216" w:hanging="360"/>
      </w:pPr>
      <w:rPr>
        <w:rFonts w:ascii="Wingdings" w:hAnsi="Wingdings" w:hint="default"/>
      </w:rPr>
    </w:lvl>
    <w:lvl w:ilvl="3" w:tplc="0C070001" w:tentative="1">
      <w:start w:val="1"/>
      <w:numFmt w:val="bullet"/>
      <w:lvlText w:val=""/>
      <w:lvlJc w:val="left"/>
      <w:pPr>
        <w:ind w:left="3936" w:hanging="360"/>
      </w:pPr>
      <w:rPr>
        <w:rFonts w:ascii="Symbol" w:hAnsi="Symbol" w:hint="default"/>
      </w:rPr>
    </w:lvl>
    <w:lvl w:ilvl="4" w:tplc="0C070003" w:tentative="1">
      <w:start w:val="1"/>
      <w:numFmt w:val="bullet"/>
      <w:lvlText w:val="o"/>
      <w:lvlJc w:val="left"/>
      <w:pPr>
        <w:ind w:left="4656" w:hanging="360"/>
      </w:pPr>
      <w:rPr>
        <w:rFonts w:ascii="Courier New" w:hAnsi="Courier New" w:cs="Courier New" w:hint="default"/>
      </w:rPr>
    </w:lvl>
    <w:lvl w:ilvl="5" w:tplc="0C070005" w:tentative="1">
      <w:start w:val="1"/>
      <w:numFmt w:val="bullet"/>
      <w:lvlText w:val=""/>
      <w:lvlJc w:val="left"/>
      <w:pPr>
        <w:ind w:left="5376" w:hanging="360"/>
      </w:pPr>
      <w:rPr>
        <w:rFonts w:ascii="Wingdings" w:hAnsi="Wingdings" w:hint="default"/>
      </w:rPr>
    </w:lvl>
    <w:lvl w:ilvl="6" w:tplc="0C070001" w:tentative="1">
      <w:start w:val="1"/>
      <w:numFmt w:val="bullet"/>
      <w:lvlText w:val=""/>
      <w:lvlJc w:val="left"/>
      <w:pPr>
        <w:ind w:left="6096" w:hanging="360"/>
      </w:pPr>
      <w:rPr>
        <w:rFonts w:ascii="Symbol" w:hAnsi="Symbol" w:hint="default"/>
      </w:rPr>
    </w:lvl>
    <w:lvl w:ilvl="7" w:tplc="0C070003" w:tentative="1">
      <w:start w:val="1"/>
      <w:numFmt w:val="bullet"/>
      <w:lvlText w:val="o"/>
      <w:lvlJc w:val="left"/>
      <w:pPr>
        <w:ind w:left="6816" w:hanging="360"/>
      </w:pPr>
      <w:rPr>
        <w:rFonts w:ascii="Courier New" w:hAnsi="Courier New" w:cs="Courier New" w:hint="default"/>
      </w:rPr>
    </w:lvl>
    <w:lvl w:ilvl="8" w:tplc="0C070005" w:tentative="1">
      <w:start w:val="1"/>
      <w:numFmt w:val="bullet"/>
      <w:lvlText w:val=""/>
      <w:lvlJc w:val="left"/>
      <w:pPr>
        <w:ind w:left="7536" w:hanging="360"/>
      </w:pPr>
      <w:rPr>
        <w:rFonts w:ascii="Wingdings" w:hAnsi="Wingdings" w:hint="default"/>
      </w:rPr>
    </w:lvl>
  </w:abstractNum>
  <w:abstractNum w:abstractNumId="10">
    <w:nsid w:val="29DA43B5"/>
    <w:multiLevelType w:val="hybridMultilevel"/>
    <w:tmpl w:val="296A22F0"/>
    <w:lvl w:ilvl="0" w:tplc="A7166D9A">
      <w:start w:val="1"/>
      <w:numFmt w:val="low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nsid w:val="2F7E33E9"/>
    <w:multiLevelType w:val="hybridMultilevel"/>
    <w:tmpl w:val="AE08DDC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nsid w:val="48C27902"/>
    <w:multiLevelType w:val="hybridMultilevel"/>
    <w:tmpl w:val="45F88D18"/>
    <w:lvl w:ilvl="0" w:tplc="0C070013">
      <w:start w:val="1"/>
      <w:numFmt w:val="upperRoman"/>
      <w:lvlText w:val="%1."/>
      <w:lvlJc w:val="right"/>
      <w:pPr>
        <w:ind w:left="502" w:hanging="360"/>
      </w:pPr>
    </w:lvl>
    <w:lvl w:ilvl="1" w:tplc="0C070019" w:tentative="1">
      <w:start w:val="1"/>
      <w:numFmt w:val="lowerLetter"/>
      <w:lvlText w:val="%2."/>
      <w:lvlJc w:val="left"/>
      <w:pPr>
        <w:ind w:left="1222" w:hanging="360"/>
      </w:pPr>
    </w:lvl>
    <w:lvl w:ilvl="2" w:tplc="0C07001B" w:tentative="1">
      <w:start w:val="1"/>
      <w:numFmt w:val="lowerRoman"/>
      <w:lvlText w:val="%3."/>
      <w:lvlJc w:val="right"/>
      <w:pPr>
        <w:ind w:left="1942" w:hanging="180"/>
      </w:pPr>
    </w:lvl>
    <w:lvl w:ilvl="3" w:tplc="0C07000F" w:tentative="1">
      <w:start w:val="1"/>
      <w:numFmt w:val="decimal"/>
      <w:lvlText w:val="%4."/>
      <w:lvlJc w:val="left"/>
      <w:pPr>
        <w:ind w:left="2662" w:hanging="360"/>
      </w:pPr>
    </w:lvl>
    <w:lvl w:ilvl="4" w:tplc="0C070019" w:tentative="1">
      <w:start w:val="1"/>
      <w:numFmt w:val="lowerLetter"/>
      <w:lvlText w:val="%5."/>
      <w:lvlJc w:val="left"/>
      <w:pPr>
        <w:ind w:left="3382" w:hanging="360"/>
      </w:pPr>
    </w:lvl>
    <w:lvl w:ilvl="5" w:tplc="0C07001B" w:tentative="1">
      <w:start w:val="1"/>
      <w:numFmt w:val="lowerRoman"/>
      <w:lvlText w:val="%6."/>
      <w:lvlJc w:val="right"/>
      <w:pPr>
        <w:ind w:left="4102" w:hanging="180"/>
      </w:pPr>
    </w:lvl>
    <w:lvl w:ilvl="6" w:tplc="0C07000F" w:tentative="1">
      <w:start w:val="1"/>
      <w:numFmt w:val="decimal"/>
      <w:lvlText w:val="%7."/>
      <w:lvlJc w:val="left"/>
      <w:pPr>
        <w:ind w:left="4822" w:hanging="360"/>
      </w:pPr>
    </w:lvl>
    <w:lvl w:ilvl="7" w:tplc="0C070019" w:tentative="1">
      <w:start w:val="1"/>
      <w:numFmt w:val="lowerLetter"/>
      <w:lvlText w:val="%8."/>
      <w:lvlJc w:val="left"/>
      <w:pPr>
        <w:ind w:left="5542" w:hanging="360"/>
      </w:pPr>
    </w:lvl>
    <w:lvl w:ilvl="8" w:tplc="0C07001B" w:tentative="1">
      <w:start w:val="1"/>
      <w:numFmt w:val="lowerRoman"/>
      <w:lvlText w:val="%9."/>
      <w:lvlJc w:val="right"/>
      <w:pPr>
        <w:ind w:left="6262" w:hanging="180"/>
      </w:pPr>
    </w:lvl>
  </w:abstractNum>
  <w:abstractNum w:abstractNumId="13">
    <w:nsid w:val="48D71814"/>
    <w:multiLevelType w:val="hybridMultilevel"/>
    <w:tmpl w:val="FD02C0A0"/>
    <w:lvl w:ilvl="0" w:tplc="2B72F944">
      <w:start w:val="2"/>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536F1603"/>
    <w:multiLevelType w:val="hybridMultilevel"/>
    <w:tmpl w:val="526A3F40"/>
    <w:lvl w:ilvl="0" w:tplc="0C070013">
      <w:start w:val="1"/>
      <w:numFmt w:val="upperRoman"/>
      <w:lvlText w:val="%1."/>
      <w:lvlJc w:val="righ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nsid w:val="587A10D2"/>
    <w:multiLevelType w:val="hybridMultilevel"/>
    <w:tmpl w:val="1D8E3446"/>
    <w:lvl w:ilvl="0" w:tplc="61902CC4">
      <w:numFmt w:val="bullet"/>
      <w:lvlText w:val="-"/>
      <w:lvlJc w:val="left"/>
      <w:pPr>
        <w:ind w:left="720" w:hanging="360"/>
      </w:pPr>
      <w:rPr>
        <w:rFonts w:ascii="Trebuchet MS" w:eastAsia="Times New Roman" w:hAnsi="Trebuchet MS" w:cs="Trebuchet M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58D53930"/>
    <w:multiLevelType w:val="hybridMultilevel"/>
    <w:tmpl w:val="4E128B8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5D431DFD"/>
    <w:multiLevelType w:val="hybridMultilevel"/>
    <w:tmpl w:val="384ADF18"/>
    <w:lvl w:ilvl="0" w:tplc="0C070013">
      <w:start w:val="1"/>
      <w:numFmt w:val="upperRoman"/>
      <w:lvlText w:val="%1."/>
      <w:lvlJc w:val="righ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nsid w:val="60A61DB9"/>
    <w:multiLevelType w:val="hybridMultilevel"/>
    <w:tmpl w:val="3A06503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nsid w:val="65C210E1"/>
    <w:multiLevelType w:val="hybridMultilevel"/>
    <w:tmpl w:val="D2EC6886"/>
    <w:lvl w:ilvl="0" w:tplc="516AC5AA">
      <w:start w:val="1"/>
      <w:numFmt w:val="lowerRoman"/>
      <w:lvlText w:val="(%1)"/>
      <w:lvlJc w:val="left"/>
      <w:pPr>
        <w:ind w:left="1440" w:hanging="720"/>
      </w:pPr>
      <w:rPr>
        <w:rFonts w:ascii="Trebuchet MS" w:eastAsia="Calibri" w:hAnsi="Trebuchet MS" w:cs="Times New Roman"/>
      </w:rPr>
    </w:lvl>
    <w:lvl w:ilvl="1" w:tplc="0C070019">
      <w:start w:val="1"/>
      <w:numFmt w:val="lowerLetter"/>
      <w:lvlText w:val="%2."/>
      <w:lvlJc w:val="left"/>
      <w:pPr>
        <w:ind w:left="1800" w:hanging="360"/>
      </w:pPr>
    </w:lvl>
    <w:lvl w:ilvl="2" w:tplc="0C07001B">
      <w:start w:val="1"/>
      <w:numFmt w:val="lowerRoman"/>
      <w:lvlText w:val="%3."/>
      <w:lvlJc w:val="right"/>
      <w:pPr>
        <w:ind w:left="2520" w:hanging="180"/>
      </w:pPr>
    </w:lvl>
    <w:lvl w:ilvl="3" w:tplc="0C07000F">
      <w:start w:val="1"/>
      <w:numFmt w:val="decimal"/>
      <w:lvlText w:val="%4."/>
      <w:lvlJc w:val="left"/>
      <w:pPr>
        <w:ind w:left="3240" w:hanging="360"/>
      </w:pPr>
    </w:lvl>
    <w:lvl w:ilvl="4" w:tplc="0C070019">
      <w:start w:val="1"/>
      <w:numFmt w:val="lowerLetter"/>
      <w:lvlText w:val="%5."/>
      <w:lvlJc w:val="left"/>
      <w:pPr>
        <w:ind w:left="3960" w:hanging="360"/>
      </w:pPr>
    </w:lvl>
    <w:lvl w:ilvl="5" w:tplc="0C07001B">
      <w:start w:val="1"/>
      <w:numFmt w:val="lowerRoman"/>
      <w:lvlText w:val="%6."/>
      <w:lvlJc w:val="right"/>
      <w:pPr>
        <w:ind w:left="4680" w:hanging="180"/>
      </w:pPr>
    </w:lvl>
    <w:lvl w:ilvl="6" w:tplc="0C07000F">
      <w:start w:val="1"/>
      <w:numFmt w:val="decimal"/>
      <w:lvlText w:val="%7."/>
      <w:lvlJc w:val="left"/>
      <w:pPr>
        <w:ind w:left="5400" w:hanging="360"/>
      </w:pPr>
    </w:lvl>
    <w:lvl w:ilvl="7" w:tplc="0C070019">
      <w:start w:val="1"/>
      <w:numFmt w:val="lowerLetter"/>
      <w:lvlText w:val="%8."/>
      <w:lvlJc w:val="left"/>
      <w:pPr>
        <w:ind w:left="6120" w:hanging="360"/>
      </w:pPr>
    </w:lvl>
    <w:lvl w:ilvl="8" w:tplc="0C07001B">
      <w:start w:val="1"/>
      <w:numFmt w:val="lowerRoman"/>
      <w:lvlText w:val="%9."/>
      <w:lvlJc w:val="right"/>
      <w:pPr>
        <w:ind w:left="6840" w:hanging="180"/>
      </w:pPr>
    </w:lvl>
  </w:abstractNum>
  <w:abstractNum w:abstractNumId="20">
    <w:nsid w:val="6DFA673E"/>
    <w:multiLevelType w:val="hybridMultilevel"/>
    <w:tmpl w:val="E04C4170"/>
    <w:lvl w:ilvl="0" w:tplc="C558677A">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21">
    <w:nsid w:val="6E0052D8"/>
    <w:multiLevelType w:val="hybridMultilevel"/>
    <w:tmpl w:val="CAA82652"/>
    <w:lvl w:ilvl="0" w:tplc="38E4F724">
      <w:numFmt w:val="bullet"/>
      <w:lvlText w:val="-"/>
      <w:lvlJc w:val="left"/>
      <w:pPr>
        <w:ind w:left="720" w:hanging="360"/>
      </w:pPr>
      <w:rPr>
        <w:rFonts w:ascii="Arial" w:eastAsia="Times New Roman" w:hAnsi="Arial" w:hint="default"/>
      </w:rPr>
    </w:lvl>
    <w:lvl w:ilvl="1" w:tplc="0C070003">
      <w:start w:val="1"/>
      <w:numFmt w:val="bullet"/>
      <w:lvlText w:val="o"/>
      <w:lvlJc w:val="left"/>
      <w:pPr>
        <w:ind w:left="1440" w:hanging="360"/>
      </w:pPr>
      <w:rPr>
        <w:rFonts w:ascii="Courier New" w:hAnsi="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hint="default"/>
      </w:rPr>
    </w:lvl>
    <w:lvl w:ilvl="8" w:tplc="0C070005">
      <w:start w:val="1"/>
      <w:numFmt w:val="bullet"/>
      <w:lvlText w:val=""/>
      <w:lvlJc w:val="left"/>
      <w:pPr>
        <w:ind w:left="6480" w:hanging="360"/>
      </w:pPr>
      <w:rPr>
        <w:rFonts w:ascii="Wingdings" w:hAnsi="Wingdings" w:hint="default"/>
      </w:rPr>
    </w:lvl>
  </w:abstractNum>
  <w:abstractNum w:abstractNumId="22">
    <w:nsid w:val="6F7E1336"/>
    <w:multiLevelType w:val="hybridMultilevel"/>
    <w:tmpl w:val="CF7A09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nsid w:val="720A428C"/>
    <w:multiLevelType w:val="hybridMultilevel"/>
    <w:tmpl w:val="9514CBB0"/>
    <w:lvl w:ilvl="0" w:tplc="567C697E">
      <w:numFmt w:val="bullet"/>
      <w:lvlText w:val="-"/>
      <w:lvlJc w:val="left"/>
      <w:pPr>
        <w:ind w:left="1080" w:hanging="360"/>
      </w:pPr>
      <w:rPr>
        <w:rFonts w:ascii="Arial" w:eastAsia="Calibri" w:hAnsi="Arial" w:cs="Aria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4">
    <w:nsid w:val="72462943"/>
    <w:multiLevelType w:val="hybridMultilevel"/>
    <w:tmpl w:val="FF4CD16C"/>
    <w:lvl w:ilvl="0" w:tplc="0C070013">
      <w:start w:val="1"/>
      <w:numFmt w:val="upperRoman"/>
      <w:lvlText w:val="%1."/>
      <w:lvlJc w:val="righ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nsid w:val="72F86EC0"/>
    <w:multiLevelType w:val="hybridMultilevel"/>
    <w:tmpl w:val="FF8E89CE"/>
    <w:lvl w:ilvl="0" w:tplc="AE629106">
      <w:start w:val="1"/>
      <w:numFmt w:val="lowerRoman"/>
      <w:lvlText w:val="(%1)"/>
      <w:lvlJc w:val="left"/>
      <w:pPr>
        <w:ind w:left="1080" w:hanging="720"/>
      </w:pPr>
      <w:rPr>
        <w:rFonts w:cs="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nsid w:val="7C004F2D"/>
    <w:multiLevelType w:val="hybridMultilevel"/>
    <w:tmpl w:val="6E82D81A"/>
    <w:lvl w:ilvl="0" w:tplc="C558677A">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num w:numId="1">
    <w:abstractNumId w:val="15"/>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0"/>
  </w:num>
  <w:num w:numId="5">
    <w:abstractNumId w:val="26"/>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6"/>
  </w:num>
  <w:num w:numId="9">
    <w:abstractNumId w:val="5"/>
  </w:num>
  <w:num w:numId="10">
    <w:abstractNumId w:val="22"/>
  </w:num>
  <w:num w:numId="11">
    <w:abstractNumId w:val="16"/>
  </w:num>
  <w:num w:numId="12">
    <w:abstractNumId w:val="24"/>
  </w:num>
  <w:num w:numId="13">
    <w:abstractNumId w:val="4"/>
  </w:num>
  <w:num w:numId="14">
    <w:abstractNumId w:val="0"/>
  </w:num>
  <w:num w:numId="15">
    <w:abstractNumId w:val="18"/>
  </w:num>
  <w:num w:numId="16">
    <w:abstractNumId w:val="23"/>
  </w:num>
  <w:num w:numId="17">
    <w:abstractNumId w:val="3"/>
  </w:num>
  <w:num w:numId="18">
    <w:abstractNumId w:val="1"/>
  </w:num>
  <w:num w:numId="19">
    <w:abstractNumId w:val="9"/>
  </w:num>
  <w:num w:numId="20">
    <w:abstractNumId w:val="13"/>
  </w:num>
  <w:num w:numId="21">
    <w:abstractNumId w:val="12"/>
  </w:num>
  <w:num w:numId="22">
    <w:abstractNumId w:val="17"/>
  </w:num>
  <w:num w:numId="23">
    <w:abstractNumId w:val="21"/>
  </w:num>
  <w:num w:numId="24">
    <w:abstractNumId w:val="8"/>
  </w:num>
  <w:num w:numId="25">
    <w:abstractNumId w:val="10"/>
  </w:num>
  <w:num w:numId="26">
    <w:abstractNumId w:val="25"/>
  </w:num>
  <w:num w:numId="27">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0CC"/>
    <w:rsid w:val="00001730"/>
    <w:rsid w:val="00011DC9"/>
    <w:rsid w:val="00013086"/>
    <w:rsid w:val="000135FB"/>
    <w:rsid w:val="000163E0"/>
    <w:rsid w:val="00021DBA"/>
    <w:rsid w:val="00024D8C"/>
    <w:rsid w:val="00026657"/>
    <w:rsid w:val="00035D58"/>
    <w:rsid w:val="00037778"/>
    <w:rsid w:val="00044A71"/>
    <w:rsid w:val="00053316"/>
    <w:rsid w:val="00057439"/>
    <w:rsid w:val="00061814"/>
    <w:rsid w:val="000619FB"/>
    <w:rsid w:val="0006215B"/>
    <w:rsid w:val="00071436"/>
    <w:rsid w:val="00071BF7"/>
    <w:rsid w:val="00080E83"/>
    <w:rsid w:val="0008171B"/>
    <w:rsid w:val="0008527D"/>
    <w:rsid w:val="0008698A"/>
    <w:rsid w:val="00086BFB"/>
    <w:rsid w:val="000919C4"/>
    <w:rsid w:val="00094EB8"/>
    <w:rsid w:val="0009753B"/>
    <w:rsid w:val="000A0183"/>
    <w:rsid w:val="000A205C"/>
    <w:rsid w:val="000A4FC6"/>
    <w:rsid w:val="000A771B"/>
    <w:rsid w:val="000A7D13"/>
    <w:rsid w:val="000B2CE7"/>
    <w:rsid w:val="000B449E"/>
    <w:rsid w:val="000B4D96"/>
    <w:rsid w:val="000B572C"/>
    <w:rsid w:val="000D7538"/>
    <w:rsid w:val="000E0A0D"/>
    <w:rsid w:val="000E511B"/>
    <w:rsid w:val="000F1070"/>
    <w:rsid w:val="000F2220"/>
    <w:rsid w:val="000F28BB"/>
    <w:rsid w:val="000F3572"/>
    <w:rsid w:val="000F74C7"/>
    <w:rsid w:val="00101144"/>
    <w:rsid w:val="00101383"/>
    <w:rsid w:val="001042B8"/>
    <w:rsid w:val="00105F0E"/>
    <w:rsid w:val="0011743A"/>
    <w:rsid w:val="00121770"/>
    <w:rsid w:val="00121CBD"/>
    <w:rsid w:val="001276A5"/>
    <w:rsid w:val="00127F3B"/>
    <w:rsid w:val="00131416"/>
    <w:rsid w:val="00131A98"/>
    <w:rsid w:val="00135A40"/>
    <w:rsid w:val="00137EF5"/>
    <w:rsid w:val="0014018E"/>
    <w:rsid w:val="00146155"/>
    <w:rsid w:val="0014746B"/>
    <w:rsid w:val="00151673"/>
    <w:rsid w:val="00151A78"/>
    <w:rsid w:val="00155AEE"/>
    <w:rsid w:val="00161914"/>
    <w:rsid w:val="00163CC0"/>
    <w:rsid w:val="00163DDA"/>
    <w:rsid w:val="0017413A"/>
    <w:rsid w:val="00174D0C"/>
    <w:rsid w:val="00183969"/>
    <w:rsid w:val="00196D5C"/>
    <w:rsid w:val="00196EB4"/>
    <w:rsid w:val="001974F7"/>
    <w:rsid w:val="001B0788"/>
    <w:rsid w:val="001B4AB0"/>
    <w:rsid w:val="001C4931"/>
    <w:rsid w:val="001C49F8"/>
    <w:rsid w:val="001D40CC"/>
    <w:rsid w:val="001E0374"/>
    <w:rsid w:val="001F3545"/>
    <w:rsid w:val="002045CC"/>
    <w:rsid w:val="00205DE9"/>
    <w:rsid w:val="002061DD"/>
    <w:rsid w:val="00207AC9"/>
    <w:rsid w:val="00210FDF"/>
    <w:rsid w:val="00224981"/>
    <w:rsid w:val="00240D9B"/>
    <w:rsid w:val="0026358F"/>
    <w:rsid w:val="00264C67"/>
    <w:rsid w:val="00265C18"/>
    <w:rsid w:val="002711FC"/>
    <w:rsid w:val="00272C43"/>
    <w:rsid w:val="00280548"/>
    <w:rsid w:val="00282636"/>
    <w:rsid w:val="0028446E"/>
    <w:rsid w:val="00287819"/>
    <w:rsid w:val="00293410"/>
    <w:rsid w:val="00296269"/>
    <w:rsid w:val="002A00E4"/>
    <w:rsid w:val="002A15C7"/>
    <w:rsid w:val="002A2428"/>
    <w:rsid w:val="002A3540"/>
    <w:rsid w:val="002B0634"/>
    <w:rsid w:val="002B08BD"/>
    <w:rsid w:val="002B3BF4"/>
    <w:rsid w:val="002B4B41"/>
    <w:rsid w:val="002D14BF"/>
    <w:rsid w:val="002D4A90"/>
    <w:rsid w:val="002D69C4"/>
    <w:rsid w:val="002E4BD0"/>
    <w:rsid w:val="002F1DC4"/>
    <w:rsid w:val="003104AE"/>
    <w:rsid w:val="00312578"/>
    <w:rsid w:val="00316718"/>
    <w:rsid w:val="0031680D"/>
    <w:rsid w:val="00320A42"/>
    <w:rsid w:val="00325FCF"/>
    <w:rsid w:val="00327DD3"/>
    <w:rsid w:val="003303C4"/>
    <w:rsid w:val="00344DB8"/>
    <w:rsid w:val="00346DF4"/>
    <w:rsid w:val="00356254"/>
    <w:rsid w:val="003568E9"/>
    <w:rsid w:val="00361B24"/>
    <w:rsid w:val="003814C3"/>
    <w:rsid w:val="00384948"/>
    <w:rsid w:val="00390AC7"/>
    <w:rsid w:val="003933A5"/>
    <w:rsid w:val="0039371D"/>
    <w:rsid w:val="003A5633"/>
    <w:rsid w:val="003B3D28"/>
    <w:rsid w:val="003B6B36"/>
    <w:rsid w:val="003C35DC"/>
    <w:rsid w:val="003C5804"/>
    <w:rsid w:val="003C622F"/>
    <w:rsid w:val="003C7778"/>
    <w:rsid w:val="003D07A4"/>
    <w:rsid w:val="003E09A5"/>
    <w:rsid w:val="003E6845"/>
    <w:rsid w:val="003E6FC7"/>
    <w:rsid w:val="003F44A2"/>
    <w:rsid w:val="003F5EEF"/>
    <w:rsid w:val="003F6706"/>
    <w:rsid w:val="00404863"/>
    <w:rsid w:val="004235FB"/>
    <w:rsid w:val="00425684"/>
    <w:rsid w:val="00430245"/>
    <w:rsid w:val="004302FD"/>
    <w:rsid w:val="004339AE"/>
    <w:rsid w:val="004400CB"/>
    <w:rsid w:val="00445FAF"/>
    <w:rsid w:val="0044708F"/>
    <w:rsid w:val="00450B6F"/>
    <w:rsid w:val="00452A16"/>
    <w:rsid w:val="0045567D"/>
    <w:rsid w:val="00461F65"/>
    <w:rsid w:val="004632A4"/>
    <w:rsid w:val="00470480"/>
    <w:rsid w:val="004745CD"/>
    <w:rsid w:val="00480120"/>
    <w:rsid w:val="00482639"/>
    <w:rsid w:val="00485220"/>
    <w:rsid w:val="0048523B"/>
    <w:rsid w:val="00487A00"/>
    <w:rsid w:val="004926F1"/>
    <w:rsid w:val="004A01A9"/>
    <w:rsid w:val="004A115F"/>
    <w:rsid w:val="004B2194"/>
    <w:rsid w:val="004C0E9B"/>
    <w:rsid w:val="004C5E94"/>
    <w:rsid w:val="004C6FA4"/>
    <w:rsid w:val="004D1102"/>
    <w:rsid w:val="004D1A1E"/>
    <w:rsid w:val="004E0040"/>
    <w:rsid w:val="004E2249"/>
    <w:rsid w:val="004E2A45"/>
    <w:rsid w:val="004E51E5"/>
    <w:rsid w:val="004F1B60"/>
    <w:rsid w:val="004F53C0"/>
    <w:rsid w:val="004F6198"/>
    <w:rsid w:val="00505343"/>
    <w:rsid w:val="0051495A"/>
    <w:rsid w:val="00517690"/>
    <w:rsid w:val="00521B7F"/>
    <w:rsid w:val="00535CF4"/>
    <w:rsid w:val="0053760D"/>
    <w:rsid w:val="00550380"/>
    <w:rsid w:val="005548F9"/>
    <w:rsid w:val="00556359"/>
    <w:rsid w:val="00560A66"/>
    <w:rsid w:val="00562C44"/>
    <w:rsid w:val="00576F32"/>
    <w:rsid w:val="005808AD"/>
    <w:rsid w:val="00590AAE"/>
    <w:rsid w:val="00596B5B"/>
    <w:rsid w:val="005A2D33"/>
    <w:rsid w:val="005B1218"/>
    <w:rsid w:val="005B2525"/>
    <w:rsid w:val="005B3FB7"/>
    <w:rsid w:val="005C04FF"/>
    <w:rsid w:val="005C218C"/>
    <w:rsid w:val="005C7948"/>
    <w:rsid w:val="005D0470"/>
    <w:rsid w:val="005D08DC"/>
    <w:rsid w:val="005D0B33"/>
    <w:rsid w:val="005D1620"/>
    <w:rsid w:val="005D4F47"/>
    <w:rsid w:val="005E1BA5"/>
    <w:rsid w:val="005E7180"/>
    <w:rsid w:val="005F5B48"/>
    <w:rsid w:val="005F632A"/>
    <w:rsid w:val="00606AFA"/>
    <w:rsid w:val="00622B51"/>
    <w:rsid w:val="00623752"/>
    <w:rsid w:val="00623872"/>
    <w:rsid w:val="006261AF"/>
    <w:rsid w:val="00641DC4"/>
    <w:rsid w:val="00642235"/>
    <w:rsid w:val="00642A57"/>
    <w:rsid w:val="006471E3"/>
    <w:rsid w:val="00650AE5"/>
    <w:rsid w:val="006518A3"/>
    <w:rsid w:val="0065464B"/>
    <w:rsid w:val="00677F47"/>
    <w:rsid w:val="00683614"/>
    <w:rsid w:val="0068403B"/>
    <w:rsid w:val="00686189"/>
    <w:rsid w:val="0069309F"/>
    <w:rsid w:val="00694B28"/>
    <w:rsid w:val="006A55B4"/>
    <w:rsid w:val="006B5177"/>
    <w:rsid w:val="006C33D2"/>
    <w:rsid w:val="006D6427"/>
    <w:rsid w:val="006E0163"/>
    <w:rsid w:val="006E5185"/>
    <w:rsid w:val="0070253E"/>
    <w:rsid w:val="007053E7"/>
    <w:rsid w:val="007114EC"/>
    <w:rsid w:val="007203E6"/>
    <w:rsid w:val="007230AC"/>
    <w:rsid w:val="00724C39"/>
    <w:rsid w:val="0072798F"/>
    <w:rsid w:val="00732AFB"/>
    <w:rsid w:val="0073402F"/>
    <w:rsid w:val="0073440E"/>
    <w:rsid w:val="00743A63"/>
    <w:rsid w:val="00754BAF"/>
    <w:rsid w:val="00766B69"/>
    <w:rsid w:val="00767DA3"/>
    <w:rsid w:val="007755BF"/>
    <w:rsid w:val="007757A9"/>
    <w:rsid w:val="007762A4"/>
    <w:rsid w:val="00776348"/>
    <w:rsid w:val="007816E4"/>
    <w:rsid w:val="00782541"/>
    <w:rsid w:val="00783F4D"/>
    <w:rsid w:val="007846C2"/>
    <w:rsid w:val="00795782"/>
    <w:rsid w:val="007A01B8"/>
    <w:rsid w:val="007A1751"/>
    <w:rsid w:val="007B32D2"/>
    <w:rsid w:val="007B3A82"/>
    <w:rsid w:val="007B3EA1"/>
    <w:rsid w:val="007B641D"/>
    <w:rsid w:val="007C2846"/>
    <w:rsid w:val="007C2F92"/>
    <w:rsid w:val="007D0A79"/>
    <w:rsid w:val="007D3573"/>
    <w:rsid w:val="007D4FE3"/>
    <w:rsid w:val="007E6B3B"/>
    <w:rsid w:val="007F5F54"/>
    <w:rsid w:val="00801234"/>
    <w:rsid w:val="0080414A"/>
    <w:rsid w:val="0081169B"/>
    <w:rsid w:val="00811CE5"/>
    <w:rsid w:val="00812F74"/>
    <w:rsid w:val="00815C5E"/>
    <w:rsid w:val="00816598"/>
    <w:rsid w:val="00823E75"/>
    <w:rsid w:val="008255E7"/>
    <w:rsid w:val="008351DF"/>
    <w:rsid w:val="008406BB"/>
    <w:rsid w:val="0084684D"/>
    <w:rsid w:val="00847491"/>
    <w:rsid w:val="0086077B"/>
    <w:rsid w:val="00864AF6"/>
    <w:rsid w:val="008720A6"/>
    <w:rsid w:val="008745CD"/>
    <w:rsid w:val="00881BC0"/>
    <w:rsid w:val="00884544"/>
    <w:rsid w:val="0088500E"/>
    <w:rsid w:val="0089476E"/>
    <w:rsid w:val="008953FC"/>
    <w:rsid w:val="008B1362"/>
    <w:rsid w:val="008B1D1A"/>
    <w:rsid w:val="008C0AE8"/>
    <w:rsid w:val="008C0C66"/>
    <w:rsid w:val="008C679C"/>
    <w:rsid w:val="008D1E25"/>
    <w:rsid w:val="008D469D"/>
    <w:rsid w:val="008D5D3B"/>
    <w:rsid w:val="008D70E6"/>
    <w:rsid w:val="008D77D7"/>
    <w:rsid w:val="008E0154"/>
    <w:rsid w:val="008E02AC"/>
    <w:rsid w:val="008F1DD3"/>
    <w:rsid w:val="008F3076"/>
    <w:rsid w:val="008F3EA3"/>
    <w:rsid w:val="0091585E"/>
    <w:rsid w:val="009303DC"/>
    <w:rsid w:val="00935B03"/>
    <w:rsid w:val="00935BB6"/>
    <w:rsid w:val="0093708A"/>
    <w:rsid w:val="00942F6C"/>
    <w:rsid w:val="0094333B"/>
    <w:rsid w:val="0094444B"/>
    <w:rsid w:val="0094518B"/>
    <w:rsid w:val="009458C0"/>
    <w:rsid w:val="009632CC"/>
    <w:rsid w:val="00965380"/>
    <w:rsid w:val="009853E1"/>
    <w:rsid w:val="009922DC"/>
    <w:rsid w:val="009A6947"/>
    <w:rsid w:val="009B6C3A"/>
    <w:rsid w:val="009C1E08"/>
    <w:rsid w:val="009C6136"/>
    <w:rsid w:val="009D188F"/>
    <w:rsid w:val="009D58FA"/>
    <w:rsid w:val="009E1189"/>
    <w:rsid w:val="009E5929"/>
    <w:rsid w:val="009E5A12"/>
    <w:rsid w:val="009E66CA"/>
    <w:rsid w:val="009F4450"/>
    <w:rsid w:val="009F57DA"/>
    <w:rsid w:val="009F6A00"/>
    <w:rsid w:val="00A01B18"/>
    <w:rsid w:val="00A0265B"/>
    <w:rsid w:val="00A07FE0"/>
    <w:rsid w:val="00A147F7"/>
    <w:rsid w:val="00A21AEC"/>
    <w:rsid w:val="00A23371"/>
    <w:rsid w:val="00A23661"/>
    <w:rsid w:val="00A36834"/>
    <w:rsid w:val="00A42F7B"/>
    <w:rsid w:val="00A437DE"/>
    <w:rsid w:val="00A43989"/>
    <w:rsid w:val="00A44D5F"/>
    <w:rsid w:val="00A500F1"/>
    <w:rsid w:val="00A5381E"/>
    <w:rsid w:val="00A54C2F"/>
    <w:rsid w:val="00A55757"/>
    <w:rsid w:val="00A64C34"/>
    <w:rsid w:val="00A705F5"/>
    <w:rsid w:val="00A707A7"/>
    <w:rsid w:val="00A70C7D"/>
    <w:rsid w:val="00A81341"/>
    <w:rsid w:val="00A82C13"/>
    <w:rsid w:val="00A8532A"/>
    <w:rsid w:val="00A955F6"/>
    <w:rsid w:val="00A97AE7"/>
    <w:rsid w:val="00AA0432"/>
    <w:rsid w:val="00AB5857"/>
    <w:rsid w:val="00AB59B3"/>
    <w:rsid w:val="00AD053F"/>
    <w:rsid w:val="00AD2009"/>
    <w:rsid w:val="00AE02B3"/>
    <w:rsid w:val="00AE457B"/>
    <w:rsid w:val="00AE6511"/>
    <w:rsid w:val="00B020A3"/>
    <w:rsid w:val="00B10218"/>
    <w:rsid w:val="00B1272A"/>
    <w:rsid w:val="00B17B80"/>
    <w:rsid w:val="00B22761"/>
    <w:rsid w:val="00B32456"/>
    <w:rsid w:val="00B36C46"/>
    <w:rsid w:val="00B447AA"/>
    <w:rsid w:val="00B467F0"/>
    <w:rsid w:val="00B46C57"/>
    <w:rsid w:val="00B51CB0"/>
    <w:rsid w:val="00B532F2"/>
    <w:rsid w:val="00B55633"/>
    <w:rsid w:val="00B57C55"/>
    <w:rsid w:val="00B6209E"/>
    <w:rsid w:val="00B63C71"/>
    <w:rsid w:val="00B64838"/>
    <w:rsid w:val="00B6488D"/>
    <w:rsid w:val="00B6710C"/>
    <w:rsid w:val="00B67CEF"/>
    <w:rsid w:val="00B709EC"/>
    <w:rsid w:val="00B85379"/>
    <w:rsid w:val="00B8623F"/>
    <w:rsid w:val="00B93882"/>
    <w:rsid w:val="00B960F5"/>
    <w:rsid w:val="00BA5BEC"/>
    <w:rsid w:val="00BA5E95"/>
    <w:rsid w:val="00BA6878"/>
    <w:rsid w:val="00BA7A5E"/>
    <w:rsid w:val="00BB344D"/>
    <w:rsid w:val="00BC6569"/>
    <w:rsid w:val="00BD2D5E"/>
    <w:rsid w:val="00BD3A1D"/>
    <w:rsid w:val="00BD7362"/>
    <w:rsid w:val="00BE7A33"/>
    <w:rsid w:val="00BF1820"/>
    <w:rsid w:val="00BF2A57"/>
    <w:rsid w:val="00BF3BB7"/>
    <w:rsid w:val="00C02F42"/>
    <w:rsid w:val="00C044AE"/>
    <w:rsid w:val="00C11030"/>
    <w:rsid w:val="00C21BF0"/>
    <w:rsid w:val="00C23AED"/>
    <w:rsid w:val="00C3459A"/>
    <w:rsid w:val="00C34E41"/>
    <w:rsid w:val="00C358D5"/>
    <w:rsid w:val="00C376E8"/>
    <w:rsid w:val="00C406D2"/>
    <w:rsid w:val="00C47B46"/>
    <w:rsid w:val="00C519C2"/>
    <w:rsid w:val="00C543F8"/>
    <w:rsid w:val="00C619D3"/>
    <w:rsid w:val="00C64B6E"/>
    <w:rsid w:val="00C66013"/>
    <w:rsid w:val="00C728A8"/>
    <w:rsid w:val="00C84D8A"/>
    <w:rsid w:val="00C97D15"/>
    <w:rsid w:val="00CA1356"/>
    <w:rsid w:val="00CA6A50"/>
    <w:rsid w:val="00CB2954"/>
    <w:rsid w:val="00CB797F"/>
    <w:rsid w:val="00CC1072"/>
    <w:rsid w:val="00CD2A67"/>
    <w:rsid w:val="00CD4E8C"/>
    <w:rsid w:val="00CD4ED3"/>
    <w:rsid w:val="00CE1526"/>
    <w:rsid w:val="00CE1A19"/>
    <w:rsid w:val="00CE3F94"/>
    <w:rsid w:val="00CE4DD7"/>
    <w:rsid w:val="00CE5D6F"/>
    <w:rsid w:val="00CF62F5"/>
    <w:rsid w:val="00CF63BD"/>
    <w:rsid w:val="00D10757"/>
    <w:rsid w:val="00D1088D"/>
    <w:rsid w:val="00D161B5"/>
    <w:rsid w:val="00D20260"/>
    <w:rsid w:val="00D35759"/>
    <w:rsid w:val="00D364F4"/>
    <w:rsid w:val="00D371BE"/>
    <w:rsid w:val="00D37B81"/>
    <w:rsid w:val="00D40D24"/>
    <w:rsid w:val="00D42F9C"/>
    <w:rsid w:val="00D51EC2"/>
    <w:rsid w:val="00D55968"/>
    <w:rsid w:val="00D57833"/>
    <w:rsid w:val="00D614D3"/>
    <w:rsid w:val="00D61E2F"/>
    <w:rsid w:val="00D63F9C"/>
    <w:rsid w:val="00D6614C"/>
    <w:rsid w:val="00D679C5"/>
    <w:rsid w:val="00D708D7"/>
    <w:rsid w:val="00D76BDD"/>
    <w:rsid w:val="00D77C55"/>
    <w:rsid w:val="00D82226"/>
    <w:rsid w:val="00D84A26"/>
    <w:rsid w:val="00D90D34"/>
    <w:rsid w:val="00D9226A"/>
    <w:rsid w:val="00DA13B9"/>
    <w:rsid w:val="00DA5251"/>
    <w:rsid w:val="00DB117B"/>
    <w:rsid w:val="00DB4FF8"/>
    <w:rsid w:val="00DC0A36"/>
    <w:rsid w:val="00DC2F9C"/>
    <w:rsid w:val="00DD4E27"/>
    <w:rsid w:val="00DE0704"/>
    <w:rsid w:val="00E0664D"/>
    <w:rsid w:val="00E2444D"/>
    <w:rsid w:val="00E25162"/>
    <w:rsid w:val="00E260A8"/>
    <w:rsid w:val="00E376EA"/>
    <w:rsid w:val="00E40277"/>
    <w:rsid w:val="00E41DFD"/>
    <w:rsid w:val="00E4233B"/>
    <w:rsid w:val="00E45332"/>
    <w:rsid w:val="00E505CF"/>
    <w:rsid w:val="00E51B60"/>
    <w:rsid w:val="00E52ECE"/>
    <w:rsid w:val="00E72490"/>
    <w:rsid w:val="00E754C8"/>
    <w:rsid w:val="00E8006A"/>
    <w:rsid w:val="00E81371"/>
    <w:rsid w:val="00E82191"/>
    <w:rsid w:val="00E87DCD"/>
    <w:rsid w:val="00E95C5D"/>
    <w:rsid w:val="00EA1FF4"/>
    <w:rsid w:val="00EB13E2"/>
    <w:rsid w:val="00EB2182"/>
    <w:rsid w:val="00EB2B6D"/>
    <w:rsid w:val="00EB3B01"/>
    <w:rsid w:val="00EC6597"/>
    <w:rsid w:val="00ED0561"/>
    <w:rsid w:val="00ED16BB"/>
    <w:rsid w:val="00ED171E"/>
    <w:rsid w:val="00ED2466"/>
    <w:rsid w:val="00EE33EF"/>
    <w:rsid w:val="00F039F2"/>
    <w:rsid w:val="00F06018"/>
    <w:rsid w:val="00F17DA3"/>
    <w:rsid w:val="00F17F3D"/>
    <w:rsid w:val="00F21921"/>
    <w:rsid w:val="00F253EA"/>
    <w:rsid w:val="00F26986"/>
    <w:rsid w:val="00F31924"/>
    <w:rsid w:val="00F31CB0"/>
    <w:rsid w:val="00F37341"/>
    <w:rsid w:val="00F42876"/>
    <w:rsid w:val="00F472AC"/>
    <w:rsid w:val="00F57342"/>
    <w:rsid w:val="00F700E4"/>
    <w:rsid w:val="00F71922"/>
    <w:rsid w:val="00F744E0"/>
    <w:rsid w:val="00F77CC4"/>
    <w:rsid w:val="00F77E12"/>
    <w:rsid w:val="00F8025E"/>
    <w:rsid w:val="00F83CF8"/>
    <w:rsid w:val="00F878D2"/>
    <w:rsid w:val="00F90148"/>
    <w:rsid w:val="00F9470D"/>
    <w:rsid w:val="00F9528C"/>
    <w:rsid w:val="00F97B7D"/>
    <w:rsid w:val="00FB464A"/>
    <w:rsid w:val="00FB6113"/>
    <w:rsid w:val="00FC5F01"/>
    <w:rsid w:val="00FD1999"/>
    <w:rsid w:val="00FD1D18"/>
    <w:rsid w:val="00FD48B2"/>
    <w:rsid w:val="00FD4B23"/>
    <w:rsid w:val="00FE48D6"/>
    <w:rsid w:val="00FF18C9"/>
    <w:rsid w:val="00FF7EB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700E4"/>
    <w:pPr>
      <w:spacing w:line="280" w:lineRule="atLeast"/>
    </w:pPr>
    <w:rPr>
      <w:rFonts w:ascii="Trebuchet MS" w:hAnsi="Trebuchet MS" w:cs="Trebuchet MS"/>
      <w:snapToGrid w:val="0"/>
      <w:sz w:val="22"/>
      <w:szCs w:val="22"/>
      <w:lang w:val="de-DE"/>
    </w:rPr>
  </w:style>
  <w:style w:type="paragraph" w:styleId="berschrift1">
    <w:name w:val="heading 1"/>
    <w:basedOn w:val="Standard"/>
    <w:next w:val="Standard"/>
    <w:qFormat/>
    <w:rsid w:val="00F700E4"/>
    <w:pPr>
      <w:keepNext/>
      <w:pageBreakBefore/>
      <w:spacing w:after="360"/>
      <w:outlineLvl w:val="0"/>
    </w:pPr>
    <w:rPr>
      <w:rFonts w:ascii="Times New Roman" w:hAnsi="Times New Roman" w:cs="Times New Roman"/>
      <w:b/>
      <w:bCs/>
      <w:caps/>
      <w:kern w:val="28"/>
      <w:sz w:val="48"/>
      <w:szCs w:val="48"/>
    </w:rPr>
  </w:style>
  <w:style w:type="paragraph" w:styleId="berschrift2">
    <w:name w:val="heading 2"/>
    <w:basedOn w:val="Standard"/>
    <w:next w:val="Standard"/>
    <w:qFormat/>
    <w:rsid w:val="00F700E4"/>
    <w:pPr>
      <w:keepNext/>
      <w:spacing w:before="240" w:after="240"/>
      <w:outlineLvl w:val="1"/>
    </w:pPr>
    <w:rPr>
      <w:rFonts w:ascii="Times New Roman" w:hAnsi="Times New Roman" w:cs="Times New Roman"/>
      <w:b/>
      <w:bCs/>
      <w:caps/>
      <w:sz w:val="32"/>
      <w:szCs w:val="32"/>
    </w:rPr>
  </w:style>
  <w:style w:type="paragraph" w:styleId="berschrift3">
    <w:name w:val="heading 3"/>
    <w:basedOn w:val="Standard"/>
    <w:next w:val="Standard"/>
    <w:qFormat/>
    <w:rsid w:val="00F700E4"/>
    <w:pPr>
      <w:keepNext/>
      <w:spacing w:before="240" w:after="240"/>
      <w:outlineLvl w:val="2"/>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F700E4"/>
    <w:rPr>
      <w:sz w:val="18"/>
      <w:szCs w:val="18"/>
    </w:rPr>
  </w:style>
  <w:style w:type="paragraph" w:styleId="Kopfzeile">
    <w:name w:val="header"/>
    <w:basedOn w:val="Standard"/>
    <w:rsid w:val="00F700E4"/>
    <w:pPr>
      <w:tabs>
        <w:tab w:val="center" w:pos="4536"/>
        <w:tab w:val="right" w:pos="9072"/>
      </w:tabs>
    </w:pPr>
  </w:style>
  <w:style w:type="paragraph" w:styleId="Fuzeile">
    <w:name w:val="footer"/>
    <w:basedOn w:val="Standard"/>
    <w:link w:val="FuzeileZchn"/>
    <w:uiPriority w:val="99"/>
    <w:rsid w:val="00F700E4"/>
    <w:pPr>
      <w:tabs>
        <w:tab w:val="center" w:pos="4536"/>
        <w:tab w:val="right" w:pos="9072"/>
      </w:tabs>
    </w:pPr>
  </w:style>
  <w:style w:type="character" w:styleId="Seitenzahl">
    <w:name w:val="page number"/>
    <w:basedOn w:val="Absatz-Standardschriftart"/>
    <w:rsid w:val="00F700E4"/>
  </w:style>
  <w:style w:type="paragraph" w:styleId="Sprechblasentext">
    <w:name w:val="Balloon Text"/>
    <w:basedOn w:val="Standard"/>
    <w:semiHidden/>
    <w:rsid w:val="00F700E4"/>
    <w:rPr>
      <w:rFonts w:ascii="Times New Roman" w:hAnsi="Times New Roman" w:cs="Times New Roman"/>
      <w:sz w:val="16"/>
      <w:szCs w:val="16"/>
    </w:rPr>
  </w:style>
  <w:style w:type="paragraph" w:styleId="Titel">
    <w:name w:val="Title"/>
    <w:basedOn w:val="Standard"/>
    <w:qFormat/>
    <w:rsid w:val="00F700E4"/>
    <w:pPr>
      <w:spacing w:line="240" w:lineRule="auto"/>
      <w:jc w:val="center"/>
    </w:pPr>
    <w:rPr>
      <w:rFonts w:ascii="Arial" w:hAnsi="Arial" w:cs="Arial"/>
      <w:b/>
      <w:bCs/>
      <w:sz w:val="24"/>
      <w:szCs w:val="24"/>
    </w:rPr>
  </w:style>
  <w:style w:type="character" w:customStyle="1" w:styleId="tw4winMark">
    <w:name w:val="tw4winMark"/>
    <w:rsid w:val="00F700E4"/>
    <w:rPr>
      <w:rFonts w:ascii="Courier New" w:hAnsi="Courier New" w:cs="Courier New"/>
      <w:vanish/>
      <w:color w:val="800080"/>
      <w:sz w:val="24"/>
      <w:szCs w:val="24"/>
      <w:vertAlign w:val="subscript"/>
    </w:rPr>
  </w:style>
  <w:style w:type="character" w:customStyle="1" w:styleId="tw4winError">
    <w:name w:val="tw4winError"/>
    <w:rsid w:val="00F700E4"/>
    <w:rPr>
      <w:rFonts w:ascii="Courier New" w:hAnsi="Courier New" w:cs="Courier New"/>
      <w:color w:val="00FF00"/>
      <w:sz w:val="40"/>
      <w:szCs w:val="40"/>
    </w:rPr>
  </w:style>
  <w:style w:type="character" w:customStyle="1" w:styleId="tw4winTerm">
    <w:name w:val="tw4winTerm"/>
    <w:rsid w:val="00F700E4"/>
    <w:rPr>
      <w:color w:val="0000FF"/>
    </w:rPr>
  </w:style>
  <w:style w:type="character" w:customStyle="1" w:styleId="tw4winPopup">
    <w:name w:val="tw4winPopup"/>
    <w:rsid w:val="00F700E4"/>
    <w:rPr>
      <w:rFonts w:ascii="Courier New" w:hAnsi="Courier New" w:cs="Courier New"/>
      <w:noProof/>
      <w:color w:val="008000"/>
    </w:rPr>
  </w:style>
  <w:style w:type="character" w:customStyle="1" w:styleId="tw4winJump">
    <w:name w:val="tw4winJump"/>
    <w:rsid w:val="00F700E4"/>
    <w:rPr>
      <w:rFonts w:ascii="Courier New" w:hAnsi="Courier New" w:cs="Courier New"/>
      <w:noProof/>
      <w:color w:val="008080"/>
    </w:rPr>
  </w:style>
  <w:style w:type="character" w:customStyle="1" w:styleId="tw4winExternal">
    <w:name w:val="tw4winExternal"/>
    <w:rsid w:val="00F700E4"/>
    <w:rPr>
      <w:rFonts w:ascii="Courier New" w:hAnsi="Courier New" w:cs="Courier New"/>
      <w:noProof/>
      <w:color w:val="808080"/>
    </w:rPr>
  </w:style>
  <w:style w:type="character" w:customStyle="1" w:styleId="tw4winInternal">
    <w:name w:val="tw4winInternal"/>
    <w:rsid w:val="00F700E4"/>
    <w:rPr>
      <w:rFonts w:ascii="Courier New" w:hAnsi="Courier New" w:cs="Courier New"/>
      <w:noProof/>
      <w:color w:val="FF0000"/>
    </w:rPr>
  </w:style>
  <w:style w:type="character" w:customStyle="1" w:styleId="DONOTTRANSLATE">
    <w:name w:val="DO_NOT_TRANSLATE"/>
    <w:rsid w:val="00F700E4"/>
    <w:rPr>
      <w:rFonts w:ascii="Courier New" w:hAnsi="Courier New" w:cs="Courier New"/>
      <w:noProof/>
      <w:color w:val="800000"/>
    </w:rPr>
  </w:style>
  <w:style w:type="paragraph" w:styleId="NurText">
    <w:name w:val="Plain Text"/>
    <w:basedOn w:val="Standard"/>
    <w:link w:val="NurTextZchn"/>
    <w:uiPriority w:val="99"/>
    <w:unhideWhenUsed/>
    <w:rsid w:val="00B55633"/>
    <w:pPr>
      <w:spacing w:line="240" w:lineRule="auto"/>
    </w:pPr>
    <w:rPr>
      <w:rFonts w:ascii="Consolas" w:eastAsia="Calibri" w:hAnsi="Consolas" w:cs="Times New Roman"/>
      <w:snapToGrid/>
      <w:sz w:val="21"/>
      <w:szCs w:val="21"/>
      <w:lang w:val="de-AT" w:eastAsia="en-US"/>
    </w:rPr>
  </w:style>
  <w:style w:type="character" w:customStyle="1" w:styleId="NurTextZchn">
    <w:name w:val="Nur Text Zchn"/>
    <w:basedOn w:val="Absatz-Standardschriftart"/>
    <w:link w:val="NurText"/>
    <w:uiPriority w:val="99"/>
    <w:rsid w:val="00B55633"/>
    <w:rPr>
      <w:rFonts w:ascii="Consolas" w:eastAsia="Calibri" w:hAnsi="Consolas" w:cs="Times New Roman"/>
      <w:sz w:val="21"/>
      <w:szCs w:val="21"/>
      <w:lang w:eastAsia="en-US"/>
    </w:rPr>
  </w:style>
  <w:style w:type="character" w:styleId="Hervorhebung">
    <w:name w:val="Emphasis"/>
    <w:basedOn w:val="Absatz-Standardschriftart"/>
    <w:uiPriority w:val="20"/>
    <w:qFormat/>
    <w:rsid w:val="008B1362"/>
    <w:rPr>
      <w:i/>
      <w:iCs/>
    </w:rPr>
  </w:style>
  <w:style w:type="paragraph" w:styleId="Listenabsatz">
    <w:name w:val="List Paragraph"/>
    <w:aliases w:val="Paragraphe EI,Paragraphe de liste1,EC"/>
    <w:basedOn w:val="Standard"/>
    <w:link w:val="ListenabsatzZchn"/>
    <w:uiPriority w:val="34"/>
    <w:qFormat/>
    <w:rsid w:val="00CD2A67"/>
    <w:pPr>
      <w:ind w:left="720"/>
      <w:contextualSpacing/>
    </w:pPr>
  </w:style>
  <w:style w:type="paragraph" w:styleId="StandardWeb">
    <w:name w:val="Normal (Web)"/>
    <w:basedOn w:val="Standard"/>
    <w:uiPriority w:val="99"/>
    <w:unhideWhenUsed/>
    <w:rsid w:val="00B63C71"/>
    <w:pPr>
      <w:spacing w:before="100" w:beforeAutospacing="1" w:after="100" w:afterAutospacing="1" w:line="240" w:lineRule="auto"/>
    </w:pPr>
    <w:rPr>
      <w:rFonts w:ascii="Times New Roman" w:eastAsiaTheme="minorHAnsi" w:hAnsi="Times New Roman" w:cs="Times New Roman"/>
      <w:snapToGrid/>
      <w:sz w:val="24"/>
      <w:szCs w:val="24"/>
      <w:lang w:val="de-AT"/>
    </w:rPr>
  </w:style>
  <w:style w:type="character" w:styleId="Fett">
    <w:name w:val="Strong"/>
    <w:basedOn w:val="Absatz-Standardschriftart"/>
    <w:uiPriority w:val="22"/>
    <w:qFormat/>
    <w:rsid w:val="00B63C71"/>
    <w:rPr>
      <w:b/>
      <w:bCs/>
    </w:rPr>
  </w:style>
  <w:style w:type="character" w:customStyle="1" w:styleId="FuzeileZchn">
    <w:name w:val="Fußzeile Zchn"/>
    <w:basedOn w:val="Absatz-Standardschriftart"/>
    <w:link w:val="Fuzeile"/>
    <w:uiPriority w:val="99"/>
    <w:rsid w:val="00ED2466"/>
    <w:rPr>
      <w:rFonts w:ascii="Trebuchet MS" w:hAnsi="Trebuchet MS" w:cs="Trebuchet MS"/>
      <w:snapToGrid w:val="0"/>
      <w:sz w:val="22"/>
      <w:szCs w:val="22"/>
      <w:lang w:val="de-DE"/>
    </w:rPr>
  </w:style>
  <w:style w:type="character" w:styleId="Hyperlink">
    <w:name w:val="Hyperlink"/>
    <w:basedOn w:val="Absatz-Standardschriftart"/>
    <w:rsid w:val="005B3FB7"/>
    <w:rPr>
      <w:color w:val="0000FF" w:themeColor="hyperlink"/>
      <w:u w:val="single"/>
    </w:rPr>
  </w:style>
  <w:style w:type="paragraph" w:customStyle="1" w:styleId="Default">
    <w:name w:val="Default"/>
    <w:rsid w:val="007755BF"/>
    <w:pPr>
      <w:widowControl w:val="0"/>
      <w:autoSpaceDE w:val="0"/>
      <w:autoSpaceDN w:val="0"/>
      <w:adjustRightInd w:val="0"/>
    </w:pPr>
    <w:rPr>
      <w:rFonts w:ascii="Arial" w:eastAsiaTheme="minorHAnsi" w:hAnsi="Arial" w:cs="Arial"/>
      <w:color w:val="000000"/>
      <w:sz w:val="24"/>
      <w:szCs w:val="24"/>
      <w:lang w:val="de-DE" w:eastAsia="en-US"/>
    </w:rPr>
  </w:style>
  <w:style w:type="character" w:customStyle="1" w:styleId="ListenabsatzZchn">
    <w:name w:val="Listenabsatz Zchn"/>
    <w:aliases w:val="Paragraphe EI Zchn,Paragraphe de liste1 Zchn,EC Zchn"/>
    <w:link w:val="Listenabsatz"/>
    <w:rsid w:val="005C7948"/>
    <w:rPr>
      <w:rFonts w:ascii="Trebuchet MS" w:hAnsi="Trebuchet MS" w:cs="Trebuchet MS"/>
      <w:snapToGrid w:val="0"/>
      <w:sz w:val="22"/>
      <w:szCs w:val="22"/>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700E4"/>
    <w:pPr>
      <w:spacing w:line="280" w:lineRule="atLeast"/>
    </w:pPr>
    <w:rPr>
      <w:rFonts w:ascii="Trebuchet MS" w:hAnsi="Trebuchet MS" w:cs="Trebuchet MS"/>
      <w:snapToGrid w:val="0"/>
      <w:sz w:val="22"/>
      <w:szCs w:val="22"/>
      <w:lang w:val="de-DE"/>
    </w:rPr>
  </w:style>
  <w:style w:type="paragraph" w:styleId="berschrift1">
    <w:name w:val="heading 1"/>
    <w:basedOn w:val="Standard"/>
    <w:next w:val="Standard"/>
    <w:qFormat/>
    <w:rsid w:val="00F700E4"/>
    <w:pPr>
      <w:keepNext/>
      <w:pageBreakBefore/>
      <w:spacing w:after="360"/>
      <w:outlineLvl w:val="0"/>
    </w:pPr>
    <w:rPr>
      <w:rFonts w:ascii="Times New Roman" w:hAnsi="Times New Roman" w:cs="Times New Roman"/>
      <w:b/>
      <w:bCs/>
      <w:caps/>
      <w:kern w:val="28"/>
      <w:sz w:val="48"/>
      <w:szCs w:val="48"/>
    </w:rPr>
  </w:style>
  <w:style w:type="paragraph" w:styleId="berschrift2">
    <w:name w:val="heading 2"/>
    <w:basedOn w:val="Standard"/>
    <w:next w:val="Standard"/>
    <w:qFormat/>
    <w:rsid w:val="00F700E4"/>
    <w:pPr>
      <w:keepNext/>
      <w:spacing w:before="240" w:after="240"/>
      <w:outlineLvl w:val="1"/>
    </w:pPr>
    <w:rPr>
      <w:rFonts w:ascii="Times New Roman" w:hAnsi="Times New Roman" w:cs="Times New Roman"/>
      <w:b/>
      <w:bCs/>
      <w:caps/>
      <w:sz w:val="32"/>
      <w:szCs w:val="32"/>
    </w:rPr>
  </w:style>
  <w:style w:type="paragraph" w:styleId="berschrift3">
    <w:name w:val="heading 3"/>
    <w:basedOn w:val="Standard"/>
    <w:next w:val="Standard"/>
    <w:qFormat/>
    <w:rsid w:val="00F700E4"/>
    <w:pPr>
      <w:keepNext/>
      <w:spacing w:before="240" w:after="240"/>
      <w:outlineLvl w:val="2"/>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F700E4"/>
    <w:rPr>
      <w:sz w:val="18"/>
      <w:szCs w:val="18"/>
    </w:rPr>
  </w:style>
  <w:style w:type="paragraph" w:styleId="Kopfzeile">
    <w:name w:val="header"/>
    <w:basedOn w:val="Standard"/>
    <w:rsid w:val="00F700E4"/>
    <w:pPr>
      <w:tabs>
        <w:tab w:val="center" w:pos="4536"/>
        <w:tab w:val="right" w:pos="9072"/>
      </w:tabs>
    </w:pPr>
  </w:style>
  <w:style w:type="paragraph" w:styleId="Fuzeile">
    <w:name w:val="footer"/>
    <w:basedOn w:val="Standard"/>
    <w:link w:val="FuzeileZchn"/>
    <w:uiPriority w:val="99"/>
    <w:rsid w:val="00F700E4"/>
    <w:pPr>
      <w:tabs>
        <w:tab w:val="center" w:pos="4536"/>
        <w:tab w:val="right" w:pos="9072"/>
      </w:tabs>
    </w:pPr>
  </w:style>
  <w:style w:type="character" w:styleId="Seitenzahl">
    <w:name w:val="page number"/>
    <w:basedOn w:val="Absatz-Standardschriftart"/>
    <w:rsid w:val="00F700E4"/>
  </w:style>
  <w:style w:type="paragraph" w:styleId="Sprechblasentext">
    <w:name w:val="Balloon Text"/>
    <w:basedOn w:val="Standard"/>
    <w:semiHidden/>
    <w:rsid w:val="00F700E4"/>
    <w:rPr>
      <w:rFonts w:ascii="Times New Roman" w:hAnsi="Times New Roman" w:cs="Times New Roman"/>
      <w:sz w:val="16"/>
      <w:szCs w:val="16"/>
    </w:rPr>
  </w:style>
  <w:style w:type="paragraph" w:styleId="Titel">
    <w:name w:val="Title"/>
    <w:basedOn w:val="Standard"/>
    <w:qFormat/>
    <w:rsid w:val="00F700E4"/>
    <w:pPr>
      <w:spacing w:line="240" w:lineRule="auto"/>
      <w:jc w:val="center"/>
    </w:pPr>
    <w:rPr>
      <w:rFonts w:ascii="Arial" w:hAnsi="Arial" w:cs="Arial"/>
      <w:b/>
      <w:bCs/>
      <w:sz w:val="24"/>
      <w:szCs w:val="24"/>
    </w:rPr>
  </w:style>
  <w:style w:type="character" w:customStyle="1" w:styleId="tw4winMark">
    <w:name w:val="tw4winMark"/>
    <w:rsid w:val="00F700E4"/>
    <w:rPr>
      <w:rFonts w:ascii="Courier New" w:hAnsi="Courier New" w:cs="Courier New"/>
      <w:vanish/>
      <w:color w:val="800080"/>
      <w:sz w:val="24"/>
      <w:szCs w:val="24"/>
      <w:vertAlign w:val="subscript"/>
    </w:rPr>
  </w:style>
  <w:style w:type="character" w:customStyle="1" w:styleId="tw4winError">
    <w:name w:val="tw4winError"/>
    <w:rsid w:val="00F700E4"/>
    <w:rPr>
      <w:rFonts w:ascii="Courier New" w:hAnsi="Courier New" w:cs="Courier New"/>
      <w:color w:val="00FF00"/>
      <w:sz w:val="40"/>
      <w:szCs w:val="40"/>
    </w:rPr>
  </w:style>
  <w:style w:type="character" w:customStyle="1" w:styleId="tw4winTerm">
    <w:name w:val="tw4winTerm"/>
    <w:rsid w:val="00F700E4"/>
    <w:rPr>
      <w:color w:val="0000FF"/>
    </w:rPr>
  </w:style>
  <w:style w:type="character" w:customStyle="1" w:styleId="tw4winPopup">
    <w:name w:val="tw4winPopup"/>
    <w:rsid w:val="00F700E4"/>
    <w:rPr>
      <w:rFonts w:ascii="Courier New" w:hAnsi="Courier New" w:cs="Courier New"/>
      <w:noProof/>
      <w:color w:val="008000"/>
    </w:rPr>
  </w:style>
  <w:style w:type="character" w:customStyle="1" w:styleId="tw4winJump">
    <w:name w:val="tw4winJump"/>
    <w:rsid w:val="00F700E4"/>
    <w:rPr>
      <w:rFonts w:ascii="Courier New" w:hAnsi="Courier New" w:cs="Courier New"/>
      <w:noProof/>
      <w:color w:val="008080"/>
    </w:rPr>
  </w:style>
  <w:style w:type="character" w:customStyle="1" w:styleId="tw4winExternal">
    <w:name w:val="tw4winExternal"/>
    <w:rsid w:val="00F700E4"/>
    <w:rPr>
      <w:rFonts w:ascii="Courier New" w:hAnsi="Courier New" w:cs="Courier New"/>
      <w:noProof/>
      <w:color w:val="808080"/>
    </w:rPr>
  </w:style>
  <w:style w:type="character" w:customStyle="1" w:styleId="tw4winInternal">
    <w:name w:val="tw4winInternal"/>
    <w:rsid w:val="00F700E4"/>
    <w:rPr>
      <w:rFonts w:ascii="Courier New" w:hAnsi="Courier New" w:cs="Courier New"/>
      <w:noProof/>
      <w:color w:val="FF0000"/>
    </w:rPr>
  </w:style>
  <w:style w:type="character" w:customStyle="1" w:styleId="DONOTTRANSLATE">
    <w:name w:val="DO_NOT_TRANSLATE"/>
    <w:rsid w:val="00F700E4"/>
    <w:rPr>
      <w:rFonts w:ascii="Courier New" w:hAnsi="Courier New" w:cs="Courier New"/>
      <w:noProof/>
      <w:color w:val="800000"/>
    </w:rPr>
  </w:style>
  <w:style w:type="paragraph" w:styleId="NurText">
    <w:name w:val="Plain Text"/>
    <w:basedOn w:val="Standard"/>
    <w:link w:val="NurTextZchn"/>
    <w:uiPriority w:val="99"/>
    <w:unhideWhenUsed/>
    <w:rsid w:val="00B55633"/>
    <w:pPr>
      <w:spacing w:line="240" w:lineRule="auto"/>
    </w:pPr>
    <w:rPr>
      <w:rFonts w:ascii="Consolas" w:eastAsia="Calibri" w:hAnsi="Consolas" w:cs="Times New Roman"/>
      <w:snapToGrid/>
      <w:sz w:val="21"/>
      <w:szCs w:val="21"/>
      <w:lang w:val="de-AT" w:eastAsia="en-US"/>
    </w:rPr>
  </w:style>
  <w:style w:type="character" w:customStyle="1" w:styleId="NurTextZchn">
    <w:name w:val="Nur Text Zchn"/>
    <w:basedOn w:val="Absatz-Standardschriftart"/>
    <w:link w:val="NurText"/>
    <w:uiPriority w:val="99"/>
    <w:rsid w:val="00B55633"/>
    <w:rPr>
      <w:rFonts w:ascii="Consolas" w:eastAsia="Calibri" w:hAnsi="Consolas" w:cs="Times New Roman"/>
      <w:sz w:val="21"/>
      <w:szCs w:val="21"/>
      <w:lang w:eastAsia="en-US"/>
    </w:rPr>
  </w:style>
  <w:style w:type="character" w:styleId="Hervorhebung">
    <w:name w:val="Emphasis"/>
    <w:basedOn w:val="Absatz-Standardschriftart"/>
    <w:uiPriority w:val="20"/>
    <w:qFormat/>
    <w:rsid w:val="008B1362"/>
    <w:rPr>
      <w:i/>
      <w:iCs/>
    </w:rPr>
  </w:style>
  <w:style w:type="paragraph" w:styleId="Listenabsatz">
    <w:name w:val="List Paragraph"/>
    <w:aliases w:val="Paragraphe EI,Paragraphe de liste1,EC"/>
    <w:basedOn w:val="Standard"/>
    <w:link w:val="ListenabsatzZchn"/>
    <w:uiPriority w:val="34"/>
    <w:qFormat/>
    <w:rsid w:val="00CD2A67"/>
    <w:pPr>
      <w:ind w:left="720"/>
      <w:contextualSpacing/>
    </w:pPr>
  </w:style>
  <w:style w:type="paragraph" w:styleId="StandardWeb">
    <w:name w:val="Normal (Web)"/>
    <w:basedOn w:val="Standard"/>
    <w:uiPriority w:val="99"/>
    <w:unhideWhenUsed/>
    <w:rsid w:val="00B63C71"/>
    <w:pPr>
      <w:spacing w:before="100" w:beforeAutospacing="1" w:after="100" w:afterAutospacing="1" w:line="240" w:lineRule="auto"/>
    </w:pPr>
    <w:rPr>
      <w:rFonts w:ascii="Times New Roman" w:eastAsiaTheme="minorHAnsi" w:hAnsi="Times New Roman" w:cs="Times New Roman"/>
      <w:snapToGrid/>
      <w:sz w:val="24"/>
      <w:szCs w:val="24"/>
      <w:lang w:val="de-AT"/>
    </w:rPr>
  </w:style>
  <w:style w:type="character" w:styleId="Fett">
    <w:name w:val="Strong"/>
    <w:basedOn w:val="Absatz-Standardschriftart"/>
    <w:uiPriority w:val="22"/>
    <w:qFormat/>
    <w:rsid w:val="00B63C71"/>
    <w:rPr>
      <w:b/>
      <w:bCs/>
    </w:rPr>
  </w:style>
  <w:style w:type="character" w:customStyle="1" w:styleId="FuzeileZchn">
    <w:name w:val="Fußzeile Zchn"/>
    <w:basedOn w:val="Absatz-Standardschriftart"/>
    <w:link w:val="Fuzeile"/>
    <w:uiPriority w:val="99"/>
    <w:rsid w:val="00ED2466"/>
    <w:rPr>
      <w:rFonts w:ascii="Trebuchet MS" w:hAnsi="Trebuchet MS" w:cs="Trebuchet MS"/>
      <w:snapToGrid w:val="0"/>
      <w:sz w:val="22"/>
      <w:szCs w:val="22"/>
      <w:lang w:val="de-DE"/>
    </w:rPr>
  </w:style>
  <w:style w:type="character" w:styleId="Hyperlink">
    <w:name w:val="Hyperlink"/>
    <w:basedOn w:val="Absatz-Standardschriftart"/>
    <w:rsid w:val="005B3FB7"/>
    <w:rPr>
      <w:color w:val="0000FF" w:themeColor="hyperlink"/>
      <w:u w:val="single"/>
    </w:rPr>
  </w:style>
  <w:style w:type="paragraph" w:customStyle="1" w:styleId="Default">
    <w:name w:val="Default"/>
    <w:rsid w:val="007755BF"/>
    <w:pPr>
      <w:widowControl w:val="0"/>
      <w:autoSpaceDE w:val="0"/>
      <w:autoSpaceDN w:val="0"/>
      <w:adjustRightInd w:val="0"/>
    </w:pPr>
    <w:rPr>
      <w:rFonts w:ascii="Arial" w:eastAsiaTheme="minorHAnsi" w:hAnsi="Arial" w:cs="Arial"/>
      <w:color w:val="000000"/>
      <w:sz w:val="24"/>
      <w:szCs w:val="24"/>
      <w:lang w:val="de-DE" w:eastAsia="en-US"/>
    </w:rPr>
  </w:style>
  <w:style w:type="character" w:customStyle="1" w:styleId="ListenabsatzZchn">
    <w:name w:val="Listenabsatz Zchn"/>
    <w:aliases w:val="Paragraphe EI Zchn,Paragraphe de liste1 Zchn,EC Zchn"/>
    <w:link w:val="Listenabsatz"/>
    <w:rsid w:val="005C7948"/>
    <w:rPr>
      <w:rFonts w:ascii="Trebuchet MS" w:hAnsi="Trebuchet MS" w:cs="Trebuchet MS"/>
      <w:snapToGrid w:val="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35324182">
      <w:bodyDiv w:val="1"/>
      <w:marLeft w:val="0"/>
      <w:marRight w:val="0"/>
      <w:marTop w:val="0"/>
      <w:marBottom w:val="0"/>
      <w:divBdr>
        <w:top w:val="none" w:sz="0" w:space="0" w:color="auto"/>
        <w:left w:val="none" w:sz="0" w:space="0" w:color="auto"/>
        <w:bottom w:val="none" w:sz="0" w:space="0" w:color="auto"/>
        <w:right w:val="none" w:sz="0" w:space="0" w:color="auto"/>
      </w:divBdr>
    </w:div>
    <w:div w:id="54276874">
      <w:bodyDiv w:val="1"/>
      <w:marLeft w:val="0"/>
      <w:marRight w:val="0"/>
      <w:marTop w:val="0"/>
      <w:marBottom w:val="0"/>
      <w:divBdr>
        <w:top w:val="none" w:sz="0" w:space="0" w:color="auto"/>
        <w:left w:val="none" w:sz="0" w:space="0" w:color="auto"/>
        <w:bottom w:val="none" w:sz="0" w:space="0" w:color="auto"/>
        <w:right w:val="none" w:sz="0" w:space="0" w:color="auto"/>
      </w:divBdr>
    </w:div>
    <w:div w:id="78412682">
      <w:bodyDiv w:val="1"/>
      <w:marLeft w:val="0"/>
      <w:marRight w:val="0"/>
      <w:marTop w:val="0"/>
      <w:marBottom w:val="0"/>
      <w:divBdr>
        <w:top w:val="none" w:sz="0" w:space="0" w:color="auto"/>
        <w:left w:val="none" w:sz="0" w:space="0" w:color="auto"/>
        <w:bottom w:val="none" w:sz="0" w:space="0" w:color="auto"/>
        <w:right w:val="none" w:sz="0" w:space="0" w:color="auto"/>
      </w:divBdr>
    </w:div>
    <w:div w:id="117992046">
      <w:bodyDiv w:val="1"/>
      <w:marLeft w:val="0"/>
      <w:marRight w:val="0"/>
      <w:marTop w:val="0"/>
      <w:marBottom w:val="0"/>
      <w:divBdr>
        <w:top w:val="none" w:sz="0" w:space="0" w:color="auto"/>
        <w:left w:val="none" w:sz="0" w:space="0" w:color="auto"/>
        <w:bottom w:val="none" w:sz="0" w:space="0" w:color="auto"/>
        <w:right w:val="none" w:sz="0" w:space="0" w:color="auto"/>
      </w:divBdr>
    </w:div>
    <w:div w:id="159347016">
      <w:bodyDiv w:val="1"/>
      <w:marLeft w:val="0"/>
      <w:marRight w:val="0"/>
      <w:marTop w:val="0"/>
      <w:marBottom w:val="0"/>
      <w:divBdr>
        <w:top w:val="none" w:sz="0" w:space="0" w:color="auto"/>
        <w:left w:val="none" w:sz="0" w:space="0" w:color="auto"/>
        <w:bottom w:val="none" w:sz="0" w:space="0" w:color="auto"/>
        <w:right w:val="none" w:sz="0" w:space="0" w:color="auto"/>
      </w:divBdr>
    </w:div>
    <w:div w:id="161164005">
      <w:bodyDiv w:val="1"/>
      <w:marLeft w:val="0"/>
      <w:marRight w:val="0"/>
      <w:marTop w:val="0"/>
      <w:marBottom w:val="0"/>
      <w:divBdr>
        <w:top w:val="none" w:sz="0" w:space="0" w:color="auto"/>
        <w:left w:val="none" w:sz="0" w:space="0" w:color="auto"/>
        <w:bottom w:val="none" w:sz="0" w:space="0" w:color="auto"/>
        <w:right w:val="none" w:sz="0" w:space="0" w:color="auto"/>
      </w:divBdr>
    </w:div>
    <w:div w:id="198661731">
      <w:bodyDiv w:val="1"/>
      <w:marLeft w:val="0"/>
      <w:marRight w:val="0"/>
      <w:marTop w:val="0"/>
      <w:marBottom w:val="0"/>
      <w:divBdr>
        <w:top w:val="none" w:sz="0" w:space="0" w:color="auto"/>
        <w:left w:val="none" w:sz="0" w:space="0" w:color="auto"/>
        <w:bottom w:val="none" w:sz="0" w:space="0" w:color="auto"/>
        <w:right w:val="none" w:sz="0" w:space="0" w:color="auto"/>
      </w:divBdr>
    </w:div>
    <w:div w:id="220362924">
      <w:bodyDiv w:val="1"/>
      <w:marLeft w:val="0"/>
      <w:marRight w:val="0"/>
      <w:marTop w:val="0"/>
      <w:marBottom w:val="0"/>
      <w:divBdr>
        <w:top w:val="none" w:sz="0" w:space="0" w:color="auto"/>
        <w:left w:val="none" w:sz="0" w:space="0" w:color="auto"/>
        <w:bottom w:val="none" w:sz="0" w:space="0" w:color="auto"/>
        <w:right w:val="none" w:sz="0" w:space="0" w:color="auto"/>
      </w:divBdr>
    </w:div>
    <w:div w:id="224804073">
      <w:bodyDiv w:val="1"/>
      <w:marLeft w:val="0"/>
      <w:marRight w:val="0"/>
      <w:marTop w:val="0"/>
      <w:marBottom w:val="0"/>
      <w:divBdr>
        <w:top w:val="none" w:sz="0" w:space="0" w:color="auto"/>
        <w:left w:val="none" w:sz="0" w:space="0" w:color="auto"/>
        <w:bottom w:val="none" w:sz="0" w:space="0" w:color="auto"/>
        <w:right w:val="none" w:sz="0" w:space="0" w:color="auto"/>
      </w:divBdr>
    </w:div>
    <w:div w:id="234628101">
      <w:bodyDiv w:val="1"/>
      <w:marLeft w:val="0"/>
      <w:marRight w:val="0"/>
      <w:marTop w:val="0"/>
      <w:marBottom w:val="0"/>
      <w:divBdr>
        <w:top w:val="none" w:sz="0" w:space="0" w:color="auto"/>
        <w:left w:val="none" w:sz="0" w:space="0" w:color="auto"/>
        <w:bottom w:val="none" w:sz="0" w:space="0" w:color="auto"/>
        <w:right w:val="none" w:sz="0" w:space="0" w:color="auto"/>
      </w:divBdr>
    </w:div>
    <w:div w:id="302588301">
      <w:bodyDiv w:val="1"/>
      <w:marLeft w:val="0"/>
      <w:marRight w:val="0"/>
      <w:marTop w:val="0"/>
      <w:marBottom w:val="0"/>
      <w:divBdr>
        <w:top w:val="none" w:sz="0" w:space="0" w:color="auto"/>
        <w:left w:val="none" w:sz="0" w:space="0" w:color="auto"/>
        <w:bottom w:val="none" w:sz="0" w:space="0" w:color="auto"/>
        <w:right w:val="none" w:sz="0" w:space="0" w:color="auto"/>
      </w:divBdr>
    </w:div>
    <w:div w:id="337125047">
      <w:bodyDiv w:val="1"/>
      <w:marLeft w:val="0"/>
      <w:marRight w:val="0"/>
      <w:marTop w:val="0"/>
      <w:marBottom w:val="0"/>
      <w:divBdr>
        <w:top w:val="none" w:sz="0" w:space="0" w:color="auto"/>
        <w:left w:val="none" w:sz="0" w:space="0" w:color="auto"/>
        <w:bottom w:val="none" w:sz="0" w:space="0" w:color="auto"/>
        <w:right w:val="none" w:sz="0" w:space="0" w:color="auto"/>
      </w:divBdr>
    </w:div>
    <w:div w:id="351954080">
      <w:bodyDiv w:val="1"/>
      <w:marLeft w:val="0"/>
      <w:marRight w:val="0"/>
      <w:marTop w:val="0"/>
      <w:marBottom w:val="0"/>
      <w:divBdr>
        <w:top w:val="none" w:sz="0" w:space="0" w:color="auto"/>
        <w:left w:val="none" w:sz="0" w:space="0" w:color="auto"/>
        <w:bottom w:val="none" w:sz="0" w:space="0" w:color="auto"/>
        <w:right w:val="none" w:sz="0" w:space="0" w:color="auto"/>
      </w:divBdr>
    </w:div>
    <w:div w:id="427432364">
      <w:bodyDiv w:val="1"/>
      <w:marLeft w:val="0"/>
      <w:marRight w:val="0"/>
      <w:marTop w:val="0"/>
      <w:marBottom w:val="0"/>
      <w:divBdr>
        <w:top w:val="none" w:sz="0" w:space="0" w:color="auto"/>
        <w:left w:val="none" w:sz="0" w:space="0" w:color="auto"/>
        <w:bottom w:val="none" w:sz="0" w:space="0" w:color="auto"/>
        <w:right w:val="none" w:sz="0" w:space="0" w:color="auto"/>
      </w:divBdr>
    </w:div>
    <w:div w:id="450175200">
      <w:bodyDiv w:val="1"/>
      <w:marLeft w:val="0"/>
      <w:marRight w:val="0"/>
      <w:marTop w:val="0"/>
      <w:marBottom w:val="0"/>
      <w:divBdr>
        <w:top w:val="none" w:sz="0" w:space="0" w:color="auto"/>
        <w:left w:val="none" w:sz="0" w:space="0" w:color="auto"/>
        <w:bottom w:val="none" w:sz="0" w:space="0" w:color="auto"/>
        <w:right w:val="none" w:sz="0" w:space="0" w:color="auto"/>
      </w:divBdr>
    </w:div>
    <w:div w:id="452289140">
      <w:bodyDiv w:val="1"/>
      <w:marLeft w:val="0"/>
      <w:marRight w:val="0"/>
      <w:marTop w:val="0"/>
      <w:marBottom w:val="0"/>
      <w:divBdr>
        <w:top w:val="none" w:sz="0" w:space="0" w:color="auto"/>
        <w:left w:val="none" w:sz="0" w:space="0" w:color="auto"/>
        <w:bottom w:val="none" w:sz="0" w:space="0" w:color="auto"/>
        <w:right w:val="none" w:sz="0" w:space="0" w:color="auto"/>
      </w:divBdr>
    </w:div>
    <w:div w:id="464276662">
      <w:bodyDiv w:val="1"/>
      <w:marLeft w:val="0"/>
      <w:marRight w:val="0"/>
      <w:marTop w:val="0"/>
      <w:marBottom w:val="0"/>
      <w:divBdr>
        <w:top w:val="none" w:sz="0" w:space="0" w:color="auto"/>
        <w:left w:val="none" w:sz="0" w:space="0" w:color="auto"/>
        <w:bottom w:val="none" w:sz="0" w:space="0" w:color="auto"/>
        <w:right w:val="none" w:sz="0" w:space="0" w:color="auto"/>
      </w:divBdr>
    </w:div>
    <w:div w:id="537739201">
      <w:bodyDiv w:val="1"/>
      <w:marLeft w:val="0"/>
      <w:marRight w:val="0"/>
      <w:marTop w:val="0"/>
      <w:marBottom w:val="0"/>
      <w:divBdr>
        <w:top w:val="none" w:sz="0" w:space="0" w:color="auto"/>
        <w:left w:val="none" w:sz="0" w:space="0" w:color="auto"/>
        <w:bottom w:val="none" w:sz="0" w:space="0" w:color="auto"/>
        <w:right w:val="none" w:sz="0" w:space="0" w:color="auto"/>
      </w:divBdr>
    </w:div>
    <w:div w:id="546066532">
      <w:bodyDiv w:val="1"/>
      <w:marLeft w:val="0"/>
      <w:marRight w:val="0"/>
      <w:marTop w:val="0"/>
      <w:marBottom w:val="0"/>
      <w:divBdr>
        <w:top w:val="none" w:sz="0" w:space="0" w:color="auto"/>
        <w:left w:val="none" w:sz="0" w:space="0" w:color="auto"/>
        <w:bottom w:val="none" w:sz="0" w:space="0" w:color="auto"/>
        <w:right w:val="none" w:sz="0" w:space="0" w:color="auto"/>
      </w:divBdr>
    </w:div>
    <w:div w:id="592666692">
      <w:bodyDiv w:val="1"/>
      <w:marLeft w:val="0"/>
      <w:marRight w:val="0"/>
      <w:marTop w:val="0"/>
      <w:marBottom w:val="0"/>
      <w:divBdr>
        <w:top w:val="none" w:sz="0" w:space="0" w:color="auto"/>
        <w:left w:val="none" w:sz="0" w:space="0" w:color="auto"/>
        <w:bottom w:val="none" w:sz="0" w:space="0" w:color="auto"/>
        <w:right w:val="none" w:sz="0" w:space="0" w:color="auto"/>
      </w:divBdr>
    </w:div>
    <w:div w:id="601913484">
      <w:bodyDiv w:val="1"/>
      <w:marLeft w:val="0"/>
      <w:marRight w:val="0"/>
      <w:marTop w:val="0"/>
      <w:marBottom w:val="0"/>
      <w:divBdr>
        <w:top w:val="none" w:sz="0" w:space="0" w:color="auto"/>
        <w:left w:val="none" w:sz="0" w:space="0" w:color="auto"/>
        <w:bottom w:val="none" w:sz="0" w:space="0" w:color="auto"/>
        <w:right w:val="none" w:sz="0" w:space="0" w:color="auto"/>
      </w:divBdr>
    </w:div>
    <w:div w:id="674309752">
      <w:bodyDiv w:val="1"/>
      <w:marLeft w:val="0"/>
      <w:marRight w:val="0"/>
      <w:marTop w:val="0"/>
      <w:marBottom w:val="0"/>
      <w:divBdr>
        <w:top w:val="none" w:sz="0" w:space="0" w:color="auto"/>
        <w:left w:val="none" w:sz="0" w:space="0" w:color="auto"/>
        <w:bottom w:val="none" w:sz="0" w:space="0" w:color="auto"/>
        <w:right w:val="none" w:sz="0" w:space="0" w:color="auto"/>
      </w:divBdr>
    </w:div>
    <w:div w:id="678191585">
      <w:bodyDiv w:val="1"/>
      <w:marLeft w:val="0"/>
      <w:marRight w:val="0"/>
      <w:marTop w:val="0"/>
      <w:marBottom w:val="0"/>
      <w:divBdr>
        <w:top w:val="none" w:sz="0" w:space="0" w:color="auto"/>
        <w:left w:val="none" w:sz="0" w:space="0" w:color="auto"/>
        <w:bottom w:val="none" w:sz="0" w:space="0" w:color="auto"/>
        <w:right w:val="none" w:sz="0" w:space="0" w:color="auto"/>
      </w:divBdr>
    </w:div>
    <w:div w:id="769204917">
      <w:bodyDiv w:val="1"/>
      <w:marLeft w:val="0"/>
      <w:marRight w:val="0"/>
      <w:marTop w:val="0"/>
      <w:marBottom w:val="0"/>
      <w:divBdr>
        <w:top w:val="none" w:sz="0" w:space="0" w:color="auto"/>
        <w:left w:val="none" w:sz="0" w:space="0" w:color="auto"/>
        <w:bottom w:val="none" w:sz="0" w:space="0" w:color="auto"/>
        <w:right w:val="none" w:sz="0" w:space="0" w:color="auto"/>
      </w:divBdr>
    </w:div>
    <w:div w:id="815998986">
      <w:bodyDiv w:val="1"/>
      <w:marLeft w:val="0"/>
      <w:marRight w:val="0"/>
      <w:marTop w:val="0"/>
      <w:marBottom w:val="0"/>
      <w:divBdr>
        <w:top w:val="none" w:sz="0" w:space="0" w:color="auto"/>
        <w:left w:val="none" w:sz="0" w:space="0" w:color="auto"/>
        <w:bottom w:val="none" w:sz="0" w:space="0" w:color="auto"/>
        <w:right w:val="none" w:sz="0" w:space="0" w:color="auto"/>
      </w:divBdr>
    </w:div>
    <w:div w:id="821232768">
      <w:bodyDiv w:val="1"/>
      <w:marLeft w:val="0"/>
      <w:marRight w:val="0"/>
      <w:marTop w:val="0"/>
      <w:marBottom w:val="0"/>
      <w:divBdr>
        <w:top w:val="none" w:sz="0" w:space="0" w:color="auto"/>
        <w:left w:val="none" w:sz="0" w:space="0" w:color="auto"/>
        <w:bottom w:val="none" w:sz="0" w:space="0" w:color="auto"/>
        <w:right w:val="none" w:sz="0" w:space="0" w:color="auto"/>
      </w:divBdr>
    </w:div>
    <w:div w:id="855340421">
      <w:bodyDiv w:val="1"/>
      <w:marLeft w:val="0"/>
      <w:marRight w:val="0"/>
      <w:marTop w:val="0"/>
      <w:marBottom w:val="0"/>
      <w:divBdr>
        <w:top w:val="none" w:sz="0" w:space="0" w:color="auto"/>
        <w:left w:val="none" w:sz="0" w:space="0" w:color="auto"/>
        <w:bottom w:val="none" w:sz="0" w:space="0" w:color="auto"/>
        <w:right w:val="none" w:sz="0" w:space="0" w:color="auto"/>
      </w:divBdr>
    </w:div>
    <w:div w:id="862595549">
      <w:bodyDiv w:val="1"/>
      <w:marLeft w:val="0"/>
      <w:marRight w:val="0"/>
      <w:marTop w:val="0"/>
      <w:marBottom w:val="0"/>
      <w:divBdr>
        <w:top w:val="none" w:sz="0" w:space="0" w:color="auto"/>
        <w:left w:val="none" w:sz="0" w:space="0" w:color="auto"/>
        <w:bottom w:val="none" w:sz="0" w:space="0" w:color="auto"/>
        <w:right w:val="none" w:sz="0" w:space="0" w:color="auto"/>
      </w:divBdr>
    </w:div>
    <w:div w:id="883759583">
      <w:bodyDiv w:val="1"/>
      <w:marLeft w:val="0"/>
      <w:marRight w:val="0"/>
      <w:marTop w:val="0"/>
      <w:marBottom w:val="0"/>
      <w:divBdr>
        <w:top w:val="none" w:sz="0" w:space="0" w:color="auto"/>
        <w:left w:val="none" w:sz="0" w:space="0" w:color="auto"/>
        <w:bottom w:val="none" w:sz="0" w:space="0" w:color="auto"/>
        <w:right w:val="none" w:sz="0" w:space="0" w:color="auto"/>
      </w:divBdr>
    </w:div>
    <w:div w:id="903637825">
      <w:bodyDiv w:val="1"/>
      <w:marLeft w:val="0"/>
      <w:marRight w:val="0"/>
      <w:marTop w:val="0"/>
      <w:marBottom w:val="0"/>
      <w:divBdr>
        <w:top w:val="none" w:sz="0" w:space="0" w:color="auto"/>
        <w:left w:val="none" w:sz="0" w:space="0" w:color="auto"/>
        <w:bottom w:val="none" w:sz="0" w:space="0" w:color="auto"/>
        <w:right w:val="none" w:sz="0" w:space="0" w:color="auto"/>
      </w:divBdr>
    </w:div>
    <w:div w:id="914778966">
      <w:bodyDiv w:val="1"/>
      <w:marLeft w:val="0"/>
      <w:marRight w:val="0"/>
      <w:marTop w:val="0"/>
      <w:marBottom w:val="0"/>
      <w:divBdr>
        <w:top w:val="none" w:sz="0" w:space="0" w:color="auto"/>
        <w:left w:val="none" w:sz="0" w:space="0" w:color="auto"/>
        <w:bottom w:val="none" w:sz="0" w:space="0" w:color="auto"/>
        <w:right w:val="none" w:sz="0" w:space="0" w:color="auto"/>
      </w:divBdr>
    </w:div>
    <w:div w:id="958217177">
      <w:bodyDiv w:val="1"/>
      <w:marLeft w:val="0"/>
      <w:marRight w:val="0"/>
      <w:marTop w:val="0"/>
      <w:marBottom w:val="0"/>
      <w:divBdr>
        <w:top w:val="none" w:sz="0" w:space="0" w:color="auto"/>
        <w:left w:val="none" w:sz="0" w:space="0" w:color="auto"/>
        <w:bottom w:val="none" w:sz="0" w:space="0" w:color="auto"/>
        <w:right w:val="none" w:sz="0" w:space="0" w:color="auto"/>
      </w:divBdr>
    </w:div>
    <w:div w:id="978919423">
      <w:bodyDiv w:val="1"/>
      <w:marLeft w:val="0"/>
      <w:marRight w:val="0"/>
      <w:marTop w:val="0"/>
      <w:marBottom w:val="0"/>
      <w:divBdr>
        <w:top w:val="none" w:sz="0" w:space="0" w:color="auto"/>
        <w:left w:val="none" w:sz="0" w:space="0" w:color="auto"/>
        <w:bottom w:val="none" w:sz="0" w:space="0" w:color="auto"/>
        <w:right w:val="none" w:sz="0" w:space="0" w:color="auto"/>
      </w:divBdr>
    </w:div>
    <w:div w:id="1006325011">
      <w:bodyDiv w:val="1"/>
      <w:marLeft w:val="0"/>
      <w:marRight w:val="0"/>
      <w:marTop w:val="0"/>
      <w:marBottom w:val="0"/>
      <w:divBdr>
        <w:top w:val="none" w:sz="0" w:space="0" w:color="auto"/>
        <w:left w:val="none" w:sz="0" w:space="0" w:color="auto"/>
        <w:bottom w:val="none" w:sz="0" w:space="0" w:color="auto"/>
        <w:right w:val="none" w:sz="0" w:space="0" w:color="auto"/>
      </w:divBdr>
    </w:div>
    <w:div w:id="1063218859">
      <w:bodyDiv w:val="1"/>
      <w:marLeft w:val="0"/>
      <w:marRight w:val="0"/>
      <w:marTop w:val="0"/>
      <w:marBottom w:val="0"/>
      <w:divBdr>
        <w:top w:val="none" w:sz="0" w:space="0" w:color="auto"/>
        <w:left w:val="none" w:sz="0" w:space="0" w:color="auto"/>
        <w:bottom w:val="none" w:sz="0" w:space="0" w:color="auto"/>
        <w:right w:val="none" w:sz="0" w:space="0" w:color="auto"/>
      </w:divBdr>
    </w:div>
    <w:div w:id="1087001069">
      <w:bodyDiv w:val="1"/>
      <w:marLeft w:val="0"/>
      <w:marRight w:val="0"/>
      <w:marTop w:val="0"/>
      <w:marBottom w:val="0"/>
      <w:divBdr>
        <w:top w:val="none" w:sz="0" w:space="0" w:color="auto"/>
        <w:left w:val="none" w:sz="0" w:space="0" w:color="auto"/>
        <w:bottom w:val="none" w:sz="0" w:space="0" w:color="auto"/>
        <w:right w:val="none" w:sz="0" w:space="0" w:color="auto"/>
      </w:divBdr>
    </w:div>
    <w:div w:id="1175993054">
      <w:bodyDiv w:val="1"/>
      <w:marLeft w:val="0"/>
      <w:marRight w:val="0"/>
      <w:marTop w:val="0"/>
      <w:marBottom w:val="0"/>
      <w:divBdr>
        <w:top w:val="none" w:sz="0" w:space="0" w:color="auto"/>
        <w:left w:val="none" w:sz="0" w:space="0" w:color="auto"/>
        <w:bottom w:val="none" w:sz="0" w:space="0" w:color="auto"/>
        <w:right w:val="none" w:sz="0" w:space="0" w:color="auto"/>
      </w:divBdr>
    </w:div>
    <w:div w:id="1209225123">
      <w:bodyDiv w:val="1"/>
      <w:marLeft w:val="0"/>
      <w:marRight w:val="0"/>
      <w:marTop w:val="0"/>
      <w:marBottom w:val="0"/>
      <w:divBdr>
        <w:top w:val="none" w:sz="0" w:space="0" w:color="auto"/>
        <w:left w:val="none" w:sz="0" w:space="0" w:color="auto"/>
        <w:bottom w:val="none" w:sz="0" w:space="0" w:color="auto"/>
        <w:right w:val="none" w:sz="0" w:space="0" w:color="auto"/>
      </w:divBdr>
    </w:div>
    <w:div w:id="1210145135">
      <w:bodyDiv w:val="1"/>
      <w:marLeft w:val="0"/>
      <w:marRight w:val="0"/>
      <w:marTop w:val="0"/>
      <w:marBottom w:val="0"/>
      <w:divBdr>
        <w:top w:val="none" w:sz="0" w:space="0" w:color="auto"/>
        <w:left w:val="none" w:sz="0" w:space="0" w:color="auto"/>
        <w:bottom w:val="none" w:sz="0" w:space="0" w:color="auto"/>
        <w:right w:val="none" w:sz="0" w:space="0" w:color="auto"/>
      </w:divBdr>
    </w:div>
    <w:div w:id="1283347804">
      <w:bodyDiv w:val="1"/>
      <w:marLeft w:val="0"/>
      <w:marRight w:val="0"/>
      <w:marTop w:val="0"/>
      <w:marBottom w:val="0"/>
      <w:divBdr>
        <w:top w:val="none" w:sz="0" w:space="0" w:color="auto"/>
        <w:left w:val="none" w:sz="0" w:space="0" w:color="auto"/>
        <w:bottom w:val="none" w:sz="0" w:space="0" w:color="auto"/>
        <w:right w:val="none" w:sz="0" w:space="0" w:color="auto"/>
      </w:divBdr>
    </w:div>
    <w:div w:id="1375353865">
      <w:bodyDiv w:val="1"/>
      <w:marLeft w:val="0"/>
      <w:marRight w:val="0"/>
      <w:marTop w:val="0"/>
      <w:marBottom w:val="0"/>
      <w:divBdr>
        <w:top w:val="none" w:sz="0" w:space="0" w:color="auto"/>
        <w:left w:val="none" w:sz="0" w:space="0" w:color="auto"/>
        <w:bottom w:val="none" w:sz="0" w:space="0" w:color="auto"/>
        <w:right w:val="none" w:sz="0" w:space="0" w:color="auto"/>
      </w:divBdr>
    </w:div>
    <w:div w:id="1401950921">
      <w:bodyDiv w:val="1"/>
      <w:marLeft w:val="0"/>
      <w:marRight w:val="0"/>
      <w:marTop w:val="0"/>
      <w:marBottom w:val="0"/>
      <w:divBdr>
        <w:top w:val="none" w:sz="0" w:space="0" w:color="auto"/>
        <w:left w:val="none" w:sz="0" w:space="0" w:color="auto"/>
        <w:bottom w:val="none" w:sz="0" w:space="0" w:color="auto"/>
        <w:right w:val="none" w:sz="0" w:space="0" w:color="auto"/>
      </w:divBdr>
    </w:div>
    <w:div w:id="1436289696">
      <w:bodyDiv w:val="1"/>
      <w:marLeft w:val="0"/>
      <w:marRight w:val="0"/>
      <w:marTop w:val="0"/>
      <w:marBottom w:val="0"/>
      <w:divBdr>
        <w:top w:val="none" w:sz="0" w:space="0" w:color="auto"/>
        <w:left w:val="none" w:sz="0" w:space="0" w:color="auto"/>
        <w:bottom w:val="none" w:sz="0" w:space="0" w:color="auto"/>
        <w:right w:val="none" w:sz="0" w:space="0" w:color="auto"/>
      </w:divBdr>
    </w:div>
    <w:div w:id="1572078641">
      <w:bodyDiv w:val="1"/>
      <w:marLeft w:val="0"/>
      <w:marRight w:val="0"/>
      <w:marTop w:val="0"/>
      <w:marBottom w:val="0"/>
      <w:divBdr>
        <w:top w:val="none" w:sz="0" w:space="0" w:color="auto"/>
        <w:left w:val="none" w:sz="0" w:space="0" w:color="auto"/>
        <w:bottom w:val="none" w:sz="0" w:space="0" w:color="auto"/>
        <w:right w:val="none" w:sz="0" w:space="0" w:color="auto"/>
      </w:divBdr>
    </w:div>
    <w:div w:id="1581714927">
      <w:bodyDiv w:val="1"/>
      <w:marLeft w:val="0"/>
      <w:marRight w:val="0"/>
      <w:marTop w:val="0"/>
      <w:marBottom w:val="0"/>
      <w:divBdr>
        <w:top w:val="none" w:sz="0" w:space="0" w:color="auto"/>
        <w:left w:val="none" w:sz="0" w:space="0" w:color="auto"/>
        <w:bottom w:val="none" w:sz="0" w:space="0" w:color="auto"/>
        <w:right w:val="none" w:sz="0" w:space="0" w:color="auto"/>
      </w:divBdr>
    </w:div>
    <w:div w:id="1606305908">
      <w:bodyDiv w:val="1"/>
      <w:marLeft w:val="0"/>
      <w:marRight w:val="0"/>
      <w:marTop w:val="0"/>
      <w:marBottom w:val="0"/>
      <w:divBdr>
        <w:top w:val="none" w:sz="0" w:space="0" w:color="auto"/>
        <w:left w:val="none" w:sz="0" w:space="0" w:color="auto"/>
        <w:bottom w:val="none" w:sz="0" w:space="0" w:color="auto"/>
        <w:right w:val="none" w:sz="0" w:space="0" w:color="auto"/>
      </w:divBdr>
    </w:div>
    <w:div w:id="1660037952">
      <w:bodyDiv w:val="1"/>
      <w:marLeft w:val="0"/>
      <w:marRight w:val="0"/>
      <w:marTop w:val="0"/>
      <w:marBottom w:val="0"/>
      <w:divBdr>
        <w:top w:val="none" w:sz="0" w:space="0" w:color="auto"/>
        <w:left w:val="none" w:sz="0" w:space="0" w:color="auto"/>
        <w:bottom w:val="none" w:sz="0" w:space="0" w:color="auto"/>
        <w:right w:val="none" w:sz="0" w:space="0" w:color="auto"/>
      </w:divBdr>
    </w:div>
    <w:div w:id="1761947526">
      <w:bodyDiv w:val="1"/>
      <w:marLeft w:val="0"/>
      <w:marRight w:val="0"/>
      <w:marTop w:val="0"/>
      <w:marBottom w:val="0"/>
      <w:divBdr>
        <w:top w:val="none" w:sz="0" w:space="0" w:color="auto"/>
        <w:left w:val="none" w:sz="0" w:space="0" w:color="auto"/>
        <w:bottom w:val="none" w:sz="0" w:space="0" w:color="auto"/>
        <w:right w:val="none" w:sz="0" w:space="0" w:color="auto"/>
      </w:divBdr>
    </w:div>
    <w:div w:id="1832208781">
      <w:bodyDiv w:val="1"/>
      <w:marLeft w:val="0"/>
      <w:marRight w:val="0"/>
      <w:marTop w:val="0"/>
      <w:marBottom w:val="0"/>
      <w:divBdr>
        <w:top w:val="none" w:sz="0" w:space="0" w:color="auto"/>
        <w:left w:val="none" w:sz="0" w:space="0" w:color="auto"/>
        <w:bottom w:val="none" w:sz="0" w:space="0" w:color="auto"/>
        <w:right w:val="none" w:sz="0" w:space="0" w:color="auto"/>
      </w:divBdr>
    </w:div>
    <w:div w:id="1841189066">
      <w:bodyDiv w:val="1"/>
      <w:marLeft w:val="0"/>
      <w:marRight w:val="0"/>
      <w:marTop w:val="0"/>
      <w:marBottom w:val="0"/>
      <w:divBdr>
        <w:top w:val="none" w:sz="0" w:space="0" w:color="auto"/>
        <w:left w:val="none" w:sz="0" w:space="0" w:color="auto"/>
        <w:bottom w:val="none" w:sz="0" w:space="0" w:color="auto"/>
        <w:right w:val="none" w:sz="0" w:space="0" w:color="auto"/>
      </w:divBdr>
    </w:div>
    <w:div w:id="1955208613">
      <w:bodyDiv w:val="1"/>
      <w:marLeft w:val="0"/>
      <w:marRight w:val="0"/>
      <w:marTop w:val="0"/>
      <w:marBottom w:val="0"/>
      <w:divBdr>
        <w:top w:val="none" w:sz="0" w:space="0" w:color="auto"/>
        <w:left w:val="none" w:sz="0" w:space="0" w:color="auto"/>
        <w:bottom w:val="none" w:sz="0" w:space="0" w:color="auto"/>
        <w:right w:val="none" w:sz="0" w:space="0" w:color="auto"/>
      </w:divBdr>
    </w:div>
    <w:div w:id="1970088177">
      <w:bodyDiv w:val="1"/>
      <w:marLeft w:val="0"/>
      <w:marRight w:val="0"/>
      <w:marTop w:val="0"/>
      <w:marBottom w:val="0"/>
      <w:divBdr>
        <w:top w:val="none" w:sz="0" w:space="0" w:color="auto"/>
        <w:left w:val="none" w:sz="0" w:space="0" w:color="auto"/>
        <w:bottom w:val="none" w:sz="0" w:space="0" w:color="auto"/>
        <w:right w:val="none" w:sz="0" w:space="0" w:color="auto"/>
      </w:divBdr>
    </w:div>
    <w:div w:id="1998993635">
      <w:bodyDiv w:val="1"/>
      <w:marLeft w:val="0"/>
      <w:marRight w:val="0"/>
      <w:marTop w:val="0"/>
      <w:marBottom w:val="0"/>
      <w:divBdr>
        <w:top w:val="none" w:sz="0" w:space="0" w:color="auto"/>
        <w:left w:val="none" w:sz="0" w:space="0" w:color="auto"/>
        <w:bottom w:val="none" w:sz="0" w:space="0" w:color="auto"/>
        <w:right w:val="none" w:sz="0" w:space="0" w:color="auto"/>
      </w:divBdr>
    </w:div>
    <w:div w:id="2025087811">
      <w:bodyDiv w:val="1"/>
      <w:marLeft w:val="0"/>
      <w:marRight w:val="0"/>
      <w:marTop w:val="0"/>
      <w:marBottom w:val="0"/>
      <w:divBdr>
        <w:top w:val="none" w:sz="0" w:space="0" w:color="auto"/>
        <w:left w:val="none" w:sz="0" w:space="0" w:color="auto"/>
        <w:bottom w:val="none" w:sz="0" w:space="0" w:color="auto"/>
        <w:right w:val="none" w:sz="0" w:space="0" w:color="auto"/>
      </w:divBdr>
    </w:div>
    <w:div w:id="2070110119">
      <w:bodyDiv w:val="1"/>
      <w:marLeft w:val="0"/>
      <w:marRight w:val="0"/>
      <w:marTop w:val="0"/>
      <w:marBottom w:val="0"/>
      <w:divBdr>
        <w:top w:val="none" w:sz="0" w:space="0" w:color="auto"/>
        <w:left w:val="none" w:sz="0" w:space="0" w:color="auto"/>
        <w:bottom w:val="none" w:sz="0" w:space="0" w:color="auto"/>
        <w:right w:val="none" w:sz="0" w:space="0" w:color="auto"/>
      </w:divBdr>
    </w:div>
    <w:div w:id="2134983318">
      <w:bodyDiv w:val="1"/>
      <w:marLeft w:val="0"/>
      <w:marRight w:val="0"/>
      <w:marTop w:val="0"/>
      <w:marBottom w:val="0"/>
      <w:divBdr>
        <w:top w:val="none" w:sz="0" w:space="0" w:color="auto"/>
        <w:left w:val="none" w:sz="0" w:space="0" w:color="auto"/>
        <w:bottom w:val="none" w:sz="0" w:space="0" w:color="auto"/>
        <w:right w:val="none" w:sz="0" w:space="0" w:color="auto"/>
      </w:divBdr>
    </w:div>
    <w:div w:id="214080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D3DAC-CB14-4B73-BB59-FA90F6215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5186</Words>
  <Characters>28140</Characters>
  <Application>Microsoft Office Word</Application>
  <DocSecurity>0</DocSecurity>
  <Lines>234</Lines>
  <Paragraphs>66</Paragraphs>
  <ScaleCrop>false</ScaleCrop>
  <HeadingPairs>
    <vt:vector size="2" baseType="variant">
      <vt:variant>
        <vt:lpstr>Titel</vt:lpstr>
      </vt:variant>
      <vt:variant>
        <vt:i4>1</vt:i4>
      </vt:variant>
    </vt:vector>
  </HeadingPairs>
  <TitlesOfParts>
    <vt:vector size="1" baseType="lpstr">
      <vt:lpstr>Translation: www.brainstorm.at</vt:lpstr>
    </vt:vector>
  </TitlesOfParts>
  <Company>Translation: www.brainstorm.at</Company>
  <LinksUpToDate>false</LinksUpToDate>
  <CharactersWithSpaces>33260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Translation: www.brainstorm.at</dc:title>
  <dc:creator>Manuela Bruck</dc:creator>
  <dc:description>Translation: www.brainstorm.at</dc:description>
  <cp:lastModifiedBy>Egger Bernhard, Dr, WKÖ BSBV</cp:lastModifiedBy>
  <cp:revision>7</cp:revision>
  <cp:lastPrinted>2016-10-25T07:22:00Z</cp:lastPrinted>
  <dcterms:created xsi:type="dcterms:W3CDTF">2016-10-24T14:10:00Z</dcterms:created>
  <dcterms:modified xsi:type="dcterms:W3CDTF">2016-10-25T16:22:00Z</dcterms:modified>
  <cp:category>Translation: www.brainstorm.at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ion">
    <vt:lpwstr>Translation: www.brainstorm.at</vt:lpwstr>
  </property>
</Properties>
</file>