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02"/>
        <w:gridCol w:w="4649"/>
      </w:tblGrid>
      <w:tr w:rsidR="00642235" w:rsidRPr="008E0154" w:rsidTr="0017413A">
        <w:trPr>
          <w:trHeight w:hRule="exact" w:val="3261"/>
        </w:trPr>
        <w:tc>
          <w:tcPr>
            <w:tcW w:w="5102" w:type="dxa"/>
          </w:tcPr>
          <w:p w:rsidR="00B51CB0" w:rsidRPr="00011DC9" w:rsidRDefault="00650AE5" w:rsidP="00CE5D6F">
            <w:pPr>
              <w:rPr>
                <w:b/>
              </w:rPr>
            </w:pPr>
            <w:r w:rsidRPr="00011DC9">
              <w:rPr>
                <w:b/>
                <w:lang w:val="fi-FI"/>
              </w:rPr>
              <w:br/>
            </w:r>
          </w:p>
          <w:p w:rsidR="00B51CB0" w:rsidRDefault="008E0154" w:rsidP="00CE5D6F">
            <w:pPr>
              <w:rPr>
                <w:lang w:val="fi-FI"/>
              </w:rPr>
            </w:pPr>
            <w:r>
              <w:rPr>
                <w:lang w:val="fi-FI"/>
              </w:rPr>
              <w:t>European Banking Authority (EBA)</w:t>
            </w:r>
          </w:p>
          <w:p w:rsidR="00CB2954" w:rsidRPr="00B22761" w:rsidRDefault="00CB2954" w:rsidP="00CE5D6F">
            <w:pPr>
              <w:rPr>
                <w:sz w:val="52"/>
                <w:szCs w:val="52"/>
                <w:lang w:val="fi-FI"/>
              </w:rPr>
            </w:pPr>
          </w:p>
        </w:tc>
        <w:tc>
          <w:tcPr>
            <w:tcW w:w="4649" w:type="dxa"/>
          </w:tcPr>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20" w:lineRule="atLeast"/>
              <w:jc w:val="right"/>
              <w:rPr>
                <w:b/>
                <w:bCs/>
                <w:color w:val="000000"/>
                <w:sz w:val="6"/>
                <w:szCs w:val="6"/>
                <w:lang w:val="fi-FI"/>
              </w:rPr>
            </w:pPr>
          </w:p>
          <w:p w:rsidR="00642235" w:rsidRPr="00D364F4" w:rsidRDefault="00642235" w:rsidP="00CE5D6F">
            <w:pPr>
              <w:spacing w:line="260" w:lineRule="atLeast"/>
              <w:jc w:val="right"/>
              <w:rPr>
                <w:b/>
                <w:bCs/>
                <w:noProof/>
                <w:color w:val="000000"/>
                <w:sz w:val="18"/>
                <w:szCs w:val="18"/>
                <w:lang w:val="en-GB"/>
              </w:rPr>
            </w:pPr>
            <w:r w:rsidRPr="00B55633">
              <w:rPr>
                <w:b/>
                <w:bCs/>
                <w:noProof/>
                <w:color w:val="000000"/>
                <w:sz w:val="18"/>
                <w:szCs w:val="18"/>
                <w:lang w:val="fi-FI"/>
              </w:rPr>
              <w:t xml:space="preserve"> </w:t>
            </w:r>
            <w:r w:rsidRPr="00D364F4">
              <w:rPr>
                <w:b/>
                <w:bCs/>
                <w:noProof/>
                <w:color w:val="000000"/>
                <w:sz w:val="18"/>
                <w:szCs w:val="18"/>
                <w:lang w:val="en-GB"/>
              </w:rPr>
              <w:t>Division Bank and Insurance</w:t>
            </w:r>
          </w:p>
          <w:p w:rsidR="00C47B46" w:rsidRPr="00D364F4" w:rsidRDefault="00C47B46" w:rsidP="00CE5D6F">
            <w:pPr>
              <w:spacing w:line="260" w:lineRule="atLeast"/>
              <w:jc w:val="right"/>
              <w:rPr>
                <w:bCs/>
                <w:color w:val="000000"/>
                <w:sz w:val="18"/>
                <w:szCs w:val="18"/>
                <w:lang w:val="en-GB"/>
              </w:rPr>
            </w:pPr>
            <w:r w:rsidRPr="00D364F4">
              <w:rPr>
                <w:bCs/>
                <w:noProof/>
                <w:color w:val="000000"/>
                <w:sz w:val="18"/>
                <w:szCs w:val="18"/>
                <w:lang w:val="en-GB"/>
              </w:rPr>
              <w:t>Austrian Federal Economic Chamber</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Wiedner Hauptstraße 63 | P.O. Box 320</w:t>
            </w:r>
          </w:p>
          <w:p w:rsidR="00642235" w:rsidRPr="00CE5D6F" w:rsidRDefault="00642235" w:rsidP="00CE5D6F">
            <w:pPr>
              <w:spacing w:line="260" w:lineRule="atLeast"/>
              <w:jc w:val="right"/>
              <w:rPr>
                <w:color w:val="000000"/>
                <w:sz w:val="18"/>
                <w:szCs w:val="18"/>
                <w:lang w:val="de-AT"/>
              </w:rPr>
            </w:pPr>
            <w:r w:rsidRPr="00CE5D6F">
              <w:rPr>
                <w:noProof/>
                <w:color w:val="000000"/>
                <w:sz w:val="18"/>
                <w:szCs w:val="18"/>
                <w:lang w:val="de-AT"/>
              </w:rPr>
              <w:t>1045 Vienna</w:t>
            </w:r>
          </w:p>
          <w:p w:rsidR="00642235" w:rsidRPr="00D364F4" w:rsidRDefault="00642235" w:rsidP="00CE5D6F">
            <w:pPr>
              <w:spacing w:line="260" w:lineRule="atLeast"/>
              <w:jc w:val="right"/>
              <w:rPr>
                <w:color w:val="000000"/>
                <w:sz w:val="18"/>
                <w:szCs w:val="18"/>
              </w:rPr>
            </w:pPr>
            <w:r w:rsidRPr="00B51CB0">
              <w:rPr>
                <w:noProof/>
                <w:color w:val="000000"/>
                <w:sz w:val="18"/>
                <w:szCs w:val="18"/>
                <w:lang w:val="de-AT"/>
              </w:rPr>
              <w:t>T +43 (0)5 90 900-DW | F +43 (0)5 90 900-27</w:t>
            </w:r>
            <w:r w:rsidRPr="00D364F4">
              <w:rPr>
                <w:noProof/>
                <w:color w:val="000000"/>
                <w:sz w:val="18"/>
                <w:szCs w:val="18"/>
              </w:rPr>
              <w:t>2</w:t>
            </w:r>
          </w:p>
          <w:p w:rsidR="00642235" w:rsidRPr="00D364F4" w:rsidRDefault="00642235" w:rsidP="00CE5D6F">
            <w:pPr>
              <w:spacing w:line="260" w:lineRule="atLeast"/>
              <w:jc w:val="right"/>
              <w:rPr>
                <w:color w:val="000000"/>
                <w:sz w:val="18"/>
                <w:szCs w:val="18"/>
              </w:rPr>
            </w:pPr>
            <w:r w:rsidRPr="00D364F4">
              <w:rPr>
                <w:noProof/>
                <w:color w:val="000000"/>
                <w:sz w:val="18"/>
                <w:szCs w:val="18"/>
              </w:rPr>
              <w:t>E  bsbv@wko.at</w:t>
            </w:r>
          </w:p>
          <w:p w:rsidR="00642235" w:rsidRPr="00D364F4" w:rsidRDefault="00642235" w:rsidP="00CE5D6F">
            <w:pPr>
              <w:spacing w:line="260" w:lineRule="atLeast"/>
              <w:jc w:val="right"/>
              <w:rPr>
                <w:lang w:val="en-GB"/>
              </w:rPr>
            </w:pPr>
            <w:r w:rsidRPr="00D364F4">
              <w:rPr>
                <w:noProof/>
                <w:color w:val="000000"/>
                <w:sz w:val="18"/>
                <w:szCs w:val="18"/>
                <w:lang w:val="en-GB"/>
              </w:rPr>
              <w:t>W  http://wko.at/bsbv</w:t>
            </w:r>
          </w:p>
        </w:tc>
      </w:tr>
    </w:tbl>
    <w:p w:rsidR="00642235" w:rsidRPr="00C21BF0" w:rsidRDefault="00642235" w:rsidP="00CE5D6F">
      <w:pPr>
        <w:tabs>
          <w:tab w:val="left" w:pos="2892"/>
          <w:tab w:val="left" w:pos="5783"/>
          <w:tab w:val="left" w:pos="7655"/>
        </w:tabs>
        <w:rPr>
          <w:color w:val="000000"/>
          <w:sz w:val="16"/>
          <w:szCs w:val="16"/>
          <w:lang w:val="en-GB"/>
        </w:rPr>
      </w:pPr>
      <w:r w:rsidRPr="00C21BF0">
        <w:rPr>
          <w:noProof/>
          <w:color w:val="000000"/>
          <w:sz w:val="16"/>
          <w:szCs w:val="16"/>
          <w:lang w:val="en-GB"/>
        </w:rPr>
        <w:t>Your ref., Your message of</w:t>
      </w:r>
      <w:r w:rsidRPr="00C21BF0">
        <w:rPr>
          <w:color w:val="000000"/>
          <w:sz w:val="16"/>
          <w:szCs w:val="16"/>
          <w:lang w:val="en-GB"/>
        </w:rPr>
        <w:tab/>
      </w:r>
      <w:r w:rsidRPr="00C21BF0">
        <w:rPr>
          <w:noProof/>
          <w:color w:val="000000"/>
          <w:sz w:val="16"/>
          <w:szCs w:val="16"/>
          <w:lang w:val="en-GB"/>
        </w:rPr>
        <w:t>Our ref., person in charge</w:t>
      </w:r>
      <w:r w:rsidRPr="00C21BF0">
        <w:rPr>
          <w:color w:val="000000"/>
          <w:sz w:val="16"/>
          <w:szCs w:val="16"/>
          <w:lang w:val="en-GB"/>
        </w:rPr>
        <w:tab/>
      </w:r>
      <w:r w:rsidRPr="00C21BF0">
        <w:rPr>
          <w:noProof/>
          <w:color w:val="000000"/>
          <w:sz w:val="16"/>
          <w:szCs w:val="16"/>
          <w:lang w:val="en-GB"/>
        </w:rPr>
        <w:t>Extension</w:t>
      </w:r>
      <w:r w:rsidRPr="00C21BF0">
        <w:rPr>
          <w:color w:val="000000"/>
          <w:sz w:val="16"/>
          <w:szCs w:val="16"/>
          <w:lang w:val="en-GB"/>
        </w:rPr>
        <w:tab/>
      </w:r>
      <w:r w:rsidRPr="00C21BF0">
        <w:rPr>
          <w:noProof/>
          <w:color w:val="000000"/>
          <w:sz w:val="16"/>
          <w:szCs w:val="16"/>
          <w:lang w:val="en-GB"/>
        </w:rPr>
        <w:t>Date</w:t>
      </w:r>
    </w:p>
    <w:p w:rsidR="00642235" w:rsidRPr="00DC0A36" w:rsidRDefault="00642235" w:rsidP="00CE5D6F">
      <w:pPr>
        <w:tabs>
          <w:tab w:val="left" w:pos="2892"/>
          <w:tab w:val="left" w:pos="5783"/>
          <w:tab w:val="left" w:pos="7655"/>
        </w:tabs>
        <w:rPr>
          <w:color w:val="000000"/>
          <w:lang w:val="en-GB"/>
        </w:rPr>
      </w:pPr>
      <w:r w:rsidRPr="00C21BF0">
        <w:rPr>
          <w:color w:val="000000"/>
          <w:lang w:val="en-GB"/>
        </w:rPr>
        <w:tab/>
      </w:r>
      <w:r w:rsidRPr="00DC0A36">
        <w:rPr>
          <w:noProof/>
          <w:color w:val="000000"/>
          <w:lang w:val="en-GB"/>
        </w:rPr>
        <w:t>BSBV</w:t>
      </w:r>
      <w:r w:rsidR="00CE5D6F">
        <w:rPr>
          <w:noProof/>
          <w:color w:val="000000"/>
          <w:lang w:val="en-GB"/>
        </w:rPr>
        <w:t xml:space="preserve"> </w:t>
      </w:r>
      <w:r w:rsidR="00D161B5">
        <w:rPr>
          <w:noProof/>
          <w:color w:val="000000"/>
          <w:lang w:val="en-GB"/>
        </w:rPr>
        <w:t>115</w:t>
      </w:r>
      <w:r w:rsidR="00641DC4" w:rsidRPr="00DC0A36">
        <w:rPr>
          <w:noProof/>
          <w:color w:val="000000"/>
          <w:lang w:val="en-GB"/>
        </w:rPr>
        <w:t>/</w:t>
      </w:r>
      <w:r w:rsidR="00D20260">
        <w:rPr>
          <w:noProof/>
          <w:color w:val="000000"/>
          <w:lang w:val="en-GB"/>
        </w:rPr>
        <w:t>Dr. Egger</w:t>
      </w:r>
      <w:r w:rsidR="00641DC4" w:rsidRPr="00DC0A36">
        <w:rPr>
          <w:noProof/>
          <w:color w:val="000000"/>
          <w:lang w:val="en-GB"/>
        </w:rPr>
        <w:tab/>
        <w:t>31</w:t>
      </w:r>
      <w:r w:rsidR="00D20260">
        <w:rPr>
          <w:noProof/>
          <w:color w:val="000000"/>
          <w:lang w:val="en-GB"/>
        </w:rPr>
        <w:t>37</w:t>
      </w:r>
      <w:r w:rsidRPr="00DC0A36">
        <w:rPr>
          <w:color w:val="000000"/>
          <w:lang w:val="en-GB"/>
        </w:rPr>
        <w:tab/>
      </w:r>
      <w:r w:rsidR="00D20260">
        <w:rPr>
          <w:color w:val="000000"/>
          <w:lang w:val="en-GB"/>
        </w:rPr>
        <w:t>25 October 2016</w:t>
      </w:r>
    </w:p>
    <w:p w:rsidR="00E754C8" w:rsidRDefault="00E754C8" w:rsidP="00CE5D6F">
      <w:pPr>
        <w:rPr>
          <w:color w:val="000000"/>
          <w:sz w:val="24"/>
          <w:szCs w:val="24"/>
          <w:lang w:val="en-GB"/>
        </w:rPr>
      </w:pPr>
    </w:p>
    <w:p w:rsidR="00A82C13" w:rsidRPr="00DC0A36" w:rsidRDefault="00A82C13" w:rsidP="00CE5D6F">
      <w:pPr>
        <w:rPr>
          <w:color w:val="000000"/>
          <w:sz w:val="24"/>
          <w:szCs w:val="24"/>
          <w:lang w:val="en-GB"/>
        </w:rPr>
      </w:pPr>
    </w:p>
    <w:p w:rsidR="00D161B5" w:rsidRPr="00D161B5" w:rsidRDefault="00D161B5" w:rsidP="00D161B5">
      <w:pPr>
        <w:pStyle w:val="Default"/>
        <w:rPr>
          <w:rFonts w:ascii="Trebuchet MS" w:hAnsi="Trebuchet MS"/>
          <w:b/>
          <w:lang w:val="en-US"/>
        </w:rPr>
      </w:pPr>
      <w:r w:rsidRPr="00D161B5">
        <w:rPr>
          <w:rFonts w:ascii="Trebuchet MS" w:hAnsi="Trebuchet MS"/>
          <w:b/>
          <w:lang w:val="en-US"/>
        </w:rPr>
        <w:t>EBA</w:t>
      </w:r>
      <w:r w:rsidR="005B2525" w:rsidRPr="00D161B5">
        <w:rPr>
          <w:rFonts w:ascii="Trebuchet MS" w:hAnsi="Trebuchet MS"/>
          <w:b/>
          <w:lang w:val="en-US"/>
        </w:rPr>
        <w:t xml:space="preserve"> Consultation </w:t>
      </w:r>
      <w:r>
        <w:rPr>
          <w:rFonts w:ascii="Trebuchet MS" w:hAnsi="Trebuchet MS"/>
          <w:b/>
          <w:lang w:val="en-US"/>
        </w:rPr>
        <w:t xml:space="preserve">on </w:t>
      </w:r>
      <w:r w:rsidRPr="00D161B5">
        <w:rPr>
          <w:rFonts w:ascii="Trebuchet MS" w:hAnsi="Trebuchet MS"/>
          <w:b/>
          <w:lang w:val="en-US"/>
        </w:rPr>
        <w:t xml:space="preserve">Draft Guidelines on </w:t>
      </w:r>
      <w:r w:rsidR="00D20260">
        <w:rPr>
          <w:rFonts w:ascii="Trebuchet MS" w:hAnsi="Trebuchet MS"/>
          <w:b/>
          <w:lang w:val="en-US"/>
        </w:rPr>
        <w:t>credit risk management practices and accounting for expected credit losses</w:t>
      </w:r>
    </w:p>
    <w:p w:rsidR="00B22761" w:rsidRPr="00D161B5" w:rsidRDefault="00B22761" w:rsidP="00CE5D6F">
      <w:pPr>
        <w:rPr>
          <w:lang w:val="en-GB"/>
        </w:rPr>
      </w:pPr>
    </w:p>
    <w:p w:rsidR="00A41C01" w:rsidRDefault="00DC0A36" w:rsidP="00A41C01">
      <w:pPr>
        <w:spacing w:line="240" w:lineRule="auto"/>
        <w:rPr>
          <w:rFonts w:cs="Arial"/>
          <w:color w:val="000000"/>
          <w:lang w:val="en-GB" w:eastAsia="en-US"/>
        </w:rPr>
      </w:pPr>
      <w:r w:rsidRPr="00DC0A36">
        <w:rPr>
          <w:lang w:val="en-GB"/>
        </w:rPr>
        <w:t xml:space="preserve">The Division Bank and Insurance of the Austrian Federal Economic </w:t>
      </w:r>
      <w:proofErr w:type="gramStart"/>
      <w:r w:rsidRPr="00DC0A36">
        <w:rPr>
          <w:lang w:val="en-GB"/>
        </w:rPr>
        <w:t>Chamber,</w:t>
      </w:r>
      <w:proofErr w:type="gramEnd"/>
      <w:r w:rsidRPr="00DC0A36">
        <w:rPr>
          <w:lang w:val="en-GB"/>
        </w:rPr>
        <w:t xml:space="preserve"> as representative of the entire Austrian banking industry, appreciates the possibility to</w:t>
      </w:r>
      <w:r w:rsidR="00B467F0" w:rsidRPr="00487A00">
        <w:rPr>
          <w:rFonts w:cs="Arial"/>
          <w:color w:val="000000"/>
          <w:lang w:val="en-GB" w:eastAsia="en-US"/>
        </w:rPr>
        <w:t xml:space="preserve"> comment on </w:t>
      </w:r>
      <w:r w:rsidR="00B467F0">
        <w:rPr>
          <w:rFonts w:cs="Arial"/>
          <w:color w:val="000000"/>
          <w:lang w:val="en-GB" w:eastAsia="en-US"/>
        </w:rPr>
        <w:t xml:space="preserve">the above cited </w:t>
      </w:r>
      <w:r w:rsidR="00CE5D6F">
        <w:rPr>
          <w:rFonts w:cs="Arial"/>
          <w:color w:val="000000"/>
          <w:lang w:val="en-GB" w:eastAsia="en-US"/>
        </w:rPr>
        <w:t xml:space="preserve">consultation </w:t>
      </w:r>
      <w:r w:rsidR="005B2525">
        <w:rPr>
          <w:rFonts w:cs="Arial"/>
          <w:color w:val="000000"/>
          <w:lang w:val="en-GB" w:eastAsia="en-US"/>
        </w:rPr>
        <w:t>document</w:t>
      </w:r>
      <w:r w:rsidR="00B467F0">
        <w:rPr>
          <w:rFonts w:cs="Arial"/>
          <w:color w:val="000000"/>
          <w:lang w:val="en-GB" w:eastAsia="en-US"/>
        </w:rPr>
        <w:t xml:space="preserve"> </w:t>
      </w:r>
      <w:r w:rsidR="00B467F0" w:rsidRPr="00487A00">
        <w:rPr>
          <w:rFonts w:cs="Arial"/>
          <w:color w:val="000000"/>
          <w:lang w:val="en-GB" w:eastAsia="en-US"/>
        </w:rPr>
        <w:t>and would like to submit the following position:</w:t>
      </w:r>
    </w:p>
    <w:p w:rsidR="00A41C01" w:rsidRDefault="00A41C01" w:rsidP="00A41C01">
      <w:pPr>
        <w:spacing w:line="240" w:lineRule="auto"/>
        <w:rPr>
          <w:rFonts w:cs="Arial"/>
          <w:color w:val="000000"/>
          <w:lang w:val="en-GB" w:eastAsia="en-US"/>
        </w:rPr>
      </w:pPr>
    </w:p>
    <w:p w:rsidR="00A41C01" w:rsidRPr="00A41C01" w:rsidRDefault="00A41C01" w:rsidP="00A41C01">
      <w:pPr>
        <w:spacing w:line="240" w:lineRule="auto"/>
        <w:rPr>
          <w:rFonts w:cs="Arial"/>
          <w:b/>
          <w:color w:val="000000"/>
          <w:lang w:val="en-GB" w:eastAsia="en-US"/>
        </w:rPr>
      </w:pPr>
      <w:r w:rsidRPr="00A41C01">
        <w:rPr>
          <w:rFonts w:cs="Arial"/>
          <w:b/>
          <w:color w:val="000000"/>
          <w:lang w:val="en-GB" w:eastAsia="en-US"/>
        </w:rPr>
        <w:t>General comments</w:t>
      </w:r>
    </w:p>
    <w:p w:rsidR="00A41C01" w:rsidRPr="00A41C01" w:rsidRDefault="00A41C01" w:rsidP="00A41C01">
      <w:pPr>
        <w:spacing w:line="240" w:lineRule="auto"/>
        <w:rPr>
          <w:rFonts w:cs="Arial"/>
          <w:color w:val="000000"/>
          <w:lang w:val="en-GB" w:eastAsia="en-US"/>
        </w:rPr>
      </w:pPr>
    </w:p>
    <w:p w:rsidR="00A41C01" w:rsidRPr="00A41C01" w:rsidRDefault="00A41C01" w:rsidP="00A41C01">
      <w:pPr>
        <w:autoSpaceDE w:val="0"/>
        <w:autoSpaceDN w:val="0"/>
        <w:adjustRightInd w:val="0"/>
        <w:rPr>
          <w:rFonts w:cs="Calibri"/>
          <w:color w:val="000000"/>
          <w:lang w:val="en-US" w:eastAsia="en-US"/>
        </w:rPr>
      </w:pPr>
      <w:r w:rsidRPr="00A41C01">
        <w:rPr>
          <w:rFonts w:cs="Calibri"/>
          <w:color w:val="000000"/>
          <w:lang w:val="en-US" w:eastAsia="en-US"/>
        </w:rPr>
        <w:t xml:space="preserve">While we acknowledge and welcome the role that the European Banking Authority (EBA) plays in the international </w:t>
      </w:r>
      <w:proofErr w:type="spellStart"/>
      <w:r w:rsidRPr="00A41C01">
        <w:rPr>
          <w:rFonts w:cs="Calibri"/>
          <w:color w:val="000000"/>
          <w:lang w:val="en-US" w:eastAsia="en-US"/>
        </w:rPr>
        <w:t>harmonisation</w:t>
      </w:r>
      <w:proofErr w:type="spellEnd"/>
      <w:r w:rsidRPr="00A41C01">
        <w:rPr>
          <w:rFonts w:cs="Calibri"/>
          <w:color w:val="000000"/>
          <w:lang w:val="en-US" w:eastAsia="en-US"/>
        </w:rPr>
        <w:t xml:space="preserve"> of supervisory frameworks and rules, we believe it is up to the accounting standard setters to determine rules for financial statements within a given financial reporting framework. Preparers – in cooperation with their statutory auditors – have to ensure that financial statements are in line with the applicable financial reporting framework.</w:t>
      </w:r>
    </w:p>
    <w:p w:rsidR="00A41C01" w:rsidRPr="00A41C01" w:rsidRDefault="00A41C01" w:rsidP="00A41C01">
      <w:pPr>
        <w:autoSpaceDE w:val="0"/>
        <w:autoSpaceDN w:val="0"/>
        <w:adjustRightInd w:val="0"/>
        <w:rPr>
          <w:rFonts w:cs="Calibri"/>
          <w:color w:val="000000"/>
          <w:lang w:val="en-US" w:eastAsia="en-US"/>
        </w:rPr>
      </w:pPr>
    </w:p>
    <w:p w:rsidR="00A41C01" w:rsidRPr="00A41C01" w:rsidRDefault="00A41C01" w:rsidP="00A41C01">
      <w:pPr>
        <w:autoSpaceDE w:val="0"/>
        <w:autoSpaceDN w:val="0"/>
        <w:adjustRightInd w:val="0"/>
        <w:rPr>
          <w:rFonts w:cs="Calibri"/>
          <w:color w:val="000000"/>
          <w:lang w:val="en-US" w:eastAsia="en-US"/>
        </w:rPr>
      </w:pPr>
      <w:r w:rsidRPr="00A41C01">
        <w:rPr>
          <w:rFonts w:cs="Calibri"/>
          <w:color w:val="000000"/>
          <w:lang w:val="en-US" w:eastAsia="en-US"/>
        </w:rPr>
        <w:t xml:space="preserve">We note that EBA attempts to </w:t>
      </w:r>
      <w:proofErr w:type="spellStart"/>
      <w:r w:rsidRPr="00A41C01">
        <w:rPr>
          <w:rFonts w:cs="Calibri"/>
          <w:color w:val="000000"/>
          <w:lang w:val="en-US" w:eastAsia="en-US"/>
        </w:rPr>
        <w:t>harmonise</w:t>
      </w:r>
      <w:proofErr w:type="spellEnd"/>
      <w:r w:rsidRPr="00A41C01">
        <w:rPr>
          <w:rFonts w:cs="Calibri"/>
          <w:color w:val="000000"/>
          <w:lang w:val="en-US" w:eastAsia="en-US"/>
        </w:rPr>
        <w:t xml:space="preserve"> the calculation of expected losses, which could be seen as one of the crucial elements for the financial stability of the financial sector, but </w:t>
      </w:r>
      <w:r w:rsidR="008C425E">
        <w:rPr>
          <w:rFonts w:cs="Calibri"/>
          <w:color w:val="000000"/>
          <w:lang w:val="en-US" w:eastAsia="en-US"/>
        </w:rPr>
        <w:t xml:space="preserve">we would like to </w:t>
      </w:r>
      <w:r w:rsidRPr="00A41C01">
        <w:rPr>
          <w:rFonts w:cs="Calibri"/>
          <w:color w:val="000000"/>
          <w:lang w:val="en-US" w:eastAsia="en-US"/>
        </w:rPr>
        <w:t xml:space="preserve">point out that EBA is an </w:t>
      </w:r>
      <w:proofErr w:type="spellStart"/>
      <w:r w:rsidRPr="00A41C01">
        <w:rPr>
          <w:rFonts w:cs="Calibri"/>
          <w:color w:val="000000"/>
          <w:lang w:val="en-US" w:eastAsia="en-US"/>
        </w:rPr>
        <w:t>organisation</w:t>
      </w:r>
      <w:proofErr w:type="spellEnd"/>
      <w:r w:rsidRPr="00A41C01">
        <w:rPr>
          <w:rFonts w:cs="Calibri"/>
          <w:color w:val="000000"/>
          <w:lang w:val="en-US" w:eastAsia="en-US"/>
        </w:rPr>
        <w:t xml:space="preserve"> charged with the </w:t>
      </w:r>
      <w:proofErr w:type="spellStart"/>
      <w:r w:rsidRPr="00A41C01">
        <w:rPr>
          <w:rFonts w:cs="Calibri"/>
          <w:color w:val="000000"/>
          <w:lang w:val="en-US" w:eastAsia="en-US"/>
        </w:rPr>
        <w:t>harmonisation</w:t>
      </w:r>
      <w:proofErr w:type="spellEnd"/>
      <w:r w:rsidRPr="00A41C01">
        <w:rPr>
          <w:rFonts w:cs="Calibri"/>
          <w:color w:val="000000"/>
          <w:lang w:val="en-US" w:eastAsia="en-US"/>
        </w:rPr>
        <w:t xml:space="preserve"> of the supervisory rules for international credit institutions, which is clearly different from setting accounting standards for preparers of financial statements.</w:t>
      </w:r>
    </w:p>
    <w:p w:rsidR="00A41C01" w:rsidRPr="00A41C01" w:rsidRDefault="00A41C01" w:rsidP="00A41C01">
      <w:pPr>
        <w:autoSpaceDE w:val="0"/>
        <w:autoSpaceDN w:val="0"/>
        <w:adjustRightInd w:val="0"/>
        <w:rPr>
          <w:rFonts w:cs="Calibri"/>
          <w:color w:val="000000"/>
          <w:lang w:val="en-US" w:eastAsia="en-US"/>
        </w:rPr>
      </w:pPr>
    </w:p>
    <w:p w:rsidR="00A41C01" w:rsidRPr="00A41C01" w:rsidRDefault="00A41C01" w:rsidP="00A41C01">
      <w:pPr>
        <w:autoSpaceDE w:val="0"/>
        <w:autoSpaceDN w:val="0"/>
        <w:adjustRightInd w:val="0"/>
        <w:rPr>
          <w:rFonts w:cs="Calibri"/>
          <w:color w:val="000000"/>
          <w:lang w:val="en-US" w:eastAsia="en-US"/>
        </w:rPr>
      </w:pPr>
      <w:r w:rsidRPr="00A41C01">
        <w:rPr>
          <w:rFonts w:cs="Calibri"/>
          <w:color w:val="000000"/>
          <w:lang w:val="en-US" w:eastAsia="en-US"/>
        </w:rPr>
        <w:t>We are concerned that EBA, by issuing guidance on accounting issues in financial reporting, could possibly come to be seen as an additional financial reporting standard setter.</w:t>
      </w:r>
    </w:p>
    <w:p w:rsidR="00A41C01" w:rsidRPr="00A41C01" w:rsidRDefault="00A41C01" w:rsidP="00A41C01">
      <w:pPr>
        <w:rPr>
          <w:rFonts w:eastAsiaTheme="minorHAnsi" w:cs="Arial"/>
          <w:lang w:val="en-US"/>
        </w:rPr>
      </w:pPr>
    </w:p>
    <w:p w:rsidR="00A41C01" w:rsidRPr="00A41C01" w:rsidRDefault="00A41C01" w:rsidP="00A41C01">
      <w:pPr>
        <w:autoSpaceDE w:val="0"/>
        <w:autoSpaceDN w:val="0"/>
        <w:adjustRightInd w:val="0"/>
        <w:rPr>
          <w:rFonts w:cs="Calibri"/>
          <w:b/>
          <w:i/>
          <w:color w:val="000000"/>
          <w:lang w:val="en-US" w:eastAsia="en-US"/>
        </w:rPr>
      </w:pPr>
      <w:r w:rsidRPr="00A41C01">
        <w:rPr>
          <w:rFonts w:cs="Calibri"/>
          <w:b/>
          <w:i/>
          <w:color w:val="000000"/>
          <w:lang w:val="en-US" w:eastAsia="en-US"/>
        </w:rPr>
        <w:t xml:space="preserve">Question 1 (page 13): Is the scope of application of the guidelines appropriate and sufficiently clear? </w:t>
      </w:r>
    </w:p>
    <w:p w:rsidR="00A41C01" w:rsidRPr="00A41C01" w:rsidRDefault="00A41C01" w:rsidP="00A41C01">
      <w:pPr>
        <w:autoSpaceDE w:val="0"/>
        <w:autoSpaceDN w:val="0"/>
        <w:adjustRightInd w:val="0"/>
        <w:rPr>
          <w:rFonts w:cs="Calibri"/>
          <w:b/>
          <w:i/>
          <w:color w:val="000000"/>
          <w:lang w:val="en-US" w:eastAsia="en-US"/>
        </w:rPr>
      </w:pPr>
    </w:p>
    <w:p w:rsidR="00A41C01" w:rsidRPr="00A41C01" w:rsidRDefault="00A41C01" w:rsidP="00A41C01">
      <w:pPr>
        <w:tabs>
          <w:tab w:val="left" w:pos="-720"/>
          <w:tab w:val="left" w:pos="0"/>
          <w:tab w:val="left" w:pos="720"/>
          <w:tab w:val="left" w:pos="1440"/>
          <w:tab w:val="left" w:pos="2160"/>
          <w:tab w:val="left" w:pos="2880"/>
          <w:tab w:val="left" w:pos="3600"/>
          <w:tab w:val="left" w:pos="4320"/>
        </w:tabs>
        <w:autoSpaceDE w:val="0"/>
        <w:autoSpaceDN w:val="0"/>
        <w:adjustRightInd w:val="0"/>
        <w:rPr>
          <w:lang w:val="en-US" w:eastAsia="en-US"/>
        </w:rPr>
      </w:pPr>
      <w:r w:rsidRPr="00A41C01">
        <w:rPr>
          <w:lang w:val="en-US" w:eastAsia="en-US"/>
        </w:rPr>
        <w:t>We understand the scope of application as being the FINREP category loans and advances and not debt securities, which contains credit risk relevant assets classified at AAC (at amortized cost) or FVOCI (fair value though other comprehensive income).</w:t>
      </w:r>
    </w:p>
    <w:p w:rsidR="00A41C01" w:rsidRPr="00A41C01" w:rsidRDefault="00A41C01" w:rsidP="00A41C0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HAnsi"/>
          <w:i/>
          <w:color w:val="808080" w:themeColor="background1" w:themeShade="80"/>
          <w:lang w:val="en-GB"/>
        </w:rPr>
      </w:pPr>
    </w:p>
    <w:p w:rsidR="00A41C01" w:rsidRPr="00A41C01" w:rsidRDefault="00A41C01" w:rsidP="00A41C01">
      <w:pPr>
        <w:autoSpaceDE w:val="0"/>
        <w:autoSpaceDN w:val="0"/>
        <w:adjustRightInd w:val="0"/>
        <w:rPr>
          <w:rFonts w:cs="Calibri"/>
          <w:b/>
          <w:i/>
          <w:color w:val="000000"/>
          <w:lang w:val="en-US" w:eastAsia="en-US"/>
        </w:rPr>
      </w:pPr>
      <w:r w:rsidRPr="00A41C01">
        <w:rPr>
          <w:rFonts w:cs="Calibri"/>
          <w:b/>
          <w:i/>
          <w:color w:val="000000"/>
          <w:lang w:val="en-US" w:eastAsia="en-US"/>
        </w:rPr>
        <w:t xml:space="preserve">Question 2 (page 15): Is the date of application of the guidelines of 1 January 2018 appropriate? </w:t>
      </w:r>
    </w:p>
    <w:p w:rsidR="00A41C01" w:rsidRPr="00A41C01" w:rsidRDefault="00A41C01" w:rsidP="00A41C01">
      <w:pPr>
        <w:tabs>
          <w:tab w:val="left" w:pos="-720"/>
          <w:tab w:val="left" w:pos="0"/>
          <w:tab w:val="left" w:pos="720"/>
          <w:tab w:val="left" w:pos="1440"/>
          <w:tab w:val="left" w:pos="2160"/>
          <w:tab w:val="left" w:pos="2880"/>
          <w:tab w:val="left" w:pos="3600"/>
          <w:tab w:val="left" w:pos="4320"/>
        </w:tabs>
        <w:autoSpaceDE w:val="0"/>
        <w:autoSpaceDN w:val="0"/>
        <w:adjustRightInd w:val="0"/>
        <w:rPr>
          <w:lang w:val="en-US" w:eastAsia="en-US"/>
        </w:rPr>
      </w:pPr>
    </w:p>
    <w:p w:rsidR="00A41C01" w:rsidRPr="00A41C01" w:rsidRDefault="00A41C01" w:rsidP="00A41C0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HAnsi"/>
          <w:i/>
          <w:color w:val="808080" w:themeColor="background1" w:themeShade="80"/>
          <w:lang w:val="en-GB"/>
        </w:rPr>
      </w:pPr>
      <w:r w:rsidRPr="00A41C01">
        <w:rPr>
          <w:lang w:val="en-US" w:eastAsia="en-US"/>
        </w:rPr>
        <w:lastRenderedPageBreak/>
        <w:t xml:space="preserve">In light of the need to have an IFRS 9 compliant bank at the beginning of January 2018 this would seem appropriate. However we would mention two aspects. Firstly, by this date we will have </w:t>
      </w:r>
      <w:r w:rsidR="00960CB4">
        <w:rPr>
          <w:lang w:val="en-US" w:eastAsia="en-US"/>
        </w:rPr>
        <w:t>tested</w:t>
      </w:r>
      <w:r w:rsidRPr="00A41C01">
        <w:rPr>
          <w:lang w:val="en-US" w:eastAsia="en-US"/>
        </w:rPr>
        <w:t xml:space="preserve"> our systems for over a </w:t>
      </w:r>
      <w:proofErr w:type="gramStart"/>
      <w:r w:rsidRPr="00A41C01">
        <w:rPr>
          <w:lang w:val="en-US" w:eastAsia="en-US"/>
        </w:rPr>
        <w:t>year,</w:t>
      </w:r>
      <w:proofErr w:type="gramEnd"/>
      <w:r w:rsidRPr="00A41C01">
        <w:rPr>
          <w:lang w:val="en-US" w:eastAsia="en-US"/>
        </w:rPr>
        <w:t xml:space="preserve"> however this is no substitute for live testing which, in the past, has shown to provide significant insights. Furthermore, it will take time for new IFRS 9 related internal governance processes to establish </w:t>
      </w:r>
      <w:proofErr w:type="gramStart"/>
      <w:r w:rsidRPr="00A41C01">
        <w:rPr>
          <w:lang w:val="en-US" w:eastAsia="en-US"/>
        </w:rPr>
        <w:t>themselves</w:t>
      </w:r>
      <w:proofErr w:type="gramEnd"/>
      <w:r w:rsidRPr="00A41C01">
        <w:rPr>
          <w:lang w:val="en-US" w:eastAsia="en-US"/>
        </w:rPr>
        <w:t xml:space="preserve"> on an operating level, a process which can only really start after 1 January 2018.  Secondly, we expect an emergence of new trends in best practice in critical areas such as significant increase of credit risk (SICR). In this respect we expect an increase in positive inputs during 2018, i.e. the disclosures of our peer banks, discussions with auditors and regulators. Also in case of major change request the application of the guidelines might be postponed to a later date or at least there should be sufficient transitional rules.</w:t>
      </w:r>
    </w:p>
    <w:p w:rsidR="00A41C01" w:rsidRPr="00A41C01" w:rsidRDefault="00A41C01" w:rsidP="00A41C01">
      <w:pPr>
        <w:tabs>
          <w:tab w:val="left" w:pos="-720"/>
          <w:tab w:val="left" w:pos="0"/>
          <w:tab w:val="left" w:pos="720"/>
          <w:tab w:val="left" w:pos="1440"/>
          <w:tab w:val="left" w:pos="2160"/>
          <w:tab w:val="left" w:pos="2880"/>
          <w:tab w:val="left" w:pos="3600"/>
          <w:tab w:val="left" w:pos="4320"/>
        </w:tabs>
        <w:autoSpaceDE w:val="0"/>
        <w:autoSpaceDN w:val="0"/>
        <w:adjustRightInd w:val="0"/>
        <w:rPr>
          <w:i/>
          <w:color w:val="808080" w:themeColor="background1" w:themeShade="80"/>
        </w:rPr>
      </w:pPr>
    </w:p>
    <w:p w:rsidR="00A41C01" w:rsidRPr="00A41C01" w:rsidRDefault="00A41C01" w:rsidP="00A41C01">
      <w:pPr>
        <w:autoSpaceDE w:val="0"/>
        <w:autoSpaceDN w:val="0"/>
        <w:adjustRightInd w:val="0"/>
        <w:rPr>
          <w:rFonts w:cs="Calibri"/>
          <w:b/>
          <w:i/>
          <w:color w:val="000000"/>
          <w:lang w:val="en-US" w:eastAsia="en-US"/>
        </w:rPr>
      </w:pPr>
      <w:r w:rsidRPr="00A41C01">
        <w:rPr>
          <w:rFonts w:cs="Calibri"/>
          <w:b/>
          <w:i/>
          <w:color w:val="000000"/>
          <w:lang w:val="en-US" w:eastAsia="en-US"/>
        </w:rPr>
        <w:t xml:space="preserve">Question 3 (page 16): Please provide any comments you may have on the appropriateness of the proposed proportionality approach.　</w:t>
      </w:r>
    </w:p>
    <w:p w:rsidR="00A41C01" w:rsidRPr="00A41C01" w:rsidRDefault="00A41C01" w:rsidP="00A41C01">
      <w:pPr>
        <w:tabs>
          <w:tab w:val="left" w:pos="-720"/>
          <w:tab w:val="left" w:pos="0"/>
          <w:tab w:val="left" w:pos="720"/>
          <w:tab w:val="left" w:pos="1440"/>
          <w:tab w:val="left" w:pos="2160"/>
          <w:tab w:val="left" w:pos="2880"/>
          <w:tab w:val="left" w:pos="3600"/>
          <w:tab w:val="left" w:pos="4320"/>
        </w:tabs>
        <w:autoSpaceDE w:val="0"/>
        <w:autoSpaceDN w:val="0"/>
        <w:adjustRightInd w:val="0"/>
        <w:rPr>
          <w:lang w:val="en-US" w:eastAsia="en-US"/>
        </w:rPr>
      </w:pPr>
    </w:p>
    <w:p w:rsidR="00A41C01" w:rsidRPr="00A41C01" w:rsidRDefault="00A41C01" w:rsidP="00A41C01">
      <w:pPr>
        <w:tabs>
          <w:tab w:val="left" w:pos="-720"/>
          <w:tab w:val="left" w:pos="0"/>
          <w:tab w:val="left" w:pos="720"/>
          <w:tab w:val="left" w:pos="1440"/>
          <w:tab w:val="left" w:pos="2160"/>
          <w:tab w:val="left" w:pos="2880"/>
          <w:tab w:val="left" w:pos="3600"/>
          <w:tab w:val="left" w:pos="4320"/>
        </w:tabs>
        <w:autoSpaceDE w:val="0"/>
        <w:autoSpaceDN w:val="0"/>
        <w:adjustRightInd w:val="0"/>
        <w:rPr>
          <w:lang w:val="en-US" w:eastAsia="en-US"/>
        </w:rPr>
      </w:pPr>
      <w:r w:rsidRPr="00A41C01">
        <w:rPr>
          <w:lang w:val="en-US" w:eastAsia="en-US"/>
        </w:rPr>
        <w:t>We very much welcome the inclusion of the proportionality approach as it reflects the real heterogeneity which exists in the European banking industry. In this respect we would strongly urge to explicitly include "less developed markets" as one of the criteria. One example of this is the use of forward looking information. The degree of availability and robustness of macroeconomic indicators varies from country to country. Another example is that the banks using STD or FIRB approach might need to additionally focus on development of some of the credit risk parameters during the implementation time.</w:t>
      </w:r>
    </w:p>
    <w:p w:rsidR="00A41C01" w:rsidRPr="00A41C01" w:rsidRDefault="00A41C01" w:rsidP="00A41C01">
      <w:pPr>
        <w:tabs>
          <w:tab w:val="left" w:pos="-720"/>
          <w:tab w:val="left" w:pos="0"/>
          <w:tab w:val="left" w:pos="720"/>
          <w:tab w:val="left" w:pos="1440"/>
          <w:tab w:val="left" w:pos="2160"/>
          <w:tab w:val="left" w:pos="2880"/>
          <w:tab w:val="left" w:pos="3600"/>
          <w:tab w:val="left" w:pos="4320"/>
        </w:tabs>
        <w:autoSpaceDE w:val="0"/>
        <w:autoSpaceDN w:val="0"/>
        <w:adjustRightInd w:val="0"/>
        <w:rPr>
          <w:lang w:val="en-US" w:eastAsia="en-US"/>
        </w:rPr>
      </w:pPr>
    </w:p>
    <w:p w:rsidR="00A41C01" w:rsidRPr="00A41C01" w:rsidRDefault="00A41C01" w:rsidP="00A41C01">
      <w:pPr>
        <w:tabs>
          <w:tab w:val="left" w:pos="-720"/>
          <w:tab w:val="left" w:pos="0"/>
          <w:tab w:val="left" w:pos="720"/>
          <w:tab w:val="left" w:pos="1440"/>
          <w:tab w:val="left" w:pos="2160"/>
          <w:tab w:val="left" w:pos="2880"/>
          <w:tab w:val="left" w:pos="3600"/>
          <w:tab w:val="left" w:pos="4320"/>
        </w:tabs>
        <w:autoSpaceDE w:val="0"/>
        <w:autoSpaceDN w:val="0"/>
        <w:adjustRightInd w:val="0"/>
        <w:rPr>
          <w:rFonts w:cs="Calibri"/>
          <w:b/>
          <w:i/>
          <w:color w:val="000000"/>
          <w:lang w:val="en-US" w:eastAsia="en-US"/>
        </w:rPr>
      </w:pPr>
      <w:r w:rsidRPr="00A41C01">
        <w:rPr>
          <w:rFonts w:cs="Calibri"/>
          <w:b/>
          <w:i/>
          <w:color w:val="000000"/>
          <w:lang w:val="en-US" w:eastAsia="en-US"/>
        </w:rPr>
        <w:t>Questions 5 and 6 (page 63): Do you agree with the impact assessment and its conclusions, having regard to the baseline scenario used for this impact assessment? Please provide any additional information regarding the costs and benefits from the application of these guidelines.  Please provide any additional comments on the draft guidelines</w:t>
      </w:r>
    </w:p>
    <w:p w:rsidR="00A41C01" w:rsidRPr="00A41C01" w:rsidRDefault="00A41C01" w:rsidP="00A41C01">
      <w:pPr>
        <w:autoSpaceDE w:val="0"/>
        <w:autoSpaceDN w:val="0"/>
        <w:adjustRightInd w:val="0"/>
        <w:rPr>
          <w:rFonts w:cs="Calibri"/>
          <w:b/>
          <w:i/>
          <w:color w:val="000000"/>
          <w:lang w:val="en-US" w:eastAsia="en-US"/>
        </w:rPr>
      </w:pPr>
    </w:p>
    <w:p w:rsidR="00A41C01" w:rsidRDefault="00A41C01" w:rsidP="00A41C01">
      <w:pPr>
        <w:autoSpaceDE w:val="0"/>
        <w:autoSpaceDN w:val="0"/>
        <w:adjustRightInd w:val="0"/>
        <w:rPr>
          <w:lang w:val="en-US" w:eastAsia="en-US"/>
        </w:rPr>
      </w:pPr>
      <w:r w:rsidRPr="00A41C01">
        <w:rPr>
          <w:lang w:val="en-US" w:eastAsia="en-US"/>
        </w:rPr>
        <w:t>We agree with the impact assessment and baseline scenario and welcome the strong intention of the regulator to create a level playing field. For us the benefits are clear and hence the appropriate level of funds has been devoted to the project.</w:t>
      </w:r>
    </w:p>
    <w:p w:rsidR="00A41C01" w:rsidRDefault="00A41C01" w:rsidP="00A41C01">
      <w:pPr>
        <w:autoSpaceDE w:val="0"/>
        <w:autoSpaceDN w:val="0"/>
        <w:adjustRightInd w:val="0"/>
        <w:rPr>
          <w:lang w:val="en-US" w:eastAsia="en-US"/>
        </w:rPr>
      </w:pPr>
    </w:p>
    <w:p w:rsidR="00A41C01" w:rsidRPr="00A41C01" w:rsidRDefault="00A41C01" w:rsidP="00A41C01">
      <w:pPr>
        <w:autoSpaceDE w:val="0"/>
        <w:autoSpaceDN w:val="0"/>
        <w:adjustRightInd w:val="0"/>
        <w:rPr>
          <w:b/>
          <w:lang w:val="en-US" w:eastAsia="en-US"/>
        </w:rPr>
      </w:pPr>
      <w:r w:rsidRPr="00A41C01">
        <w:rPr>
          <w:b/>
          <w:lang w:val="en-US" w:eastAsia="en-US"/>
        </w:rPr>
        <w:t>Other comments</w:t>
      </w:r>
    </w:p>
    <w:p w:rsidR="00A41C01" w:rsidRDefault="00A41C01" w:rsidP="00A41C01">
      <w:pPr>
        <w:autoSpaceDE w:val="0"/>
        <w:autoSpaceDN w:val="0"/>
        <w:adjustRightInd w:val="0"/>
        <w:rPr>
          <w:lang w:val="en-US" w:eastAsia="en-US"/>
        </w:rPr>
      </w:pPr>
    </w:p>
    <w:p w:rsidR="00A41C01" w:rsidRPr="00A41C01" w:rsidRDefault="00A41C01" w:rsidP="00A41C01">
      <w:pPr>
        <w:autoSpaceDE w:val="0"/>
        <w:autoSpaceDN w:val="0"/>
        <w:adjustRightInd w:val="0"/>
        <w:rPr>
          <w:lang w:val="en-US" w:eastAsia="en-US"/>
        </w:rPr>
      </w:pPr>
      <w:r w:rsidRPr="00A41C01">
        <w:rPr>
          <w:rFonts w:cs="Calibri"/>
          <w:color w:val="000000"/>
          <w:u w:val="single"/>
          <w:lang w:val="en-US" w:eastAsia="en-US"/>
        </w:rPr>
        <w:t xml:space="preserve">Para 27: </w:t>
      </w:r>
    </w:p>
    <w:p w:rsidR="00A41C01" w:rsidRPr="00A41C01" w:rsidRDefault="00A41C01" w:rsidP="00A41C01">
      <w:pPr>
        <w:autoSpaceDE w:val="0"/>
        <w:autoSpaceDN w:val="0"/>
        <w:adjustRightInd w:val="0"/>
        <w:rPr>
          <w:rFonts w:cs="Calibri"/>
          <w:color w:val="000000"/>
          <w:lang w:val="en-US" w:eastAsia="en-US"/>
        </w:rPr>
      </w:pPr>
      <w:r w:rsidRPr="00A41C01">
        <w:rPr>
          <w:rFonts w:cs="Calibri"/>
          <w:color w:val="000000"/>
          <w:lang w:val="en-US" w:eastAsia="en-US"/>
        </w:rPr>
        <w:t xml:space="preserve">The word "relevant" is used in the context of "relevant and reasonable and supportable information". Reasonable and supportable is used in the IFRS standard however “relevant” has now been added and may lead to confusion.  </w:t>
      </w:r>
    </w:p>
    <w:p w:rsidR="00A41C01" w:rsidRPr="00A41C01" w:rsidRDefault="00A41C01" w:rsidP="00A41C01">
      <w:pPr>
        <w:autoSpaceDE w:val="0"/>
        <w:autoSpaceDN w:val="0"/>
        <w:adjustRightInd w:val="0"/>
        <w:rPr>
          <w:rFonts w:cs="Calibri"/>
          <w:color w:val="000000"/>
          <w:u w:val="single"/>
          <w:lang w:val="en-US" w:eastAsia="en-US"/>
        </w:rPr>
      </w:pPr>
    </w:p>
    <w:p w:rsidR="00A41C01" w:rsidRPr="00A41C01" w:rsidRDefault="00A41C01" w:rsidP="00A41C01">
      <w:pPr>
        <w:autoSpaceDE w:val="0"/>
        <w:autoSpaceDN w:val="0"/>
        <w:adjustRightInd w:val="0"/>
        <w:rPr>
          <w:rFonts w:cs="Calibri"/>
          <w:color w:val="000000"/>
          <w:u w:val="single"/>
          <w:lang w:val="en-US" w:eastAsia="en-US"/>
        </w:rPr>
      </w:pPr>
      <w:r w:rsidRPr="00A41C01">
        <w:rPr>
          <w:rFonts w:cs="Calibri"/>
          <w:color w:val="000000"/>
          <w:u w:val="single"/>
          <w:lang w:val="en-US" w:eastAsia="en-US"/>
        </w:rPr>
        <w:t xml:space="preserve">Para 94: </w:t>
      </w:r>
    </w:p>
    <w:p w:rsidR="00A41C01" w:rsidRPr="00A41C01" w:rsidRDefault="00A41C01" w:rsidP="00A41C01">
      <w:pPr>
        <w:autoSpaceDE w:val="0"/>
        <w:autoSpaceDN w:val="0"/>
        <w:adjustRightInd w:val="0"/>
        <w:rPr>
          <w:rFonts w:cs="Calibri"/>
          <w:color w:val="000000"/>
          <w:lang w:val="en-US" w:eastAsia="en-US"/>
        </w:rPr>
      </w:pPr>
      <w:r w:rsidRPr="00A41C01">
        <w:rPr>
          <w:rFonts w:cs="Calibri"/>
          <w:color w:val="000000"/>
          <w:lang w:val="en-US" w:eastAsia="en-US"/>
        </w:rPr>
        <w:t xml:space="preserve">In our view, additional segmentation only seems appropriate if the segmentation is forced by a new, so far </w:t>
      </w:r>
      <w:proofErr w:type="spellStart"/>
      <w:r w:rsidRPr="00A41C01">
        <w:rPr>
          <w:rFonts w:cs="Calibri"/>
          <w:color w:val="000000"/>
          <w:lang w:val="en-US" w:eastAsia="en-US"/>
        </w:rPr>
        <w:t>unrecognised</w:t>
      </w:r>
      <w:proofErr w:type="spellEnd"/>
      <w:r w:rsidRPr="00A41C01">
        <w:rPr>
          <w:rFonts w:cs="Calibri"/>
          <w:color w:val="000000"/>
          <w:lang w:val="en-US" w:eastAsia="en-US"/>
        </w:rPr>
        <w:t xml:space="preserve"> significant risk or if risk factors or their correlation have changed.</w:t>
      </w:r>
    </w:p>
    <w:p w:rsidR="00A41C01" w:rsidRPr="00A41C01" w:rsidRDefault="00A41C01" w:rsidP="00A41C01">
      <w:pPr>
        <w:autoSpaceDE w:val="0"/>
        <w:autoSpaceDN w:val="0"/>
        <w:adjustRightInd w:val="0"/>
        <w:rPr>
          <w:rFonts w:cs="Calibri"/>
          <w:color w:val="000000"/>
          <w:lang w:val="en-US" w:eastAsia="en-US"/>
        </w:rPr>
      </w:pPr>
    </w:p>
    <w:p w:rsidR="00A41C01" w:rsidRPr="00A41C01" w:rsidRDefault="00A41C01" w:rsidP="00A41C01">
      <w:pPr>
        <w:autoSpaceDE w:val="0"/>
        <w:autoSpaceDN w:val="0"/>
        <w:adjustRightInd w:val="0"/>
        <w:rPr>
          <w:rFonts w:cs="Calibri"/>
          <w:color w:val="000000"/>
          <w:u w:val="single"/>
          <w:lang w:val="en-US" w:eastAsia="en-US"/>
        </w:rPr>
      </w:pPr>
      <w:r w:rsidRPr="00A41C01">
        <w:rPr>
          <w:rFonts w:cs="Calibri"/>
          <w:color w:val="000000"/>
          <w:u w:val="single"/>
          <w:lang w:val="en-US" w:eastAsia="en-US"/>
        </w:rPr>
        <w:t xml:space="preserve">Para 102: </w:t>
      </w:r>
    </w:p>
    <w:p w:rsidR="00A41C01" w:rsidRPr="00A41C01" w:rsidRDefault="00A41C01" w:rsidP="00A41C01">
      <w:pPr>
        <w:autoSpaceDE w:val="0"/>
        <w:autoSpaceDN w:val="0"/>
        <w:adjustRightInd w:val="0"/>
        <w:rPr>
          <w:rFonts w:cs="Calibri"/>
          <w:color w:val="000000"/>
          <w:lang w:val="en-US" w:eastAsia="en-US"/>
        </w:rPr>
      </w:pPr>
      <w:r w:rsidRPr="00A41C01">
        <w:rPr>
          <w:rFonts w:cs="Calibri"/>
          <w:color w:val="000000"/>
          <w:lang w:val="en-US" w:eastAsia="en-US"/>
        </w:rPr>
        <w:t>For small exposures which are monitored and controlled on a portfolio basis (in particular in the retail segment) a past due indicator may be appropriate given cost-benefit considerations. Many banks have statistical models that capture the connection between days past due and increased probability of default. For large exposures other factors will be considered, as these are monitored on an individual basis. However, this will usually not be possible for small loans, for which past due status may be an objective and comparable indicator.</w:t>
      </w:r>
    </w:p>
    <w:p w:rsidR="00A41C01" w:rsidRPr="00A41C01" w:rsidRDefault="00A41C01" w:rsidP="00A41C01">
      <w:pPr>
        <w:autoSpaceDE w:val="0"/>
        <w:autoSpaceDN w:val="0"/>
        <w:adjustRightInd w:val="0"/>
        <w:ind w:left="360"/>
        <w:rPr>
          <w:rFonts w:cs="Calibri"/>
          <w:color w:val="000000"/>
          <w:lang w:val="en-US" w:eastAsia="en-US"/>
        </w:rPr>
      </w:pPr>
    </w:p>
    <w:p w:rsidR="00A41C01" w:rsidRPr="00A41C01" w:rsidRDefault="00A41C01" w:rsidP="00A41C01">
      <w:pPr>
        <w:autoSpaceDE w:val="0"/>
        <w:autoSpaceDN w:val="0"/>
        <w:adjustRightInd w:val="0"/>
        <w:rPr>
          <w:rFonts w:cs="Calibri"/>
          <w:color w:val="000000"/>
          <w:u w:val="single"/>
          <w:lang w:val="en-US" w:eastAsia="en-US"/>
        </w:rPr>
      </w:pPr>
      <w:r w:rsidRPr="00A41C01">
        <w:rPr>
          <w:rFonts w:cs="Calibri"/>
          <w:color w:val="000000"/>
          <w:u w:val="single"/>
          <w:lang w:val="en-US" w:eastAsia="en-US"/>
        </w:rPr>
        <w:t>Para 106/107:</w:t>
      </w:r>
    </w:p>
    <w:p w:rsidR="00A41C01" w:rsidRPr="00A41C01" w:rsidRDefault="00A41C01" w:rsidP="00A41C01">
      <w:pPr>
        <w:autoSpaceDE w:val="0"/>
        <w:autoSpaceDN w:val="0"/>
        <w:adjustRightInd w:val="0"/>
        <w:rPr>
          <w:rFonts w:cs="Calibri"/>
          <w:color w:val="000000"/>
          <w:lang w:val="en-US" w:eastAsia="en-US"/>
        </w:rPr>
      </w:pPr>
      <w:r w:rsidRPr="00A41C01">
        <w:rPr>
          <w:rFonts w:cs="Calibri"/>
          <w:color w:val="000000"/>
          <w:lang w:val="en-US" w:eastAsia="en-US"/>
        </w:rPr>
        <w:t>This states that indicators as defined by IFRS 9.B5.5.17 (a)-(p) should each be considered when determining whether an exposure should move to bucket 2. IFRS 9 states that the factors mentioned “may be relevant”, but does not require entities to track all the factors for all loans. Point 106 refers to IFRS 9.B5.5.17 and the 16 classes of possible factors to be monitored when assessing changes in credit risk. Then point 107 picks out some and makes them more relevant than others. Also, the wording in point 107 is inconsistent with IFRS 9.B5.5.17, which will lead to additional diversity in practice. It seems that factors listed in point 107 generally lead to LEL. We do not see the need to establish these automatic moves to LEL as they might act as false incentives to banks (i.e., not to take additional collateral for an exposure when it would make economic sense, because it would lead to an automatic shift from bucket 1 to bucket 2). This paragraph should therefore either be rephrased or deleted.</w:t>
      </w:r>
    </w:p>
    <w:p w:rsidR="00A41C01" w:rsidRPr="00A41C01" w:rsidRDefault="00A41C01" w:rsidP="00A41C01">
      <w:pPr>
        <w:autoSpaceDE w:val="0"/>
        <w:autoSpaceDN w:val="0"/>
        <w:adjustRightInd w:val="0"/>
        <w:rPr>
          <w:rFonts w:cs="Calibri"/>
          <w:color w:val="000000"/>
          <w:lang w:val="en-US" w:eastAsia="en-US"/>
        </w:rPr>
      </w:pPr>
    </w:p>
    <w:p w:rsidR="00A41C01" w:rsidRPr="00A41C01" w:rsidRDefault="00A41C01" w:rsidP="00A41C01">
      <w:pPr>
        <w:autoSpaceDE w:val="0"/>
        <w:autoSpaceDN w:val="0"/>
        <w:adjustRightInd w:val="0"/>
        <w:rPr>
          <w:rFonts w:cs="Calibri"/>
          <w:color w:val="000000"/>
          <w:u w:val="single"/>
          <w:lang w:val="en-US" w:eastAsia="en-US"/>
        </w:rPr>
      </w:pPr>
      <w:r w:rsidRPr="00A41C01">
        <w:rPr>
          <w:rFonts w:cs="Calibri"/>
          <w:color w:val="000000"/>
          <w:u w:val="single"/>
          <w:lang w:val="en-US" w:eastAsia="en-US"/>
        </w:rPr>
        <w:t>Para 116:</w:t>
      </w:r>
    </w:p>
    <w:p w:rsidR="00A41C01" w:rsidRPr="00A41C01" w:rsidRDefault="00A41C01" w:rsidP="00A41C01">
      <w:pPr>
        <w:autoSpaceDE w:val="0"/>
        <w:autoSpaceDN w:val="0"/>
        <w:adjustRightInd w:val="0"/>
        <w:rPr>
          <w:rFonts w:cs="Calibri"/>
          <w:color w:val="000000"/>
          <w:lang w:val="en-US" w:eastAsia="en-US"/>
        </w:rPr>
      </w:pPr>
      <w:r w:rsidRPr="00A41C01">
        <w:rPr>
          <w:rFonts w:cs="Calibri"/>
          <w:color w:val="000000"/>
          <w:lang w:val="en-US" w:eastAsia="en-US"/>
        </w:rPr>
        <w:t>Even with reference to IFRS 9 B5.5.1, it is not defined, what the word “group” means in this context. Thus, further clarification is needed. In our opinion a downgrading of a single counterparty within a group with shared credit risk characteristics should not automatically lead to transfer of the entire group to LEL.</w:t>
      </w:r>
    </w:p>
    <w:p w:rsidR="00A41C01" w:rsidRPr="00A41C01" w:rsidRDefault="00A41C01" w:rsidP="00A41C01">
      <w:pPr>
        <w:autoSpaceDE w:val="0"/>
        <w:autoSpaceDN w:val="0"/>
        <w:adjustRightInd w:val="0"/>
        <w:rPr>
          <w:rFonts w:cs="Calibri"/>
          <w:color w:val="000000"/>
          <w:lang w:val="en-US" w:eastAsia="en-US"/>
        </w:rPr>
      </w:pPr>
    </w:p>
    <w:p w:rsidR="00A41C01" w:rsidRPr="00A41C01" w:rsidRDefault="00A41C01" w:rsidP="00A41C01">
      <w:pPr>
        <w:autoSpaceDE w:val="0"/>
        <w:autoSpaceDN w:val="0"/>
        <w:adjustRightInd w:val="0"/>
        <w:rPr>
          <w:rFonts w:cs="Calibri"/>
          <w:color w:val="000000"/>
          <w:u w:val="single"/>
          <w:lang w:val="en-US" w:eastAsia="en-US"/>
        </w:rPr>
      </w:pPr>
      <w:r w:rsidRPr="00A41C01">
        <w:rPr>
          <w:rFonts w:cs="Calibri"/>
          <w:color w:val="000000"/>
          <w:u w:val="single"/>
          <w:lang w:val="en-US" w:eastAsia="en-US"/>
        </w:rPr>
        <w:t xml:space="preserve">Para 121: </w:t>
      </w:r>
    </w:p>
    <w:p w:rsidR="00A41C01" w:rsidRPr="00A41C01" w:rsidRDefault="00A41C01" w:rsidP="00A41C01">
      <w:pPr>
        <w:autoSpaceDE w:val="0"/>
        <w:autoSpaceDN w:val="0"/>
        <w:adjustRightInd w:val="0"/>
        <w:rPr>
          <w:rFonts w:cs="Calibri"/>
          <w:color w:val="000000"/>
          <w:lang w:val="en-US" w:eastAsia="en-US"/>
        </w:rPr>
      </w:pPr>
      <w:r w:rsidRPr="00A41C01">
        <w:rPr>
          <w:rFonts w:cs="Calibri"/>
          <w:color w:val="000000"/>
          <w:lang w:val="en-US" w:eastAsia="en-US"/>
        </w:rPr>
        <w:t>It is not clear whether the "additional factors" mentioned here in relation to SICR are over and above the factors mentioned in IFRS 9.B5.5.17.</w:t>
      </w:r>
    </w:p>
    <w:p w:rsidR="00A41C01" w:rsidRPr="00A41C01" w:rsidRDefault="00A41C01" w:rsidP="00A41C01">
      <w:pPr>
        <w:autoSpaceDE w:val="0"/>
        <w:autoSpaceDN w:val="0"/>
        <w:adjustRightInd w:val="0"/>
        <w:rPr>
          <w:rFonts w:cs="Calibri"/>
          <w:color w:val="000000"/>
          <w:lang w:val="en-US" w:eastAsia="en-US"/>
        </w:rPr>
      </w:pPr>
    </w:p>
    <w:p w:rsidR="00A41C01" w:rsidRPr="00A41C01" w:rsidRDefault="00A41C01" w:rsidP="00A41C01">
      <w:pPr>
        <w:autoSpaceDE w:val="0"/>
        <w:autoSpaceDN w:val="0"/>
        <w:adjustRightInd w:val="0"/>
        <w:rPr>
          <w:rFonts w:cs="Arial"/>
          <w:u w:val="single"/>
          <w:lang w:val="en-US" w:eastAsia="en-US"/>
        </w:rPr>
      </w:pPr>
      <w:r w:rsidRPr="00A41C01">
        <w:rPr>
          <w:u w:val="single"/>
          <w:lang w:val="en-US" w:eastAsia="en-US"/>
        </w:rPr>
        <w:t xml:space="preserve">Para 129, 132 etc.: </w:t>
      </w:r>
    </w:p>
    <w:p w:rsidR="00A41C01" w:rsidRPr="00A41C01" w:rsidRDefault="00A41C01" w:rsidP="00A41C01">
      <w:pPr>
        <w:autoSpaceDE w:val="0"/>
        <w:autoSpaceDN w:val="0"/>
        <w:adjustRightInd w:val="0"/>
        <w:rPr>
          <w:lang w:val="en-US" w:eastAsia="en-US"/>
        </w:rPr>
      </w:pPr>
      <w:r w:rsidRPr="00A41C01">
        <w:rPr>
          <w:lang w:val="en-US" w:eastAsia="en-US"/>
        </w:rPr>
        <w:t>It is not clear what is meant by "limited use" of the practical expedients and should be clearer i.e. they can be used or not. Otherwise this could lead to a situation that not using the practical expedients will introduce bias.</w:t>
      </w:r>
    </w:p>
    <w:p w:rsidR="00A41C01" w:rsidRPr="00A41C01" w:rsidRDefault="00A41C01" w:rsidP="00A41C01">
      <w:pPr>
        <w:autoSpaceDE w:val="0"/>
        <w:autoSpaceDN w:val="0"/>
        <w:adjustRightInd w:val="0"/>
        <w:rPr>
          <w:rFonts w:cs="Calibri"/>
          <w:color w:val="000000"/>
          <w:u w:val="single"/>
          <w:lang w:val="en-US" w:eastAsia="en-US"/>
        </w:rPr>
      </w:pPr>
    </w:p>
    <w:p w:rsidR="00A41C01" w:rsidRPr="00A41C01" w:rsidRDefault="00A41C01" w:rsidP="00A41C01">
      <w:pPr>
        <w:autoSpaceDE w:val="0"/>
        <w:autoSpaceDN w:val="0"/>
        <w:adjustRightInd w:val="0"/>
        <w:rPr>
          <w:rFonts w:cs="Calibri"/>
          <w:color w:val="000000"/>
          <w:u w:val="single"/>
          <w:lang w:val="en-US" w:eastAsia="en-US"/>
        </w:rPr>
      </w:pPr>
      <w:r w:rsidRPr="00A41C01">
        <w:rPr>
          <w:rFonts w:cs="Calibri"/>
          <w:color w:val="000000"/>
          <w:u w:val="single"/>
          <w:lang w:val="en-US" w:eastAsia="en-US"/>
        </w:rPr>
        <w:t xml:space="preserve">Para 130: </w:t>
      </w:r>
    </w:p>
    <w:p w:rsidR="00A41C01" w:rsidRPr="00A41C01" w:rsidRDefault="00A41C01" w:rsidP="00A41C01">
      <w:pPr>
        <w:autoSpaceDE w:val="0"/>
        <w:autoSpaceDN w:val="0"/>
        <w:adjustRightInd w:val="0"/>
        <w:rPr>
          <w:rFonts w:cs="Calibri"/>
          <w:color w:val="000000"/>
          <w:lang w:val="en-US" w:eastAsia="en-US"/>
        </w:rPr>
      </w:pPr>
      <w:r w:rsidRPr="00A41C01">
        <w:rPr>
          <w:rFonts w:cs="Calibri"/>
          <w:color w:val="000000"/>
          <w:lang w:val="en-US" w:eastAsia="en-US"/>
        </w:rPr>
        <w:t>This imposes an additional burden of proof on the bank: the bank has to document and disclose why it has acted in a way that is permitted by IFRS 9, but is discouraged or forbidden by the guidelines.</w:t>
      </w:r>
    </w:p>
    <w:p w:rsidR="00A41C01" w:rsidRPr="00A41C01" w:rsidRDefault="00A41C01" w:rsidP="00A41C01">
      <w:pPr>
        <w:autoSpaceDE w:val="0"/>
        <w:autoSpaceDN w:val="0"/>
        <w:adjustRightInd w:val="0"/>
        <w:rPr>
          <w:rFonts w:cs="Calibri"/>
          <w:color w:val="000000"/>
          <w:lang w:val="en-US" w:eastAsia="en-US"/>
        </w:rPr>
      </w:pPr>
    </w:p>
    <w:p w:rsidR="00A41C01" w:rsidRPr="00A41C01" w:rsidRDefault="00A41C01" w:rsidP="00A41C01">
      <w:pPr>
        <w:autoSpaceDE w:val="0"/>
        <w:autoSpaceDN w:val="0"/>
        <w:adjustRightInd w:val="0"/>
        <w:rPr>
          <w:rFonts w:cs="Calibri"/>
          <w:color w:val="000000"/>
          <w:u w:val="single"/>
          <w:lang w:val="en-US" w:eastAsia="en-US"/>
        </w:rPr>
      </w:pPr>
      <w:r w:rsidRPr="00A41C01">
        <w:rPr>
          <w:rFonts w:cs="Calibri"/>
          <w:color w:val="000000"/>
          <w:u w:val="single"/>
          <w:lang w:val="en-US" w:eastAsia="en-US"/>
        </w:rPr>
        <w:t>Para 131:</w:t>
      </w:r>
    </w:p>
    <w:p w:rsidR="00A41C01" w:rsidRPr="00A41C01" w:rsidRDefault="00A41C01" w:rsidP="00A41C01">
      <w:pPr>
        <w:autoSpaceDE w:val="0"/>
        <w:autoSpaceDN w:val="0"/>
        <w:adjustRightInd w:val="0"/>
        <w:rPr>
          <w:rFonts w:cs="Calibri"/>
          <w:color w:val="000000"/>
          <w:lang w:val="en-US" w:eastAsia="en-US"/>
        </w:rPr>
      </w:pPr>
      <w:r w:rsidRPr="00A41C01">
        <w:rPr>
          <w:rFonts w:cs="Calibri"/>
          <w:color w:val="000000"/>
          <w:lang w:val="en-US" w:eastAsia="en-US"/>
        </w:rPr>
        <w:t>Just as with any implementation of new systems or processes required by a new standard, the implementation of IFRS 9 should be subject to cost-benefit analysis, as generally stipulated in IFRS.</w:t>
      </w:r>
      <w:r w:rsidRPr="00A41C01">
        <w:t xml:space="preserve"> </w:t>
      </w:r>
      <w:proofErr w:type="spellStart"/>
      <w:r w:rsidRPr="00A41C01">
        <w:t>It</w:t>
      </w:r>
      <w:proofErr w:type="spellEnd"/>
      <w:r w:rsidRPr="00A41C01">
        <w:t xml:space="preserve"> </w:t>
      </w:r>
      <w:r w:rsidRPr="00A41C01">
        <w:rPr>
          <w:rFonts w:cs="Calibri"/>
          <w:color w:val="000000"/>
          <w:lang w:val="en-US" w:eastAsia="en-US"/>
        </w:rPr>
        <w:t>is not clear why "nevertheless" has been used at the beginning of this sentence. Furthermore it is not clear why the sentences quoted by IFRS 9 could be inter</w:t>
      </w:r>
      <w:r w:rsidR="00960CB4">
        <w:rPr>
          <w:rFonts w:cs="Calibri"/>
          <w:color w:val="000000"/>
          <w:lang w:val="en-US" w:eastAsia="en-US"/>
        </w:rPr>
        <w:t>preted "restrictively". Also it i</w:t>
      </w:r>
      <w:r w:rsidRPr="00A41C01">
        <w:rPr>
          <w:rFonts w:cs="Calibri"/>
          <w:color w:val="000000"/>
          <w:lang w:val="en-US" w:eastAsia="en-US"/>
        </w:rPr>
        <w:t xml:space="preserve">s doubtful why it is considered that information for a high-quality application of IFRS 9 can be derived without ‘undue cost and effort’. </w:t>
      </w:r>
    </w:p>
    <w:p w:rsidR="00A41C01" w:rsidRPr="00A41C01" w:rsidRDefault="00A41C01" w:rsidP="00A41C01">
      <w:pPr>
        <w:autoSpaceDE w:val="0"/>
        <w:autoSpaceDN w:val="0"/>
        <w:adjustRightInd w:val="0"/>
        <w:rPr>
          <w:rFonts w:cs="Calibri"/>
          <w:color w:val="000000"/>
          <w:lang w:val="en-US" w:eastAsia="en-US"/>
        </w:rPr>
      </w:pPr>
    </w:p>
    <w:p w:rsidR="00A41C01" w:rsidRPr="00A41C01" w:rsidRDefault="00A41C01" w:rsidP="00A41C01">
      <w:pPr>
        <w:autoSpaceDE w:val="0"/>
        <w:autoSpaceDN w:val="0"/>
        <w:adjustRightInd w:val="0"/>
        <w:rPr>
          <w:rFonts w:cs="Calibri"/>
          <w:color w:val="000000"/>
          <w:u w:val="single"/>
          <w:lang w:val="en-US" w:eastAsia="en-US"/>
        </w:rPr>
      </w:pPr>
      <w:r w:rsidRPr="00A41C01">
        <w:rPr>
          <w:rFonts w:cs="Calibri"/>
          <w:color w:val="000000"/>
          <w:u w:val="single"/>
          <w:lang w:val="en-US" w:eastAsia="en-US"/>
        </w:rPr>
        <w:t xml:space="preserve">Para 132-134: </w:t>
      </w:r>
    </w:p>
    <w:p w:rsidR="00A41C01" w:rsidRPr="00A41C01" w:rsidRDefault="00A41C01" w:rsidP="00A41C01">
      <w:pPr>
        <w:autoSpaceDE w:val="0"/>
        <w:autoSpaceDN w:val="0"/>
        <w:adjustRightInd w:val="0"/>
        <w:rPr>
          <w:rFonts w:cs="Calibri"/>
          <w:color w:val="000000"/>
          <w:lang w:val="en-US" w:eastAsia="en-US"/>
        </w:rPr>
      </w:pPr>
      <w:r w:rsidRPr="00A41C01">
        <w:rPr>
          <w:rFonts w:cs="Calibri"/>
          <w:color w:val="000000"/>
          <w:lang w:val="en-US" w:eastAsia="en-US"/>
        </w:rPr>
        <w:t xml:space="preserve">It is not clear under </w:t>
      </w:r>
      <w:r w:rsidR="00960CB4">
        <w:rPr>
          <w:rFonts w:cs="Calibri"/>
          <w:color w:val="000000"/>
          <w:lang w:val="en-US" w:eastAsia="en-US"/>
        </w:rPr>
        <w:t>which</w:t>
      </w:r>
      <w:bookmarkStart w:id="0" w:name="_GoBack"/>
      <w:bookmarkEnd w:id="0"/>
      <w:r w:rsidRPr="00A41C01">
        <w:rPr>
          <w:rFonts w:cs="Calibri"/>
          <w:color w:val="000000"/>
          <w:lang w:val="en-US" w:eastAsia="en-US"/>
        </w:rPr>
        <w:t xml:space="preserve"> circumstances use of the low credit risk exemption would be acceptable.</w:t>
      </w:r>
    </w:p>
    <w:p w:rsidR="00A41C01" w:rsidRDefault="00A41C01" w:rsidP="00A41C01">
      <w:pPr>
        <w:autoSpaceDE w:val="0"/>
        <w:autoSpaceDN w:val="0"/>
        <w:adjustRightInd w:val="0"/>
        <w:rPr>
          <w:rFonts w:cs="Arial"/>
          <w:lang w:val="en-US" w:eastAsia="en-US"/>
        </w:rPr>
      </w:pPr>
    </w:p>
    <w:p w:rsidR="00F72BFB" w:rsidRDefault="00F72BFB" w:rsidP="00A41C01">
      <w:pPr>
        <w:autoSpaceDE w:val="0"/>
        <w:autoSpaceDN w:val="0"/>
        <w:adjustRightInd w:val="0"/>
        <w:rPr>
          <w:rFonts w:cs="Arial"/>
          <w:lang w:val="en-US" w:eastAsia="en-US"/>
        </w:rPr>
      </w:pPr>
    </w:p>
    <w:p w:rsidR="00F72BFB" w:rsidRDefault="00F72BFB" w:rsidP="00A41C01">
      <w:pPr>
        <w:autoSpaceDE w:val="0"/>
        <w:autoSpaceDN w:val="0"/>
        <w:adjustRightInd w:val="0"/>
        <w:rPr>
          <w:rFonts w:cs="Arial"/>
          <w:lang w:val="en-US" w:eastAsia="en-US"/>
        </w:rPr>
      </w:pPr>
    </w:p>
    <w:p w:rsidR="00F72BFB" w:rsidRPr="00A41C01" w:rsidRDefault="00F72BFB" w:rsidP="00A41C01">
      <w:pPr>
        <w:autoSpaceDE w:val="0"/>
        <w:autoSpaceDN w:val="0"/>
        <w:adjustRightInd w:val="0"/>
        <w:rPr>
          <w:rFonts w:cs="Arial"/>
          <w:lang w:val="en-US" w:eastAsia="en-US"/>
        </w:rPr>
      </w:pPr>
    </w:p>
    <w:p w:rsidR="00C11030" w:rsidRPr="00A41C01" w:rsidRDefault="00C11030" w:rsidP="00C619D3">
      <w:pPr>
        <w:rPr>
          <w:lang w:val="en-US"/>
        </w:rPr>
      </w:pPr>
    </w:p>
    <w:p w:rsidR="00C84D8A" w:rsidRPr="00A41C01" w:rsidRDefault="00C66013" w:rsidP="00C619D3">
      <w:pPr>
        <w:spacing w:line="240" w:lineRule="auto"/>
        <w:rPr>
          <w:rFonts w:cs="Arial"/>
          <w:color w:val="000000"/>
          <w:lang w:val="en-GB" w:eastAsia="en-US"/>
        </w:rPr>
      </w:pPr>
      <w:r w:rsidRPr="00A41C01">
        <w:rPr>
          <w:rFonts w:cs="Arial"/>
          <w:color w:val="000000"/>
          <w:lang w:val="en-GB" w:eastAsia="en-US"/>
        </w:rPr>
        <w:lastRenderedPageBreak/>
        <w:t>We ask you to give our remarks du</w:t>
      </w:r>
      <w:r w:rsidR="00B960F5" w:rsidRPr="00A41C01">
        <w:rPr>
          <w:rFonts w:cs="Arial"/>
          <w:color w:val="000000"/>
          <w:lang w:val="en-GB" w:eastAsia="en-US"/>
        </w:rPr>
        <w:t>e consideration.</w:t>
      </w:r>
    </w:p>
    <w:p w:rsidR="00686189" w:rsidRPr="00A41C01" w:rsidRDefault="00686189" w:rsidP="00CE5D6F">
      <w:pPr>
        <w:spacing w:line="240" w:lineRule="auto"/>
        <w:rPr>
          <w:rFonts w:cs="Arial"/>
          <w:color w:val="000000"/>
          <w:lang w:val="en-GB" w:eastAsia="en-US"/>
        </w:rPr>
      </w:pPr>
    </w:p>
    <w:p w:rsidR="00686189" w:rsidRPr="00A41C01" w:rsidRDefault="00686189" w:rsidP="00CE5D6F">
      <w:pPr>
        <w:spacing w:line="240" w:lineRule="auto"/>
        <w:rPr>
          <w:rFonts w:cs="Arial"/>
          <w:color w:val="000000"/>
          <w:lang w:val="en-GB" w:eastAsia="en-US"/>
        </w:rPr>
      </w:pPr>
    </w:p>
    <w:p w:rsidR="008E0154" w:rsidRPr="00A41C01" w:rsidRDefault="008E0154" w:rsidP="008E0154">
      <w:pPr>
        <w:spacing w:line="240" w:lineRule="auto"/>
        <w:rPr>
          <w:rFonts w:cs="Arial"/>
          <w:color w:val="000000"/>
          <w:lang w:val="en-GB" w:eastAsia="en-US"/>
        </w:rPr>
      </w:pPr>
      <w:r w:rsidRPr="00A41C01">
        <w:rPr>
          <w:rFonts w:cs="Arial"/>
          <w:color w:val="000000"/>
          <w:lang w:val="en-GB" w:eastAsia="en-US"/>
        </w:rPr>
        <w:t>Yours sincerely,</w:t>
      </w:r>
    </w:p>
    <w:p w:rsidR="008E0154" w:rsidRPr="00A41C01" w:rsidRDefault="008E0154" w:rsidP="008E0154">
      <w:pPr>
        <w:spacing w:line="240" w:lineRule="auto"/>
        <w:rPr>
          <w:rFonts w:cs="Arial"/>
          <w:color w:val="000000"/>
          <w:lang w:val="en-GB" w:eastAsia="en-US"/>
        </w:rPr>
      </w:pPr>
    </w:p>
    <w:p w:rsidR="008E0154" w:rsidRPr="00A41C01" w:rsidRDefault="008E0154" w:rsidP="008E0154">
      <w:pPr>
        <w:spacing w:line="240" w:lineRule="auto"/>
        <w:rPr>
          <w:rFonts w:cs="Arial"/>
          <w:color w:val="000000"/>
          <w:lang w:val="en-GB" w:eastAsia="en-US"/>
        </w:rPr>
      </w:pPr>
      <w:proofErr w:type="spellStart"/>
      <w:r w:rsidRPr="00A41C01">
        <w:rPr>
          <w:rFonts w:cs="Arial"/>
          <w:color w:val="000000"/>
          <w:lang w:val="en-GB" w:eastAsia="en-US"/>
        </w:rPr>
        <w:t>Dr.</w:t>
      </w:r>
      <w:proofErr w:type="spellEnd"/>
      <w:r w:rsidRPr="00A41C01">
        <w:rPr>
          <w:rFonts w:cs="Arial"/>
          <w:color w:val="000000"/>
          <w:lang w:val="en-GB" w:eastAsia="en-US"/>
        </w:rPr>
        <w:t xml:space="preserve"> Franz Rudorfer</w:t>
      </w:r>
    </w:p>
    <w:p w:rsidR="008E0154" w:rsidRPr="00767DA3" w:rsidRDefault="008E0154" w:rsidP="008E0154">
      <w:pPr>
        <w:spacing w:line="240" w:lineRule="auto"/>
        <w:rPr>
          <w:rFonts w:cs="Arial"/>
          <w:color w:val="000000"/>
          <w:lang w:val="en-GB" w:eastAsia="en-US"/>
        </w:rPr>
      </w:pPr>
      <w:r w:rsidRPr="00767DA3">
        <w:rPr>
          <w:rFonts w:cs="Arial"/>
          <w:color w:val="000000"/>
          <w:lang w:val="en-GB" w:eastAsia="en-US"/>
        </w:rPr>
        <w:t>Managing Director</w:t>
      </w:r>
    </w:p>
    <w:p w:rsidR="008E0154" w:rsidRPr="00767DA3" w:rsidRDefault="008E0154" w:rsidP="008E0154">
      <w:pPr>
        <w:spacing w:line="240" w:lineRule="auto"/>
        <w:rPr>
          <w:noProof/>
          <w:lang w:val="en-GB"/>
        </w:rPr>
      </w:pPr>
      <w:r w:rsidRPr="00767DA3">
        <w:rPr>
          <w:rFonts w:cs="Arial"/>
          <w:color w:val="000000"/>
          <w:lang w:val="en-GB" w:eastAsia="en-US"/>
        </w:rPr>
        <w:t>Division Bank and Insurance</w:t>
      </w:r>
    </w:p>
    <w:p w:rsidR="00346DF4" w:rsidRPr="007C2846" w:rsidRDefault="00346DF4" w:rsidP="00CE5D6F">
      <w:pPr>
        <w:spacing w:line="240" w:lineRule="auto"/>
        <w:rPr>
          <w:noProof/>
          <w:lang w:val="en-GB"/>
        </w:rPr>
      </w:pPr>
    </w:p>
    <w:sectPr w:rsidR="00346DF4" w:rsidRPr="007C2846" w:rsidSect="00F700E4">
      <w:headerReference w:type="default" r:id="rId9"/>
      <w:headerReference w:type="first" r:id="rId10"/>
      <w:pgSz w:w="11906" w:h="16838"/>
      <w:pgMar w:top="1701" w:right="851" w:bottom="1134" w:left="1418"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0A3" w:rsidRDefault="00B020A3">
      <w:r>
        <w:separator/>
      </w:r>
    </w:p>
  </w:endnote>
  <w:endnote w:type="continuationSeparator" w:id="0">
    <w:p w:rsidR="00B020A3" w:rsidRDefault="00B0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0A3" w:rsidRDefault="00B020A3">
      <w:r>
        <w:separator/>
      </w:r>
    </w:p>
  </w:footnote>
  <w:footnote w:type="continuationSeparator" w:id="0">
    <w:p w:rsidR="00B020A3" w:rsidRDefault="00B02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center"/>
    </w:pPr>
    <w:r>
      <w:t xml:space="preserve">- </w:t>
    </w:r>
    <w:r w:rsidR="008D5D3B">
      <w:rPr>
        <w:rStyle w:val="Seitenzahl"/>
      </w:rPr>
      <w:fldChar w:fldCharType="begin"/>
    </w:r>
    <w:r>
      <w:rPr>
        <w:rStyle w:val="Seitenzahl"/>
      </w:rPr>
      <w:instrText xml:space="preserve"> PAGE </w:instrText>
    </w:r>
    <w:r w:rsidR="008D5D3B">
      <w:rPr>
        <w:rStyle w:val="Seitenzahl"/>
      </w:rPr>
      <w:fldChar w:fldCharType="separate"/>
    </w:r>
    <w:r w:rsidR="00960CB4">
      <w:rPr>
        <w:rStyle w:val="Seitenzahl"/>
        <w:noProof/>
      </w:rPr>
      <w:t>3</w:t>
    </w:r>
    <w:r w:rsidR="008D5D3B">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E" w:rsidRDefault="0014018E">
    <w:pPr>
      <w:pStyle w:val="Kopfzeile"/>
      <w:jc w:val="right"/>
    </w:pPr>
    <w:r>
      <w:rPr>
        <w:noProof/>
        <w:snapToGrid/>
        <w:lang w:val="de-AT"/>
      </w:rPr>
      <w:drawing>
        <wp:anchor distT="0" distB="0" distL="114300" distR="114300" simplePos="0" relativeHeight="251657728" behindDoc="0" locked="1" layoutInCell="0" allowOverlap="1">
          <wp:simplePos x="0" y="0"/>
          <wp:positionH relativeFrom="page">
            <wp:posOffset>4859655</wp:posOffset>
          </wp:positionH>
          <wp:positionV relativeFrom="page">
            <wp:posOffset>197485</wp:posOffset>
          </wp:positionV>
          <wp:extent cx="2210435" cy="861695"/>
          <wp:effectExtent l="19050" t="0" r="0" b="0"/>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0435" cy="8616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379"/>
    <w:multiLevelType w:val="hybridMultilevel"/>
    <w:tmpl w:val="21AAB92E"/>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62F63C5"/>
    <w:multiLevelType w:val="hybridMultilevel"/>
    <w:tmpl w:val="758CF3B8"/>
    <w:lvl w:ilvl="0" w:tplc="42760B6C">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0AF578A7"/>
    <w:multiLevelType w:val="hybridMultilevel"/>
    <w:tmpl w:val="A74EFC70"/>
    <w:lvl w:ilvl="0" w:tplc="719E4B78">
      <w:start w:val="1"/>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nsid w:val="16880E9B"/>
    <w:multiLevelType w:val="hybridMultilevel"/>
    <w:tmpl w:val="19B0B4CA"/>
    <w:lvl w:ilvl="0" w:tplc="1CD2FC34">
      <w:start w:val="1"/>
      <w:numFmt w:val="upperLetter"/>
      <w:lvlText w:val="%1."/>
      <w:lvlJc w:val="left"/>
      <w:pPr>
        <w:ind w:left="720" w:hanging="360"/>
      </w:pPr>
      <w:rPr>
        <w:rFonts w:ascii="Trebuchet MS" w:eastAsiaTheme="minorHAnsi" w:hAnsi="Trebuchet MS" w:cs="Arial" w:hint="default"/>
        <w:u w:val="single"/>
        <w:lang w:val="en-G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ABC437B"/>
    <w:multiLevelType w:val="hybridMultilevel"/>
    <w:tmpl w:val="034003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D003BED"/>
    <w:multiLevelType w:val="hybridMultilevel"/>
    <w:tmpl w:val="6A6293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1FB435A"/>
    <w:multiLevelType w:val="hybridMultilevel"/>
    <w:tmpl w:val="430A2FC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7">
    <w:nsid w:val="25920B5A"/>
    <w:multiLevelType w:val="hybridMultilevel"/>
    <w:tmpl w:val="458C926E"/>
    <w:lvl w:ilvl="0" w:tplc="15FEF840">
      <w:numFmt w:val="bullet"/>
      <w:lvlText w:val="-"/>
      <w:lvlJc w:val="left"/>
      <w:pPr>
        <w:ind w:left="1776" w:hanging="360"/>
      </w:pPr>
      <w:rPr>
        <w:rFonts w:ascii="Arial" w:eastAsia="Calibri" w:hAnsi="Arial" w:cs="Arial"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8">
    <w:nsid w:val="2F7E33E9"/>
    <w:multiLevelType w:val="hybridMultilevel"/>
    <w:tmpl w:val="AE08D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48C27902"/>
    <w:multiLevelType w:val="hybridMultilevel"/>
    <w:tmpl w:val="45F88D18"/>
    <w:lvl w:ilvl="0" w:tplc="0C070013">
      <w:start w:val="1"/>
      <w:numFmt w:val="upperRoman"/>
      <w:lvlText w:val="%1."/>
      <w:lvlJc w:val="right"/>
      <w:pPr>
        <w:ind w:left="502" w:hanging="360"/>
      </w:p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0">
    <w:nsid w:val="48D71814"/>
    <w:multiLevelType w:val="hybridMultilevel"/>
    <w:tmpl w:val="FD02C0A0"/>
    <w:lvl w:ilvl="0" w:tplc="2B72F944">
      <w:start w:val="2"/>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36F1603"/>
    <w:multiLevelType w:val="hybridMultilevel"/>
    <w:tmpl w:val="526A3F40"/>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587A10D2"/>
    <w:multiLevelType w:val="hybridMultilevel"/>
    <w:tmpl w:val="1D8E3446"/>
    <w:lvl w:ilvl="0" w:tplc="61902CC4">
      <w:numFmt w:val="bullet"/>
      <w:lvlText w:val="-"/>
      <w:lvlJc w:val="left"/>
      <w:pPr>
        <w:ind w:left="720" w:hanging="360"/>
      </w:pPr>
      <w:rPr>
        <w:rFonts w:ascii="Trebuchet MS" w:eastAsia="Times New Roman" w:hAnsi="Trebuchet MS" w:cs="Trebuchet M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8D53930"/>
    <w:multiLevelType w:val="hybridMultilevel"/>
    <w:tmpl w:val="4E128B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D431DFD"/>
    <w:multiLevelType w:val="hybridMultilevel"/>
    <w:tmpl w:val="384ADF18"/>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60A61DB9"/>
    <w:multiLevelType w:val="hybridMultilevel"/>
    <w:tmpl w:val="3A0650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5C210E1"/>
    <w:multiLevelType w:val="hybridMultilevel"/>
    <w:tmpl w:val="D2EC6886"/>
    <w:lvl w:ilvl="0" w:tplc="516AC5AA">
      <w:start w:val="1"/>
      <w:numFmt w:val="lowerRoman"/>
      <w:lvlText w:val="(%1)"/>
      <w:lvlJc w:val="left"/>
      <w:pPr>
        <w:ind w:left="1440" w:hanging="720"/>
      </w:pPr>
      <w:rPr>
        <w:rFonts w:ascii="Trebuchet MS" w:eastAsia="Calibri" w:hAnsi="Trebuchet MS" w:cs="Times New Roman"/>
      </w:rPr>
    </w:lvl>
    <w:lvl w:ilvl="1" w:tplc="0C070019">
      <w:start w:val="1"/>
      <w:numFmt w:val="lowerLetter"/>
      <w:lvlText w:val="%2."/>
      <w:lvlJc w:val="left"/>
      <w:pPr>
        <w:ind w:left="1800" w:hanging="360"/>
      </w:pPr>
    </w:lvl>
    <w:lvl w:ilvl="2" w:tplc="0C07001B">
      <w:start w:val="1"/>
      <w:numFmt w:val="lowerRoman"/>
      <w:lvlText w:val="%3."/>
      <w:lvlJc w:val="right"/>
      <w:pPr>
        <w:ind w:left="2520" w:hanging="180"/>
      </w:pPr>
    </w:lvl>
    <w:lvl w:ilvl="3" w:tplc="0C07000F">
      <w:start w:val="1"/>
      <w:numFmt w:val="decimal"/>
      <w:lvlText w:val="%4."/>
      <w:lvlJc w:val="left"/>
      <w:pPr>
        <w:ind w:left="3240" w:hanging="360"/>
      </w:pPr>
    </w:lvl>
    <w:lvl w:ilvl="4" w:tplc="0C070019">
      <w:start w:val="1"/>
      <w:numFmt w:val="lowerLetter"/>
      <w:lvlText w:val="%5."/>
      <w:lvlJc w:val="left"/>
      <w:pPr>
        <w:ind w:left="3960" w:hanging="360"/>
      </w:pPr>
    </w:lvl>
    <w:lvl w:ilvl="5" w:tplc="0C07001B">
      <w:start w:val="1"/>
      <w:numFmt w:val="lowerRoman"/>
      <w:lvlText w:val="%6."/>
      <w:lvlJc w:val="right"/>
      <w:pPr>
        <w:ind w:left="4680" w:hanging="180"/>
      </w:pPr>
    </w:lvl>
    <w:lvl w:ilvl="6" w:tplc="0C07000F">
      <w:start w:val="1"/>
      <w:numFmt w:val="decimal"/>
      <w:lvlText w:val="%7."/>
      <w:lvlJc w:val="left"/>
      <w:pPr>
        <w:ind w:left="5400" w:hanging="360"/>
      </w:pPr>
    </w:lvl>
    <w:lvl w:ilvl="7" w:tplc="0C070019">
      <w:start w:val="1"/>
      <w:numFmt w:val="lowerLetter"/>
      <w:lvlText w:val="%8."/>
      <w:lvlJc w:val="left"/>
      <w:pPr>
        <w:ind w:left="6120" w:hanging="360"/>
      </w:pPr>
    </w:lvl>
    <w:lvl w:ilvl="8" w:tplc="0C07001B">
      <w:start w:val="1"/>
      <w:numFmt w:val="lowerRoman"/>
      <w:lvlText w:val="%9."/>
      <w:lvlJc w:val="right"/>
      <w:pPr>
        <w:ind w:left="6840" w:hanging="180"/>
      </w:pPr>
    </w:lvl>
  </w:abstractNum>
  <w:abstractNum w:abstractNumId="17">
    <w:nsid w:val="6DFA673E"/>
    <w:multiLevelType w:val="hybridMultilevel"/>
    <w:tmpl w:val="E04C4170"/>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8">
    <w:nsid w:val="6F7E1336"/>
    <w:multiLevelType w:val="hybridMultilevel"/>
    <w:tmpl w:val="CF7A09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20A428C"/>
    <w:multiLevelType w:val="hybridMultilevel"/>
    <w:tmpl w:val="9514CBB0"/>
    <w:lvl w:ilvl="0" w:tplc="567C697E">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0">
    <w:nsid w:val="72462943"/>
    <w:multiLevelType w:val="hybridMultilevel"/>
    <w:tmpl w:val="FF4CD16C"/>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7C004F2D"/>
    <w:multiLevelType w:val="hybridMultilevel"/>
    <w:tmpl w:val="6E82D81A"/>
    <w:lvl w:ilvl="0" w:tplc="C558677A">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2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4"/>
  </w:num>
  <w:num w:numId="10">
    <w:abstractNumId w:val="18"/>
  </w:num>
  <w:num w:numId="11">
    <w:abstractNumId w:val="13"/>
  </w:num>
  <w:num w:numId="12">
    <w:abstractNumId w:val="20"/>
  </w:num>
  <w:num w:numId="13">
    <w:abstractNumId w:val="3"/>
  </w:num>
  <w:num w:numId="14">
    <w:abstractNumId w:val="0"/>
  </w:num>
  <w:num w:numId="15">
    <w:abstractNumId w:val="15"/>
  </w:num>
  <w:num w:numId="16">
    <w:abstractNumId w:val="19"/>
  </w:num>
  <w:num w:numId="17">
    <w:abstractNumId w:val="2"/>
  </w:num>
  <w:num w:numId="18">
    <w:abstractNumId w:val="1"/>
  </w:num>
  <w:num w:numId="19">
    <w:abstractNumId w:val="7"/>
  </w:num>
  <w:num w:numId="20">
    <w:abstractNumId w:val="10"/>
  </w:num>
  <w:num w:numId="21">
    <w:abstractNumId w:val="9"/>
  </w:num>
  <w:num w:numId="22">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CC"/>
    <w:rsid w:val="00001730"/>
    <w:rsid w:val="00011DC9"/>
    <w:rsid w:val="00013086"/>
    <w:rsid w:val="000135FB"/>
    <w:rsid w:val="000163E0"/>
    <w:rsid w:val="00021DBA"/>
    <w:rsid w:val="00024D8C"/>
    <w:rsid w:val="00026657"/>
    <w:rsid w:val="00035D58"/>
    <w:rsid w:val="00044A71"/>
    <w:rsid w:val="00053316"/>
    <w:rsid w:val="00057439"/>
    <w:rsid w:val="00061814"/>
    <w:rsid w:val="000619FB"/>
    <w:rsid w:val="0006215B"/>
    <w:rsid w:val="00071436"/>
    <w:rsid w:val="00071BF7"/>
    <w:rsid w:val="00080E83"/>
    <w:rsid w:val="0008171B"/>
    <w:rsid w:val="0008527D"/>
    <w:rsid w:val="0008698A"/>
    <w:rsid w:val="00086BFB"/>
    <w:rsid w:val="000919C4"/>
    <w:rsid w:val="00094EB8"/>
    <w:rsid w:val="0009753B"/>
    <w:rsid w:val="000A0183"/>
    <w:rsid w:val="000A205C"/>
    <w:rsid w:val="000A4FC6"/>
    <w:rsid w:val="000A771B"/>
    <w:rsid w:val="000A7D13"/>
    <w:rsid w:val="000B2CE7"/>
    <w:rsid w:val="000B449E"/>
    <w:rsid w:val="000B4D96"/>
    <w:rsid w:val="000B572C"/>
    <w:rsid w:val="000D7538"/>
    <w:rsid w:val="000E511B"/>
    <w:rsid w:val="000F1070"/>
    <w:rsid w:val="000F2220"/>
    <w:rsid w:val="000F28BB"/>
    <w:rsid w:val="000F3572"/>
    <w:rsid w:val="000F74C7"/>
    <w:rsid w:val="00101144"/>
    <w:rsid w:val="00101383"/>
    <w:rsid w:val="001042B8"/>
    <w:rsid w:val="00105F0E"/>
    <w:rsid w:val="0011743A"/>
    <w:rsid w:val="00121770"/>
    <w:rsid w:val="00121CBD"/>
    <w:rsid w:val="001276A5"/>
    <w:rsid w:val="00127F3B"/>
    <w:rsid w:val="00131416"/>
    <w:rsid w:val="00131A98"/>
    <w:rsid w:val="00135A40"/>
    <w:rsid w:val="00137EF5"/>
    <w:rsid w:val="0014018E"/>
    <w:rsid w:val="00146155"/>
    <w:rsid w:val="0014746B"/>
    <w:rsid w:val="00151673"/>
    <w:rsid w:val="00151A78"/>
    <w:rsid w:val="00155AEE"/>
    <w:rsid w:val="00161914"/>
    <w:rsid w:val="00163CC0"/>
    <w:rsid w:val="00163DDA"/>
    <w:rsid w:val="0017413A"/>
    <w:rsid w:val="00174D0C"/>
    <w:rsid w:val="00183969"/>
    <w:rsid w:val="00196D5C"/>
    <w:rsid w:val="00196EB4"/>
    <w:rsid w:val="001974F7"/>
    <w:rsid w:val="001B0788"/>
    <w:rsid w:val="001B4AB0"/>
    <w:rsid w:val="001C4931"/>
    <w:rsid w:val="001C49F8"/>
    <w:rsid w:val="001D40CC"/>
    <w:rsid w:val="001E0374"/>
    <w:rsid w:val="001F3545"/>
    <w:rsid w:val="002045CC"/>
    <w:rsid w:val="00205DE9"/>
    <w:rsid w:val="002061DD"/>
    <w:rsid w:val="00207AC9"/>
    <w:rsid w:val="00210FDF"/>
    <w:rsid w:val="00224981"/>
    <w:rsid w:val="00240D9B"/>
    <w:rsid w:val="0026358F"/>
    <w:rsid w:val="00264C67"/>
    <w:rsid w:val="00265C18"/>
    <w:rsid w:val="002711FC"/>
    <w:rsid w:val="00272C43"/>
    <w:rsid w:val="00280548"/>
    <w:rsid w:val="00282636"/>
    <w:rsid w:val="0028446E"/>
    <w:rsid w:val="00287819"/>
    <w:rsid w:val="00293410"/>
    <w:rsid w:val="00296269"/>
    <w:rsid w:val="002A00E4"/>
    <w:rsid w:val="002A15C7"/>
    <w:rsid w:val="002A3540"/>
    <w:rsid w:val="002B0634"/>
    <w:rsid w:val="002B08BD"/>
    <w:rsid w:val="002B3BF4"/>
    <w:rsid w:val="002B4B41"/>
    <w:rsid w:val="002D14BF"/>
    <w:rsid w:val="002D4A90"/>
    <w:rsid w:val="002D69C4"/>
    <w:rsid w:val="002E4BD0"/>
    <w:rsid w:val="002F1DC4"/>
    <w:rsid w:val="003104AE"/>
    <w:rsid w:val="00312578"/>
    <w:rsid w:val="00316718"/>
    <w:rsid w:val="0031680D"/>
    <w:rsid w:val="00320A42"/>
    <w:rsid w:val="00325FCF"/>
    <w:rsid w:val="00327DD3"/>
    <w:rsid w:val="003303C4"/>
    <w:rsid w:val="00344DB8"/>
    <w:rsid w:val="00346DF4"/>
    <w:rsid w:val="00356254"/>
    <w:rsid w:val="003568E9"/>
    <w:rsid w:val="00361B24"/>
    <w:rsid w:val="003814C3"/>
    <w:rsid w:val="00384948"/>
    <w:rsid w:val="00390AC7"/>
    <w:rsid w:val="003933A5"/>
    <w:rsid w:val="0039371D"/>
    <w:rsid w:val="003A5633"/>
    <w:rsid w:val="003B3D28"/>
    <w:rsid w:val="003B6B36"/>
    <w:rsid w:val="003C35DC"/>
    <w:rsid w:val="003C5804"/>
    <w:rsid w:val="003C622F"/>
    <w:rsid w:val="003C7778"/>
    <w:rsid w:val="003D07A4"/>
    <w:rsid w:val="003E09A5"/>
    <w:rsid w:val="003E6845"/>
    <w:rsid w:val="003E6FC7"/>
    <w:rsid w:val="003F44A2"/>
    <w:rsid w:val="003F5EEF"/>
    <w:rsid w:val="003F6706"/>
    <w:rsid w:val="00404863"/>
    <w:rsid w:val="004235FB"/>
    <w:rsid w:val="00425684"/>
    <w:rsid w:val="00430245"/>
    <w:rsid w:val="004302FD"/>
    <w:rsid w:val="004339AE"/>
    <w:rsid w:val="004400CB"/>
    <w:rsid w:val="00445FAF"/>
    <w:rsid w:val="0044708F"/>
    <w:rsid w:val="00450B6F"/>
    <w:rsid w:val="0045567D"/>
    <w:rsid w:val="00461F65"/>
    <w:rsid w:val="004632A4"/>
    <w:rsid w:val="00470480"/>
    <w:rsid w:val="004745CD"/>
    <w:rsid w:val="00480120"/>
    <w:rsid w:val="00482639"/>
    <w:rsid w:val="00485220"/>
    <w:rsid w:val="0048523B"/>
    <w:rsid w:val="00487A00"/>
    <w:rsid w:val="004926F1"/>
    <w:rsid w:val="004A01A9"/>
    <w:rsid w:val="004A115F"/>
    <w:rsid w:val="004B2194"/>
    <w:rsid w:val="004C0E9B"/>
    <w:rsid w:val="004C5E94"/>
    <w:rsid w:val="004C6FA4"/>
    <w:rsid w:val="004D1102"/>
    <w:rsid w:val="004D1A1E"/>
    <w:rsid w:val="004E0040"/>
    <w:rsid w:val="004E2249"/>
    <w:rsid w:val="004E2A45"/>
    <w:rsid w:val="004E51E5"/>
    <w:rsid w:val="004F1B60"/>
    <w:rsid w:val="004F53C0"/>
    <w:rsid w:val="004F6198"/>
    <w:rsid w:val="00505343"/>
    <w:rsid w:val="0051495A"/>
    <w:rsid w:val="00517690"/>
    <w:rsid w:val="00521B7F"/>
    <w:rsid w:val="00535CF4"/>
    <w:rsid w:val="00550380"/>
    <w:rsid w:val="005548F9"/>
    <w:rsid w:val="00556359"/>
    <w:rsid w:val="00560A66"/>
    <w:rsid w:val="00562C44"/>
    <w:rsid w:val="00576F32"/>
    <w:rsid w:val="00590AAE"/>
    <w:rsid w:val="00596B5B"/>
    <w:rsid w:val="005A2D33"/>
    <w:rsid w:val="005B1218"/>
    <w:rsid w:val="005B2525"/>
    <w:rsid w:val="005B3FB7"/>
    <w:rsid w:val="005C04FF"/>
    <w:rsid w:val="005C218C"/>
    <w:rsid w:val="005C7948"/>
    <w:rsid w:val="005D0470"/>
    <w:rsid w:val="005D08DC"/>
    <w:rsid w:val="005D0B33"/>
    <w:rsid w:val="005D1620"/>
    <w:rsid w:val="005D4F47"/>
    <w:rsid w:val="005E1BA5"/>
    <w:rsid w:val="005E7180"/>
    <w:rsid w:val="005F5B48"/>
    <w:rsid w:val="005F632A"/>
    <w:rsid w:val="00606AFA"/>
    <w:rsid w:val="00622B51"/>
    <w:rsid w:val="00623752"/>
    <w:rsid w:val="00623872"/>
    <w:rsid w:val="006261AF"/>
    <w:rsid w:val="00641DC4"/>
    <w:rsid w:val="00642235"/>
    <w:rsid w:val="00642A57"/>
    <w:rsid w:val="006471E3"/>
    <w:rsid w:val="00650AE5"/>
    <w:rsid w:val="006518A3"/>
    <w:rsid w:val="0065464B"/>
    <w:rsid w:val="00677F47"/>
    <w:rsid w:val="00683614"/>
    <w:rsid w:val="0068403B"/>
    <w:rsid w:val="00686189"/>
    <w:rsid w:val="0069309F"/>
    <w:rsid w:val="00694B28"/>
    <w:rsid w:val="006A55B4"/>
    <w:rsid w:val="006B5177"/>
    <w:rsid w:val="006C33D2"/>
    <w:rsid w:val="006D6427"/>
    <w:rsid w:val="006E0163"/>
    <w:rsid w:val="006E5185"/>
    <w:rsid w:val="0070253E"/>
    <w:rsid w:val="007053E7"/>
    <w:rsid w:val="007114EC"/>
    <w:rsid w:val="007203E6"/>
    <w:rsid w:val="007230AC"/>
    <w:rsid w:val="00724C39"/>
    <w:rsid w:val="0072798F"/>
    <w:rsid w:val="00732AFB"/>
    <w:rsid w:val="0073402F"/>
    <w:rsid w:val="0073440E"/>
    <w:rsid w:val="00743A63"/>
    <w:rsid w:val="00754BAF"/>
    <w:rsid w:val="00766B69"/>
    <w:rsid w:val="00767DA3"/>
    <w:rsid w:val="007755BF"/>
    <w:rsid w:val="007757A9"/>
    <w:rsid w:val="007762A4"/>
    <w:rsid w:val="00776348"/>
    <w:rsid w:val="007816E4"/>
    <w:rsid w:val="00782541"/>
    <w:rsid w:val="00783F4D"/>
    <w:rsid w:val="007846C2"/>
    <w:rsid w:val="00795782"/>
    <w:rsid w:val="007A01B8"/>
    <w:rsid w:val="007A1751"/>
    <w:rsid w:val="007B32D2"/>
    <w:rsid w:val="007B3A82"/>
    <w:rsid w:val="007B3EA1"/>
    <w:rsid w:val="007B641D"/>
    <w:rsid w:val="007C2846"/>
    <w:rsid w:val="007C2F92"/>
    <w:rsid w:val="007D0A79"/>
    <w:rsid w:val="007D3573"/>
    <w:rsid w:val="007D4FE3"/>
    <w:rsid w:val="007E6B3B"/>
    <w:rsid w:val="007F5F54"/>
    <w:rsid w:val="00801234"/>
    <w:rsid w:val="0080414A"/>
    <w:rsid w:val="0081169B"/>
    <w:rsid w:val="00811CE5"/>
    <w:rsid w:val="00812F74"/>
    <w:rsid w:val="00815C5E"/>
    <w:rsid w:val="00816598"/>
    <w:rsid w:val="008255E7"/>
    <w:rsid w:val="008351DF"/>
    <w:rsid w:val="008406BB"/>
    <w:rsid w:val="0084684D"/>
    <w:rsid w:val="0086077B"/>
    <w:rsid w:val="00864AF6"/>
    <w:rsid w:val="008720A6"/>
    <w:rsid w:val="008745CD"/>
    <w:rsid w:val="00881BC0"/>
    <w:rsid w:val="00884544"/>
    <w:rsid w:val="0088500E"/>
    <w:rsid w:val="0089476E"/>
    <w:rsid w:val="008953FC"/>
    <w:rsid w:val="008B1362"/>
    <w:rsid w:val="008B1D1A"/>
    <w:rsid w:val="008C0AE8"/>
    <w:rsid w:val="008C0C66"/>
    <w:rsid w:val="008C425E"/>
    <w:rsid w:val="008C679C"/>
    <w:rsid w:val="008D1E25"/>
    <w:rsid w:val="008D469D"/>
    <w:rsid w:val="008D5D3B"/>
    <w:rsid w:val="008D70E6"/>
    <w:rsid w:val="008D77D7"/>
    <w:rsid w:val="008E0154"/>
    <w:rsid w:val="008E02AC"/>
    <w:rsid w:val="008F1DD3"/>
    <w:rsid w:val="008F3076"/>
    <w:rsid w:val="008F3EA3"/>
    <w:rsid w:val="0091585E"/>
    <w:rsid w:val="009303DC"/>
    <w:rsid w:val="00935B03"/>
    <w:rsid w:val="00935BB6"/>
    <w:rsid w:val="0093708A"/>
    <w:rsid w:val="00942F6C"/>
    <w:rsid w:val="0094333B"/>
    <w:rsid w:val="0094518B"/>
    <w:rsid w:val="009458C0"/>
    <w:rsid w:val="00960CB4"/>
    <w:rsid w:val="009632CC"/>
    <w:rsid w:val="00965380"/>
    <w:rsid w:val="009853E1"/>
    <w:rsid w:val="009922DC"/>
    <w:rsid w:val="009A6947"/>
    <w:rsid w:val="009B6C3A"/>
    <w:rsid w:val="009C1E08"/>
    <w:rsid w:val="009C6136"/>
    <w:rsid w:val="009D188F"/>
    <w:rsid w:val="009D58FA"/>
    <w:rsid w:val="009E1189"/>
    <w:rsid w:val="009E5929"/>
    <w:rsid w:val="009E5A12"/>
    <w:rsid w:val="009E66CA"/>
    <w:rsid w:val="009F4450"/>
    <w:rsid w:val="009F57DA"/>
    <w:rsid w:val="009F6A00"/>
    <w:rsid w:val="00A01B18"/>
    <w:rsid w:val="00A0265B"/>
    <w:rsid w:val="00A07FE0"/>
    <w:rsid w:val="00A147F7"/>
    <w:rsid w:val="00A21AEC"/>
    <w:rsid w:val="00A23371"/>
    <w:rsid w:val="00A23661"/>
    <w:rsid w:val="00A36834"/>
    <w:rsid w:val="00A41C01"/>
    <w:rsid w:val="00A42F7B"/>
    <w:rsid w:val="00A437DE"/>
    <w:rsid w:val="00A43989"/>
    <w:rsid w:val="00A44D5F"/>
    <w:rsid w:val="00A500F1"/>
    <w:rsid w:val="00A5381E"/>
    <w:rsid w:val="00A54C2F"/>
    <w:rsid w:val="00A55757"/>
    <w:rsid w:val="00A64C34"/>
    <w:rsid w:val="00A705F5"/>
    <w:rsid w:val="00A707A7"/>
    <w:rsid w:val="00A70C7D"/>
    <w:rsid w:val="00A81341"/>
    <w:rsid w:val="00A82C13"/>
    <w:rsid w:val="00A8532A"/>
    <w:rsid w:val="00A955F6"/>
    <w:rsid w:val="00A97AE7"/>
    <w:rsid w:val="00AA0432"/>
    <w:rsid w:val="00AB5857"/>
    <w:rsid w:val="00AB59B3"/>
    <w:rsid w:val="00AD053F"/>
    <w:rsid w:val="00AD2009"/>
    <w:rsid w:val="00AE02B3"/>
    <w:rsid w:val="00AE457B"/>
    <w:rsid w:val="00AE6511"/>
    <w:rsid w:val="00B020A3"/>
    <w:rsid w:val="00B10218"/>
    <w:rsid w:val="00B1272A"/>
    <w:rsid w:val="00B17B80"/>
    <w:rsid w:val="00B22761"/>
    <w:rsid w:val="00B32456"/>
    <w:rsid w:val="00B36C46"/>
    <w:rsid w:val="00B447AA"/>
    <w:rsid w:val="00B467F0"/>
    <w:rsid w:val="00B46C57"/>
    <w:rsid w:val="00B51CB0"/>
    <w:rsid w:val="00B532F2"/>
    <w:rsid w:val="00B55633"/>
    <w:rsid w:val="00B57C55"/>
    <w:rsid w:val="00B6209E"/>
    <w:rsid w:val="00B63C71"/>
    <w:rsid w:val="00B64838"/>
    <w:rsid w:val="00B6488D"/>
    <w:rsid w:val="00B6710C"/>
    <w:rsid w:val="00B67CEF"/>
    <w:rsid w:val="00B709EC"/>
    <w:rsid w:val="00B85379"/>
    <w:rsid w:val="00B8623F"/>
    <w:rsid w:val="00B93882"/>
    <w:rsid w:val="00B960F5"/>
    <w:rsid w:val="00BA5BEC"/>
    <w:rsid w:val="00BA5E95"/>
    <w:rsid w:val="00BA6878"/>
    <w:rsid w:val="00BA7A5E"/>
    <w:rsid w:val="00BB344D"/>
    <w:rsid w:val="00BC6569"/>
    <w:rsid w:val="00BD2D5E"/>
    <w:rsid w:val="00BD3A1D"/>
    <w:rsid w:val="00BD7362"/>
    <w:rsid w:val="00BE7A33"/>
    <w:rsid w:val="00BF1820"/>
    <w:rsid w:val="00BF2A57"/>
    <w:rsid w:val="00BF3BB7"/>
    <w:rsid w:val="00C02F42"/>
    <w:rsid w:val="00C044AE"/>
    <w:rsid w:val="00C11030"/>
    <w:rsid w:val="00C21BF0"/>
    <w:rsid w:val="00C23AED"/>
    <w:rsid w:val="00C3459A"/>
    <w:rsid w:val="00C34E41"/>
    <w:rsid w:val="00C358D5"/>
    <w:rsid w:val="00C376E8"/>
    <w:rsid w:val="00C406D2"/>
    <w:rsid w:val="00C47B46"/>
    <w:rsid w:val="00C519C2"/>
    <w:rsid w:val="00C543F8"/>
    <w:rsid w:val="00C619D3"/>
    <w:rsid w:val="00C64B6E"/>
    <w:rsid w:val="00C66013"/>
    <w:rsid w:val="00C728A8"/>
    <w:rsid w:val="00C84D8A"/>
    <w:rsid w:val="00C97D15"/>
    <w:rsid w:val="00CA1356"/>
    <w:rsid w:val="00CA6A50"/>
    <w:rsid w:val="00CB2954"/>
    <w:rsid w:val="00CB797F"/>
    <w:rsid w:val="00CC1072"/>
    <w:rsid w:val="00CD2A67"/>
    <w:rsid w:val="00CD4E8C"/>
    <w:rsid w:val="00CD4ED3"/>
    <w:rsid w:val="00CE1526"/>
    <w:rsid w:val="00CE1A19"/>
    <w:rsid w:val="00CE3F94"/>
    <w:rsid w:val="00CE4DD7"/>
    <w:rsid w:val="00CE5D6F"/>
    <w:rsid w:val="00CF63BD"/>
    <w:rsid w:val="00D10757"/>
    <w:rsid w:val="00D1088D"/>
    <w:rsid w:val="00D161B5"/>
    <w:rsid w:val="00D20260"/>
    <w:rsid w:val="00D35759"/>
    <w:rsid w:val="00D364F4"/>
    <w:rsid w:val="00D371BE"/>
    <w:rsid w:val="00D37B81"/>
    <w:rsid w:val="00D40D24"/>
    <w:rsid w:val="00D42F9C"/>
    <w:rsid w:val="00D51EC2"/>
    <w:rsid w:val="00D55968"/>
    <w:rsid w:val="00D57833"/>
    <w:rsid w:val="00D614D3"/>
    <w:rsid w:val="00D61E2F"/>
    <w:rsid w:val="00D63F9C"/>
    <w:rsid w:val="00D6614C"/>
    <w:rsid w:val="00D679C5"/>
    <w:rsid w:val="00D708D7"/>
    <w:rsid w:val="00D76BDD"/>
    <w:rsid w:val="00D77C55"/>
    <w:rsid w:val="00D82226"/>
    <w:rsid w:val="00D84A26"/>
    <w:rsid w:val="00D90D34"/>
    <w:rsid w:val="00D9226A"/>
    <w:rsid w:val="00DA13B9"/>
    <w:rsid w:val="00DA5251"/>
    <w:rsid w:val="00DB117B"/>
    <w:rsid w:val="00DB4FF8"/>
    <w:rsid w:val="00DC0A36"/>
    <w:rsid w:val="00DC2F9C"/>
    <w:rsid w:val="00DD4E27"/>
    <w:rsid w:val="00DE0704"/>
    <w:rsid w:val="00E0664D"/>
    <w:rsid w:val="00E2444D"/>
    <w:rsid w:val="00E25162"/>
    <w:rsid w:val="00E260A8"/>
    <w:rsid w:val="00E376EA"/>
    <w:rsid w:val="00E40277"/>
    <w:rsid w:val="00E41DFD"/>
    <w:rsid w:val="00E4233B"/>
    <w:rsid w:val="00E45332"/>
    <w:rsid w:val="00E505CF"/>
    <w:rsid w:val="00E51B60"/>
    <w:rsid w:val="00E72490"/>
    <w:rsid w:val="00E754C8"/>
    <w:rsid w:val="00E8006A"/>
    <w:rsid w:val="00E81371"/>
    <w:rsid w:val="00E82191"/>
    <w:rsid w:val="00E87DCD"/>
    <w:rsid w:val="00E95C5D"/>
    <w:rsid w:val="00EA1FF4"/>
    <w:rsid w:val="00EB13E2"/>
    <w:rsid w:val="00EB2182"/>
    <w:rsid w:val="00EB3B01"/>
    <w:rsid w:val="00EC6597"/>
    <w:rsid w:val="00ED0561"/>
    <w:rsid w:val="00ED171E"/>
    <w:rsid w:val="00ED2466"/>
    <w:rsid w:val="00EE33EF"/>
    <w:rsid w:val="00F039F2"/>
    <w:rsid w:val="00F06018"/>
    <w:rsid w:val="00F17DA3"/>
    <w:rsid w:val="00F17F3D"/>
    <w:rsid w:val="00F21921"/>
    <w:rsid w:val="00F253EA"/>
    <w:rsid w:val="00F26986"/>
    <w:rsid w:val="00F31CB0"/>
    <w:rsid w:val="00F37341"/>
    <w:rsid w:val="00F42876"/>
    <w:rsid w:val="00F472AC"/>
    <w:rsid w:val="00F57342"/>
    <w:rsid w:val="00F700E4"/>
    <w:rsid w:val="00F71922"/>
    <w:rsid w:val="00F72BFB"/>
    <w:rsid w:val="00F744E0"/>
    <w:rsid w:val="00F77CC4"/>
    <w:rsid w:val="00F77E12"/>
    <w:rsid w:val="00F8025E"/>
    <w:rsid w:val="00F83CF8"/>
    <w:rsid w:val="00F878D2"/>
    <w:rsid w:val="00F90148"/>
    <w:rsid w:val="00F9470D"/>
    <w:rsid w:val="00F9528C"/>
    <w:rsid w:val="00FB464A"/>
    <w:rsid w:val="00FB6113"/>
    <w:rsid w:val="00FC5F01"/>
    <w:rsid w:val="00FD1999"/>
    <w:rsid w:val="00FD1D18"/>
    <w:rsid w:val="00FD48B2"/>
    <w:rsid w:val="00FD4B23"/>
    <w:rsid w:val="00FE48D6"/>
    <w:rsid w:val="00FF18C9"/>
    <w:rsid w:val="00FF7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aliases w:val="Paragraphe EI,Paragraphe de liste1,EC"/>
    <w:basedOn w:val="Standard"/>
    <w:link w:val="ListenabsatzZchn"/>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ListenabsatzZchn">
    <w:name w:val="Listenabsatz Zchn"/>
    <w:aliases w:val="Paragraphe EI Zchn,Paragraphe de liste1 Zchn,EC Zchn"/>
    <w:link w:val="Listenabsatz"/>
    <w:rsid w:val="005C7948"/>
    <w:rPr>
      <w:rFonts w:ascii="Trebuchet MS" w:hAnsi="Trebuchet MS" w:cs="Trebuchet MS"/>
      <w:snapToGrid w:val="0"/>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00E4"/>
    <w:pPr>
      <w:spacing w:line="280" w:lineRule="atLeast"/>
    </w:pPr>
    <w:rPr>
      <w:rFonts w:ascii="Trebuchet MS" w:hAnsi="Trebuchet MS" w:cs="Trebuchet MS"/>
      <w:snapToGrid w:val="0"/>
      <w:sz w:val="22"/>
      <w:szCs w:val="22"/>
      <w:lang w:val="de-DE"/>
    </w:rPr>
  </w:style>
  <w:style w:type="paragraph" w:styleId="berschrift1">
    <w:name w:val="heading 1"/>
    <w:basedOn w:val="Standard"/>
    <w:next w:val="Standard"/>
    <w:qFormat/>
    <w:rsid w:val="00F700E4"/>
    <w:pPr>
      <w:keepNext/>
      <w:pageBreakBefore/>
      <w:spacing w:after="360"/>
      <w:outlineLvl w:val="0"/>
    </w:pPr>
    <w:rPr>
      <w:rFonts w:ascii="Times New Roman" w:hAnsi="Times New Roman" w:cs="Times New Roman"/>
      <w:b/>
      <w:bCs/>
      <w:caps/>
      <w:kern w:val="28"/>
      <w:sz w:val="48"/>
      <w:szCs w:val="48"/>
    </w:rPr>
  </w:style>
  <w:style w:type="paragraph" w:styleId="berschrift2">
    <w:name w:val="heading 2"/>
    <w:basedOn w:val="Standard"/>
    <w:next w:val="Standard"/>
    <w:qFormat/>
    <w:rsid w:val="00F700E4"/>
    <w:pPr>
      <w:keepNext/>
      <w:spacing w:before="240" w:after="240"/>
      <w:outlineLvl w:val="1"/>
    </w:pPr>
    <w:rPr>
      <w:rFonts w:ascii="Times New Roman" w:hAnsi="Times New Roman" w:cs="Times New Roman"/>
      <w:b/>
      <w:bCs/>
      <w:caps/>
      <w:sz w:val="32"/>
      <w:szCs w:val="32"/>
    </w:rPr>
  </w:style>
  <w:style w:type="paragraph" w:styleId="berschrift3">
    <w:name w:val="heading 3"/>
    <w:basedOn w:val="Standard"/>
    <w:next w:val="Standard"/>
    <w:qFormat/>
    <w:rsid w:val="00F700E4"/>
    <w:pPr>
      <w:keepNext/>
      <w:spacing w:before="240" w:after="240"/>
      <w:outlineLvl w:val="2"/>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F700E4"/>
    <w:rPr>
      <w:sz w:val="18"/>
      <w:szCs w:val="18"/>
    </w:rPr>
  </w:style>
  <w:style w:type="paragraph" w:styleId="Kopfzeile">
    <w:name w:val="header"/>
    <w:basedOn w:val="Standard"/>
    <w:rsid w:val="00F700E4"/>
    <w:pPr>
      <w:tabs>
        <w:tab w:val="center" w:pos="4536"/>
        <w:tab w:val="right" w:pos="9072"/>
      </w:tabs>
    </w:pPr>
  </w:style>
  <w:style w:type="paragraph" w:styleId="Fuzeile">
    <w:name w:val="footer"/>
    <w:basedOn w:val="Standard"/>
    <w:link w:val="FuzeileZchn"/>
    <w:uiPriority w:val="99"/>
    <w:rsid w:val="00F700E4"/>
    <w:pPr>
      <w:tabs>
        <w:tab w:val="center" w:pos="4536"/>
        <w:tab w:val="right" w:pos="9072"/>
      </w:tabs>
    </w:pPr>
  </w:style>
  <w:style w:type="character" w:styleId="Seitenzahl">
    <w:name w:val="page number"/>
    <w:basedOn w:val="Absatz-Standardschriftart"/>
    <w:rsid w:val="00F700E4"/>
  </w:style>
  <w:style w:type="paragraph" w:styleId="Sprechblasentext">
    <w:name w:val="Balloon Text"/>
    <w:basedOn w:val="Standard"/>
    <w:semiHidden/>
    <w:rsid w:val="00F700E4"/>
    <w:rPr>
      <w:rFonts w:ascii="Times New Roman" w:hAnsi="Times New Roman" w:cs="Times New Roman"/>
      <w:sz w:val="16"/>
      <w:szCs w:val="16"/>
    </w:rPr>
  </w:style>
  <w:style w:type="paragraph" w:styleId="Titel">
    <w:name w:val="Title"/>
    <w:basedOn w:val="Standard"/>
    <w:qFormat/>
    <w:rsid w:val="00F700E4"/>
    <w:pPr>
      <w:spacing w:line="240" w:lineRule="auto"/>
      <w:jc w:val="center"/>
    </w:pPr>
    <w:rPr>
      <w:rFonts w:ascii="Arial" w:hAnsi="Arial" w:cs="Arial"/>
      <w:b/>
      <w:bCs/>
      <w:sz w:val="24"/>
      <w:szCs w:val="24"/>
    </w:rPr>
  </w:style>
  <w:style w:type="character" w:customStyle="1" w:styleId="tw4winMark">
    <w:name w:val="tw4winMark"/>
    <w:rsid w:val="00F700E4"/>
    <w:rPr>
      <w:rFonts w:ascii="Courier New" w:hAnsi="Courier New" w:cs="Courier New"/>
      <w:vanish/>
      <w:color w:val="800080"/>
      <w:sz w:val="24"/>
      <w:szCs w:val="24"/>
      <w:vertAlign w:val="subscript"/>
    </w:rPr>
  </w:style>
  <w:style w:type="character" w:customStyle="1" w:styleId="tw4winError">
    <w:name w:val="tw4winError"/>
    <w:rsid w:val="00F700E4"/>
    <w:rPr>
      <w:rFonts w:ascii="Courier New" w:hAnsi="Courier New" w:cs="Courier New"/>
      <w:color w:val="00FF00"/>
      <w:sz w:val="40"/>
      <w:szCs w:val="40"/>
    </w:rPr>
  </w:style>
  <w:style w:type="character" w:customStyle="1" w:styleId="tw4winTerm">
    <w:name w:val="tw4winTerm"/>
    <w:rsid w:val="00F700E4"/>
    <w:rPr>
      <w:color w:val="0000FF"/>
    </w:rPr>
  </w:style>
  <w:style w:type="character" w:customStyle="1" w:styleId="tw4winPopup">
    <w:name w:val="tw4winPopup"/>
    <w:rsid w:val="00F700E4"/>
    <w:rPr>
      <w:rFonts w:ascii="Courier New" w:hAnsi="Courier New" w:cs="Courier New"/>
      <w:noProof/>
      <w:color w:val="008000"/>
    </w:rPr>
  </w:style>
  <w:style w:type="character" w:customStyle="1" w:styleId="tw4winJump">
    <w:name w:val="tw4winJump"/>
    <w:rsid w:val="00F700E4"/>
    <w:rPr>
      <w:rFonts w:ascii="Courier New" w:hAnsi="Courier New" w:cs="Courier New"/>
      <w:noProof/>
      <w:color w:val="008080"/>
    </w:rPr>
  </w:style>
  <w:style w:type="character" w:customStyle="1" w:styleId="tw4winExternal">
    <w:name w:val="tw4winExternal"/>
    <w:rsid w:val="00F700E4"/>
    <w:rPr>
      <w:rFonts w:ascii="Courier New" w:hAnsi="Courier New" w:cs="Courier New"/>
      <w:noProof/>
      <w:color w:val="808080"/>
    </w:rPr>
  </w:style>
  <w:style w:type="character" w:customStyle="1" w:styleId="tw4winInternal">
    <w:name w:val="tw4winInternal"/>
    <w:rsid w:val="00F700E4"/>
    <w:rPr>
      <w:rFonts w:ascii="Courier New" w:hAnsi="Courier New" w:cs="Courier New"/>
      <w:noProof/>
      <w:color w:val="FF0000"/>
    </w:rPr>
  </w:style>
  <w:style w:type="character" w:customStyle="1" w:styleId="DONOTTRANSLATE">
    <w:name w:val="DO_NOT_TRANSLATE"/>
    <w:rsid w:val="00F700E4"/>
    <w:rPr>
      <w:rFonts w:ascii="Courier New" w:hAnsi="Courier New" w:cs="Courier New"/>
      <w:noProof/>
      <w:color w:val="800000"/>
    </w:rPr>
  </w:style>
  <w:style w:type="paragraph" w:styleId="NurText">
    <w:name w:val="Plain Text"/>
    <w:basedOn w:val="Standard"/>
    <w:link w:val="NurTextZchn"/>
    <w:uiPriority w:val="99"/>
    <w:unhideWhenUsed/>
    <w:rsid w:val="00B55633"/>
    <w:pPr>
      <w:spacing w:line="240" w:lineRule="auto"/>
    </w:pPr>
    <w:rPr>
      <w:rFonts w:ascii="Consolas" w:eastAsia="Calibri" w:hAnsi="Consolas" w:cs="Times New Roman"/>
      <w:snapToGrid/>
      <w:sz w:val="21"/>
      <w:szCs w:val="21"/>
      <w:lang w:val="de-AT" w:eastAsia="en-US"/>
    </w:rPr>
  </w:style>
  <w:style w:type="character" w:customStyle="1" w:styleId="NurTextZchn">
    <w:name w:val="Nur Text Zchn"/>
    <w:basedOn w:val="Absatz-Standardschriftart"/>
    <w:link w:val="NurText"/>
    <w:uiPriority w:val="99"/>
    <w:rsid w:val="00B55633"/>
    <w:rPr>
      <w:rFonts w:ascii="Consolas" w:eastAsia="Calibri" w:hAnsi="Consolas" w:cs="Times New Roman"/>
      <w:sz w:val="21"/>
      <w:szCs w:val="21"/>
      <w:lang w:eastAsia="en-US"/>
    </w:rPr>
  </w:style>
  <w:style w:type="character" w:styleId="Hervorhebung">
    <w:name w:val="Emphasis"/>
    <w:basedOn w:val="Absatz-Standardschriftart"/>
    <w:uiPriority w:val="20"/>
    <w:qFormat/>
    <w:rsid w:val="008B1362"/>
    <w:rPr>
      <w:i/>
      <w:iCs/>
    </w:rPr>
  </w:style>
  <w:style w:type="paragraph" w:styleId="Listenabsatz">
    <w:name w:val="List Paragraph"/>
    <w:aliases w:val="Paragraphe EI,Paragraphe de liste1,EC"/>
    <w:basedOn w:val="Standard"/>
    <w:link w:val="ListenabsatzZchn"/>
    <w:uiPriority w:val="34"/>
    <w:qFormat/>
    <w:rsid w:val="00CD2A67"/>
    <w:pPr>
      <w:ind w:left="720"/>
      <w:contextualSpacing/>
    </w:pPr>
  </w:style>
  <w:style w:type="paragraph" w:styleId="StandardWeb">
    <w:name w:val="Normal (Web)"/>
    <w:basedOn w:val="Standard"/>
    <w:uiPriority w:val="99"/>
    <w:unhideWhenUsed/>
    <w:rsid w:val="00B63C71"/>
    <w:pPr>
      <w:spacing w:before="100" w:beforeAutospacing="1" w:after="100" w:afterAutospacing="1" w:line="240" w:lineRule="auto"/>
    </w:pPr>
    <w:rPr>
      <w:rFonts w:ascii="Times New Roman" w:eastAsiaTheme="minorHAnsi" w:hAnsi="Times New Roman" w:cs="Times New Roman"/>
      <w:snapToGrid/>
      <w:sz w:val="24"/>
      <w:szCs w:val="24"/>
      <w:lang w:val="de-AT"/>
    </w:rPr>
  </w:style>
  <w:style w:type="character" w:styleId="Fett">
    <w:name w:val="Strong"/>
    <w:basedOn w:val="Absatz-Standardschriftart"/>
    <w:uiPriority w:val="22"/>
    <w:qFormat/>
    <w:rsid w:val="00B63C71"/>
    <w:rPr>
      <w:b/>
      <w:bCs/>
    </w:rPr>
  </w:style>
  <w:style w:type="character" w:customStyle="1" w:styleId="FuzeileZchn">
    <w:name w:val="Fußzeile Zchn"/>
    <w:basedOn w:val="Absatz-Standardschriftart"/>
    <w:link w:val="Fuzeile"/>
    <w:uiPriority w:val="99"/>
    <w:rsid w:val="00ED2466"/>
    <w:rPr>
      <w:rFonts w:ascii="Trebuchet MS" w:hAnsi="Trebuchet MS" w:cs="Trebuchet MS"/>
      <w:snapToGrid w:val="0"/>
      <w:sz w:val="22"/>
      <w:szCs w:val="22"/>
      <w:lang w:val="de-DE"/>
    </w:rPr>
  </w:style>
  <w:style w:type="character" w:styleId="Hyperlink">
    <w:name w:val="Hyperlink"/>
    <w:basedOn w:val="Absatz-Standardschriftart"/>
    <w:rsid w:val="005B3FB7"/>
    <w:rPr>
      <w:color w:val="0000FF" w:themeColor="hyperlink"/>
      <w:u w:val="single"/>
    </w:rPr>
  </w:style>
  <w:style w:type="paragraph" w:customStyle="1" w:styleId="Default">
    <w:name w:val="Default"/>
    <w:rsid w:val="007755BF"/>
    <w:pPr>
      <w:widowControl w:val="0"/>
      <w:autoSpaceDE w:val="0"/>
      <w:autoSpaceDN w:val="0"/>
      <w:adjustRightInd w:val="0"/>
    </w:pPr>
    <w:rPr>
      <w:rFonts w:ascii="Arial" w:eastAsiaTheme="minorHAnsi" w:hAnsi="Arial" w:cs="Arial"/>
      <w:color w:val="000000"/>
      <w:sz w:val="24"/>
      <w:szCs w:val="24"/>
      <w:lang w:val="de-DE" w:eastAsia="en-US"/>
    </w:rPr>
  </w:style>
  <w:style w:type="character" w:customStyle="1" w:styleId="ListenabsatzZchn">
    <w:name w:val="Listenabsatz Zchn"/>
    <w:aliases w:val="Paragraphe EI Zchn,Paragraphe de liste1 Zchn,EC Zchn"/>
    <w:link w:val="Listenabsatz"/>
    <w:rsid w:val="005C7948"/>
    <w:rPr>
      <w:rFonts w:ascii="Trebuchet MS" w:hAnsi="Trebuchet MS" w:cs="Trebuchet MS"/>
      <w:snapToGrid w:val="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54276874">
      <w:bodyDiv w:val="1"/>
      <w:marLeft w:val="0"/>
      <w:marRight w:val="0"/>
      <w:marTop w:val="0"/>
      <w:marBottom w:val="0"/>
      <w:divBdr>
        <w:top w:val="none" w:sz="0" w:space="0" w:color="auto"/>
        <w:left w:val="none" w:sz="0" w:space="0" w:color="auto"/>
        <w:bottom w:val="none" w:sz="0" w:space="0" w:color="auto"/>
        <w:right w:val="none" w:sz="0" w:space="0" w:color="auto"/>
      </w:divBdr>
    </w:div>
    <w:div w:id="78412682">
      <w:bodyDiv w:val="1"/>
      <w:marLeft w:val="0"/>
      <w:marRight w:val="0"/>
      <w:marTop w:val="0"/>
      <w:marBottom w:val="0"/>
      <w:divBdr>
        <w:top w:val="none" w:sz="0" w:space="0" w:color="auto"/>
        <w:left w:val="none" w:sz="0" w:space="0" w:color="auto"/>
        <w:bottom w:val="none" w:sz="0" w:space="0" w:color="auto"/>
        <w:right w:val="none" w:sz="0" w:space="0" w:color="auto"/>
      </w:divBdr>
    </w:div>
    <w:div w:id="117992046">
      <w:bodyDiv w:val="1"/>
      <w:marLeft w:val="0"/>
      <w:marRight w:val="0"/>
      <w:marTop w:val="0"/>
      <w:marBottom w:val="0"/>
      <w:divBdr>
        <w:top w:val="none" w:sz="0" w:space="0" w:color="auto"/>
        <w:left w:val="none" w:sz="0" w:space="0" w:color="auto"/>
        <w:bottom w:val="none" w:sz="0" w:space="0" w:color="auto"/>
        <w:right w:val="none" w:sz="0" w:space="0" w:color="auto"/>
      </w:divBdr>
    </w:div>
    <w:div w:id="161164005">
      <w:bodyDiv w:val="1"/>
      <w:marLeft w:val="0"/>
      <w:marRight w:val="0"/>
      <w:marTop w:val="0"/>
      <w:marBottom w:val="0"/>
      <w:divBdr>
        <w:top w:val="none" w:sz="0" w:space="0" w:color="auto"/>
        <w:left w:val="none" w:sz="0" w:space="0" w:color="auto"/>
        <w:bottom w:val="none" w:sz="0" w:space="0" w:color="auto"/>
        <w:right w:val="none" w:sz="0" w:space="0" w:color="auto"/>
      </w:divBdr>
    </w:div>
    <w:div w:id="198661731">
      <w:bodyDiv w:val="1"/>
      <w:marLeft w:val="0"/>
      <w:marRight w:val="0"/>
      <w:marTop w:val="0"/>
      <w:marBottom w:val="0"/>
      <w:divBdr>
        <w:top w:val="none" w:sz="0" w:space="0" w:color="auto"/>
        <w:left w:val="none" w:sz="0" w:space="0" w:color="auto"/>
        <w:bottom w:val="none" w:sz="0" w:space="0" w:color="auto"/>
        <w:right w:val="none" w:sz="0" w:space="0" w:color="auto"/>
      </w:divBdr>
    </w:div>
    <w:div w:id="220362924">
      <w:bodyDiv w:val="1"/>
      <w:marLeft w:val="0"/>
      <w:marRight w:val="0"/>
      <w:marTop w:val="0"/>
      <w:marBottom w:val="0"/>
      <w:divBdr>
        <w:top w:val="none" w:sz="0" w:space="0" w:color="auto"/>
        <w:left w:val="none" w:sz="0" w:space="0" w:color="auto"/>
        <w:bottom w:val="none" w:sz="0" w:space="0" w:color="auto"/>
        <w:right w:val="none" w:sz="0" w:space="0" w:color="auto"/>
      </w:divBdr>
    </w:div>
    <w:div w:id="224804073">
      <w:bodyDiv w:val="1"/>
      <w:marLeft w:val="0"/>
      <w:marRight w:val="0"/>
      <w:marTop w:val="0"/>
      <w:marBottom w:val="0"/>
      <w:divBdr>
        <w:top w:val="none" w:sz="0" w:space="0" w:color="auto"/>
        <w:left w:val="none" w:sz="0" w:space="0" w:color="auto"/>
        <w:bottom w:val="none" w:sz="0" w:space="0" w:color="auto"/>
        <w:right w:val="none" w:sz="0" w:space="0" w:color="auto"/>
      </w:divBdr>
    </w:div>
    <w:div w:id="234628101">
      <w:bodyDiv w:val="1"/>
      <w:marLeft w:val="0"/>
      <w:marRight w:val="0"/>
      <w:marTop w:val="0"/>
      <w:marBottom w:val="0"/>
      <w:divBdr>
        <w:top w:val="none" w:sz="0" w:space="0" w:color="auto"/>
        <w:left w:val="none" w:sz="0" w:space="0" w:color="auto"/>
        <w:bottom w:val="none" w:sz="0" w:space="0" w:color="auto"/>
        <w:right w:val="none" w:sz="0" w:space="0" w:color="auto"/>
      </w:divBdr>
    </w:div>
    <w:div w:id="302588301">
      <w:bodyDiv w:val="1"/>
      <w:marLeft w:val="0"/>
      <w:marRight w:val="0"/>
      <w:marTop w:val="0"/>
      <w:marBottom w:val="0"/>
      <w:divBdr>
        <w:top w:val="none" w:sz="0" w:space="0" w:color="auto"/>
        <w:left w:val="none" w:sz="0" w:space="0" w:color="auto"/>
        <w:bottom w:val="none" w:sz="0" w:space="0" w:color="auto"/>
        <w:right w:val="none" w:sz="0" w:space="0" w:color="auto"/>
      </w:divBdr>
    </w:div>
    <w:div w:id="337125047">
      <w:bodyDiv w:val="1"/>
      <w:marLeft w:val="0"/>
      <w:marRight w:val="0"/>
      <w:marTop w:val="0"/>
      <w:marBottom w:val="0"/>
      <w:divBdr>
        <w:top w:val="none" w:sz="0" w:space="0" w:color="auto"/>
        <w:left w:val="none" w:sz="0" w:space="0" w:color="auto"/>
        <w:bottom w:val="none" w:sz="0" w:space="0" w:color="auto"/>
        <w:right w:val="none" w:sz="0" w:space="0" w:color="auto"/>
      </w:divBdr>
    </w:div>
    <w:div w:id="351954080">
      <w:bodyDiv w:val="1"/>
      <w:marLeft w:val="0"/>
      <w:marRight w:val="0"/>
      <w:marTop w:val="0"/>
      <w:marBottom w:val="0"/>
      <w:divBdr>
        <w:top w:val="none" w:sz="0" w:space="0" w:color="auto"/>
        <w:left w:val="none" w:sz="0" w:space="0" w:color="auto"/>
        <w:bottom w:val="none" w:sz="0" w:space="0" w:color="auto"/>
        <w:right w:val="none" w:sz="0" w:space="0" w:color="auto"/>
      </w:divBdr>
    </w:div>
    <w:div w:id="427432364">
      <w:bodyDiv w:val="1"/>
      <w:marLeft w:val="0"/>
      <w:marRight w:val="0"/>
      <w:marTop w:val="0"/>
      <w:marBottom w:val="0"/>
      <w:divBdr>
        <w:top w:val="none" w:sz="0" w:space="0" w:color="auto"/>
        <w:left w:val="none" w:sz="0" w:space="0" w:color="auto"/>
        <w:bottom w:val="none" w:sz="0" w:space="0" w:color="auto"/>
        <w:right w:val="none" w:sz="0" w:space="0" w:color="auto"/>
      </w:divBdr>
    </w:div>
    <w:div w:id="450175200">
      <w:bodyDiv w:val="1"/>
      <w:marLeft w:val="0"/>
      <w:marRight w:val="0"/>
      <w:marTop w:val="0"/>
      <w:marBottom w:val="0"/>
      <w:divBdr>
        <w:top w:val="none" w:sz="0" w:space="0" w:color="auto"/>
        <w:left w:val="none" w:sz="0" w:space="0" w:color="auto"/>
        <w:bottom w:val="none" w:sz="0" w:space="0" w:color="auto"/>
        <w:right w:val="none" w:sz="0" w:space="0" w:color="auto"/>
      </w:divBdr>
    </w:div>
    <w:div w:id="464276662">
      <w:bodyDiv w:val="1"/>
      <w:marLeft w:val="0"/>
      <w:marRight w:val="0"/>
      <w:marTop w:val="0"/>
      <w:marBottom w:val="0"/>
      <w:divBdr>
        <w:top w:val="none" w:sz="0" w:space="0" w:color="auto"/>
        <w:left w:val="none" w:sz="0" w:space="0" w:color="auto"/>
        <w:bottom w:val="none" w:sz="0" w:space="0" w:color="auto"/>
        <w:right w:val="none" w:sz="0" w:space="0" w:color="auto"/>
      </w:divBdr>
    </w:div>
    <w:div w:id="537739201">
      <w:bodyDiv w:val="1"/>
      <w:marLeft w:val="0"/>
      <w:marRight w:val="0"/>
      <w:marTop w:val="0"/>
      <w:marBottom w:val="0"/>
      <w:divBdr>
        <w:top w:val="none" w:sz="0" w:space="0" w:color="auto"/>
        <w:left w:val="none" w:sz="0" w:space="0" w:color="auto"/>
        <w:bottom w:val="none" w:sz="0" w:space="0" w:color="auto"/>
        <w:right w:val="none" w:sz="0" w:space="0" w:color="auto"/>
      </w:divBdr>
    </w:div>
    <w:div w:id="546066532">
      <w:bodyDiv w:val="1"/>
      <w:marLeft w:val="0"/>
      <w:marRight w:val="0"/>
      <w:marTop w:val="0"/>
      <w:marBottom w:val="0"/>
      <w:divBdr>
        <w:top w:val="none" w:sz="0" w:space="0" w:color="auto"/>
        <w:left w:val="none" w:sz="0" w:space="0" w:color="auto"/>
        <w:bottom w:val="none" w:sz="0" w:space="0" w:color="auto"/>
        <w:right w:val="none" w:sz="0" w:space="0" w:color="auto"/>
      </w:divBdr>
    </w:div>
    <w:div w:id="601913484">
      <w:bodyDiv w:val="1"/>
      <w:marLeft w:val="0"/>
      <w:marRight w:val="0"/>
      <w:marTop w:val="0"/>
      <w:marBottom w:val="0"/>
      <w:divBdr>
        <w:top w:val="none" w:sz="0" w:space="0" w:color="auto"/>
        <w:left w:val="none" w:sz="0" w:space="0" w:color="auto"/>
        <w:bottom w:val="none" w:sz="0" w:space="0" w:color="auto"/>
        <w:right w:val="none" w:sz="0" w:space="0" w:color="auto"/>
      </w:divBdr>
    </w:div>
    <w:div w:id="674309752">
      <w:bodyDiv w:val="1"/>
      <w:marLeft w:val="0"/>
      <w:marRight w:val="0"/>
      <w:marTop w:val="0"/>
      <w:marBottom w:val="0"/>
      <w:divBdr>
        <w:top w:val="none" w:sz="0" w:space="0" w:color="auto"/>
        <w:left w:val="none" w:sz="0" w:space="0" w:color="auto"/>
        <w:bottom w:val="none" w:sz="0" w:space="0" w:color="auto"/>
        <w:right w:val="none" w:sz="0" w:space="0" w:color="auto"/>
      </w:divBdr>
    </w:div>
    <w:div w:id="678191585">
      <w:bodyDiv w:val="1"/>
      <w:marLeft w:val="0"/>
      <w:marRight w:val="0"/>
      <w:marTop w:val="0"/>
      <w:marBottom w:val="0"/>
      <w:divBdr>
        <w:top w:val="none" w:sz="0" w:space="0" w:color="auto"/>
        <w:left w:val="none" w:sz="0" w:space="0" w:color="auto"/>
        <w:bottom w:val="none" w:sz="0" w:space="0" w:color="auto"/>
        <w:right w:val="none" w:sz="0" w:space="0" w:color="auto"/>
      </w:divBdr>
    </w:div>
    <w:div w:id="769204917">
      <w:bodyDiv w:val="1"/>
      <w:marLeft w:val="0"/>
      <w:marRight w:val="0"/>
      <w:marTop w:val="0"/>
      <w:marBottom w:val="0"/>
      <w:divBdr>
        <w:top w:val="none" w:sz="0" w:space="0" w:color="auto"/>
        <w:left w:val="none" w:sz="0" w:space="0" w:color="auto"/>
        <w:bottom w:val="none" w:sz="0" w:space="0" w:color="auto"/>
        <w:right w:val="none" w:sz="0" w:space="0" w:color="auto"/>
      </w:divBdr>
    </w:div>
    <w:div w:id="815998986">
      <w:bodyDiv w:val="1"/>
      <w:marLeft w:val="0"/>
      <w:marRight w:val="0"/>
      <w:marTop w:val="0"/>
      <w:marBottom w:val="0"/>
      <w:divBdr>
        <w:top w:val="none" w:sz="0" w:space="0" w:color="auto"/>
        <w:left w:val="none" w:sz="0" w:space="0" w:color="auto"/>
        <w:bottom w:val="none" w:sz="0" w:space="0" w:color="auto"/>
        <w:right w:val="none" w:sz="0" w:space="0" w:color="auto"/>
      </w:divBdr>
    </w:div>
    <w:div w:id="855340421">
      <w:bodyDiv w:val="1"/>
      <w:marLeft w:val="0"/>
      <w:marRight w:val="0"/>
      <w:marTop w:val="0"/>
      <w:marBottom w:val="0"/>
      <w:divBdr>
        <w:top w:val="none" w:sz="0" w:space="0" w:color="auto"/>
        <w:left w:val="none" w:sz="0" w:space="0" w:color="auto"/>
        <w:bottom w:val="none" w:sz="0" w:space="0" w:color="auto"/>
        <w:right w:val="none" w:sz="0" w:space="0" w:color="auto"/>
      </w:divBdr>
    </w:div>
    <w:div w:id="862595549">
      <w:bodyDiv w:val="1"/>
      <w:marLeft w:val="0"/>
      <w:marRight w:val="0"/>
      <w:marTop w:val="0"/>
      <w:marBottom w:val="0"/>
      <w:divBdr>
        <w:top w:val="none" w:sz="0" w:space="0" w:color="auto"/>
        <w:left w:val="none" w:sz="0" w:space="0" w:color="auto"/>
        <w:bottom w:val="none" w:sz="0" w:space="0" w:color="auto"/>
        <w:right w:val="none" w:sz="0" w:space="0" w:color="auto"/>
      </w:divBdr>
    </w:div>
    <w:div w:id="883759583">
      <w:bodyDiv w:val="1"/>
      <w:marLeft w:val="0"/>
      <w:marRight w:val="0"/>
      <w:marTop w:val="0"/>
      <w:marBottom w:val="0"/>
      <w:divBdr>
        <w:top w:val="none" w:sz="0" w:space="0" w:color="auto"/>
        <w:left w:val="none" w:sz="0" w:space="0" w:color="auto"/>
        <w:bottom w:val="none" w:sz="0" w:space="0" w:color="auto"/>
        <w:right w:val="none" w:sz="0" w:space="0" w:color="auto"/>
      </w:divBdr>
    </w:div>
    <w:div w:id="903637825">
      <w:bodyDiv w:val="1"/>
      <w:marLeft w:val="0"/>
      <w:marRight w:val="0"/>
      <w:marTop w:val="0"/>
      <w:marBottom w:val="0"/>
      <w:divBdr>
        <w:top w:val="none" w:sz="0" w:space="0" w:color="auto"/>
        <w:left w:val="none" w:sz="0" w:space="0" w:color="auto"/>
        <w:bottom w:val="none" w:sz="0" w:space="0" w:color="auto"/>
        <w:right w:val="none" w:sz="0" w:space="0" w:color="auto"/>
      </w:divBdr>
    </w:div>
    <w:div w:id="914778966">
      <w:bodyDiv w:val="1"/>
      <w:marLeft w:val="0"/>
      <w:marRight w:val="0"/>
      <w:marTop w:val="0"/>
      <w:marBottom w:val="0"/>
      <w:divBdr>
        <w:top w:val="none" w:sz="0" w:space="0" w:color="auto"/>
        <w:left w:val="none" w:sz="0" w:space="0" w:color="auto"/>
        <w:bottom w:val="none" w:sz="0" w:space="0" w:color="auto"/>
        <w:right w:val="none" w:sz="0" w:space="0" w:color="auto"/>
      </w:divBdr>
    </w:div>
    <w:div w:id="958217177">
      <w:bodyDiv w:val="1"/>
      <w:marLeft w:val="0"/>
      <w:marRight w:val="0"/>
      <w:marTop w:val="0"/>
      <w:marBottom w:val="0"/>
      <w:divBdr>
        <w:top w:val="none" w:sz="0" w:space="0" w:color="auto"/>
        <w:left w:val="none" w:sz="0" w:space="0" w:color="auto"/>
        <w:bottom w:val="none" w:sz="0" w:space="0" w:color="auto"/>
        <w:right w:val="none" w:sz="0" w:space="0" w:color="auto"/>
      </w:divBdr>
    </w:div>
    <w:div w:id="978919423">
      <w:bodyDiv w:val="1"/>
      <w:marLeft w:val="0"/>
      <w:marRight w:val="0"/>
      <w:marTop w:val="0"/>
      <w:marBottom w:val="0"/>
      <w:divBdr>
        <w:top w:val="none" w:sz="0" w:space="0" w:color="auto"/>
        <w:left w:val="none" w:sz="0" w:space="0" w:color="auto"/>
        <w:bottom w:val="none" w:sz="0" w:space="0" w:color="auto"/>
        <w:right w:val="none" w:sz="0" w:space="0" w:color="auto"/>
      </w:divBdr>
    </w:div>
    <w:div w:id="1006325011">
      <w:bodyDiv w:val="1"/>
      <w:marLeft w:val="0"/>
      <w:marRight w:val="0"/>
      <w:marTop w:val="0"/>
      <w:marBottom w:val="0"/>
      <w:divBdr>
        <w:top w:val="none" w:sz="0" w:space="0" w:color="auto"/>
        <w:left w:val="none" w:sz="0" w:space="0" w:color="auto"/>
        <w:bottom w:val="none" w:sz="0" w:space="0" w:color="auto"/>
        <w:right w:val="none" w:sz="0" w:space="0" w:color="auto"/>
      </w:divBdr>
    </w:div>
    <w:div w:id="1063218859">
      <w:bodyDiv w:val="1"/>
      <w:marLeft w:val="0"/>
      <w:marRight w:val="0"/>
      <w:marTop w:val="0"/>
      <w:marBottom w:val="0"/>
      <w:divBdr>
        <w:top w:val="none" w:sz="0" w:space="0" w:color="auto"/>
        <w:left w:val="none" w:sz="0" w:space="0" w:color="auto"/>
        <w:bottom w:val="none" w:sz="0" w:space="0" w:color="auto"/>
        <w:right w:val="none" w:sz="0" w:space="0" w:color="auto"/>
      </w:divBdr>
    </w:div>
    <w:div w:id="1087001069">
      <w:bodyDiv w:val="1"/>
      <w:marLeft w:val="0"/>
      <w:marRight w:val="0"/>
      <w:marTop w:val="0"/>
      <w:marBottom w:val="0"/>
      <w:divBdr>
        <w:top w:val="none" w:sz="0" w:space="0" w:color="auto"/>
        <w:left w:val="none" w:sz="0" w:space="0" w:color="auto"/>
        <w:bottom w:val="none" w:sz="0" w:space="0" w:color="auto"/>
        <w:right w:val="none" w:sz="0" w:space="0" w:color="auto"/>
      </w:divBdr>
    </w:div>
    <w:div w:id="1175993054">
      <w:bodyDiv w:val="1"/>
      <w:marLeft w:val="0"/>
      <w:marRight w:val="0"/>
      <w:marTop w:val="0"/>
      <w:marBottom w:val="0"/>
      <w:divBdr>
        <w:top w:val="none" w:sz="0" w:space="0" w:color="auto"/>
        <w:left w:val="none" w:sz="0" w:space="0" w:color="auto"/>
        <w:bottom w:val="none" w:sz="0" w:space="0" w:color="auto"/>
        <w:right w:val="none" w:sz="0" w:space="0" w:color="auto"/>
      </w:divBdr>
    </w:div>
    <w:div w:id="1209225123">
      <w:bodyDiv w:val="1"/>
      <w:marLeft w:val="0"/>
      <w:marRight w:val="0"/>
      <w:marTop w:val="0"/>
      <w:marBottom w:val="0"/>
      <w:divBdr>
        <w:top w:val="none" w:sz="0" w:space="0" w:color="auto"/>
        <w:left w:val="none" w:sz="0" w:space="0" w:color="auto"/>
        <w:bottom w:val="none" w:sz="0" w:space="0" w:color="auto"/>
        <w:right w:val="none" w:sz="0" w:space="0" w:color="auto"/>
      </w:divBdr>
    </w:div>
    <w:div w:id="1210145135">
      <w:bodyDiv w:val="1"/>
      <w:marLeft w:val="0"/>
      <w:marRight w:val="0"/>
      <w:marTop w:val="0"/>
      <w:marBottom w:val="0"/>
      <w:divBdr>
        <w:top w:val="none" w:sz="0" w:space="0" w:color="auto"/>
        <w:left w:val="none" w:sz="0" w:space="0" w:color="auto"/>
        <w:bottom w:val="none" w:sz="0" w:space="0" w:color="auto"/>
        <w:right w:val="none" w:sz="0" w:space="0" w:color="auto"/>
      </w:divBdr>
    </w:div>
    <w:div w:id="1283347804">
      <w:bodyDiv w:val="1"/>
      <w:marLeft w:val="0"/>
      <w:marRight w:val="0"/>
      <w:marTop w:val="0"/>
      <w:marBottom w:val="0"/>
      <w:divBdr>
        <w:top w:val="none" w:sz="0" w:space="0" w:color="auto"/>
        <w:left w:val="none" w:sz="0" w:space="0" w:color="auto"/>
        <w:bottom w:val="none" w:sz="0" w:space="0" w:color="auto"/>
        <w:right w:val="none" w:sz="0" w:space="0" w:color="auto"/>
      </w:divBdr>
    </w:div>
    <w:div w:id="1375353865">
      <w:bodyDiv w:val="1"/>
      <w:marLeft w:val="0"/>
      <w:marRight w:val="0"/>
      <w:marTop w:val="0"/>
      <w:marBottom w:val="0"/>
      <w:divBdr>
        <w:top w:val="none" w:sz="0" w:space="0" w:color="auto"/>
        <w:left w:val="none" w:sz="0" w:space="0" w:color="auto"/>
        <w:bottom w:val="none" w:sz="0" w:space="0" w:color="auto"/>
        <w:right w:val="none" w:sz="0" w:space="0" w:color="auto"/>
      </w:divBdr>
    </w:div>
    <w:div w:id="1401950921">
      <w:bodyDiv w:val="1"/>
      <w:marLeft w:val="0"/>
      <w:marRight w:val="0"/>
      <w:marTop w:val="0"/>
      <w:marBottom w:val="0"/>
      <w:divBdr>
        <w:top w:val="none" w:sz="0" w:space="0" w:color="auto"/>
        <w:left w:val="none" w:sz="0" w:space="0" w:color="auto"/>
        <w:bottom w:val="none" w:sz="0" w:space="0" w:color="auto"/>
        <w:right w:val="none" w:sz="0" w:space="0" w:color="auto"/>
      </w:divBdr>
    </w:div>
    <w:div w:id="1436289696">
      <w:bodyDiv w:val="1"/>
      <w:marLeft w:val="0"/>
      <w:marRight w:val="0"/>
      <w:marTop w:val="0"/>
      <w:marBottom w:val="0"/>
      <w:divBdr>
        <w:top w:val="none" w:sz="0" w:space="0" w:color="auto"/>
        <w:left w:val="none" w:sz="0" w:space="0" w:color="auto"/>
        <w:bottom w:val="none" w:sz="0" w:space="0" w:color="auto"/>
        <w:right w:val="none" w:sz="0" w:space="0" w:color="auto"/>
      </w:divBdr>
    </w:div>
    <w:div w:id="1456827702">
      <w:bodyDiv w:val="1"/>
      <w:marLeft w:val="0"/>
      <w:marRight w:val="0"/>
      <w:marTop w:val="0"/>
      <w:marBottom w:val="0"/>
      <w:divBdr>
        <w:top w:val="none" w:sz="0" w:space="0" w:color="auto"/>
        <w:left w:val="none" w:sz="0" w:space="0" w:color="auto"/>
        <w:bottom w:val="none" w:sz="0" w:space="0" w:color="auto"/>
        <w:right w:val="none" w:sz="0" w:space="0" w:color="auto"/>
      </w:divBdr>
    </w:div>
    <w:div w:id="1572078641">
      <w:bodyDiv w:val="1"/>
      <w:marLeft w:val="0"/>
      <w:marRight w:val="0"/>
      <w:marTop w:val="0"/>
      <w:marBottom w:val="0"/>
      <w:divBdr>
        <w:top w:val="none" w:sz="0" w:space="0" w:color="auto"/>
        <w:left w:val="none" w:sz="0" w:space="0" w:color="auto"/>
        <w:bottom w:val="none" w:sz="0" w:space="0" w:color="auto"/>
        <w:right w:val="none" w:sz="0" w:space="0" w:color="auto"/>
      </w:divBdr>
    </w:div>
    <w:div w:id="1581714927">
      <w:bodyDiv w:val="1"/>
      <w:marLeft w:val="0"/>
      <w:marRight w:val="0"/>
      <w:marTop w:val="0"/>
      <w:marBottom w:val="0"/>
      <w:divBdr>
        <w:top w:val="none" w:sz="0" w:space="0" w:color="auto"/>
        <w:left w:val="none" w:sz="0" w:space="0" w:color="auto"/>
        <w:bottom w:val="none" w:sz="0" w:space="0" w:color="auto"/>
        <w:right w:val="none" w:sz="0" w:space="0" w:color="auto"/>
      </w:divBdr>
    </w:div>
    <w:div w:id="1606305908">
      <w:bodyDiv w:val="1"/>
      <w:marLeft w:val="0"/>
      <w:marRight w:val="0"/>
      <w:marTop w:val="0"/>
      <w:marBottom w:val="0"/>
      <w:divBdr>
        <w:top w:val="none" w:sz="0" w:space="0" w:color="auto"/>
        <w:left w:val="none" w:sz="0" w:space="0" w:color="auto"/>
        <w:bottom w:val="none" w:sz="0" w:space="0" w:color="auto"/>
        <w:right w:val="none" w:sz="0" w:space="0" w:color="auto"/>
      </w:divBdr>
    </w:div>
    <w:div w:id="1660037952">
      <w:bodyDiv w:val="1"/>
      <w:marLeft w:val="0"/>
      <w:marRight w:val="0"/>
      <w:marTop w:val="0"/>
      <w:marBottom w:val="0"/>
      <w:divBdr>
        <w:top w:val="none" w:sz="0" w:space="0" w:color="auto"/>
        <w:left w:val="none" w:sz="0" w:space="0" w:color="auto"/>
        <w:bottom w:val="none" w:sz="0" w:space="0" w:color="auto"/>
        <w:right w:val="none" w:sz="0" w:space="0" w:color="auto"/>
      </w:divBdr>
    </w:div>
    <w:div w:id="1832208781">
      <w:bodyDiv w:val="1"/>
      <w:marLeft w:val="0"/>
      <w:marRight w:val="0"/>
      <w:marTop w:val="0"/>
      <w:marBottom w:val="0"/>
      <w:divBdr>
        <w:top w:val="none" w:sz="0" w:space="0" w:color="auto"/>
        <w:left w:val="none" w:sz="0" w:space="0" w:color="auto"/>
        <w:bottom w:val="none" w:sz="0" w:space="0" w:color="auto"/>
        <w:right w:val="none" w:sz="0" w:space="0" w:color="auto"/>
      </w:divBdr>
    </w:div>
    <w:div w:id="1841189066">
      <w:bodyDiv w:val="1"/>
      <w:marLeft w:val="0"/>
      <w:marRight w:val="0"/>
      <w:marTop w:val="0"/>
      <w:marBottom w:val="0"/>
      <w:divBdr>
        <w:top w:val="none" w:sz="0" w:space="0" w:color="auto"/>
        <w:left w:val="none" w:sz="0" w:space="0" w:color="auto"/>
        <w:bottom w:val="none" w:sz="0" w:space="0" w:color="auto"/>
        <w:right w:val="none" w:sz="0" w:space="0" w:color="auto"/>
      </w:divBdr>
    </w:div>
    <w:div w:id="1955208613">
      <w:bodyDiv w:val="1"/>
      <w:marLeft w:val="0"/>
      <w:marRight w:val="0"/>
      <w:marTop w:val="0"/>
      <w:marBottom w:val="0"/>
      <w:divBdr>
        <w:top w:val="none" w:sz="0" w:space="0" w:color="auto"/>
        <w:left w:val="none" w:sz="0" w:space="0" w:color="auto"/>
        <w:bottom w:val="none" w:sz="0" w:space="0" w:color="auto"/>
        <w:right w:val="none" w:sz="0" w:space="0" w:color="auto"/>
      </w:divBdr>
    </w:div>
    <w:div w:id="1970088177">
      <w:bodyDiv w:val="1"/>
      <w:marLeft w:val="0"/>
      <w:marRight w:val="0"/>
      <w:marTop w:val="0"/>
      <w:marBottom w:val="0"/>
      <w:divBdr>
        <w:top w:val="none" w:sz="0" w:space="0" w:color="auto"/>
        <w:left w:val="none" w:sz="0" w:space="0" w:color="auto"/>
        <w:bottom w:val="none" w:sz="0" w:space="0" w:color="auto"/>
        <w:right w:val="none" w:sz="0" w:space="0" w:color="auto"/>
      </w:divBdr>
    </w:div>
    <w:div w:id="1998993635">
      <w:bodyDiv w:val="1"/>
      <w:marLeft w:val="0"/>
      <w:marRight w:val="0"/>
      <w:marTop w:val="0"/>
      <w:marBottom w:val="0"/>
      <w:divBdr>
        <w:top w:val="none" w:sz="0" w:space="0" w:color="auto"/>
        <w:left w:val="none" w:sz="0" w:space="0" w:color="auto"/>
        <w:bottom w:val="none" w:sz="0" w:space="0" w:color="auto"/>
        <w:right w:val="none" w:sz="0" w:space="0" w:color="auto"/>
      </w:divBdr>
    </w:div>
    <w:div w:id="2025087811">
      <w:bodyDiv w:val="1"/>
      <w:marLeft w:val="0"/>
      <w:marRight w:val="0"/>
      <w:marTop w:val="0"/>
      <w:marBottom w:val="0"/>
      <w:divBdr>
        <w:top w:val="none" w:sz="0" w:space="0" w:color="auto"/>
        <w:left w:val="none" w:sz="0" w:space="0" w:color="auto"/>
        <w:bottom w:val="none" w:sz="0" w:space="0" w:color="auto"/>
        <w:right w:val="none" w:sz="0" w:space="0" w:color="auto"/>
      </w:divBdr>
    </w:div>
    <w:div w:id="21349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69EF6-B61D-48B3-82AF-F5E97664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7027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Translation: www.brainstorm.at</vt:lpstr>
    </vt:vector>
  </TitlesOfParts>
  <Company>Translation: www.brainstorm.at</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www.brainstorm.at</dc:title>
  <dc:creator>Manuela Bruck</dc:creator>
  <dc:description>Translation: www.brainstorm.at</dc:description>
  <cp:lastModifiedBy>Egger Bernhard, Dr, WKÖ BSBV</cp:lastModifiedBy>
  <cp:revision>7</cp:revision>
  <cp:lastPrinted>2015-09-30T08:11:00Z</cp:lastPrinted>
  <dcterms:created xsi:type="dcterms:W3CDTF">2016-10-24T14:10:00Z</dcterms:created>
  <dcterms:modified xsi:type="dcterms:W3CDTF">2016-10-25T15:33:00Z</dcterms:modified>
  <cp:category>Translation: www.brainstorm.at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ion">
    <vt:lpwstr>Translation: www.brainstorm.at</vt:lpwstr>
  </property>
</Properties>
</file>