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9C4" w:rsidRDefault="00120BE4" w:rsidP="00DD1D98">
      <w:pPr>
        <w:rPr>
          <w:rFonts w:ascii="Arial" w:hAnsi="Arial" w:cs="Arial"/>
          <w:color w:val="000000"/>
          <w:sz w:val="22"/>
          <w:szCs w:val="22"/>
        </w:rPr>
      </w:pPr>
      <w:r>
        <w:rPr>
          <w:rFonts w:ascii="Arial" w:hAnsi="Arial" w:cs="Arial"/>
          <w:noProof/>
          <w:sz w:val="22"/>
          <w:szCs w:val="22"/>
          <w:lang w:eastAsia="en-GB"/>
        </w:rPr>
        <w:drawing>
          <wp:anchor distT="0" distB="0" distL="114300" distR="114300" simplePos="0" relativeHeight="251657728" behindDoc="0" locked="0" layoutInCell="1" allowOverlap="1">
            <wp:simplePos x="0" y="0"/>
            <wp:positionH relativeFrom="column">
              <wp:posOffset>4965065</wp:posOffset>
            </wp:positionH>
            <wp:positionV relativeFrom="paragraph">
              <wp:posOffset>-590550</wp:posOffset>
            </wp:positionV>
            <wp:extent cx="1260000" cy="92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60000" cy="92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D98" w:rsidRDefault="00DD1D98" w:rsidP="00DD1D98">
      <w:pPr>
        <w:rPr>
          <w:rFonts w:ascii="Arial" w:hAnsi="Arial" w:cs="Arial"/>
          <w:color w:val="000000"/>
          <w:sz w:val="22"/>
          <w:szCs w:val="22"/>
        </w:rPr>
      </w:pPr>
    </w:p>
    <w:p w:rsidR="00DD1D98" w:rsidRDefault="00DD1D98" w:rsidP="00DD1D98">
      <w:pPr>
        <w:rPr>
          <w:rFonts w:ascii="Arial" w:hAnsi="Arial" w:cs="Arial"/>
          <w:color w:val="000000"/>
          <w:sz w:val="22"/>
          <w:szCs w:val="22"/>
        </w:rPr>
      </w:pPr>
    </w:p>
    <w:p w:rsidR="00DD1D98" w:rsidRDefault="00DD1D98" w:rsidP="00DD1D98">
      <w:pPr>
        <w:rPr>
          <w:rFonts w:ascii="Arial" w:hAnsi="Arial" w:cs="Arial"/>
          <w:color w:val="000000"/>
          <w:sz w:val="22"/>
          <w:szCs w:val="22"/>
        </w:rPr>
      </w:pPr>
    </w:p>
    <w:p w:rsidR="00BD72C4" w:rsidRPr="003F6ED1" w:rsidRDefault="00BD72C4" w:rsidP="00BD72C4">
      <w:pPr>
        <w:pStyle w:val="Default"/>
        <w:jc w:val="center"/>
        <w:rPr>
          <w:rFonts w:ascii="Arial" w:hAnsi="Arial" w:cs="Arial"/>
          <w:sz w:val="22"/>
          <w:szCs w:val="22"/>
        </w:rPr>
      </w:pPr>
      <w:r w:rsidRPr="003F6ED1">
        <w:rPr>
          <w:rFonts w:ascii="Arial" w:hAnsi="Arial" w:cs="Arial"/>
          <w:sz w:val="22"/>
          <w:szCs w:val="22"/>
        </w:rPr>
        <w:t xml:space="preserve">A response by the British Bankers Association to the </w:t>
      </w:r>
      <w:r w:rsidR="006410D4">
        <w:rPr>
          <w:rFonts w:ascii="Arial" w:hAnsi="Arial" w:cs="Arial"/>
          <w:sz w:val="22"/>
          <w:szCs w:val="22"/>
        </w:rPr>
        <w:t>EBA</w:t>
      </w:r>
      <w:r w:rsidRPr="003F6ED1">
        <w:rPr>
          <w:rFonts w:ascii="Arial" w:hAnsi="Arial" w:cs="Arial"/>
          <w:sz w:val="22"/>
          <w:szCs w:val="22"/>
        </w:rPr>
        <w:t>’s consultative document on</w:t>
      </w:r>
      <w:r w:rsidR="00BE712A">
        <w:rPr>
          <w:rFonts w:ascii="Arial" w:hAnsi="Arial" w:cs="Arial"/>
          <w:sz w:val="22"/>
          <w:szCs w:val="22"/>
        </w:rPr>
        <w:t>:</w:t>
      </w:r>
    </w:p>
    <w:p w:rsidR="00BD72C4" w:rsidRDefault="006410D4" w:rsidP="006410D4">
      <w:pPr>
        <w:pStyle w:val="Default"/>
        <w:tabs>
          <w:tab w:val="left" w:pos="6090"/>
        </w:tabs>
        <w:rPr>
          <w:rFonts w:ascii="Arial" w:hAnsi="Arial" w:cs="Arial"/>
          <w:sz w:val="28"/>
          <w:szCs w:val="28"/>
        </w:rPr>
      </w:pPr>
      <w:r>
        <w:rPr>
          <w:rFonts w:ascii="Arial" w:hAnsi="Arial" w:cs="Arial"/>
          <w:sz w:val="28"/>
          <w:szCs w:val="28"/>
        </w:rPr>
        <w:tab/>
      </w:r>
    </w:p>
    <w:p w:rsidR="00BD72C4" w:rsidRDefault="006410D4" w:rsidP="00BD72C4">
      <w:pPr>
        <w:pStyle w:val="Default"/>
        <w:jc w:val="center"/>
        <w:rPr>
          <w:rFonts w:ascii="Segoe UI" w:hAnsi="Segoe UI" w:cs="Segoe UI"/>
          <w:b/>
          <w:bCs/>
          <w:color w:val="auto"/>
          <w:kern w:val="36"/>
          <w:sz w:val="29"/>
          <w:szCs w:val="29"/>
        </w:rPr>
      </w:pPr>
      <w:r w:rsidRPr="006410D4">
        <w:rPr>
          <w:rFonts w:ascii="Segoe UI" w:hAnsi="Segoe UI" w:cs="Segoe UI"/>
          <w:b/>
          <w:bCs/>
          <w:color w:val="auto"/>
          <w:kern w:val="36"/>
          <w:sz w:val="29"/>
          <w:szCs w:val="29"/>
        </w:rPr>
        <w:t>Guidelines on ICAAP and ILAAP information collected for SREP purposes</w:t>
      </w:r>
    </w:p>
    <w:p w:rsidR="006410D4" w:rsidRPr="00831C42" w:rsidRDefault="006410D4" w:rsidP="00BD72C4">
      <w:pPr>
        <w:pStyle w:val="Default"/>
        <w:jc w:val="center"/>
        <w:rPr>
          <w:rFonts w:ascii="Arial" w:hAnsi="Arial" w:cs="Arial"/>
          <w:sz w:val="20"/>
          <w:szCs w:val="20"/>
        </w:rPr>
      </w:pPr>
    </w:p>
    <w:p w:rsidR="00BD72C4" w:rsidRDefault="00BD72C4" w:rsidP="00BD72C4">
      <w:pPr>
        <w:pStyle w:val="Default"/>
        <w:jc w:val="center"/>
        <w:rPr>
          <w:rFonts w:ascii="Arial" w:hAnsi="Arial" w:cs="Arial"/>
          <w:i/>
        </w:rPr>
      </w:pPr>
      <w:bookmarkStart w:id="0" w:name="_GoBack"/>
      <w:bookmarkEnd w:id="0"/>
      <w:r>
        <w:rPr>
          <w:rFonts w:ascii="Arial" w:hAnsi="Arial" w:cs="Arial"/>
          <w:i/>
        </w:rPr>
        <w:t>March</w:t>
      </w:r>
      <w:r w:rsidRPr="003F6ED1">
        <w:rPr>
          <w:rFonts w:ascii="Arial" w:hAnsi="Arial" w:cs="Arial"/>
          <w:i/>
        </w:rPr>
        <w:t xml:space="preserve"> 2016</w:t>
      </w:r>
    </w:p>
    <w:p w:rsidR="00BD72C4" w:rsidRDefault="00BD72C4" w:rsidP="00BD72C4">
      <w:pPr>
        <w:pStyle w:val="Default"/>
        <w:jc w:val="center"/>
        <w:rPr>
          <w:rFonts w:ascii="Arial" w:hAnsi="Arial" w:cs="Arial"/>
          <w:i/>
        </w:rPr>
      </w:pPr>
    </w:p>
    <w:p w:rsidR="00BD72C4" w:rsidRDefault="00BD72C4" w:rsidP="00BD72C4">
      <w:pPr>
        <w:jc w:val="center"/>
        <w:rPr>
          <w:rFonts w:ascii="Arial" w:hAnsi="Arial" w:cs="Arial"/>
          <w:b/>
          <w:i/>
          <w:sz w:val="28"/>
          <w:szCs w:val="28"/>
        </w:rPr>
      </w:pPr>
      <w:r>
        <w:rPr>
          <w:rFonts w:ascii="Arial" w:hAnsi="Arial" w:cs="Arial"/>
          <w:b/>
          <w:i/>
          <w:sz w:val="28"/>
          <w:szCs w:val="28"/>
        </w:rPr>
        <w:t>Draft</w:t>
      </w:r>
      <w:r w:rsidRPr="00CC3278">
        <w:rPr>
          <w:rFonts w:ascii="Arial" w:hAnsi="Arial" w:cs="Arial"/>
          <w:b/>
          <w:i/>
          <w:sz w:val="28"/>
          <w:szCs w:val="28"/>
        </w:rPr>
        <w:t xml:space="preserve"> response </w:t>
      </w:r>
    </w:p>
    <w:p w:rsidR="00BD72C4" w:rsidRPr="00D10864" w:rsidRDefault="00BD72C4" w:rsidP="00BD72C4">
      <w:pPr>
        <w:jc w:val="center"/>
        <w:rPr>
          <w:rFonts w:ascii="Arial" w:hAnsi="Arial" w:cs="Arial"/>
          <w:b/>
          <w:i/>
          <w:sz w:val="18"/>
          <w:szCs w:val="18"/>
        </w:rPr>
      </w:pPr>
    </w:p>
    <w:p w:rsidR="00BD72C4" w:rsidRDefault="00BD72C4" w:rsidP="00BD72C4">
      <w:pPr>
        <w:ind w:left="4320" w:hanging="2160"/>
        <w:rPr>
          <w:rFonts w:ascii="Arial" w:hAnsi="Arial" w:cs="Arial"/>
          <w:color w:val="000000"/>
          <w:sz w:val="20"/>
        </w:rPr>
      </w:pPr>
      <w:r>
        <w:rPr>
          <w:rFonts w:ascii="Arial" w:hAnsi="Arial" w:cs="Arial"/>
          <w:color w:val="000000"/>
          <w:sz w:val="20"/>
        </w:rPr>
        <w:tab/>
        <w:t xml:space="preserve"> </w:t>
      </w:r>
    </w:p>
    <w:p w:rsidR="00BD72C4" w:rsidRDefault="00BD72C4" w:rsidP="00BD72C4">
      <w:pPr>
        <w:rPr>
          <w:rFonts w:ascii="Arial" w:hAnsi="Arial" w:cs="Arial"/>
          <w:color w:val="000000"/>
          <w:sz w:val="22"/>
          <w:szCs w:val="22"/>
        </w:rPr>
      </w:pPr>
    </w:p>
    <w:p w:rsidR="00BD72C4" w:rsidRPr="007730B2" w:rsidRDefault="00BD72C4" w:rsidP="00BD72C4">
      <w:pPr>
        <w:autoSpaceDE w:val="0"/>
        <w:autoSpaceDN w:val="0"/>
        <w:adjustRightInd w:val="0"/>
        <w:rPr>
          <w:rFonts w:ascii="Arial" w:hAnsi="Arial" w:cs="Arial"/>
          <w:b/>
          <w:bCs/>
          <w:color w:val="000000"/>
          <w:sz w:val="22"/>
          <w:szCs w:val="22"/>
          <w:lang w:eastAsia="en-GB"/>
        </w:rPr>
      </w:pPr>
      <w:r w:rsidRPr="007730B2">
        <w:rPr>
          <w:rFonts w:ascii="Arial" w:hAnsi="Arial" w:cs="Arial"/>
          <w:b/>
          <w:bCs/>
          <w:color w:val="000000"/>
          <w:sz w:val="22"/>
          <w:szCs w:val="22"/>
          <w:lang w:eastAsia="en-GB"/>
        </w:rPr>
        <w:t>Introduction</w:t>
      </w:r>
    </w:p>
    <w:p w:rsidR="00BD72C4" w:rsidRPr="007730B2" w:rsidRDefault="00BD72C4" w:rsidP="00BD72C4">
      <w:pPr>
        <w:autoSpaceDE w:val="0"/>
        <w:autoSpaceDN w:val="0"/>
        <w:adjustRightInd w:val="0"/>
        <w:rPr>
          <w:rFonts w:ascii="Arial" w:hAnsi="Arial" w:cs="Arial"/>
          <w:color w:val="000000"/>
          <w:szCs w:val="24"/>
          <w:lang w:eastAsia="en-GB"/>
        </w:rPr>
      </w:pPr>
    </w:p>
    <w:p w:rsidR="00BE712A" w:rsidRPr="009C1E92" w:rsidRDefault="00BD72C4" w:rsidP="00313146">
      <w:pPr>
        <w:shd w:val="clear" w:color="auto" w:fill="FFFFFF"/>
        <w:spacing w:after="75" w:line="276" w:lineRule="auto"/>
        <w:jc w:val="both"/>
        <w:textAlignment w:val="baseline"/>
        <w:outlineLvl w:val="0"/>
        <w:rPr>
          <w:rFonts w:ascii="Arial" w:hAnsi="Arial" w:cs="Arial"/>
          <w:color w:val="000000"/>
          <w:sz w:val="22"/>
          <w:szCs w:val="22"/>
          <w:lang w:eastAsia="en-GB"/>
        </w:rPr>
      </w:pPr>
      <w:r w:rsidRPr="007730B2">
        <w:rPr>
          <w:rFonts w:ascii="Arial" w:hAnsi="Arial" w:cs="Arial"/>
          <w:color w:val="000000"/>
          <w:sz w:val="22"/>
          <w:szCs w:val="22"/>
          <w:lang w:eastAsia="en-GB"/>
        </w:rPr>
        <w:t xml:space="preserve">The BBA is pleased to respond to the </w:t>
      </w:r>
      <w:r w:rsidR="006410D4">
        <w:rPr>
          <w:rFonts w:ascii="Arial" w:hAnsi="Arial" w:cs="Arial"/>
          <w:sz w:val="22"/>
          <w:szCs w:val="22"/>
        </w:rPr>
        <w:t>European Banking Authority</w:t>
      </w:r>
      <w:r w:rsidRPr="007730B2">
        <w:rPr>
          <w:rFonts w:ascii="Arial" w:hAnsi="Arial" w:cs="Arial"/>
          <w:color w:val="000000"/>
          <w:sz w:val="22"/>
          <w:szCs w:val="22"/>
          <w:lang w:eastAsia="en-GB"/>
        </w:rPr>
        <w:t xml:space="preserve">’s consultation paper </w:t>
      </w:r>
      <w:r w:rsidR="00BE712A">
        <w:rPr>
          <w:rFonts w:ascii="Arial" w:hAnsi="Arial" w:cs="Arial"/>
          <w:color w:val="000000"/>
          <w:sz w:val="22"/>
          <w:szCs w:val="22"/>
          <w:lang w:eastAsia="en-GB"/>
        </w:rPr>
        <w:t xml:space="preserve">on </w:t>
      </w:r>
      <w:r w:rsidR="006410D4">
        <w:rPr>
          <w:rFonts w:ascii="Arial" w:hAnsi="Arial" w:cs="Arial"/>
          <w:color w:val="000000"/>
          <w:sz w:val="22"/>
          <w:szCs w:val="22"/>
          <w:lang w:eastAsia="en-GB"/>
        </w:rPr>
        <w:t>g</w:t>
      </w:r>
      <w:r w:rsidR="006410D4" w:rsidRPr="006410D4">
        <w:rPr>
          <w:rFonts w:ascii="Arial" w:hAnsi="Arial" w:cs="Arial"/>
          <w:color w:val="000000"/>
          <w:sz w:val="22"/>
          <w:szCs w:val="22"/>
          <w:lang w:eastAsia="en-GB"/>
        </w:rPr>
        <w:t>uidelines on ICAAP and ILAAP information collected for SREP purposes</w:t>
      </w:r>
      <w:r w:rsidR="006410D4" w:rsidRPr="006410D4">
        <w:rPr>
          <w:rStyle w:val="FootnoteReference"/>
          <w:rFonts w:ascii="Arial" w:hAnsi="Arial" w:cs="Arial"/>
          <w:color w:val="000000"/>
          <w:sz w:val="22"/>
          <w:szCs w:val="22"/>
          <w:vertAlign w:val="baseline"/>
          <w:lang w:eastAsia="en-GB"/>
        </w:rPr>
        <w:t xml:space="preserve"> </w:t>
      </w:r>
      <w:r w:rsidR="00BE712A">
        <w:rPr>
          <w:rStyle w:val="FootnoteReference"/>
          <w:rFonts w:ascii="Arial" w:hAnsi="Arial" w:cs="Arial"/>
          <w:color w:val="000000"/>
          <w:sz w:val="22"/>
          <w:szCs w:val="22"/>
          <w:lang w:eastAsia="en-GB"/>
        </w:rPr>
        <w:footnoteReference w:id="1"/>
      </w:r>
      <w:r w:rsidR="00823591">
        <w:rPr>
          <w:rFonts w:ascii="Arial" w:hAnsi="Arial" w:cs="Arial"/>
          <w:color w:val="000000"/>
          <w:sz w:val="22"/>
          <w:szCs w:val="22"/>
          <w:lang w:eastAsia="en-GB"/>
        </w:rPr>
        <w:t>.</w:t>
      </w:r>
    </w:p>
    <w:p w:rsidR="00BD72C4" w:rsidRPr="007730B2" w:rsidRDefault="00BD72C4" w:rsidP="00BD72C4">
      <w:pPr>
        <w:autoSpaceDE w:val="0"/>
        <w:autoSpaceDN w:val="0"/>
        <w:adjustRightInd w:val="0"/>
        <w:spacing w:line="276" w:lineRule="auto"/>
        <w:jc w:val="both"/>
        <w:rPr>
          <w:rFonts w:ascii="Arial" w:hAnsi="Arial" w:cs="Arial"/>
          <w:color w:val="000000"/>
          <w:sz w:val="22"/>
          <w:szCs w:val="22"/>
          <w:lang w:eastAsia="en-GB"/>
        </w:rPr>
      </w:pPr>
    </w:p>
    <w:p w:rsidR="00BD72C4" w:rsidRDefault="00BD72C4" w:rsidP="00313146">
      <w:pPr>
        <w:autoSpaceDE w:val="0"/>
        <w:autoSpaceDN w:val="0"/>
        <w:adjustRightInd w:val="0"/>
        <w:spacing w:line="276" w:lineRule="auto"/>
        <w:jc w:val="both"/>
        <w:rPr>
          <w:rFonts w:ascii="Arial" w:hAnsi="Arial" w:cs="Arial"/>
          <w:color w:val="000000"/>
          <w:sz w:val="22"/>
          <w:szCs w:val="22"/>
          <w:lang w:eastAsia="en-GB"/>
        </w:rPr>
      </w:pPr>
      <w:r w:rsidRPr="007730B2">
        <w:rPr>
          <w:rFonts w:ascii="Arial" w:hAnsi="Arial" w:cs="Arial"/>
          <w:color w:val="000000"/>
          <w:sz w:val="22"/>
          <w:szCs w:val="22"/>
          <w:lang w:eastAsia="en-GB"/>
        </w:rPr>
        <w:t>The BBA is the leading association for UK banking and financial services representing members on the full range of UK and inte</w:t>
      </w:r>
      <w:r w:rsidR="00823591">
        <w:rPr>
          <w:rFonts w:ascii="Arial" w:hAnsi="Arial" w:cs="Arial"/>
          <w:color w:val="000000"/>
          <w:sz w:val="22"/>
          <w:szCs w:val="22"/>
          <w:lang w:eastAsia="en-GB"/>
        </w:rPr>
        <w:t>rnational banking issues. It has</w:t>
      </w:r>
      <w:r w:rsidRPr="007730B2">
        <w:rPr>
          <w:rFonts w:ascii="Arial" w:hAnsi="Arial" w:cs="Arial"/>
          <w:color w:val="000000"/>
          <w:sz w:val="22"/>
          <w:szCs w:val="22"/>
          <w:lang w:eastAsia="en-GB"/>
        </w:rPr>
        <w:t xml:space="preserve"> over 200 banking members active in the UK, which are headquartered in 50 countries and have operations in 180 countries worldwide. Eighty per cent of global systemically important ban</w:t>
      </w:r>
      <w:r w:rsidR="00F82AE9">
        <w:rPr>
          <w:rFonts w:ascii="Arial" w:hAnsi="Arial" w:cs="Arial"/>
          <w:color w:val="000000"/>
          <w:sz w:val="22"/>
          <w:szCs w:val="22"/>
          <w:lang w:eastAsia="en-GB"/>
        </w:rPr>
        <w:t>ks are members of the BBA.</w:t>
      </w:r>
    </w:p>
    <w:p w:rsidR="00BD72C4" w:rsidRDefault="00BD72C4" w:rsidP="00BD72C4">
      <w:pPr>
        <w:autoSpaceDE w:val="0"/>
        <w:autoSpaceDN w:val="0"/>
        <w:adjustRightInd w:val="0"/>
        <w:spacing w:line="276" w:lineRule="auto"/>
        <w:jc w:val="both"/>
        <w:rPr>
          <w:rFonts w:ascii="Arial" w:hAnsi="Arial" w:cs="Arial"/>
          <w:color w:val="000000"/>
          <w:sz w:val="22"/>
          <w:szCs w:val="22"/>
          <w:lang w:eastAsia="en-GB"/>
        </w:rPr>
      </w:pPr>
    </w:p>
    <w:p w:rsidR="00BD72C4" w:rsidRDefault="00BD72C4" w:rsidP="00BD72C4">
      <w:pPr>
        <w:autoSpaceDE w:val="0"/>
        <w:autoSpaceDN w:val="0"/>
        <w:adjustRightInd w:val="0"/>
        <w:spacing w:line="276" w:lineRule="auto"/>
        <w:jc w:val="both"/>
        <w:rPr>
          <w:rFonts w:ascii="Arial" w:hAnsi="Arial" w:cs="Arial"/>
          <w:color w:val="000000"/>
          <w:sz w:val="22"/>
          <w:szCs w:val="22"/>
          <w:lang w:eastAsia="en-GB"/>
        </w:rPr>
      </w:pPr>
      <w:r w:rsidRPr="007730B2">
        <w:rPr>
          <w:rFonts w:ascii="Arial" w:hAnsi="Arial" w:cs="Arial"/>
          <w:color w:val="000000"/>
          <w:sz w:val="22"/>
          <w:szCs w:val="22"/>
          <w:lang w:eastAsia="en-GB"/>
        </w:rPr>
        <w:t xml:space="preserve">As the representative of the world’s largest international banking cluster the </w:t>
      </w:r>
      <w:r w:rsidR="00F82AE9">
        <w:rPr>
          <w:rFonts w:ascii="Arial" w:hAnsi="Arial" w:cs="Arial"/>
          <w:color w:val="000000"/>
          <w:sz w:val="22"/>
          <w:szCs w:val="22"/>
          <w:lang w:eastAsia="en-GB"/>
        </w:rPr>
        <w:t>BBA is the voice of UK banking.</w:t>
      </w:r>
    </w:p>
    <w:p w:rsidR="00BD72C4" w:rsidRPr="007730B2" w:rsidRDefault="00BD72C4" w:rsidP="00BD72C4">
      <w:pPr>
        <w:autoSpaceDE w:val="0"/>
        <w:autoSpaceDN w:val="0"/>
        <w:adjustRightInd w:val="0"/>
        <w:spacing w:line="276" w:lineRule="auto"/>
        <w:jc w:val="both"/>
        <w:rPr>
          <w:rFonts w:ascii="Arial" w:hAnsi="Arial" w:cs="Arial"/>
          <w:color w:val="000000"/>
          <w:sz w:val="22"/>
          <w:szCs w:val="22"/>
          <w:lang w:eastAsia="en-GB"/>
        </w:rPr>
      </w:pPr>
    </w:p>
    <w:p w:rsidR="00BD72C4" w:rsidRDefault="00BD72C4" w:rsidP="00313146">
      <w:pPr>
        <w:autoSpaceDE w:val="0"/>
        <w:autoSpaceDN w:val="0"/>
        <w:adjustRightInd w:val="0"/>
        <w:spacing w:line="276" w:lineRule="auto"/>
        <w:jc w:val="both"/>
        <w:rPr>
          <w:rFonts w:ascii="Arial" w:hAnsi="Arial" w:cs="Arial"/>
          <w:color w:val="000000"/>
          <w:sz w:val="22"/>
          <w:szCs w:val="22"/>
          <w:lang w:eastAsia="en-GB"/>
        </w:rPr>
      </w:pPr>
      <w:r w:rsidRPr="007730B2">
        <w:rPr>
          <w:rFonts w:ascii="Arial" w:hAnsi="Arial" w:cs="Arial"/>
          <w:color w:val="000000"/>
          <w:sz w:val="22"/>
          <w:szCs w:val="22"/>
          <w:lang w:eastAsia="en-GB"/>
        </w:rPr>
        <w:t>All the major banking groups in the UK are members of our association as are large international EU banks, US and Canadian banks operating in the UK as well as a range of other banks from Asia, including China, the Middle East, Africa and South America. The integrated nature of banking means that our members are engaged in activities ranging widely across the financial spectrum from deposit taking and other more conventional forms of retail and commercial banking to products and services as diverse as trade and project finance, primary and secondary securities trading, insurance, investment banking and wealth managemen</w:t>
      </w:r>
      <w:r w:rsidR="00335F55">
        <w:rPr>
          <w:rFonts w:ascii="Arial" w:hAnsi="Arial" w:cs="Arial"/>
          <w:color w:val="000000"/>
          <w:sz w:val="22"/>
          <w:szCs w:val="22"/>
          <w:lang w:eastAsia="en-GB"/>
        </w:rPr>
        <w:t>t.</w:t>
      </w:r>
    </w:p>
    <w:p w:rsidR="00C274A4" w:rsidRDefault="00C274A4" w:rsidP="00BD72C4">
      <w:pPr>
        <w:autoSpaceDE w:val="0"/>
        <w:autoSpaceDN w:val="0"/>
        <w:adjustRightInd w:val="0"/>
        <w:spacing w:line="276" w:lineRule="auto"/>
        <w:jc w:val="both"/>
        <w:rPr>
          <w:rFonts w:ascii="Arial" w:hAnsi="Arial" w:cs="Arial"/>
          <w:color w:val="000000"/>
          <w:sz w:val="22"/>
          <w:szCs w:val="22"/>
          <w:lang w:eastAsia="en-GB"/>
        </w:rPr>
      </w:pPr>
    </w:p>
    <w:p w:rsidR="00BD72C4" w:rsidRDefault="00BD72C4" w:rsidP="00BD72C4">
      <w:pPr>
        <w:autoSpaceDE w:val="0"/>
        <w:autoSpaceDN w:val="0"/>
        <w:adjustRightInd w:val="0"/>
        <w:spacing w:line="276" w:lineRule="auto"/>
        <w:jc w:val="both"/>
        <w:rPr>
          <w:rFonts w:ascii="Arial" w:hAnsi="Arial" w:cs="Arial"/>
          <w:color w:val="000000"/>
          <w:sz w:val="22"/>
          <w:szCs w:val="22"/>
          <w:lang w:eastAsia="en-GB"/>
        </w:rPr>
      </w:pPr>
      <w:r w:rsidRPr="007730B2">
        <w:rPr>
          <w:rFonts w:ascii="Arial" w:hAnsi="Arial" w:cs="Arial"/>
          <w:color w:val="000000"/>
          <w:sz w:val="22"/>
          <w:szCs w:val="22"/>
          <w:lang w:eastAsia="en-GB"/>
        </w:rPr>
        <w:t>Our members manage more than £7 trillion in UK banking assets, employ nearly half a million individuals nationally, contribute over £60 billion to the UK economy each year and lend over</w:t>
      </w:r>
      <w:r w:rsidR="00AA6441">
        <w:rPr>
          <w:rFonts w:ascii="Arial" w:hAnsi="Arial" w:cs="Arial"/>
          <w:color w:val="000000"/>
          <w:sz w:val="22"/>
          <w:szCs w:val="22"/>
          <w:lang w:eastAsia="en-GB"/>
        </w:rPr>
        <w:t xml:space="preserve"> £150 billion to UK businesses.</w:t>
      </w:r>
    </w:p>
    <w:p w:rsidR="00D91C4E" w:rsidRDefault="00D91C4E" w:rsidP="0002490C">
      <w:pPr>
        <w:rPr>
          <w:rFonts w:ascii="Arial" w:hAnsi="Arial" w:cs="Arial"/>
          <w:color w:val="000000"/>
          <w:sz w:val="22"/>
          <w:szCs w:val="22"/>
        </w:rPr>
      </w:pPr>
    </w:p>
    <w:p w:rsidR="00335F55" w:rsidRPr="00335F55" w:rsidRDefault="00335F55" w:rsidP="0002490C">
      <w:pPr>
        <w:rPr>
          <w:rFonts w:ascii="Arial" w:hAnsi="Arial" w:cs="Arial"/>
          <w:b/>
          <w:color w:val="000000"/>
          <w:sz w:val="22"/>
          <w:szCs w:val="22"/>
        </w:rPr>
      </w:pPr>
      <w:r w:rsidRPr="00335F55">
        <w:rPr>
          <w:rFonts w:ascii="Arial" w:hAnsi="Arial" w:cs="Arial"/>
          <w:b/>
          <w:color w:val="000000"/>
          <w:sz w:val="22"/>
          <w:szCs w:val="22"/>
        </w:rPr>
        <w:t>Key Messages</w:t>
      </w:r>
    </w:p>
    <w:p w:rsidR="00335F55" w:rsidRDefault="00335F55" w:rsidP="0002490C">
      <w:pPr>
        <w:rPr>
          <w:rFonts w:ascii="Arial" w:hAnsi="Arial" w:cs="Arial"/>
          <w:color w:val="000000"/>
          <w:sz w:val="22"/>
          <w:szCs w:val="22"/>
        </w:rPr>
      </w:pPr>
    </w:p>
    <w:p w:rsidR="00F662C3" w:rsidRDefault="004F1E9F" w:rsidP="0002490C">
      <w:pPr>
        <w:rPr>
          <w:rFonts w:ascii="Arial" w:hAnsi="Arial" w:cs="Arial"/>
          <w:color w:val="000000"/>
          <w:sz w:val="22"/>
          <w:szCs w:val="22"/>
        </w:rPr>
      </w:pPr>
      <w:r>
        <w:rPr>
          <w:rFonts w:ascii="Arial" w:hAnsi="Arial" w:cs="Arial"/>
          <w:color w:val="000000"/>
          <w:sz w:val="22"/>
          <w:szCs w:val="22"/>
        </w:rPr>
        <w:t>We welcome the EBA’s guidelines on ICAAP and ILAAP information collected for SREP purposes, as we believe that they facilitate a consistent supervisory assess</w:t>
      </w:r>
      <w:r w:rsidR="00C274A4">
        <w:rPr>
          <w:rFonts w:ascii="Arial" w:hAnsi="Arial" w:cs="Arial"/>
          <w:color w:val="000000"/>
          <w:sz w:val="22"/>
          <w:szCs w:val="22"/>
        </w:rPr>
        <w:t xml:space="preserve">ment of firms’ ICAAP and ILAAP. </w:t>
      </w:r>
      <w:r>
        <w:rPr>
          <w:rFonts w:ascii="Arial" w:hAnsi="Arial" w:cs="Arial"/>
          <w:color w:val="000000"/>
          <w:sz w:val="22"/>
          <w:szCs w:val="22"/>
        </w:rPr>
        <w:lastRenderedPageBreak/>
        <w:t xml:space="preserve">We recognise that the CP does not introduce new criteria for ICAAP and ILAAP to be addressed by institutions, and believe that the guidelines overall achieve their purpose of specifying the information regarding ICAAP and ILAAP that competent authorities will need to collect from institutions in order to perform their assessments as per the SREP guidelines. </w:t>
      </w:r>
      <w:r w:rsidR="001D10BA">
        <w:rPr>
          <w:rFonts w:ascii="Arial" w:hAnsi="Arial" w:cs="Arial"/>
          <w:color w:val="000000"/>
          <w:sz w:val="22"/>
          <w:szCs w:val="22"/>
        </w:rPr>
        <w:t>Nevertheless, we have a few comments on the content of the consultation. First of all, we understand that the CP aims at a more consistent implementation of the SREP guidelines, and does not intend to explicitly specify how ICAAP/ILAAP should look like; nonetheless, some of our members have expressed a concern that the current content seems to be aiming towards a standardised information provision. Thus, it should be stressed in the final guidelines that the EBA does not seek a ‘template’ approach to ICAAP and ILAAP information provision, recognising that both processes are internal and specific to each institution. Furthermore, we note that the guidelines are in some ways similar to the PRA’s expectations on firms’ ICAAP</w:t>
      </w:r>
      <w:r w:rsidR="001D10BA">
        <w:rPr>
          <w:rStyle w:val="FootnoteReference"/>
          <w:rFonts w:ascii="Arial" w:hAnsi="Arial" w:cs="Arial"/>
          <w:color w:val="000000"/>
          <w:sz w:val="22"/>
          <w:szCs w:val="22"/>
        </w:rPr>
        <w:footnoteReference w:id="2"/>
      </w:r>
      <w:r w:rsidR="001D10BA">
        <w:rPr>
          <w:rFonts w:ascii="Arial" w:hAnsi="Arial" w:cs="Arial"/>
          <w:color w:val="000000"/>
          <w:sz w:val="22"/>
          <w:szCs w:val="22"/>
        </w:rPr>
        <w:t xml:space="preserve"> and ILAAP</w:t>
      </w:r>
      <w:r w:rsidR="001D10BA">
        <w:rPr>
          <w:rStyle w:val="FootnoteReference"/>
          <w:rFonts w:ascii="Arial" w:hAnsi="Arial" w:cs="Arial"/>
          <w:color w:val="000000"/>
          <w:sz w:val="22"/>
          <w:szCs w:val="22"/>
        </w:rPr>
        <w:footnoteReference w:id="3"/>
      </w:r>
      <w:r w:rsidR="001D10BA">
        <w:rPr>
          <w:rFonts w:ascii="Arial" w:hAnsi="Arial" w:cs="Arial"/>
          <w:color w:val="000000"/>
          <w:sz w:val="22"/>
          <w:szCs w:val="22"/>
        </w:rPr>
        <w:t>, an alignment that we support.</w:t>
      </w:r>
    </w:p>
    <w:p w:rsidR="009714A8" w:rsidRDefault="009714A8" w:rsidP="0002490C">
      <w:pPr>
        <w:rPr>
          <w:rFonts w:ascii="Arial" w:hAnsi="Arial" w:cs="Arial"/>
          <w:color w:val="000000"/>
          <w:sz w:val="22"/>
          <w:szCs w:val="22"/>
        </w:rPr>
      </w:pPr>
    </w:p>
    <w:p w:rsidR="009714A8" w:rsidRDefault="009714A8" w:rsidP="0002490C">
      <w:pPr>
        <w:rPr>
          <w:rFonts w:ascii="Arial" w:hAnsi="Arial" w:cs="Arial"/>
          <w:color w:val="000000"/>
          <w:sz w:val="22"/>
          <w:szCs w:val="22"/>
        </w:rPr>
      </w:pPr>
      <w:r w:rsidRPr="009714A8">
        <w:rPr>
          <w:rFonts w:ascii="Arial" w:hAnsi="Arial" w:cs="Arial"/>
          <w:b/>
          <w:color w:val="000000"/>
          <w:sz w:val="22"/>
          <w:szCs w:val="22"/>
        </w:rPr>
        <w:t>Information that is common to ICAAP and ILAAP</w:t>
      </w:r>
      <w:r>
        <w:rPr>
          <w:rFonts w:ascii="Arial" w:hAnsi="Arial" w:cs="Arial"/>
          <w:color w:val="000000"/>
          <w:sz w:val="22"/>
          <w:szCs w:val="22"/>
        </w:rPr>
        <w:t>:</w:t>
      </w:r>
    </w:p>
    <w:p w:rsidR="009714A8" w:rsidRDefault="009714A8" w:rsidP="0002490C">
      <w:pPr>
        <w:rPr>
          <w:rFonts w:ascii="Arial" w:hAnsi="Arial" w:cs="Arial"/>
          <w:color w:val="000000"/>
          <w:sz w:val="22"/>
          <w:szCs w:val="22"/>
        </w:rPr>
      </w:pPr>
    </w:p>
    <w:p w:rsidR="007D0460" w:rsidRDefault="00230C3D" w:rsidP="0002490C">
      <w:pPr>
        <w:rPr>
          <w:rFonts w:ascii="Arial" w:hAnsi="Arial" w:cs="Arial"/>
          <w:color w:val="000000"/>
          <w:sz w:val="22"/>
          <w:szCs w:val="22"/>
        </w:rPr>
      </w:pPr>
      <w:r>
        <w:rPr>
          <w:rFonts w:ascii="Arial" w:hAnsi="Arial" w:cs="Arial"/>
          <w:color w:val="000000"/>
          <w:sz w:val="22"/>
          <w:szCs w:val="22"/>
        </w:rPr>
        <w:t xml:space="preserve">We understand that such information is required in order to put ICAAP/ILAAP into context for individual firms and also to be used in assessment of other SREP elements. However, we feel that in some cases the information specified in the CP </w:t>
      </w:r>
      <w:r w:rsidR="00CB6263">
        <w:rPr>
          <w:rFonts w:ascii="Arial" w:hAnsi="Arial" w:cs="Arial"/>
          <w:color w:val="000000"/>
          <w:sz w:val="22"/>
          <w:szCs w:val="22"/>
        </w:rPr>
        <w:t>requires some clarification on what level of detail is expected.</w:t>
      </w:r>
      <w:r w:rsidR="00BB5CDD">
        <w:rPr>
          <w:rFonts w:ascii="Arial" w:hAnsi="Arial" w:cs="Arial"/>
          <w:color w:val="000000"/>
          <w:sz w:val="22"/>
          <w:szCs w:val="22"/>
        </w:rPr>
        <w:t xml:space="preserve"> This applies in the case of information on business model and strategy, where it is stated that </w:t>
      </w:r>
      <w:r w:rsidR="00BB5CDD" w:rsidRPr="00BB5CDD">
        <w:rPr>
          <w:rFonts w:ascii="Arial" w:hAnsi="Arial" w:cs="Arial"/>
          <w:color w:val="000000"/>
          <w:sz w:val="22"/>
          <w:szCs w:val="22"/>
        </w:rPr>
        <w:t xml:space="preserve">competent authorities should receive from institutions </w:t>
      </w:r>
      <w:r w:rsidR="00BB5CDD">
        <w:rPr>
          <w:rFonts w:ascii="Arial" w:hAnsi="Arial" w:cs="Arial"/>
          <w:color w:val="000000"/>
          <w:sz w:val="22"/>
          <w:szCs w:val="22"/>
        </w:rPr>
        <w:t xml:space="preserve">a </w:t>
      </w:r>
      <w:r w:rsidR="00BB5CDD" w:rsidRPr="00BB5CDD">
        <w:rPr>
          <w:rFonts w:ascii="Arial" w:hAnsi="Arial" w:cs="Arial"/>
          <w:color w:val="000000"/>
          <w:sz w:val="22"/>
          <w:szCs w:val="22"/>
        </w:rPr>
        <w:t>description of the changes planned by the institution to the current business model and its underlyin</w:t>
      </w:r>
      <w:r w:rsidR="00BB5CDD">
        <w:rPr>
          <w:rFonts w:ascii="Arial" w:hAnsi="Arial" w:cs="Arial"/>
          <w:color w:val="000000"/>
          <w:sz w:val="22"/>
          <w:szCs w:val="22"/>
        </w:rPr>
        <w:t>g</w:t>
      </w:r>
      <w:r w:rsidR="00BB5CDD" w:rsidRPr="00BB5CDD">
        <w:rPr>
          <w:rFonts w:ascii="Arial" w:hAnsi="Arial" w:cs="Arial"/>
          <w:color w:val="000000"/>
          <w:sz w:val="22"/>
          <w:szCs w:val="22"/>
        </w:rPr>
        <w:t xml:space="preserve"> activities</w:t>
      </w:r>
      <w:r w:rsidR="00BB5CDD">
        <w:rPr>
          <w:rFonts w:ascii="Arial" w:hAnsi="Arial" w:cs="Arial"/>
          <w:color w:val="000000"/>
          <w:sz w:val="22"/>
          <w:szCs w:val="22"/>
        </w:rPr>
        <w:t xml:space="preserve">. This element may be particularly challenging for larger institutions, which typically undergo a plethora of change programmes (large and small alike) every year on different parts of the organisation. Hence, more clarity is required on the scope of these changes that need to be communicated, as well as clarification on the point at which these changes need to be communicated to the authorities (i.e. how much in advance </w:t>
      </w:r>
      <w:r w:rsidR="007D0460">
        <w:rPr>
          <w:rFonts w:ascii="Arial" w:hAnsi="Arial" w:cs="Arial"/>
          <w:color w:val="000000"/>
          <w:sz w:val="22"/>
          <w:szCs w:val="22"/>
        </w:rPr>
        <w:t>before the change takes place). Furthermore, clarification on the level of detail expected is also welcome in the case of i</w:t>
      </w:r>
      <w:r w:rsidR="007D0460" w:rsidRPr="007D0460">
        <w:rPr>
          <w:rFonts w:ascii="Arial" w:hAnsi="Arial" w:cs="Arial"/>
          <w:color w:val="000000"/>
          <w:sz w:val="22"/>
          <w:szCs w:val="22"/>
        </w:rPr>
        <w:t>nformation on risk data, aggregation and IT systems</w:t>
      </w:r>
      <w:r w:rsidR="007D0460">
        <w:rPr>
          <w:rFonts w:ascii="Arial" w:hAnsi="Arial" w:cs="Arial"/>
          <w:color w:val="000000"/>
          <w:sz w:val="22"/>
          <w:szCs w:val="22"/>
        </w:rPr>
        <w:t>. A de</w:t>
      </w:r>
      <w:r w:rsidR="007D0460" w:rsidRPr="007D0460">
        <w:rPr>
          <w:rFonts w:ascii="Arial" w:hAnsi="Arial" w:cs="Arial"/>
          <w:color w:val="000000"/>
          <w:sz w:val="22"/>
          <w:szCs w:val="22"/>
        </w:rPr>
        <w:t>scription of the framework and process to gather, store and aggregate risk data</w:t>
      </w:r>
      <w:r w:rsidR="007D0460">
        <w:rPr>
          <w:rFonts w:ascii="Arial" w:hAnsi="Arial" w:cs="Arial"/>
          <w:color w:val="000000"/>
          <w:sz w:val="22"/>
          <w:szCs w:val="22"/>
        </w:rPr>
        <w:t xml:space="preserve">, as well as data flows, structure and checks can be very </w:t>
      </w:r>
      <w:r w:rsidR="00C274A4">
        <w:rPr>
          <w:rFonts w:ascii="Arial" w:hAnsi="Arial" w:cs="Arial"/>
          <w:color w:val="000000"/>
          <w:sz w:val="22"/>
          <w:szCs w:val="22"/>
        </w:rPr>
        <w:t>time consuming</w:t>
      </w:r>
      <w:r w:rsidR="007D0460">
        <w:rPr>
          <w:rFonts w:ascii="Arial" w:hAnsi="Arial" w:cs="Arial"/>
          <w:color w:val="000000"/>
          <w:sz w:val="22"/>
          <w:szCs w:val="22"/>
        </w:rPr>
        <w:t xml:space="preserve"> to produce, and further clarification on the scope of such documentation to be provided is required.</w:t>
      </w:r>
    </w:p>
    <w:p w:rsidR="007D0460" w:rsidRDefault="007D0460" w:rsidP="0002490C">
      <w:pPr>
        <w:rPr>
          <w:rFonts w:ascii="Arial" w:hAnsi="Arial" w:cs="Arial"/>
          <w:color w:val="000000"/>
          <w:sz w:val="22"/>
          <w:szCs w:val="22"/>
        </w:rPr>
      </w:pPr>
    </w:p>
    <w:p w:rsidR="007D0460" w:rsidRDefault="007D0460" w:rsidP="0002490C">
      <w:pPr>
        <w:rPr>
          <w:rFonts w:ascii="Arial" w:hAnsi="Arial" w:cs="Arial"/>
          <w:color w:val="000000"/>
          <w:sz w:val="22"/>
          <w:szCs w:val="22"/>
        </w:rPr>
      </w:pPr>
      <w:r>
        <w:rPr>
          <w:rFonts w:ascii="Arial" w:hAnsi="Arial" w:cs="Arial"/>
          <w:color w:val="000000"/>
          <w:sz w:val="22"/>
          <w:szCs w:val="22"/>
        </w:rPr>
        <w:t xml:space="preserve">Moreover, it is also important to indicate that some elements included in the guidelines may result in duplication of effort from institutions. With respect to the latter point </w:t>
      </w:r>
      <w:r w:rsidRPr="007D0460">
        <w:rPr>
          <w:rFonts w:ascii="Arial" w:hAnsi="Arial" w:cs="Arial"/>
          <w:color w:val="000000"/>
          <w:sz w:val="22"/>
          <w:szCs w:val="22"/>
        </w:rPr>
        <w:t>on risk data, aggregation and IT systems</w:t>
      </w:r>
      <w:r>
        <w:rPr>
          <w:rFonts w:ascii="Arial" w:hAnsi="Arial" w:cs="Arial"/>
          <w:color w:val="000000"/>
          <w:sz w:val="22"/>
          <w:szCs w:val="22"/>
        </w:rPr>
        <w:t xml:space="preserve">, it should be noted that such elements </w:t>
      </w:r>
      <w:r w:rsidR="00F12289">
        <w:rPr>
          <w:rFonts w:ascii="Arial" w:hAnsi="Arial" w:cs="Arial"/>
          <w:color w:val="000000"/>
          <w:sz w:val="22"/>
          <w:szCs w:val="22"/>
        </w:rPr>
        <w:t>are</w:t>
      </w:r>
      <w:r>
        <w:rPr>
          <w:rFonts w:ascii="Arial" w:hAnsi="Arial" w:cs="Arial"/>
          <w:color w:val="000000"/>
          <w:sz w:val="22"/>
          <w:szCs w:val="22"/>
        </w:rPr>
        <w:t xml:space="preserve"> already covered by other regulation</w:t>
      </w:r>
      <w:r w:rsidR="00F12289">
        <w:rPr>
          <w:rFonts w:ascii="Arial" w:hAnsi="Arial" w:cs="Arial"/>
          <w:color w:val="000000"/>
          <w:sz w:val="22"/>
          <w:szCs w:val="22"/>
        </w:rPr>
        <w:t>s</w:t>
      </w:r>
      <w:r>
        <w:rPr>
          <w:rFonts w:ascii="Arial" w:hAnsi="Arial" w:cs="Arial"/>
          <w:color w:val="000000"/>
          <w:sz w:val="22"/>
          <w:szCs w:val="22"/>
        </w:rPr>
        <w:t>, such as the BCBS 239 requirements</w:t>
      </w:r>
      <w:r>
        <w:rPr>
          <w:rStyle w:val="FootnoteReference"/>
          <w:rFonts w:ascii="Arial" w:hAnsi="Arial" w:cs="Arial"/>
          <w:color w:val="000000"/>
          <w:sz w:val="22"/>
          <w:szCs w:val="22"/>
        </w:rPr>
        <w:footnoteReference w:id="4"/>
      </w:r>
      <w:r w:rsidR="00F12289">
        <w:rPr>
          <w:rFonts w:ascii="Arial" w:hAnsi="Arial" w:cs="Arial"/>
          <w:color w:val="000000"/>
          <w:sz w:val="22"/>
          <w:szCs w:val="22"/>
        </w:rPr>
        <w:t>. Hence, inclusion of such information elements under these guidelines may result in duplication of effort from institutions.</w:t>
      </w:r>
    </w:p>
    <w:p w:rsidR="006028C9" w:rsidRDefault="006028C9" w:rsidP="0002490C">
      <w:pPr>
        <w:rPr>
          <w:rFonts w:ascii="Arial" w:hAnsi="Arial" w:cs="Arial"/>
          <w:color w:val="000000"/>
          <w:sz w:val="22"/>
          <w:szCs w:val="22"/>
        </w:rPr>
      </w:pPr>
    </w:p>
    <w:p w:rsidR="006028C9" w:rsidRDefault="006028C9" w:rsidP="0002490C">
      <w:pPr>
        <w:rPr>
          <w:rFonts w:ascii="Arial" w:hAnsi="Arial" w:cs="Arial"/>
          <w:color w:val="000000"/>
          <w:sz w:val="22"/>
          <w:szCs w:val="22"/>
        </w:rPr>
      </w:pPr>
      <w:r w:rsidRPr="006028C9">
        <w:rPr>
          <w:rFonts w:ascii="Arial" w:hAnsi="Arial" w:cs="Arial"/>
          <w:b/>
          <w:color w:val="000000"/>
          <w:sz w:val="22"/>
          <w:szCs w:val="22"/>
        </w:rPr>
        <w:t>ILAAP specific information</w:t>
      </w:r>
      <w:r>
        <w:rPr>
          <w:rFonts w:ascii="Arial" w:hAnsi="Arial" w:cs="Arial"/>
          <w:color w:val="000000"/>
          <w:sz w:val="22"/>
          <w:szCs w:val="22"/>
        </w:rPr>
        <w:t>:</w:t>
      </w:r>
    </w:p>
    <w:p w:rsidR="006028C9" w:rsidRDefault="006028C9" w:rsidP="0002490C">
      <w:pPr>
        <w:rPr>
          <w:rFonts w:ascii="Arial" w:hAnsi="Arial" w:cs="Arial"/>
          <w:color w:val="000000"/>
          <w:sz w:val="22"/>
          <w:szCs w:val="22"/>
        </w:rPr>
      </w:pPr>
    </w:p>
    <w:p w:rsidR="006028C9" w:rsidRDefault="00985309" w:rsidP="0002490C">
      <w:pPr>
        <w:rPr>
          <w:rFonts w:ascii="Arial" w:hAnsi="Arial" w:cs="Arial"/>
          <w:color w:val="000000"/>
          <w:sz w:val="22"/>
          <w:szCs w:val="22"/>
        </w:rPr>
      </w:pPr>
      <w:r>
        <w:rPr>
          <w:rFonts w:ascii="Arial" w:hAnsi="Arial" w:cs="Arial"/>
          <w:color w:val="000000"/>
          <w:sz w:val="22"/>
          <w:szCs w:val="22"/>
        </w:rPr>
        <w:t>With respect to i</w:t>
      </w:r>
      <w:r w:rsidRPr="00985309">
        <w:rPr>
          <w:rFonts w:ascii="Arial" w:hAnsi="Arial" w:cs="Arial"/>
          <w:color w:val="000000"/>
          <w:sz w:val="22"/>
          <w:szCs w:val="22"/>
        </w:rPr>
        <w:t>nformation on intraday liquidity risk management</w:t>
      </w:r>
      <w:r>
        <w:rPr>
          <w:rFonts w:ascii="Arial" w:hAnsi="Arial" w:cs="Arial"/>
          <w:color w:val="000000"/>
          <w:sz w:val="22"/>
          <w:szCs w:val="22"/>
        </w:rPr>
        <w:t xml:space="preserve">, we are of the belief that introducing the notion of materiality would simplify the information collection process without affecting the ability of competent authorities to assess institutions’ ILAAP. More specifically, the CP outlines that with respect to </w:t>
      </w:r>
      <w:r w:rsidRPr="00985309">
        <w:rPr>
          <w:rFonts w:ascii="Arial" w:hAnsi="Arial" w:cs="Arial"/>
          <w:color w:val="000000"/>
          <w:sz w:val="22"/>
          <w:szCs w:val="22"/>
        </w:rPr>
        <w:t>the full implementation of intraday liquidity risk management</w:t>
      </w:r>
      <w:r>
        <w:rPr>
          <w:rFonts w:ascii="Arial" w:hAnsi="Arial" w:cs="Arial"/>
          <w:color w:val="000000"/>
          <w:sz w:val="22"/>
          <w:szCs w:val="22"/>
        </w:rPr>
        <w:t>,</w:t>
      </w:r>
      <w:r w:rsidRPr="00985309">
        <w:rPr>
          <w:rFonts w:ascii="Arial" w:hAnsi="Arial" w:cs="Arial"/>
          <w:color w:val="000000"/>
          <w:sz w:val="22"/>
          <w:szCs w:val="22"/>
        </w:rPr>
        <w:t xml:space="preserve"> </w:t>
      </w:r>
      <w:r>
        <w:rPr>
          <w:rFonts w:ascii="Arial" w:hAnsi="Arial" w:cs="Arial"/>
          <w:color w:val="000000"/>
          <w:sz w:val="22"/>
          <w:szCs w:val="22"/>
        </w:rPr>
        <w:t xml:space="preserve">authorities </w:t>
      </w:r>
      <w:r w:rsidRPr="00985309">
        <w:rPr>
          <w:rFonts w:ascii="Arial" w:hAnsi="Arial" w:cs="Arial"/>
          <w:color w:val="000000"/>
          <w:sz w:val="22"/>
          <w:szCs w:val="22"/>
        </w:rPr>
        <w:t>should ensure that they receive from institutions</w:t>
      </w:r>
      <w:r>
        <w:rPr>
          <w:rFonts w:ascii="Arial" w:hAnsi="Arial" w:cs="Arial"/>
          <w:color w:val="000000"/>
          <w:sz w:val="22"/>
          <w:szCs w:val="22"/>
        </w:rPr>
        <w:t xml:space="preserve"> an </w:t>
      </w:r>
      <w:r w:rsidRPr="00985309">
        <w:rPr>
          <w:rFonts w:ascii="Arial" w:hAnsi="Arial" w:cs="Arial"/>
          <w:color w:val="000000"/>
          <w:sz w:val="22"/>
          <w:szCs w:val="22"/>
        </w:rPr>
        <w:t>overview with explanation of any payments missed or obligations not met in a timely manner</w:t>
      </w:r>
      <w:r>
        <w:rPr>
          <w:rFonts w:ascii="Arial" w:hAnsi="Arial" w:cs="Arial"/>
          <w:color w:val="000000"/>
          <w:sz w:val="22"/>
          <w:szCs w:val="22"/>
        </w:rPr>
        <w:t>. This requirement could be amended to include only missed payments above a certain threshold, as a few missed payments of small materiality may have no significant impact on a bank’s liquidity.</w:t>
      </w:r>
    </w:p>
    <w:p w:rsidR="00861D10" w:rsidRDefault="00861D10" w:rsidP="0002490C">
      <w:pPr>
        <w:rPr>
          <w:rFonts w:ascii="Arial" w:hAnsi="Arial" w:cs="Arial"/>
          <w:color w:val="000000"/>
          <w:sz w:val="22"/>
          <w:szCs w:val="22"/>
        </w:rPr>
      </w:pPr>
    </w:p>
    <w:p w:rsidR="00861D10" w:rsidRDefault="00861D10" w:rsidP="0002490C">
      <w:pPr>
        <w:rPr>
          <w:rFonts w:ascii="Arial" w:hAnsi="Arial" w:cs="Arial"/>
          <w:color w:val="000000"/>
          <w:sz w:val="22"/>
          <w:szCs w:val="22"/>
        </w:rPr>
      </w:pPr>
      <w:r>
        <w:rPr>
          <w:rFonts w:ascii="Arial" w:hAnsi="Arial" w:cs="Arial"/>
          <w:color w:val="000000"/>
          <w:sz w:val="22"/>
          <w:szCs w:val="22"/>
        </w:rPr>
        <w:t>Furthermore, some further clarification would also be welcome regarding i</w:t>
      </w:r>
      <w:r w:rsidRPr="00861D10">
        <w:rPr>
          <w:rFonts w:ascii="Arial" w:hAnsi="Arial" w:cs="Arial"/>
          <w:color w:val="000000"/>
          <w:sz w:val="22"/>
          <w:szCs w:val="22"/>
        </w:rPr>
        <w:t xml:space="preserve">nformation on </w:t>
      </w:r>
      <w:r w:rsidR="00C274A4">
        <w:rPr>
          <w:rFonts w:ascii="Arial" w:hAnsi="Arial" w:cs="Arial"/>
          <w:color w:val="000000"/>
          <w:sz w:val="22"/>
          <w:szCs w:val="22"/>
        </w:rPr>
        <w:t>C</w:t>
      </w:r>
      <w:r w:rsidRPr="00861D10">
        <w:rPr>
          <w:rFonts w:ascii="Arial" w:hAnsi="Arial" w:cs="Arial"/>
          <w:color w:val="000000"/>
          <w:sz w:val="22"/>
          <w:szCs w:val="22"/>
        </w:rPr>
        <w:t xml:space="preserve">ontingency </w:t>
      </w:r>
      <w:r w:rsidR="00C274A4">
        <w:rPr>
          <w:rFonts w:ascii="Arial" w:hAnsi="Arial" w:cs="Arial"/>
          <w:color w:val="000000"/>
          <w:sz w:val="22"/>
          <w:szCs w:val="22"/>
        </w:rPr>
        <w:t>F</w:t>
      </w:r>
      <w:r w:rsidRPr="00861D10">
        <w:rPr>
          <w:rFonts w:ascii="Arial" w:hAnsi="Arial" w:cs="Arial"/>
          <w:color w:val="000000"/>
          <w:sz w:val="22"/>
          <w:szCs w:val="22"/>
        </w:rPr>
        <w:t xml:space="preserve">unding </w:t>
      </w:r>
      <w:r w:rsidR="00C274A4">
        <w:rPr>
          <w:rFonts w:ascii="Arial" w:hAnsi="Arial" w:cs="Arial"/>
          <w:color w:val="000000"/>
          <w:sz w:val="22"/>
          <w:szCs w:val="22"/>
        </w:rPr>
        <w:t>P</w:t>
      </w:r>
      <w:r w:rsidRPr="00861D10">
        <w:rPr>
          <w:rFonts w:ascii="Arial" w:hAnsi="Arial" w:cs="Arial"/>
          <w:color w:val="000000"/>
          <w:sz w:val="22"/>
          <w:szCs w:val="22"/>
        </w:rPr>
        <w:t>lan</w:t>
      </w:r>
      <w:r>
        <w:rPr>
          <w:rFonts w:ascii="Arial" w:hAnsi="Arial" w:cs="Arial"/>
          <w:color w:val="000000"/>
          <w:sz w:val="22"/>
          <w:szCs w:val="22"/>
        </w:rPr>
        <w:t xml:space="preserve">. First of all, a Contingency Funding Plan can be quite broad, covering measures for generating liquidity ranging from selling off assets to the market, to divesting parts of the business. Further clarity on the level of detail required with respect to the CFP would be appreciated. In </w:t>
      </w:r>
      <w:r>
        <w:rPr>
          <w:rFonts w:ascii="Arial" w:hAnsi="Arial" w:cs="Arial"/>
          <w:color w:val="000000"/>
          <w:sz w:val="22"/>
          <w:szCs w:val="22"/>
        </w:rPr>
        <w:lastRenderedPageBreak/>
        <w:t>addition, some clarification on the type of testing procedures that need to be described to competent authorities would also be welcome.</w:t>
      </w:r>
    </w:p>
    <w:p w:rsidR="00E31F1C" w:rsidRDefault="00E31F1C" w:rsidP="0002490C">
      <w:pPr>
        <w:rPr>
          <w:rFonts w:ascii="Arial" w:hAnsi="Arial" w:cs="Arial"/>
          <w:color w:val="000000"/>
          <w:sz w:val="22"/>
          <w:szCs w:val="22"/>
        </w:rPr>
      </w:pPr>
    </w:p>
    <w:p w:rsidR="00E31F1C" w:rsidRDefault="00E31F1C" w:rsidP="0002490C">
      <w:pPr>
        <w:rPr>
          <w:rFonts w:ascii="Arial" w:hAnsi="Arial" w:cs="Arial"/>
          <w:color w:val="000000"/>
          <w:sz w:val="22"/>
          <w:szCs w:val="22"/>
        </w:rPr>
      </w:pPr>
    </w:p>
    <w:p w:rsidR="00E12192" w:rsidRDefault="00E12192" w:rsidP="007D0460">
      <w:pPr>
        <w:jc w:val="center"/>
        <w:rPr>
          <w:rFonts w:ascii="Arial" w:hAnsi="Arial" w:cs="Arial"/>
          <w:color w:val="000000"/>
          <w:sz w:val="22"/>
          <w:szCs w:val="22"/>
        </w:rPr>
      </w:pPr>
    </w:p>
    <w:p w:rsidR="00E12192" w:rsidRPr="000A0FE1" w:rsidRDefault="00E12192" w:rsidP="00E12192">
      <w:pPr>
        <w:autoSpaceDE w:val="0"/>
        <w:autoSpaceDN w:val="0"/>
        <w:adjustRightInd w:val="0"/>
        <w:rPr>
          <w:rFonts w:ascii="Arial" w:hAnsi="Arial" w:cs="Arial"/>
          <w:color w:val="000000"/>
          <w:sz w:val="16"/>
          <w:szCs w:val="16"/>
          <w:lang w:eastAsia="en-GB"/>
        </w:rPr>
      </w:pPr>
      <w:r w:rsidRPr="000A0FE1">
        <w:rPr>
          <w:rFonts w:ascii="Arial" w:hAnsi="Arial" w:cs="Arial"/>
          <w:b/>
          <w:bCs/>
          <w:i/>
          <w:iCs/>
          <w:color w:val="000000"/>
          <w:sz w:val="16"/>
          <w:szCs w:val="16"/>
          <w:lang w:eastAsia="en-GB"/>
        </w:rPr>
        <w:t xml:space="preserve">Responsible executive </w:t>
      </w:r>
    </w:p>
    <w:p w:rsidR="00E12192" w:rsidRPr="000A0FE1" w:rsidRDefault="00E12192" w:rsidP="00E12192">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Dimitrios Catsambas</w:t>
      </w:r>
    </w:p>
    <w:p w:rsidR="00E12192" w:rsidRPr="004F2A1B" w:rsidRDefault="00E12192" w:rsidP="00E12192">
      <w:pPr>
        <w:autoSpaceDE w:val="0"/>
        <w:autoSpaceDN w:val="0"/>
        <w:adjustRightInd w:val="0"/>
        <w:rPr>
          <w:rFonts w:ascii="Arial" w:hAnsi="Arial" w:cs="Arial"/>
          <w:i/>
          <w:color w:val="000000"/>
          <w:sz w:val="16"/>
          <w:szCs w:val="16"/>
          <w:lang w:eastAsia="en-GB"/>
        </w:rPr>
      </w:pPr>
      <w:r w:rsidRPr="004F2A1B">
        <w:rPr>
          <w:rFonts w:ascii="Arial" w:hAnsi="Arial" w:cs="Arial"/>
          <w:i/>
          <w:color w:val="000000"/>
          <w:sz w:val="16"/>
          <w:szCs w:val="16"/>
          <w:lang w:eastAsia="en-GB"/>
        </w:rPr>
        <w:t xml:space="preserve">British Bankers Association </w:t>
      </w:r>
    </w:p>
    <w:p w:rsidR="00E12192" w:rsidRPr="000A0FE1" w:rsidRDefault="00E12192" w:rsidP="00E12192">
      <w:pPr>
        <w:autoSpaceDE w:val="0"/>
        <w:autoSpaceDN w:val="0"/>
        <w:adjustRightInd w:val="0"/>
        <w:rPr>
          <w:rFonts w:ascii="Arial" w:hAnsi="Arial" w:cs="Arial"/>
          <w:color w:val="000000"/>
          <w:sz w:val="16"/>
          <w:szCs w:val="16"/>
          <w:lang w:eastAsia="en-GB"/>
        </w:rPr>
      </w:pPr>
      <w:r w:rsidRPr="000A0FE1">
        <w:rPr>
          <w:rFonts w:ascii="Wingdings" w:hAnsi="Wingdings" w:cs="Wingdings"/>
          <w:color w:val="000000"/>
          <w:sz w:val="16"/>
          <w:szCs w:val="16"/>
          <w:lang w:eastAsia="en-GB"/>
        </w:rPr>
        <w:t></w:t>
      </w:r>
      <w:r w:rsidRPr="000A0FE1">
        <w:rPr>
          <w:rFonts w:ascii="Wingdings" w:hAnsi="Wingdings" w:cs="Wingdings"/>
          <w:color w:val="000000"/>
          <w:sz w:val="16"/>
          <w:szCs w:val="16"/>
          <w:lang w:eastAsia="en-GB"/>
        </w:rPr>
        <w:t></w:t>
      </w:r>
      <w:r w:rsidRPr="000A0FE1">
        <w:rPr>
          <w:rFonts w:ascii="Arial" w:hAnsi="Arial" w:cs="Arial"/>
          <w:color w:val="000000"/>
          <w:sz w:val="16"/>
          <w:szCs w:val="16"/>
          <w:lang w:eastAsia="en-GB"/>
        </w:rPr>
        <w:t xml:space="preserve">+44 (0) </w:t>
      </w:r>
      <w:r w:rsidRPr="00E12192">
        <w:rPr>
          <w:rFonts w:ascii="Arial" w:hAnsi="Arial" w:cs="Arial"/>
          <w:color w:val="000000"/>
          <w:sz w:val="16"/>
          <w:szCs w:val="16"/>
          <w:lang w:eastAsia="en-GB"/>
        </w:rPr>
        <w:t>20 7216 8891</w:t>
      </w:r>
    </w:p>
    <w:p w:rsidR="00E12192" w:rsidRDefault="00E12192" w:rsidP="00E12192">
      <w:pPr>
        <w:rPr>
          <w:rFonts w:ascii="Arial" w:hAnsi="Arial" w:cs="Arial"/>
          <w:color w:val="000000"/>
          <w:sz w:val="22"/>
          <w:szCs w:val="22"/>
        </w:rPr>
      </w:pPr>
      <w:r w:rsidRPr="000A0FE1">
        <w:rPr>
          <w:rFonts w:ascii="Segoe UI Symbol" w:hAnsi="Segoe UI Symbol" w:cs="Segoe UI Symbol"/>
          <w:color w:val="000000"/>
          <w:sz w:val="16"/>
          <w:szCs w:val="16"/>
          <w:lang w:eastAsia="en-GB"/>
        </w:rPr>
        <w:t>📧</w:t>
      </w:r>
      <w:r w:rsidRPr="000A0FE1">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Pr>
          <w:rFonts w:ascii="Calibri" w:hAnsi="Calibri" w:cs="Calibri"/>
          <w:color w:val="000000"/>
          <w:sz w:val="16"/>
          <w:szCs w:val="16"/>
          <w:lang w:eastAsia="en-GB"/>
        </w:rPr>
        <w:t>dimitrios</w:t>
      </w:r>
      <w:r w:rsidRPr="000A0FE1">
        <w:rPr>
          <w:rFonts w:ascii="Calibri" w:hAnsi="Calibri" w:cs="Calibri"/>
          <w:color w:val="000000"/>
          <w:sz w:val="16"/>
          <w:szCs w:val="16"/>
          <w:lang w:eastAsia="en-GB"/>
        </w:rPr>
        <w:t>.</w:t>
      </w:r>
      <w:r>
        <w:rPr>
          <w:rFonts w:ascii="Calibri" w:hAnsi="Calibri" w:cs="Calibri"/>
          <w:color w:val="000000"/>
          <w:sz w:val="16"/>
          <w:szCs w:val="16"/>
          <w:lang w:eastAsia="en-GB"/>
        </w:rPr>
        <w:t>catsambas</w:t>
      </w:r>
      <w:r w:rsidRPr="000A0FE1">
        <w:rPr>
          <w:rFonts w:ascii="Calibri" w:hAnsi="Calibri" w:cs="Calibri"/>
          <w:color w:val="000000"/>
          <w:sz w:val="16"/>
          <w:szCs w:val="16"/>
          <w:lang w:eastAsia="en-GB"/>
        </w:rPr>
        <w:t>@bba.org.uk</w:t>
      </w:r>
    </w:p>
    <w:p w:rsidR="00E12192" w:rsidRDefault="00E12192" w:rsidP="0002490C">
      <w:pPr>
        <w:rPr>
          <w:rFonts w:ascii="Arial" w:hAnsi="Arial" w:cs="Arial"/>
          <w:color w:val="000000"/>
          <w:sz w:val="22"/>
          <w:szCs w:val="22"/>
        </w:rPr>
      </w:pPr>
    </w:p>
    <w:sectPr w:rsidR="00E12192" w:rsidSect="009914E5">
      <w:headerReference w:type="even" r:id="rId10"/>
      <w:headerReference w:type="default" r:id="rId11"/>
      <w:footerReference w:type="default" r:id="rId12"/>
      <w:footerReference w:type="first" r:id="rId13"/>
      <w:pgSz w:w="11906" w:h="16838" w:code="9"/>
      <w:pgMar w:top="1656" w:right="680" w:bottom="720" w:left="1418" w:header="1151" w:footer="57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4BC" w:rsidRDefault="00B454BC">
      <w:r>
        <w:separator/>
      </w:r>
    </w:p>
  </w:endnote>
  <w:endnote w:type="continuationSeparator" w:id="0">
    <w:p w:rsidR="00B454BC" w:rsidRDefault="00B45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A4" w:rsidRPr="006E475C" w:rsidRDefault="006E475C" w:rsidP="006E475C">
    <w:pPr>
      <w:pStyle w:val="Footer"/>
      <w:jc w:val="center"/>
      <w:rPr>
        <w:rFonts w:ascii="Arial" w:hAnsi="Arial" w:cs="Arial"/>
        <w:i/>
        <w:sz w:val="16"/>
        <w:szCs w:val="16"/>
      </w:rPr>
    </w:pPr>
    <w:r w:rsidRPr="006E475C">
      <w:rPr>
        <w:rFonts w:ascii="Arial" w:hAnsi="Arial" w:cs="Arial"/>
        <w:i/>
        <w:snapToGrid w:val="0"/>
        <w:sz w:val="16"/>
        <w:szCs w:val="16"/>
      </w:rPr>
      <w:t xml:space="preserve">Draft BBA response to the </w:t>
    </w:r>
    <w:r w:rsidR="000700CC">
      <w:rPr>
        <w:rFonts w:ascii="Arial" w:hAnsi="Arial" w:cs="Arial"/>
        <w:i/>
        <w:snapToGrid w:val="0"/>
        <w:sz w:val="16"/>
        <w:szCs w:val="16"/>
      </w:rPr>
      <w:t>EBA</w:t>
    </w:r>
    <w:r w:rsidRPr="006E475C">
      <w:rPr>
        <w:rFonts w:ascii="Arial" w:hAnsi="Arial" w:cs="Arial"/>
        <w:i/>
        <w:snapToGrid w:val="0"/>
        <w:sz w:val="16"/>
        <w:szCs w:val="16"/>
      </w:rPr>
      <w:t xml:space="preserve">’s </w:t>
    </w:r>
    <w:r w:rsidR="000700CC">
      <w:rPr>
        <w:rFonts w:ascii="Arial" w:hAnsi="Arial" w:cs="Arial"/>
        <w:i/>
        <w:snapToGrid w:val="0"/>
        <w:sz w:val="16"/>
        <w:szCs w:val="16"/>
      </w:rPr>
      <w:t xml:space="preserve">guidelines </w:t>
    </w:r>
    <w:r w:rsidR="000700CC" w:rsidRPr="000700CC">
      <w:rPr>
        <w:rFonts w:ascii="Arial" w:hAnsi="Arial" w:cs="Arial"/>
        <w:i/>
        <w:snapToGrid w:val="0"/>
        <w:sz w:val="16"/>
        <w:szCs w:val="16"/>
      </w:rPr>
      <w:t>on ICAAP and ILAAP information collected for SREP purposes</w:t>
    </w:r>
  </w:p>
  <w:p w:rsidR="00CE37A4" w:rsidRDefault="00CE37A4">
    <w:pPr>
      <w:pStyle w:val="Footer"/>
      <w:jc w:val="right"/>
      <w:rPr>
        <w:sz w:val="12"/>
      </w:rPr>
    </w:pPr>
  </w:p>
  <w:p w:rsidR="00CE37A4" w:rsidRDefault="00CE37A4">
    <w:pPr>
      <w:pStyle w:val="Footer"/>
      <w:jc w:val="right"/>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929" w:rsidRDefault="00120BE4" w:rsidP="007C1929">
    <w:pPr>
      <w:pStyle w:val="Footer"/>
      <w:ind w:right="667"/>
      <w:jc w:val="right"/>
      <w:rPr>
        <w:snapToGrid w:val="0"/>
        <w:sz w:val="12"/>
      </w:rPr>
    </w:pPr>
    <w:r>
      <w:rPr>
        <w:noProof/>
        <w:sz w:val="12"/>
        <w:lang w:eastAsia="en-GB"/>
      </w:rPr>
      <w:drawing>
        <wp:anchor distT="0" distB="0" distL="114300" distR="114300" simplePos="0" relativeHeight="251657216" behindDoc="1" locked="0" layoutInCell="1" allowOverlap="1" wp14:anchorId="719F3765" wp14:editId="041D1462">
          <wp:simplePos x="0" y="0"/>
          <wp:positionH relativeFrom="column">
            <wp:posOffset>-50165</wp:posOffset>
          </wp:positionH>
          <wp:positionV relativeFrom="paragraph">
            <wp:posOffset>36195</wp:posOffset>
          </wp:positionV>
          <wp:extent cx="2991600" cy="73440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91600" cy="73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1929" w:rsidRDefault="007C1929" w:rsidP="007C1929">
    <w:pPr>
      <w:pStyle w:val="Footer"/>
      <w:ind w:right="667"/>
      <w:jc w:val="right"/>
      <w:rPr>
        <w:snapToGrid w:val="0"/>
        <w:sz w:val="12"/>
      </w:rPr>
    </w:pPr>
  </w:p>
  <w:p w:rsidR="007C1929" w:rsidRDefault="007C1929" w:rsidP="007C1929">
    <w:pPr>
      <w:pStyle w:val="Footer"/>
      <w:ind w:right="667"/>
      <w:jc w:val="right"/>
      <w:rPr>
        <w:snapToGrid w:val="0"/>
        <w:sz w:val="12"/>
      </w:rPr>
    </w:pPr>
  </w:p>
  <w:p w:rsidR="007C1929" w:rsidRDefault="007C1929" w:rsidP="007C1929">
    <w:pPr>
      <w:pStyle w:val="Footer"/>
      <w:ind w:right="667"/>
      <w:jc w:val="right"/>
      <w:rPr>
        <w:snapToGrid w:val="0"/>
        <w:sz w:val="12"/>
      </w:rPr>
    </w:pPr>
  </w:p>
  <w:p w:rsidR="009914E5" w:rsidRDefault="009914E5" w:rsidP="007C1929">
    <w:pPr>
      <w:pStyle w:val="Footer"/>
      <w:ind w:right="667"/>
      <w:jc w:val="right"/>
      <w:rPr>
        <w:snapToGrid w:val="0"/>
        <w:sz w:val="12"/>
      </w:rPr>
    </w:pPr>
  </w:p>
  <w:p w:rsidR="007C1929" w:rsidRDefault="007C1929" w:rsidP="007C1929">
    <w:pPr>
      <w:pStyle w:val="Footer"/>
      <w:ind w:right="667"/>
      <w:jc w:val="right"/>
      <w:rPr>
        <w:snapToGrid w:val="0"/>
        <w:sz w:val="12"/>
      </w:rPr>
    </w:pPr>
  </w:p>
  <w:p w:rsidR="007C1929" w:rsidRDefault="007C1929" w:rsidP="007C1929">
    <w:pPr>
      <w:pStyle w:val="Footer"/>
      <w:ind w:right="667"/>
      <w:jc w:val="right"/>
      <w:rPr>
        <w:snapToGrid w:val="0"/>
        <w:sz w:val="12"/>
      </w:rPr>
    </w:pPr>
  </w:p>
  <w:p w:rsidR="007C1929" w:rsidRDefault="007C1929" w:rsidP="007C1929">
    <w:pPr>
      <w:pStyle w:val="Footer"/>
      <w:ind w:right="667"/>
      <w:jc w:val="right"/>
      <w:rPr>
        <w:snapToGrid w:val="0"/>
        <w:sz w:val="12"/>
      </w:rPr>
    </w:pPr>
  </w:p>
  <w:p w:rsidR="007C1929" w:rsidRDefault="007C1929" w:rsidP="007C1929">
    <w:pPr>
      <w:pStyle w:val="Footer"/>
      <w:ind w:right="667"/>
      <w:jc w:val="right"/>
      <w:rPr>
        <w:snapToGrid w:val="0"/>
        <w:sz w:val="12"/>
      </w:rPr>
    </w:pPr>
  </w:p>
  <w:p w:rsidR="00CE37A4" w:rsidRDefault="00120BE4" w:rsidP="007C1929">
    <w:pPr>
      <w:pStyle w:val="Footer"/>
      <w:ind w:right="667"/>
      <w:jc w:val="right"/>
      <w:rPr>
        <w:sz w:val="12"/>
      </w:rPr>
    </w:pPr>
    <w:r>
      <w:rPr>
        <w:snapToGrid w:val="0"/>
        <w:sz w:val="12"/>
      </w:rPr>
      <w:fldChar w:fldCharType="begin"/>
    </w:r>
    <w:r>
      <w:rPr>
        <w:snapToGrid w:val="0"/>
        <w:sz w:val="12"/>
      </w:rPr>
      <w:instrText xml:space="preserve"> FILENAME  </w:instrText>
    </w:r>
    <w:r>
      <w:rPr>
        <w:snapToGrid w:val="0"/>
        <w:sz w:val="12"/>
      </w:rPr>
      <w:fldChar w:fldCharType="separate"/>
    </w:r>
    <w:r w:rsidR="00B454BC">
      <w:rPr>
        <w:noProof/>
        <w:snapToGrid w:val="0"/>
        <w:sz w:val="12"/>
      </w:rPr>
      <w:t>Document1</w:t>
    </w:r>
    <w:r>
      <w:rPr>
        <w:snapToGrid w:val="0"/>
        <w:sz w:val="12"/>
      </w:rPr>
      <w:fldChar w:fldCharType="end"/>
    </w:r>
    <w:r w:rsidR="00CE37A4">
      <w:rPr>
        <w:sz w:val="12"/>
      </w:rPr>
      <w:t xml:space="preserve">  </w:t>
    </w:r>
    <w:r w:rsidR="00CE37A4">
      <w:rPr>
        <w:sz w:val="12"/>
      </w:rPr>
      <w:fldChar w:fldCharType="begin"/>
    </w:r>
    <w:r w:rsidR="00CE37A4">
      <w:rPr>
        <w:sz w:val="12"/>
      </w:rPr>
      <w:instrText xml:space="preserve"> DATE \@ "d MMMM yyyy" </w:instrText>
    </w:r>
    <w:r w:rsidR="00CE37A4">
      <w:rPr>
        <w:sz w:val="12"/>
      </w:rPr>
      <w:fldChar w:fldCharType="separate"/>
    </w:r>
    <w:r w:rsidR="00F84EBE">
      <w:rPr>
        <w:noProof/>
        <w:sz w:val="12"/>
      </w:rPr>
      <w:t>11 March 2016</w:t>
    </w:r>
    <w:r w:rsidR="00CE37A4">
      <w:rPr>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4BC" w:rsidRDefault="00B454BC">
      <w:r>
        <w:separator/>
      </w:r>
    </w:p>
  </w:footnote>
  <w:footnote w:type="continuationSeparator" w:id="0">
    <w:p w:rsidR="00B454BC" w:rsidRDefault="00B454BC">
      <w:r>
        <w:continuationSeparator/>
      </w:r>
    </w:p>
  </w:footnote>
  <w:footnote w:id="1">
    <w:p w:rsidR="00BE712A" w:rsidRDefault="00BE712A" w:rsidP="006410D4">
      <w:pPr>
        <w:pStyle w:val="FootnoteText"/>
        <w:tabs>
          <w:tab w:val="left" w:pos="3870"/>
        </w:tabs>
      </w:pPr>
      <w:r>
        <w:rPr>
          <w:rStyle w:val="FootnoteReference"/>
        </w:rPr>
        <w:footnoteRef/>
      </w:r>
      <w:r>
        <w:t xml:space="preserve"> </w:t>
      </w:r>
      <w:r w:rsidR="006410D4" w:rsidRPr="006410D4">
        <w:rPr>
          <w:rFonts w:ascii="Arial" w:hAnsi="Arial" w:cs="Arial"/>
        </w:rPr>
        <w:t>https://www.eba.europa.eu/documents/10180/1307235/EBA-CP-2015-26+%28CP+on+GL+on+ICAAP+and+ILAAP+Information%29.docx</w:t>
      </w:r>
      <w:r w:rsidR="006410D4">
        <w:rPr>
          <w:rFonts w:ascii="Arial" w:hAnsi="Arial" w:cs="Arial"/>
        </w:rPr>
        <w:tab/>
      </w:r>
    </w:p>
  </w:footnote>
  <w:footnote w:id="2">
    <w:p w:rsidR="001D10BA" w:rsidRDefault="001D10BA">
      <w:pPr>
        <w:pStyle w:val="FootnoteText"/>
      </w:pPr>
      <w:r>
        <w:rPr>
          <w:rStyle w:val="FootnoteReference"/>
        </w:rPr>
        <w:footnoteRef/>
      </w:r>
      <w:r>
        <w:t xml:space="preserve"> </w:t>
      </w:r>
      <w:r w:rsidRPr="001D10BA">
        <w:t>http://www.bankofengland.co.uk/pra/Documents/publications/ss/2015/ss3115update.pdf</w:t>
      </w:r>
    </w:p>
  </w:footnote>
  <w:footnote w:id="3">
    <w:p w:rsidR="001D10BA" w:rsidRDefault="001D10BA">
      <w:pPr>
        <w:pStyle w:val="FootnoteText"/>
      </w:pPr>
      <w:r>
        <w:rPr>
          <w:rStyle w:val="FootnoteReference"/>
        </w:rPr>
        <w:footnoteRef/>
      </w:r>
      <w:r>
        <w:t xml:space="preserve"> </w:t>
      </w:r>
      <w:r w:rsidRPr="001D10BA">
        <w:t>http://www.bankofengland.co.uk/pra/documents/publications/ss/2015/ss2415.pdf</w:t>
      </w:r>
    </w:p>
  </w:footnote>
  <w:footnote w:id="4">
    <w:p w:rsidR="007D0460" w:rsidRDefault="007D0460">
      <w:pPr>
        <w:pStyle w:val="FootnoteText"/>
      </w:pPr>
      <w:r>
        <w:rPr>
          <w:rStyle w:val="FootnoteReference"/>
        </w:rPr>
        <w:footnoteRef/>
      </w:r>
      <w:r>
        <w:t xml:space="preserve"> </w:t>
      </w:r>
      <w:r w:rsidRPr="007D0460">
        <w:t>http://www.bis.org/publ/bcbs239.pdf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A4" w:rsidRDefault="00CE37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E37A4" w:rsidRDefault="00CE37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A4" w:rsidRPr="0002490C" w:rsidRDefault="00F84EBE">
    <w:pPr>
      <w:pStyle w:val="Header"/>
      <w:framePr w:wrap="around" w:vAnchor="text" w:hAnchor="margin" w:xAlign="center" w:y="1"/>
      <w:rPr>
        <w:rStyle w:val="PageNumber"/>
        <w:rFonts w:ascii="Arial" w:hAnsi="Arial" w:cs="Arial"/>
        <w:sz w:val="20"/>
      </w:rPr>
    </w:pPr>
    <w:sdt>
      <w:sdtPr>
        <w:rPr>
          <w:rStyle w:val="PageNumber"/>
          <w:rFonts w:ascii="Arial" w:hAnsi="Arial" w:cs="Arial"/>
          <w:sz w:val="20"/>
        </w:rPr>
        <w:id w:val="-436521051"/>
        <w:docPartObj>
          <w:docPartGallery w:val="Watermarks"/>
          <w:docPartUnique/>
        </w:docPartObj>
      </w:sdtPr>
      <w:sdtEndPr>
        <w:rPr>
          <w:rStyle w:val="PageNumber"/>
        </w:rPr>
      </w:sdtEndPr>
      <w:sdtContent>
        <w:r>
          <w:rPr>
            <w:rStyle w:val="PageNumber"/>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E37A4" w:rsidRPr="0002490C">
      <w:rPr>
        <w:rStyle w:val="PageNumber"/>
        <w:rFonts w:ascii="Arial" w:hAnsi="Arial" w:cs="Arial"/>
        <w:sz w:val="20"/>
      </w:rPr>
      <w:fldChar w:fldCharType="begin"/>
    </w:r>
    <w:r w:rsidR="00CE37A4" w:rsidRPr="0002490C">
      <w:rPr>
        <w:rStyle w:val="PageNumber"/>
        <w:rFonts w:ascii="Arial" w:hAnsi="Arial" w:cs="Arial"/>
        <w:sz w:val="20"/>
      </w:rPr>
      <w:instrText xml:space="preserve">PAGE  </w:instrText>
    </w:r>
    <w:r w:rsidR="00CE37A4" w:rsidRPr="0002490C">
      <w:rPr>
        <w:rStyle w:val="PageNumber"/>
        <w:rFonts w:ascii="Arial" w:hAnsi="Arial" w:cs="Arial"/>
        <w:sz w:val="20"/>
      </w:rPr>
      <w:fldChar w:fldCharType="separate"/>
    </w:r>
    <w:r>
      <w:rPr>
        <w:rStyle w:val="PageNumber"/>
        <w:rFonts w:ascii="Arial" w:hAnsi="Arial" w:cs="Arial"/>
        <w:noProof/>
        <w:sz w:val="20"/>
      </w:rPr>
      <w:t>2</w:t>
    </w:r>
    <w:r w:rsidR="00CE37A4" w:rsidRPr="0002490C">
      <w:rPr>
        <w:rStyle w:val="PageNumber"/>
        <w:rFonts w:ascii="Arial" w:hAnsi="Arial" w:cs="Arial"/>
        <w:sz w:val="20"/>
      </w:rPr>
      <w:fldChar w:fldCharType="end"/>
    </w:r>
  </w:p>
  <w:p w:rsidR="00CE37A4" w:rsidRDefault="00CE37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488C"/>
    <w:multiLevelType w:val="hybridMultilevel"/>
    <w:tmpl w:val="577226D4"/>
    <w:lvl w:ilvl="0" w:tplc="F8D21E54">
      <w:start w:val="1"/>
      <w:numFmt w:val="lowerRoman"/>
      <w:lvlText w:val="%1."/>
      <w:lvlJc w:val="left"/>
      <w:pPr>
        <w:tabs>
          <w:tab w:val="num" w:pos="2138"/>
        </w:tabs>
        <w:ind w:left="2138" w:hanging="720"/>
      </w:pPr>
      <w:rPr>
        <w:rFonts w:hint="default"/>
        <w:i w:val="0"/>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
    <w:nsid w:val="3C64120B"/>
    <w:multiLevelType w:val="hybridMultilevel"/>
    <w:tmpl w:val="4EC8AC1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1F311C2"/>
    <w:multiLevelType w:val="hybridMultilevel"/>
    <w:tmpl w:val="92E864C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72056A04"/>
    <w:multiLevelType w:val="hybridMultilevel"/>
    <w:tmpl w:val="D8B64892"/>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4">
    <w:nsid w:val="75A21703"/>
    <w:multiLevelType w:val="hybridMultilevel"/>
    <w:tmpl w:val="ED72C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BC"/>
    <w:rsid w:val="0002490C"/>
    <w:rsid w:val="00026E03"/>
    <w:rsid w:val="00034214"/>
    <w:rsid w:val="000357C9"/>
    <w:rsid w:val="00045EE9"/>
    <w:rsid w:val="00050E1D"/>
    <w:rsid w:val="00052DC9"/>
    <w:rsid w:val="00053D3F"/>
    <w:rsid w:val="0006345D"/>
    <w:rsid w:val="000700CC"/>
    <w:rsid w:val="00076075"/>
    <w:rsid w:val="000924DB"/>
    <w:rsid w:val="000A7EBA"/>
    <w:rsid w:val="000E2B28"/>
    <w:rsid w:val="000F6E55"/>
    <w:rsid w:val="00120BE4"/>
    <w:rsid w:val="00131BAD"/>
    <w:rsid w:val="00137707"/>
    <w:rsid w:val="00153D57"/>
    <w:rsid w:val="00170295"/>
    <w:rsid w:val="00183082"/>
    <w:rsid w:val="001876B4"/>
    <w:rsid w:val="001A234C"/>
    <w:rsid w:val="001A24A4"/>
    <w:rsid w:val="001A540C"/>
    <w:rsid w:val="001D10BA"/>
    <w:rsid w:val="001D212C"/>
    <w:rsid w:val="001D78B3"/>
    <w:rsid w:val="002048FB"/>
    <w:rsid w:val="00230C3D"/>
    <w:rsid w:val="00232E3D"/>
    <w:rsid w:val="00252498"/>
    <w:rsid w:val="00254FC6"/>
    <w:rsid w:val="00262306"/>
    <w:rsid w:val="002655EC"/>
    <w:rsid w:val="00267604"/>
    <w:rsid w:val="00272839"/>
    <w:rsid w:val="00294286"/>
    <w:rsid w:val="002A5F32"/>
    <w:rsid w:val="002E769C"/>
    <w:rsid w:val="002F7735"/>
    <w:rsid w:val="00305C26"/>
    <w:rsid w:val="00313146"/>
    <w:rsid w:val="00323558"/>
    <w:rsid w:val="00335F55"/>
    <w:rsid w:val="00367AB0"/>
    <w:rsid w:val="0037429A"/>
    <w:rsid w:val="003968F0"/>
    <w:rsid w:val="003C5DBD"/>
    <w:rsid w:val="003E78B7"/>
    <w:rsid w:val="00403915"/>
    <w:rsid w:val="0043601F"/>
    <w:rsid w:val="004432A9"/>
    <w:rsid w:val="00481B83"/>
    <w:rsid w:val="00484684"/>
    <w:rsid w:val="004F1E9F"/>
    <w:rsid w:val="004F64D8"/>
    <w:rsid w:val="0050086A"/>
    <w:rsid w:val="00511F49"/>
    <w:rsid w:val="005653AF"/>
    <w:rsid w:val="005D7B92"/>
    <w:rsid w:val="005F3326"/>
    <w:rsid w:val="006028C9"/>
    <w:rsid w:val="00607BFC"/>
    <w:rsid w:val="00626784"/>
    <w:rsid w:val="006410D4"/>
    <w:rsid w:val="00656578"/>
    <w:rsid w:val="00687BAE"/>
    <w:rsid w:val="006B6278"/>
    <w:rsid w:val="006C04D8"/>
    <w:rsid w:val="006E290B"/>
    <w:rsid w:val="006E475C"/>
    <w:rsid w:val="0074184F"/>
    <w:rsid w:val="00752B00"/>
    <w:rsid w:val="00767F7C"/>
    <w:rsid w:val="00772645"/>
    <w:rsid w:val="00776A8E"/>
    <w:rsid w:val="00781B1A"/>
    <w:rsid w:val="00790881"/>
    <w:rsid w:val="007A3367"/>
    <w:rsid w:val="007B768F"/>
    <w:rsid w:val="007C1929"/>
    <w:rsid w:val="007D0460"/>
    <w:rsid w:val="00800BEA"/>
    <w:rsid w:val="0081379F"/>
    <w:rsid w:val="00823591"/>
    <w:rsid w:val="008605ED"/>
    <w:rsid w:val="00861D10"/>
    <w:rsid w:val="00864213"/>
    <w:rsid w:val="008A3C22"/>
    <w:rsid w:val="008F600D"/>
    <w:rsid w:val="008F7003"/>
    <w:rsid w:val="00903597"/>
    <w:rsid w:val="009356AD"/>
    <w:rsid w:val="00941837"/>
    <w:rsid w:val="00944A2C"/>
    <w:rsid w:val="009627D5"/>
    <w:rsid w:val="009714A8"/>
    <w:rsid w:val="0097398D"/>
    <w:rsid w:val="00985309"/>
    <w:rsid w:val="009914E5"/>
    <w:rsid w:val="009B0764"/>
    <w:rsid w:val="009C1E92"/>
    <w:rsid w:val="009D3E4F"/>
    <w:rsid w:val="009E0964"/>
    <w:rsid w:val="00A62CB1"/>
    <w:rsid w:val="00A7735C"/>
    <w:rsid w:val="00A77603"/>
    <w:rsid w:val="00A776CA"/>
    <w:rsid w:val="00A94359"/>
    <w:rsid w:val="00AA3B5F"/>
    <w:rsid w:val="00AA6441"/>
    <w:rsid w:val="00AA735A"/>
    <w:rsid w:val="00AE79B8"/>
    <w:rsid w:val="00AF14ED"/>
    <w:rsid w:val="00B454BC"/>
    <w:rsid w:val="00B45BDE"/>
    <w:rsid w:val="00B62F31"/>
    <w:rsid w:val="00B870DD"/>
    <w:rsid w:val="00BA020A"/>
    <w:rsid w:val="00BB5B9A"/>
    <w:rsid w:val="00BB5CDD"/>
    <w:rsid w:val="00BD72C4"/>
    <w:rsid w:val="00BE12B4"/>
    <w:rsid w:val="00BE4291"/>
    <w:rsid w:val="00BE45BF"/>
    <w:rsid w:val="00BE712A"/>
    <w:rsid w:val="00BF6031"/>
    <w:rsid w:val="00C06D9A"/>
    <w:rsid w:val="00C274A4"/>
    <w:rsid w:val="00C6430B"/>
    <w:rsid w:val="00C76BA2"/>
    <w:rsid w:val="00C83D4E"/>
    <w:rsid w:val="00C96714"/>
    <w:rsid w:val="00CB6263"/>
    <w:rsid w:val="00CD2002"/>
    <w:rsid w:val="00CE051F"/>
    <w:rsid w:val="00CE37A4"/>
    <w:rsid w:val="00D07B36"/>
    <w:rsid w:val="00D460DA"/>
    <w:rsid w:val="00D91C4E"/>
    <w:rsid w:val="00DB50C5"/>
    <w:rsid w:val="00DB73D9"/>
    <w:rsid w:val="00DD0229"/>
    <w:rsid w:val="00DD1D98"/>
    <w:rsid w:val="00DD70DE"/>
    <w:rsid w:val="00DE6C73"/>
    <w:rsid w:val="00DF44EE"/>
    <w:rsid w:val="00E01472"/>
    <w:rsid w:val="00E0637C"/>
    <w:rsid w:val="00E12192"/>
    <w:rsid w:val="00E31F1C"/>
    <w:rsid w:val="00E8217A"/>
    <w:rsid w:val="00E914C1"/>
    <w:rsid w:val="00EA290D"/>
    <w:rsid w:val="00EA6656"/>
    <w:rsid w:val="00EC0463"/>
    <w:rsid w:val="00ED0646"/>
    <w:rsid w:val="00ED4F55"/>
    <w:rsid w:val="00EE1A0A"/>
    <w:rsid w:val="00EF403B"/>
    <w:rsid w:val="00F02F4E"/>
    <w:rsid w:val="00F12289"/>
    <w:rsid w:val="00F35D9D"/>
    <w:rsid w:val="00F662C3"/>
    <w:rsid w:val="00F66A88"/>
    <w:rsid w:val="00F82AE9"/>
    <w:rsid w:val="00F84EBE"/>
    <w:rsid w:val="00FA09C4"/>
    <w:rsid w:val="00FC458F"/>
    <w:rsid w:val="00FD44C3"/>
    <w:rsid w:val="00FE305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link w:val="Heading1Char"/>
    <w:uiPriority w:val="9"/>
    <w:qFormat/>
    <w:rsid w:val="009C1E92"/>
    <w:pPr>
      <w:spacing w:before="100" w:beforeAutospacing="1" w:after="100" w:afterAutospacing="1"/>
      <w:outlineLvl w:val="0"/>
    </w:pPr>
    <w:rPr>
      <w:b/>
      <w:bCs/>
      <w:kern w:val="36"/>
      <w:sz w:val="48"/>
      <w:szCs w:val="48"/>
      <w:lang w:eastAsia="en-GB"/>
    </w:rPr>
  </w:style>
  <w:style w:type="paragraph" w:styleId="Heading2">
    <w:name w:val="heading 2"/>
    <w:basedOn w:val="Normal"/>
    <w:next w:val="Normal"/>
    <w:link w:val="Heading2Char"/>
    <w:semiHidden/>
    <w:unhideWhenUsed/>
    <w:qFormat/>
    <w:rsid w:val="00B45BD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120BE4"/>
    <w:rPr>
      <w:rFonts w:ascii="Tahoma" w:hAnsi="Tahoma" w:cs="Tahoma"/>
      <w:sz w:val="16"/>
      <w:szCs w:val="16"/>
    </w:rPr>
  </w:style>
  <w:style w:type="character" w:customStyle="1" w:styleId="BalloonTextChar">
    <w:name w:val="Balloon Text Char"/>
    <w:basedOn w:val="DefaultParagraphFont"/>
    <w:link w:val="BalloonText"/>
    <w:rsid w:val="00120BE4"/>
    <w:rPr>
      <w:rFonts w:ascii="Tahoma" w:hAnsi="Tahoma" w:cs="Tahoma"/>
      <w:sz w:val="16"/>
      <w:szCs w:val="16"/>
      <w:lang w:eastAsia="en-US"/>
    </w:rPr>
  </w:style>
  <w:style w:type="paragraph" w:customStyle="1" w:styleId="Default">
    <w:name w:val="Default"/>
    <w:rsid w:val="00BD72C4"/>
    <w:pPr>
      <w:autoSpaceDE w:val="0"/>
      <w:autoSpaceDN w:val="0"/>
      <w:adjustRightInd w:val="0"/>
    </w:pPr>
    <w:rPr>
      <w:rFonts w:ascii="Frutiger LT Std 45 Light" w:hAnsi="Frutiger LT Std 45 Light" w:cs="Frutiger LT Std 45 Light"/>
      <w:color w:val="000000"/>
      <w:sz w:val="24"/>
      <w:szCs w:val="24"/>
    </w:rPr>
  </w:style>
  <w:style w:type="paragraph" w:styleId="FootnoteText">
    <w:name w:val="footnote text"/>
    <w:basedOn w:val="Normal"/>
    <w:link w:val="FootnoteTextChar"/>
    <w:rsid w:val="00BD72C4"/>
    <w:rPr>
      <w:sz w:val="20"/>
    </w:rPr>
  </w:style>
  <w:style w:type="character" w:customStyle="1" w:styleId="FootnoteTextChar">
    <w:name w:val="Footnote Text Char"/>
    <w:basedOn w:val="DefaultParagraphFont"/>
    <w:link w:val="FootnoteText"/>
    <w:rsid w:val="00BD72C4"/>
    <w:rPr>
      <w:lang w:eastAsia="en-US"/>
    </w:rPr>
  </w:style>
  <w:style w:type="character" w:styleId="FootnoteReference">
    <w:name w:val="footnote reference"/>
    <w:basedOn w:val="DefaultParagraphFont"/>
    <w:rsid w:val="00BD72C4"/>
    <w:rPr>
      <w:vertAlign w:val="superscript"/>
    </w:rPr>
  </w:style>
  <w:style w:type="paragraph" w:styleId="ListParagraph">
    <w:name w:val="List Paragraph"/>
    <w:basedOn w:val="Normal"/>
    <w:uiPriority w:val="34"/>
    <w:qFormat/>
    <w:rsid w:val="006E475C"/>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9C1E92"/>
    <w:rPr>
      <w:b/>
      <w:bCs/>
      <w:kern w:val="36"/>
      <w:sz w:val="48"/>
      <w:szCs w:val="48"/>
    </w:rPr>
  </w:style>
  <w:style w:type="character" w:styleId="CommentReference">
    <w:name w:val="annotation reference"/>
    <w:basedOn w:val="DefaultParagraphFont"/>
    <w:rsid w:val="00C6430B"/>
    <w:rPr>
      <w:sz w:val="16"/>
      <w:szCs w:val="16"/>
    </w:rPr>
  </w:style>
  <w:style w:type="paragraph" w:styleId="CommentText">
    <w:name w:val="annotation text"/>
    <w:basedOn w:val="Normal"/>
    <w:link w:val="CommentTextChar"/>
    <w:rsid w:val="00C6430B"/>
    <w:rPr>
      <w:sz w:val="20"/>
    </w:rPr>
  </w:style>
  <w:style w:type="character" w:customStyle="1" w:styleId="CommentTextChar">
    <w:name w:val="Comment Text Char"/>
    <w:basedOn w:val="DefaultParagraphFont"/>
    <w:link w:val="CommentText"/>
    <w:rsid w:val="00C6430B"/>
    <w:rPr>
      <w:lang w:eastAsia="en-US"/>
    </w:rPr>
  </w:style>
  <w:style w:type="paragraph" w:customStyle="1" w:styleId="subpara21">
    <w:name w:val="subpara21"/>
    <w:basedOn w:val="Normal"/>
    <w:rsid w:val="00C6430B"/>
    <w:pPr>
      <w:spacing w:before="100" w:beforeAutospacing="1" w:after="100" w:afterAutospacing="1"/>
      <w:ind w:left="960" w:right="240"/>
      <w:jc w:val="both"/>
    </w:pPr>
    <w:rPr>
      <w:rFonts w:ascii="Arial" w:eastAsia="MS Mincho" w:hAnsi="Arial" w:cs="Arial"/>
      <w:color w:val="000000"/>
      <w:sz w:val="18"/>
      <w:szCs w:val="18"/>
      <w:lang w:val="en-US" w:eastAsia="ja-JP"/>
    </w:rPr>
  </w:style>
  <w:style w:type="character" w:customStyle="1" w:styleId="Heading2Char">
    <w:name w:val="Heading 2 Char"/>
    <w:basedOn w:val="DefaultParagraphFont"/>
    <w:link w:val="Heading2"/>
    <w:semiHidden/>
    <w:rsid w:val="00B45BDE"/>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link w:val="Heading1Char"/>
    <w:uiPriority w:val="9"/>
    <w:qFormat/>
    <w:rsid w:val="009C1E92"/>
    <w:pPr>
      <w:spacing w:before="100" w:beforeAutospacing="1" w:after="100" w:afterAutospacing="1"/>
      <w:outlineLvl w:val="0"/>
    </w:pPr>
    <w:rPr>
      <w:b/>
      <w:bCs/>
      <w:kern w:val="36"/>
      <w:sz w:val="48"/>
      <w:szCs w:val="48"/>
      <w:lang w:eastAsia="en-GB"/>
    </w:rPr>
  </w:style>
  <w:style w:type="paragraph" w:styleId="Heading2">
    <w:name w:val="heading 2"/>
    <w:basedOn w:val="Normal"/>
    <w:next w:val="Normal"/>
    <w:link w:val="Heading2Char"/>
    <w:semiHidden/>
    <w:unhideWhenUsed/>
    <w:qFormat/>
    <w:rsid w:val="00B45BD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120BE4"/>
    <w:rPr>
      <w:rFonts w:ascii="Tahoma" w:hAnsi="Tahoma" w:cs="Tahoma"/>
      <w:sz w:val="16"/>
      <w:szCs w:val="16"/>
    </w:rPr>
  </w:style>
  <w:style w:type="character" w:customStyle="1" w:styleId="BalloonTextChar">
    <w:name w:val="Balloon Text Char"/>
    <w:basedOn w:val="DefaultParagraphFont"/>
    <w:link w:val="BalloonText"/>
    <w:rsid w:val="00120BE4"/>
    <w:rPr>
      <w:rFonts w:ascii="Tahoma" w:hAnsi="Tahoma" w:cs="Tahoma"/>
      <w:sz w:val="16"/>
      <w:szCs w:val="16"/>
      <w:lang w:eastAsia="en-US"/>
    </w:rPr>
  </w:style>
  <w:style w:type="paragraph" w:customStyle="1" w:styleId="Default">
    <w:name w:val="Default"/>
    <w:rsid w:val="00BD72C4"/>
    <w:pPr>
      <w:autoSpaceDE w:val="0"/>
      <w:autoSpaceDN w:val="0"/>
      <w:adjustRightInd w:val="0"/>
    </w:pPr>
    <w:rPr>
      <w:rFonts w:ascii="Frutiger LT Std 45 Light" w:hAnsi="Frutiger LT Std 45 Light" w:cs="Frutiger LT Std 45 Light"/>
      <w:color w:val="000000"/>
      <w:sz w:val="24"/>
      <w:szCs w:val="24"/>
    </w:rPr>
  </w:style>
  <w:style w:type="paragraph" w:styleId="FootnoteText">
    <w:name w:val="footnote text"/>
    <w:basedOn w:val="Normal"/>
    <w:link w:val="FootnoteTextChar"/>
    <w:rsid w:val="00BD72C4"/>
    <w:rPr>
      <w:sz w:val="20"/>
    </w:rPr>
  </w:style>
  <w:style w:type="character" w:customStyle="1" w:styleId="FootnoteTextChar">
    <w:name w:val="Footnote Text Char"/>
    <w:basedOn w:val="DefaultParagraphFont"/>
    <w:link w:val="FootnoteText"/>
    <w:rsid w:val="00BD72C4"/>
    <w:rPr>
      <w:lang w:eastAsia="en-US"/>
    </w:rPr>
  </w:style>
  <w:style w:type="character" w:styleId="FootnoteReference">
    <w:name w:val="footnote reference"/>
    <w:basedOn w:val="DefaultParagraphFont"/>
    <w:rsid w:val="00BD72C4"/>
    <w:rPr>
      <w:vertAlign w:val="superscript"/>
    </w:rPr>
  </w:style>
  <w:style w:type="paragraph" w:styleId="ListParagraph">
    <w:name w:val="List Paragraph"/>
    <w:basedOn w:val="Normal"/>
    <w:uiPriority w:val="34"/>
    <w:qFormat/>
    <w:rsid w:val="006E475C"/>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9C1E92"/>
    <w:rPr>
      <w:b/>
      <w:bCs/>
      <w:kern w:val="36"/>
      <w:sz w:val="48"/>
      <w:szCs w:val="48"/>
    </w:rPr>
  </w:style>
  <w:style w:type="character" w:styleId="CommentReference">
    <w:name w:val="annotation reference"/>
    <w:basedOn w:val="DefaultParagraphFont"/>
    <w:rsid w:val="00C6430B"/>
    <w:rPr>
      <w:sz w:val="16"/>
      <w:szCs w:val="16"/>
    </w:rPr>
  </w:style>
  <w:style w:type="paragraph" w:styleId="CommentText">
    <w:name w:val="annotation text"/>
    <w:basedOn w:val="Normal"/>
    <w:link w:val="CommentTextChar"/>
    <w:rsid w:val="00C6430B"/>
    <w:rPr>
      <w:sz w:val="20"/>
    </w:rPr>
  </w:style>
  <w:style w:type="character" w:customStyle="1" w:styleId="CommentTextChar">
    <w:name w:val="Comment Text Char"/>
    <w:basedOn w:val="DefaultParagraphFont"/>
    <w:link w:val="CommentText"/>
    <w:rsid w:val="00C6430B"/>
    <w:rPr>
      <w:lang w:eastAsia="en-US"/>
    </w:rPr>
  </w:style>
  <w:style w:type="paragraph" w:customStyle="1" w:styleId="subpara21">
    <w:name w:val="subpara21"/>
    <w:basedOn w:val="Normal"/>
    <w:rsid w:val="00C6430B"/>
    <w:pPr>
      <w:spacing w:before="100" w:beforeAutospacing="1" w:after="100" w:afterAutospacing="1"/>
      <w:ind w:left="960" w:right="240"/>
      <w:jc w:val="both"/>
    </w:pPr>
    <w:rPr>
      <w:rFonts w:ascii="Arial" w:eastAsia="MS Mincho" w:hAnsi="Arial" w:cs="Arial"/>
      <w:color w:val="000000"/>
      <w:sz w:val="18"/>
      <w:szCs w:val="18"/>
      <w:lang w:val="en-US" w:eastAsia="ja-JP"/>
    </w:rPr>
  </w:style>
  <w:style w:type="character" w:customStyle="1" w:styleId="Heading2Char">
    <w:name w:val="Heading 2 Char"/>
    <w:basedOn w:val="DefaultParagraphFont"/>
    <w:link w:val="Heading2"/>
    <w:semiHidden/>
    <w:rsid w:val="00B45BDE"/>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528">
      <w:bodyDiv w:val="1"/>
      <w:marLeft w:val="0"/>
      <w:marRight w:val="0"/>
      <w:marTop w:val="0"/>
      <w:marBottom w:val="0"/>
      <w:divBdr>
        <w:top w:val="none" w:sz="0" w:space="0" w:color="auto"/>
        <w:left w:val="none" w:sz="0" w:space="0" w:color="auto"/>
        <w:bottom w:val="none" w:sz="0" w:space="0" w:color="auto"/>
        <w:right w:val="none" w:sz="0" w:space="0" w:color="auto"/>
      </w:divBdr>
      <w:divsChild>
        <w:div w:id="1257599080">
          <w:marLeft w:val="0"/>
          <w:marRight w:val="0"/>
          <w:marTop w:val="0"/>
          <w:marBottom w:val="0"/>
          <w:divBdr>
            <w:top w:val="none" w:sz="0" w:space="0" w:color="auto"/>
            <w:left w:val="none" w:sz="0" w:space="0" w:color="auto"/>
            <w:bottom w:val="none" w:sz="0" w:space="0" w:color="auto"/>
            <w:right w:val="none" w:sz="0" w:space="0" w:color="auto"/>
          </w:divBdr>
        </w:div>
      </w:divsChild>
    </w:div>
    <w:div w:id="755638300">
      <w:bodyDiv w:val="1"/>
      <w:marLeft w:val="0"/>
      <w:marRight w:val="0"/>
      <w:marTop w:val="0"/>
      <w:marBottom w:val="0"/>
      <w:divBdr>
        <w:top w:val="none" w:sz="0" w:space="0" w:color="auto"/>
        <w:left w:val="none" w:sz="0" w:space="0" w:color="auto"/>
        <w:bottom w:val="none" w:sz="0" w:space="0" w:color="auto"/>
        <w:right w:val="none" w:sz="0" w:space="0" w:color="auto"/>
      </w:divBdr>
    </w:div>
    <w:div w:id="90276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mitrios.catsambas\AppData\Roaming\Microsoft\Templates\BBA%20Heading%20on%20Plain%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29A5E-750D-4FA6-BCEC-07967A26D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BBA Heading on Plain Paper.dotx</Template>
  <TotalTime>0</TotalTime>
  <Pages>3</Pages>
  <Words>998</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British Bankers Association</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Hills</dc:creator>
  <cp:lastModifiedBy>Dimitrios Catsambas</cp:lastModifiedBy>
  <cp:revision>2</cp:revision>
  <cp:lastPrinted>2014-03-18T11:08:00Z</cp:lastPrinted>
  <dcterms:created xsi:type="dcterms:W3CDTF">2016-03-11T12:55:00Z</dcterms:created>
  <dcterms:modified xsi:type="dcterms:W3CDTF">2016-03-11T12:55:00Z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rtualVersion">
    <vt:lpwstr/>
  </property>
  <property fmtid="{D5CDD505-2E9C-101B-9397-08002B2CF9AE}" pid="3" name="VirtualDocId">
    <vt:lpwstr/>
  </property>
</Properties>
</file>