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FF" w:rsidRPr="00551EF3" w:rsidRDefault="00D875D5" w:rsidP="00E93DD7">
      <w:pPr>
        <w:rPr>
          <w:lang w:val="en-GB"/>
        </w:rPr>
      </w:pPr>
      <w:r w:rsidRPr="00D875D5">
        <w:rPr>
          <w:lang w:val="en-GB"/>
        </w:rPr>
        <w:br/>
      </w:r>
      <w:r w:rsidR="00B65534" w:rsidRPr="00B65534">
        <w:rPr>
          <w:lang w:val="en-GB" w:eastAsia="da-DK"/>
        </w:rPr>
        <w:pict>
          <v:shapetype id="_x0000_t202" coordsize="21600,21600" o:spt="202" path="m,l,21600r21600,l21600,xe">
            <v:stroke joinstyle="miter"/>
            <v:path gradientshapeok="t" o:connecttype="rect"/>
          </v:shapetype>
          <v:shape id="_x0000_s1030" type="#_x0000_t202" style="position:absolute;margin-left:297.95pt;margin-top:99.25pt;width:180pt;height:36.3pt;z-index:251660288;mso-height-percent:200;mso-position-horizontal-relative:text;mso-position-vertical:absolute;mso-position-vertical-relative:page;mso-height-percent:200;mso-width-relative:margin;mso-height-relative:margin" stroked="f">
            <v:textbox style="mso-fit-shape-to-text:t">
              <w:txbxContent>
                <w:p w:rsidR="00107D83" w:rsidRDefault="00107D83" w:rsidP="005E2CAF">
                  <w:pPr>
                    <w:spacing w:after="0"/>
                  </w:pPr>
                  <w:r>
                    <w:t xml:space="preserve">Copenhagen, </w:t>
                  </w:r>
                  <w:sdt>
                    <w:sdtPr>
                      <w:id w:val="1579047082"/>
                      <w:date w:fullDate="2015-10-06T00:00:00Z">
                        <w:dateFormat w:val="dd MMMM yyyy"/>
                        <w:lid w:val="en-GB"/>
                        <w:storeMappedDataAs w:val="dateTime"/>
                        <w:calendar w:val="gregorian"/>
                      </w:date>
                    </w:sdtPr>
                    <w:sdtContent>
                      <w:r w:rsidR="00E4658F">
                        <w:rPr>
                          <w:lang w:val="en-GB"/>
                        </w:rPr>
                        <w:t>06 October 2015</w:t>
                      </w:r>
                    </w:sdtContent>
                  </w:sdt>
                </w:p>
              </w:txbxContent>
            </v:textbox>
            <w10:wrap anchory="page"/>
            <w10:anchorlock/>
          </v:shape>
        </w:pict>
      </w:r>
      <w:r w:rsidR="00DD2B78">
        <w:rPr>
          <w:lang w:val="en-GB"/>
        </w:rPr>
        <w:t>EBA - European Banking Authority</w:t>
      </w:r>
    </w:p>
    <w:p w:rsidR="003C7452" w:rsidRPr="00551EF3" w:rsidRDefault="003C7452" w:rsidP="005C44F8">
      <w:pPr>
        <w:rPr>
          <w:lang w:val="en-GB"/>
        </w:rPr>
      </w:pP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Look w:val="04A0"/>
      </w:tblPr>
      <w:tblGrid>
        <w:gridCol w:w="8901"/>
      </w:tblGrid>
      <w:tr w:rsidR="00E100C5" w:rsidRPr="00911DB4" w:rsidTr="00E100C5">
        <w:tc>
          <w:tcPr>
            <w:tcW w:w="9041" w:type="dxa"/>
            <w:tcMar>
              <w:top w:w="113" w:type="dxa"/>
              <w:left w:w="0" w:type="dxa"/>
              <w:bottom w:w="113" w:type="dxa"/>
              <w:right w:w="0" w:type="dxa"/>
            </w:tcMar>
          </w:tcPr>
          <w:p w:rsidR="00E100C5" w:rsidRPr="00551EF3" w:rsidRDefault="00D11FAD" w:rsidP="00DD2B78">
            <w:pPr>
              <w:rPr>
                <w:lang w:val="en-GB"/>
              </w:rPr>
            </w:pPr>
            <w:r>
              <w:rPr>
                <w:lang w:val="en-GB"/>
              </w:rPr>
              <w:t xml:space="preserve">EBA/CP/2015/12 - </w:t>
            </w:r>
            <w:r w:rsidR="00DD2B78">
              <w:rPr>
                <w:lang w:val="en-GB"/>
              </w:rPr>
              <w:t>Draft R</w:t>
            </w:r>
            <w:r w:rsidR="00DD2B78" w:rsidRPr="00DD2B78">
              <w:rPr>
                <w:lang w:val="en-GB"/>
              </w:rPr>
              <w:t>egulatory Technical Standards on the conditions that</w:t>
            </w:r>
            <w:r w:rsidR="00DD2B78">
              <w:rPr>
                <w:lang w:val="en-GB"/>
              </w:rPr>
              <w:t xml:space="preserve"> </w:t>
            </w:r>
            <w:r w:rsidR="00DD2B78" w:rsidRPr="00DD2B78">
              <w:rPr>
                <w:lang w:val="en-GB"/>
              </w:rPr>
              <w:t>competent authorities shall take into account when determining</w:t>
            </w:r>
            <w:r w:rsidR="00DD2B78">
              <w:rPr>
                <w:lang w:val="en-GB"/>
              </w:rPr>
              <w:t xml:space="preserve"> </w:t>
            </w:r>
            <w:r w:rsidR="00DD2B78" w:rsidRPr="00DD2B78">
              <w:rPr>
                <w:lang w:val="en-GB"/>
              </w:rPr>
              <w:t>higher risk-weights, in particular the term of “financial stability</w:t>
            </w:r>
            <w:r w:rsidR="00DD2B78">
              <w:rPr>
                <w:lang w:val="en-GB"/>
              </w:rPr>
              <w:t xml:space="preserve"> </w:t>
            </w:r>
            <w:r w:rsidR="00DD2B78" w:rsidRPr="00DD2B78">
              <w:rPr>
                <w:lang w:val="en-GB"/>
              </w:rPr>
              <w:t>considerations” under Article 124(4)(b) CRR and the conditions that</w:t>
            </w:r>
            <w:r w:rsidR="00DD2B78">
              <w:rPr>
                <w:lang w:val="en-GB"/>
              </w:rPr>
              <w:t xml:space="preserve"> </w:t>
            </w:r>
            <w:r w:rsidR="00DD2B78" w:rsidRPr="00DD2B78">
              <w:rPr>
                <w:lang w:val="en-GB"/>
              </w:rPr>
              <w:t>competent authorities shall take into account when determining</w:t>
            </w:r>
            <w:r w:rsidR="00DD2B78">
              <w:rPr>
                <w:lang w:val="en-GB"/>
              </w:rPr>
              <w:t xml:space="preserve"> </w:t>
            </w:r>
            <w:r w:rsidR="00DD2B78" w:rsidRPr="00DD2B78">
              <w:rPr>
                <w:lang w:val="en-GB"/>
              </w:rPr>
              <w:t>higher minimum LGD values under Article 164(6) CRR</w:t>
            </w:r>
          </w:p>
        </w:tc>
      </w:tr>
    </w:tbl>
    <w:p w:rsidR="00E4658F" w:rsidRDefault="00E4658F" w:rsidP="00E4658F">
      <w:pPr>
        <w:pStyle w:val="Heading2"/>
        <w:rPr>
          <w:lang w:val="en-GB"/>
        </w:rPr>
      </w:pPr>
      <w:r>
        <w:rPr>
          <w:lang w:val="en-GB"/>
        </w:rPr>
        <w:t xml:space="preserve">Ad-hoc </w:t>
      </w:r>
      <w:r w:rsidR="00242A3C">
        <w:rPr>
          <w:lang w:val="en-GB"/>
        </w:rPr>
        <w:t>m</w:t>
      </w:r>
      <w:r w:rsidR="00242A3C" w:rsidRPr="00E4658F">
        <w:rPr>
          <w:lang w:val="en-GB"/>
        </w:rPr>
        <w:t>acro prudential</w:t>
      </w:r>
      <w:r w:rsidRPr="00E4658F">
        <w:rPr>
          <w:lang w:val="en-GB"/>
        </w:rPr>
        <w:t xml:space="preserve"> measures must be applied with prudence</w:t>
      </w:r>
    </w:p>
    <w:p w:rsidR="00233196" w:rsidRDefault="00233196" w:rsidP="00233196">
      <w:pPr>
        <w:rPr>
          <w:lang w:val="en-GB"/>
        </w:rPr>
      </w:pPr>
      <w:r>
        <w:rPr>
          <w:lang w:val="en-GB"/>
        </w:rPr>
        <w:t xml:space="preserve">We welcome the opportunity to comment on the </w:t>
      </w:r>
      <w:r w:rsidRPr="00C8186F">
        <w:rPr>
          <w:lang w:val="en-GB"/>
        </w:rPr>
        <w:t>consultation on</w:t>
      </w:r>
      <w:r>
        <w:rPr>
          <w:lang w:val="en-GB"/>
        </w:rPr>
        <w:t xml:space="preserve"> the draft</w:t>
      </w:r>
      <w:r w:rsidRPr="00C8186F">
        <w:rPr>
          <w:lang w:val="en-GB"/>
        </w:rPr>
        <w:t xml:space="preserve"> Regulatory Tec</w:t>
      </w:r>
      <w:r w:rsidRPr="00C8186F">
        <w:rPr>
          <w:lang w:val="en-GB"/>
        </w:rPr>
        <w:t>h</w:t>
      </w:r>
      <w:r w:rsidRPr="00C8186F">
        <w:rPr>
          <w:lang w:val="en-GB"/>
        </w:rPr>
        <w:t>nical Standard</w:t>
      </w:r>
      <w:r>
        <w:rPr>
          <w:lang w:val="en-GB"/>
        </w:rPr>
        <w:t>s (RTS) regarding</w:t>
      </w:r>
      <w:r w:rsidRPr="00C8186F">
        <w:rPr>
          <w:lang w:val="en-GB"/>
        </w:rPr>
        <w:t xml:space="preserve"> the conditions that Competent Authorities have to take into account. </w:t>
      </w:r>
    </w:p>
    <w:p w:rsidR="00233196" w:rsidRDefault="00233196" w:rsidP="00233196">
      <w:pPr>
        <w:pStyle w:val="Heading2"/>
        <w:rPr>
          <w:lang w:val="en-GB"/>
        </w:rPr>
      </w:pPr>
      <w:r>
        <w:rPr>
          <w:lang w:val="en-GB"/>
        </w:rPr>
        <w:t>General comments</w:t>
      </w:r>
    </w:p>
    <w:p w:rsidR="00233196" w:rsidRDefault="00E51804" w:rsidP="00233196">
      <w:pPr>
        <w:rPr>
          <w:lang w:val="en-GB"/>
        </w:rPr>
      </w:pPr>
      <w:r>
        <w:rPr>
          <w:lang w:val="en-GB"/>
        </w:rPr>
        <w:t>W</w:t>
      </w:r>
      <w:r w:rsidR="00233196">
        <w:rPr>
          <w:lang w:val="en-GB"/>
        </w:rPr>
        <w:t xml:space="preserve">e support the principle-based approach applied in the draft RTS. We </w:t>
      </w:r>
      <w:r>
        <w:rPr>
          <w:lang w:val="en-GB"/>
        </w:rPr>
        <w:t xml:space="preserve">are </w:t>
      </w:r>
      <w:r w:rsidR="00233196">
        <w:rPr>
          <w:lang w:val="en-GB"/>
        </w:rPr>
        <w:t>also encou</w:t>
      </w:r>
      <w:r w:rsidR="00233196">
        <w:rPr>
          <w:lang w:val="en-GB"/>
        </w:rPr>
        <w:t>r</w:t>
      </w:r>
      <w:r w:rsidR="00233196">
        <w:rPr>
          <w:lang w:val="en-GB"/>
        </w:rPr>
        <w:t>aged by the prescribed lists of conditions that competent authorities must take into account. In addition, we are pleased to find that the competent authorities explicitly are required to acknowledge already effected risk-mitigating achievements.</w:t>
      </w:r>
    </w:p>
    <w:p w:rsidR="00233196" w:rsidRDefault="00233196" w:rsidP="00233196">
      <w:pPr>
        <w:rPr>
          <w:lang w:val="en-GB"/>
        </w:rPr>
      </w:pPr>
      <w:r>
        <w:rPr>
          <w:lang w:val="en-GB"/>
        </w:rPr>
        <w:t xml:space="preserve">While we recognize that overly restrictive conditions for raising risk-weights and/or LGD-values might prove insufficient for dealing with changing economic environments, we are uneasy with the lack of boundaries in the draft RTS. </w:t>
      </w:r>
      <w:r w:rsidR="006E690A" w:rsidRPr="006E690A">
        <w:rPr>
          <w:lang w:val="en-GB"/>
        </w:rPr>
        <w:t>Specifically, indicative limits on the maximum allowed imposed changes to LGD minimum values should be defined as an an</w:t>
      </w:r>
      <w:r w:rsidR="006E690A" w:rsidRPr="006E690A">
        <w:rPr>
          <w:lang w:val="en-GB"/>
        </w:rPr>
        <w:t>a</w:t>
      </w:r>
      <w:r w:rsidR="006E690A" w:rsidRPr="006E690A">
        <w:rPr>
          <w:lang w:val="en-GB"/>
        </w:rPr>
        <w:t>log</w:t>
      </w:r>
      <w:r w:rsidR="00E51804">
        <w:rPr>
          <w:lang w:val="en-GB"/>
        </w:rPr>
        <w:t>u</w:t>
      </w:r>
      <w:r w:rsidR="006E690A" w:rsidRPr="006E690A">
        <w:rPr>
          <w:lang w:val="en-GB"/>
        </w:rPr>
        <w:t xml:space="preserve">e to the definition of indicative benchmark for the assessment of setting higher risk-weights.      </w:t>
      </w:r>
      <w:r>
        <w:rPr>
          <w:lang w:val="en-GB"/>
        </w:rPr>
        <w:t xml:space="preserve"> </w:t>
      </w:r>
    </w:p>
    <w:p w:rsidR="006E690A" w:rsidRPr="006E690A" w:rsidRDefault="00E51804" w:rsidP="006E690A">
      <w:pPr>
        <w:rPr>
          <w:lang w:val="en-GB"/>
        </w:rPr>
      </w:pPr>
      <w:r>
        <w:rPr>
          <w:lang w:val="en-GB"/>
        </w:rPr>
        <w:t xml:space="preserve">It's </w:t>
      </w:r>
      <w:r w:rsidR="00242A3C">
        <w:rPr>
          <w:lang w:val="en-GB"/>
        </w:rPr>
        <w:t>challenge</w:t>
      </w:r>
      <w:r w:rsidR="00233196">
        <w:rPr>
          <w:lang w:val="en-GB"/>
        </w:rPr>
        <w:t xml:space="preserve"> </w:t>
      </w:r>
      <w:r>
        <w:rPr>
          <w:lang w:val="en-GB"/>
        </w:rPr>
        <w:t>to</w:t>
      </w:r>
      <w:r w:rsidR="00233196">
        <w:rPr>
          <w:lang w:val="en-GB"/>
        </w:rPr>
        <w:t xml:space="preserve"> apply ad-hoc </w:t>
      </w:r>
      <w:r w:rsidR="00242A3C">
        <w:rPr>
          <w:lang w:val="en-GB"/>
        </w:rPr>
        <w:t>macro prudential</w:t>
      </w:r>
      <w:r>
        <w:rPr>
          <w:lang w:val="en-GB"/>
        </w:rPr>
        <w:t xml:space="preserve"> measures</w:t>
      </w:r>
      <w:r w:rsidR="00233196">
        <w:rPr>
          <w:lang w:val="en-GB"/>
        </w:rPr>
        <w:t xml:space="preserve"> in a timely, well-proportioned and properly scoped manner</w:t>
      </w:r>
      <w:r>
        <w:rPr>
          <w:lang w:val="en-GB"/>
        </w:rPr>
        <w:t>.</w:t>
      </w:r>
      <w:r w:rsidR="00233196">
        <w:rPr>
          <w:lang w:val="en-GB"/>
        </w:rPr>
        <w:t xml:space="preserve"> Combined with the principle-based approach, which we support, the link between historical and forward-looking indicators consequently becomes very vague in the draft RTS. </w:t>
      </w:r>
      <w:r>
        <w:rPr>
          <w:lang w:val="en-GB"/>
        </w:rPr>
        <w:t xml:space="preserve">There is a risk that it </w:t>
      </w:r>
      <w:r w:rsidR="00233196">
        <w:rPr>
          <w:lang w:val="en-GB"/>
        </w:rPr>
        <w:t>will lead to decisions based on considerable parts of expert judgement.</w:t>
      </w:r>
      <w:r w:rsidR="006E690A">
        <w:rPr>
          <w:lang w:val="en-GB"/>
        </w:rPr>
        <w:t xml:space="preserve"> </w:t>
      </w:r>
      <w:r w:rsidR="006E690A" w:rsidRPr="006E690A">
        <w:rPr>
          <w:lang w:val="en-GB"/>
        </w:rPr>
        <w:t>Such</w:t>
      </w:r>
      <w:r w:rsidR="00326FCE">
        <w:rPr>
          <w:lang w:val="en-GB"/>
        </w:rPr>
        <w:t xml:space="preserve"> heavy </w:t>
      </w:r>
      <w:r w:rsidR="006E690A" w:rsidRPr="006E690A">
        <w:rPr>
          <w:lang w:val="en-GB"/>
        </w:rPr>
        <w:t xml:space="preserve">reliance on non-quantifiable input must be reduced.   </w:t>
      </w:r>
    </w:p>
    <w:p w:rsidR="006E690A" w:rsidRDefault="006E690A" w:rsidP="006E690A">
      <w:pPr>
        <w:rPr>
          <w:lang w:val="en-GB"/>
        </w:rPr>
      </w:pPr>
      <w:r w:rsidRPr="006E690A">
        <w:rPr>
          <w:lang w:val="en-GB"/>
        </w:rPr>
        <w:t xml:space="preserve">Basically, non-quantifiable inputs, such as supervisory judgement, overrides the underlying assumptions of the risk-model - hampering the </w:t>
      </w:r>
      <w:r w:rsidR="00326FCE">
        <w:rPr>
          <w:lang w:val="en-GB"/>
        </w:rPr>
        <w:t xml:space="preserve">use </w:t>
      </w:r>
      <w:r w:rsidRPr="006E690A">
        <w:rPr>
          <w:lang w:val="en-GB"/>
        </w:rPr>
        <w:t>of the model</w:t>
      </w:r>
      <w:r w:rsidR="00326FCE">
        <w:rPr>
          <w:lang w:val="en-GB"/>
        </w:rPr>
        <w:t xml:space="preserve"> as a tool for measuring risk</w:t>
      </w:r>
      <w:r w:rsidR="00A9454F">
        <w:rPr>
          <w:lang w:val="en-GB"/>
        </w:rPr>
        <w:t>. As a conse</w:t>
      </w:r>
      <w:r w:rsidRPr="006E690A">
        <w:rPr>
          <w:lang w:val="en-GB"/>
        </w:rPr>
        <w:t>quence, excessive use of expert/supervisory judgement will re</w:t>
      </w:r>
      <w:r w:rsidR="00326FCE">
        <w:rPr>
          <w:lang w:val="en-GB"/>
        </w:rPr>
        <w:t>duce</w:t>
      </w:r>
      <w:r w:rsidRPr="006E690A">
        <w:rPr>
          <w:lang w:val="en-GB"/>
        </w:rPr>
        <w:t xml:space="preserve"> </w:t>
      </w:r>
      <w:r w:rsidR="00326FCE">
        <w:rPr>
          <w:lang w:val="en-GB"/>
        </w:rPr>
        <w:t xml:space="preserve">the attention given to </w:t>
      </w:r>
      <w:r w:rsidRPr="006E690A">
        <w:rPr>
          <w:lang w:val="en-GB"/>
        </w:rPr>
        <w:t>the predictive capabilities of a quanti</w:t>
      </w:r>
      <w:r w:rsidR="00326FCE">
        <w:rPr>
          <w:lang w:val="en-GB"/>
        </w:rPr>
        <w:t>t</w:t>
      </w:r>
      <w:r w:rsidRPr="006E690A">
        <w:rPr>
          <w:lang w:val="en-GB"/>
        </w:rPr>
        <w:t xml:space="preserve">ative risk-model </w:t>
      </w:r>
      <w:r w:rsidR="00242A3C" w:rsidRPr="006E690A">
        <w:rPr>
          <w:lang w:val="en-GB"/>
        </w:rPr>
        <w:t>unreliable</w:t>
      </w:r>
      <w:r w:rsidRPr="006E690A">
        <w:rPr>
          <w:lang w:val="en-GB"/>
        </w:rPr>
        <w:t xml:space="preserve">. </w:t>
      </w:r>
    </w:p>
    <w:p w:rsidR="00233196" w:rsidRDefault="006E690A" w:rsidP="00233196">
      <w:pPr>
        <w:rPr>
          <w:lang w:val="en-GB"/>
        </w:rPr>
      </w:pPr>
      <w:r>
        <w:rPr>
          <w:lang w:val="en-GB"/>
        </w:rPr>
        <w:t>Therefore</w:t>
      </w:r>
      <w:r w:rsidR="00326FCE">
        <w:rPr>
          <w:lang w:val="en-GB"/>
        </w:rPr>
        <w:t>,</w:t>
      </w:r>
      <w:r w:rsidR="00233196">
        <w:rPr>
          <w:lang w:val="en-GB"/>
        </w:rPr>
        <w:t xml:space="preserve"> we must stress the vital need for the competent authorities to carefully and r</w:t>
      </w:r>
      <w:r w:rsidR="00233196">
        <w:rPr>
          <w:lang w:val="en-GB"/>
        </w:rPr>
        <w:t>e</w:t>
      </w:r>
      <w:r w:rsidR="00233196">
        <w:rPr>
          <w:lang w:val="en-GB"/>
        </w:rPr>
        <w:t xml:space="preserve">spectfully consider the potential effects of raising the risk-weights or minimum LGD-values. </w:t>
      </w:r>
      <w:r w:rsidR="00233196">
        <w:rPr>
          <w:lang w:val="en-GB"/>
        </w:rPr>
        <w:lastRenderedPageBreak/>
        <w:t xml:space="preserve">In this respect a comprehensive attention to industry comments, conflicting outlooks and different theoretical approaches must be mandatory. </w:t>
      </w:r>
    </w:p>
    <w:p w:rsidR="00233196" w:rsidRPr="00551EF3" w:rsidRDefault="00233196" w:rsidP="00233196">
      <w:pPr>
        <w:rPr>
          <w:lang w:val="en-GB"/>
        </w:rPr>
      </w:pPr>
      <w:r>
        <w:rPr>
          <w:lang w:val="en-GB"/>
        </w:rPr>
        <w:t xml:space="preserve">Finally, we welcome the requirements for the competent authorities to </w:t>
      </w:r>
      <w:r w:rsidR="00107D83">
        <w:rPr>
          <w:lang w:val="en-GB"/>
        </w:rPr>
        <w:t xml:space="preserve">publicly </w:t>
      </w:r>
      <w:r>
        <w:rPr>
          <w:lang w:val="en-GB"/>
        </w:rPr>
        <w:t xml:space="preserve">describe and justify potential changes in the minimum values of LGD. </w:t>
      </w:r>
    </w:p>
    <w:p w:rsidR="00233196" w:rsidRDefault="00233196" w:rsidP="00233196">
      <w:pPr>
        <w:pStyle w:val="Heading2"/>
        <w:rPr>
          <w:lang w:val="en-GB"/>
        </w:rPr>
      </w:pPr>
      <w:r w:rsidRPr="00EC539A">
        <w:rPr>
          <w:lang w:val="en-GB"/>
        </w:rPr>
        <w:t>Answers to the questions</w:t>
      </w:r>
    </w:p>
    <w:p w:rsidR="00233196" w:rsidRPr="00EC539A" w:rsidRDefault="00233196" w:rsidP="00233196">
      <w:pPr>
        <w:rPr>
          <w:lang w:val="en-GB"/>
        </w:rPr>
      </w:pPr>
      <w:r w:rsidRPr="00EC539A">
        <w:rPr>
          <w:lang w:val="en-GB"/>
        </w:rPr>
        <w:t>(also inserted directly in the web-solution)</w:t>
      </w:r>
    </w:p>
    <w:p w:rsidR="00233196" w:rsidRPr="00C8186F" w:rsidRDefault="00233196" w:rsidP="00233196">
      <w:pPr>
        <w:rPr>
          <w:lang w:val="en-GB"/>
        </w:rPr>
      </w:pPr>
      <w:r w:rsidRPr="00F8482D">
        <w:rPr>
          <w:i/>
          <w:lang w:val="en-GB"/>
        </w:rPr>
        <w:t>Question 1: Do you agree with the three main categories of conditions specified for the se</w:t>
      </w:r>
      <w:r w:rsidRPr="00F8482D">
        <w:rPr>
          <w:i/>
          <w:lang w:val="en-GB"/>
        </w:rPr>
        <w:t>t</w:t>
      </w:r>
      <w:r w:rsidRPr="00F8482D">
        <w:rPr>
          <w:i/>
          <w:lang w:val="en-GB"/>
        </w:rPr>
        <w:t>ting of higher risk weights (paragraph 1) and the setting of higher minimum LGD values</w:t>
      </w:r>
      <w:r w:rsidRPr="00C8186F">
        <w:rPr>
          <w:lang w:val="en-GB"/>
        </w:rPr>
        <w:t xml:space="preserve"> (paragraph 2)?  </w:t>
      </w:r>
    </w:p>
    <w:p w:rsidR="00911DB4" w:rsidRPr="00911DB4" w:rsidRDefault="00911DB4" w:rsidP="00233196">
      <w:pPr>
        <w:rPr>
          <w:lang w:val="en-GB"/>
        </w:rPr>
      </w:pPr>
      <w:r>
        <w:rPr>
          <w:lang w:val="en-GB"/>
        </w:rPr>
        <w:t>No comments</w:t>
      </w:r>
    </w:p>
    <w:p w:rsidR="00233196" w:rsidRPr="00F8482D" w:rsidRDefault="00233196" w:rsidP="00233196">
      <w:pPr>
        <w:rPr>
          <w:i/>
          <w:lang w:val="en-GB"/>
        </w:rPr>
      </w:pPr>
      <w:r w:rsidRPr="00F8482D">
        <w:rPr>
          <w:i/>
          <w:lang w:val="en-GB"/>
        </w:rPr>
        <w:t xml:space="preserve">Question 2: Do you agree with the conditions for specification of the loss experience and the loss expectations? Do you agree with the adjustments allowed to be made to the loss experience on the basis of the forward-looking immovable property market developments?  </w:t>
      </w:r>
    </w:p>
    <w:p w:rsidR="00911DB4" w:rsidRDefault="00911DB4" w:rsidP="00233196">
      <w:pPr>
        <w:rPr>
          <w:i/>
          <w:lang w:val="en-GB"/>
        </w:rPr>
      </w:pPr>
    </w:p>
    <w:p w:rsidR="00233196" w:rsidRPr="00F8482D" w:rsidRDefault="00233196" w:rsidP="00233196">
      <w:pPr>
        <w:rPr>
          <w:i/>
          <w:lang w:val="en-GB"/>
        </w:rPr>
      </w:pPr>
      <w:r w:rsidRPr="00F8482D">
        <w:rPr>
          <w:i/>
          <w:lang w:val="en-GB"/>
        </w:rPr>
        <w:t>Question 3: Do you agree with the indicative benchmarks for the assessment of the appr</w:t>
      </w:r>
      <w:r w:rsidRPr="00F8482D">
        <w:rPr>
          <w:i/>
          <w:lang w:val="en-GB"/>
        </w:rPr>
        <w:t>o</w:t>
      </w:r>
      <w:r w:rsidRPr="00F8482D">
        <w:rPr>
          <w:i/>
          <w:lang w:val="en-GB"/>
        </w:rPr>
        <w:t>priateness of the risk weights and to guide the setting of higher risk weights across immo</w:t>
      </w:r>
      <w:r w:rsidRPr="00F8482D">
        <w:rPr>
          <w:i/>
          <w:lang w:val="en-GB"/>
        </w:rPr>
        <w:t>v</w:t>
      </w:r>
      <w:r w:rsidRPr="00F8482D">
        <w:rPr>
          <w:i/>
          <w:lang w:val="en-GB"/>
        </w:rPr>
        <w:t xml:space="preserve">able property markets in different member states as specified in Article 4(3) and 4(4)? What levels of these indicative benchmarks would be most appropriate and why?  </w:t>
      </w:r>
    </w:p>
    <w:p w:rsidR="00911DB4" w:rsidRDefault="00911DB4" w:rsidP="00233196">
      <w:pPr>
        <w:rPr>
          <w:i/>
          <w:lang w:val="en-GB"/>
        </w:rPr>
      </w:pPr>
    </w:p>
    <w:p w:rsidR="00233196" w:rsidRPr="00F8482D" w:rsidRDefault="00233196" w:rsidP="00233196">
      <w:pPr>
        <w:rPr>
          <w:i/>
          <w:lang w:val="en-GB"/>
        </w:rPr>
      </w:pPr>
      <w:r w:rsidRPr="00F8482D">
        <w:rPr>
          <w:i/>
          <w:lang w:val="en-GB"/>
        </w:rPr>
        <w:t>Question 4: Do you agree with the specification of the term of “financial stability consider</w:t>
      </w:r>
      <w:r w:rsidRPr="00F8482D">
        <w:rPr>
          <w:i/>
          <w:lang w:val="en-GB"/>
        </w:rPr>
        <w:t>a</w:t>
      </w:r>
      <w:r w:rsidRPr="00F8482D">
        <w:rPr>
          <w:i/>
          <w:lang w:val="en-GB"/>
        </w:rPr>
        <w:t xml:space="preserve">tions”?  </w:t>
      </w:r>
    </w:p>
    <w:p w:rsidR="00233196" w:rsidRPr="00C8186F" w:rsidRDefault="00233196" w:rsidP="00233196">
      <w:pPr>
        <w:rPr>
          <w:lang w:val="en-GB"/>
        </w:rPr>
      </w:pPr>
      <w:r>
        <w:rPr>
          <w:lang w:val="en-GB"/>
        </w:rPr>
        <w:t>No comments</w:t>
      </w:r>
    </w:p>
    <w:p w:rsidR="00233196" w:rsidRDefault="00233196" w:rsidP="00233196">
      <w:pPr>
        <w:rPr>
          <w:i/>
          <w:lang w:val="en-GB"/>
        </w:rPr>
      </w:pPr>
      <w:r w:rsidRPr="00F8482D">
        <w:rPr>
          <w:i/>
          <w:lang w:val="en-GB"/>
        </w:rPr>
        <w:t xml:space="preserve">Question 5: Do you agree with the other conditions for the setting of higher risk weights? (Please provide your feedback related to the indicative benchmarks (in Article 3(3) and 3(4)) in your response to Question 3 above.)  </w:t>
      </w:r>
    </w:p>
    <w:p w:rsidR="00911DB4" w:rsidRDefault="00911DB4" w:rsidP="00233196">
      <w:pPr>
        <w:rPr>
          <w:i/>
          <w:lang w:val="en-GB"/>
        </w:rPr>
      </w:pPr>
    </w:p>
    <w:p w:rsidR="00233196" w:rsidRPr="00421309" w:rsidRDefault="00233196" w:rsidP="00233196">
      <w:pPr>
        <w:rPr>
          <w:i/>
          <w:lang w:val="en-GB"/>
        </w:rPr>
      </w:pPr>
      <w:r w:rsidRPr="00421309">
        <w:rPr>
          <w:i/>
          <w:lang w:val="en-GB"/>
        </w:rPr>
        <w:t>Question 6: Do you agree with the conditions for specification of the exposure weighted average LGD and the LGD expectation? Do you agree with the adjustments allowed to be made to the average exposure weighted LGD on the basis of the forward-looking immo</w:t>
      </w:r>
      <w:r w:rsidRPr="00421309">
        <w:rPr>
          <w:i/>
          <w:lang w:val="en-GB"/>
        </w:rPr>
        <w:t>v</w:t>
      </w:r>
      <w:r w:rsidRPr="00421309">
        <w:rPr>
          <w:i/>
          <w:lang w:val="en-GB"/>
        </w:rPr>
        <w:t>able property market developments? Do you agree that it is not appropriate to set indicative benchmarks for the setting of higher minimum LGD values because of the specificities of national immovable property markets and because of the relationship of the LGD param</w:t>
      </w:r>
      <w:r w:rsidRPr="00421309">
        <w:rPr>
          <w:i/>
          <w:lang w:val="en-GB"/>
        </w:rPr>
        <w:t>e</w:t>
      </w:r>
      <w:r w:rsidRPr="00421309">
        <w:rPr>
          <w:i/>
          <w:lang w:val="en-GB"/>
        </w:rPr>
        <w:t xml:space="preserve">ter with the other internal model parameters?  </w:t>
      </w:r>
    </w:p>
    <w:p w:rsidR="00233196" w:rsidRDefault="00107D83" w:rsidP="00233196">
      <w:pPr>
        <w:rPr>
          <w:lang w:val="en-GB"/>
        </w:rPr>
      </w:pPr>
      <w:r>
        <w:rPr>
          <w:lang w:val="en-GB"/>
        </w:rPr>
        <w:lastRenderedPageBreak/>
        <w:t>W</w:t>
      </w:r>
      <w:r w:rsidR="00233196" w:rsidRPr="00DB4747">
        <w:rPr>
          <w:lang w:val="en-GB"/>
        </w:rPr>
        <w:t>e are ca</w:t>
      </w:r>
      <w:r>
        <w:rPr>
          <w:lang w:val="en-GB"/>
        </w:rPr>
        <w:t>u</w:t>
      </w:r>
      <w:r w:rsidR="00233196" w:rsidRPr="00DB4747">
        <w:rPr>
          <w:lang w:val="en-GB"/>
        </w:rPr>
        <w:t>tious toward</w:t>
      </w:r>
      <w:r w:rsidR="00233196">
        <w:rPr>
          <w:lang w:val="en-GB"/>
        </w:rPr>
        <w:t>s the competent author</w:t>
      </w:r>
      <w:r>
        <w:rPr>
          <w:lang w:val="en-GB"/>
        </w:rPr>
        <w:t>it</w:t>
      </w:r>
      <w:r w:rsidR="00233196">
        <w:rPr>
          <w:lang w:val="en-GB"/>
        </w:rPr>
        <w:t>ies rais</w:t>
      </w:r>
      <w:r>
        <w:rPr>
          <w:lang w:val="en-GB"/>
        </w:rPr>
        <w:t>ing</w:t>
      </w:r>
      <w:r w:rsidR="00233196">
        <w:rPr>
          <w:lang w:val="en-GB"/>
        </w:rPr>
        <w:t xml:space="preserve"> minimum LGD values. This is due to the fact, that such an instrument, even if applied with due care, can turn out to have severe and unforeseen consequences to the level playing</w:t>
      </w:r>
      <w:r>
        <w:rPr>
          <w:lang w:val="en-GB"/>
        </w:rPr>
        <w:t xml:space="preserve"> </w:t>
      </w:r>
      <w:r w:rsidR="00233196">
        <w:rPr>
          <w:lang w:val="en-GB"/>
        </w:rPr>
        <w:t>field of IRB-institutions.</w:t>
      </w:r>
      <w:r>
        <w:rPr>
          <w:lang w:val="en-GB"/>
        </w:rPr>
        <w:t xml:space="preserve"> As me</w:t>
      </w:r>
      <w:r>
        <w:rPr>
          <w:lang w:val="en-GB"/>
        </w:rPr>
        <w:t>n</w:t>
      </w:r>
      <w:r>
        <w:rPr>
          <w:lang w:val="en-GB"/>
        </w:rPr>
        <w:t>tioned there should also be an upper limit to the adjustment of the minimum LGD values.</w:t>
      </w:r>
      <w:r w:rsidR="00233196">
        <w:rPr>
          <w:lang w:val="en-GB"/>
        </w:rPr>
        <w:t xml:space="preserve"> </w:t>
      </w:r>
    </w:p>
    <w:p w:rsidR="00233196" w:rsidRPr="00783A60" w:rsidRDefault="00233196" w:rsidP="00233196">
      <w:pPr>
        <w:rPr>
          <w:lang w:val="en-GB"/>
        </w:rPr>
      </w:pPr>
      <w:r w:rsidRPr="00783A60">
        <w:rPr>
          <w:lang w:val="en-GB"/>
        </w:rPr>
        <w:t>In addition it is imperative</w:t>
      </w:r>
      <w:r>
        <w:rPr>
          <w:lang w:val="en-GB"/>
        </w:rPr>
        <w:t>, that such instrument will not be used as an alternative to r</w:t>
      </w:r>
      <w:r>
        <w:rPr>
          <w:lang w:val="en-GB"/>
        </w:rPr>
        <w:t>e</w:t>
      </w:r>
      <w:r>
        <w:rPr>
          <w:lang w:val="en-GB"/>
        </w:rPr>
        <w:t>quirements for adjustment to poor performing internal models. For example, would a "mu</w:t>
      </w:r>
      <w:r>
        <w:rPr>
          <w:lang w:val="en-GB"/>
        </w:rPr>
        <w:t>t</w:t>
      </w:r>
      <w:r>
        <w:rPr>
          <w:lang w:val="en-GB"/>
        </w:rPr>
        <w:t xml:space="preserve">ing" of the risk sensitivity of a IRB-model by raising the minimum LGD value be of little use,  with potentially quite severe side effects, to a IRB-model which is performing poorly due to model specific details.   </w:t>
      </w:r>
    </w:p>
    <w:p w:rsidR="00233196" w:rsidRPr="00055D69" w:rsidRDefault="00233196" w:rsidP="00233196">
      <w:pPr>
        <w:rPr>
          <w:lang w:val="en-GB"/>
        </w:rPr>
      </w:pPr>
      <w:r w:rsidRPr="005C005D">
        <w:rPr>
          <w:lang w:val="en-GB"/>
        </w:rPr>
        <w:t>We also would like t</w:t>
      </w:r>
      <w:r>
        <w:rPr>
          <w:lang w:val="en-GB"/>
        </w:rPr>
        <w:t xml:space="preserve">o stress that a </w:t>
      </w:r>
      <w:r w:rsidR="00107D83">
        <w:rPr>
          <w:lang w:val="en-GB"/>
        </w:rPr>
        <w:t xml:space="preserve">substantial </w:t>
      </w:r>
      <w:r>
        <w:rPr>
          <w:lang w:val="en-GB"/>
        </w:rPr>
        <w:t>increase in the amount of data to be pr</w:t>
      </w:r>
      <w:r>
        <w:rPr>
          <w:lang w:val="en-GB"/>
        </w:rPr>
        <w:t>o</w:t>
      </w:r>
      <w:r>
        <w:rPr>
          <w:lang w:val="en-GB"/>
        </w:rPr>
        <w:t>vided by the institutions could be a prerequisite to facilitate the detailed analysis required for competen</w:t>
      </w:r>
      <w:r w:rsidR="00107D83">
        <w:rPr>
          <w:lang w:val="en-GB"/>
        </w:rPr>
        <w:t>t</w:t>
      </w:r>
      <w:r>
        <w:rPr>
          <w:lang w:val="en-GB"/>
        </w:rPr>
        <w:t xml:space="preserve">. </w:t>
      </w:r>
      <w:r w:rsidRPr="00055D69">
        <w:rPr>
          <w:lang w:val="en-GB"/>
        </w:rPr>
        <w:t xml:space="preserve">This result would be conflicting with the EU </w:t>
      </w:r>
      <w:r w:rsidR="00242A3C" w:rsidRPr="00055D69">
        <w:rPr>
          <w:lang w:val="en-GB"/>
        </w:rPr>
        <w:t>Commissions'</w:t>
      </w:r>
      <w:r w:rsidRPr="00055D69">
        <w:rPr>
          <w:lang w:val="en-GB"/>
        </w:rPr>
        <w:t xml:space="preserve"> cur</w:t>
      </w:r>
      <w:r>
        <w:rPr>
          <w:lang w:val="en-GB"/>
        </w:rPr>
        <w:t xml:space="preserve">rent objective of reducing the burden on the </w:t>
      </w:r>
      <w:r w:rsidR="00107D83">
        <w:rPr>
          <w:lang w:val="en-GB"/>
        </w:rPr>
        <w:t>E</w:t>
      </w:r>
      <w:r>
        <w:rPr>
          <w:lang w:val="en-GB"/>
        </w:rPr>
        <w:t>uropean financial institutions.</w:t>
      </w:r>
    </w:p>
    <w:p w:rsidR="00233196" w:rsidRPr="00F8482D" w:rsidRDefault="00233196" w:rsidP="00233196">
      <w:pPr>
        <w:rPr>
          <w:i/>
          <w:lang w:val="en-GB"/>
        </w:rPr>
      </w:pPr>
      <w:r w:rsidRPr="00F8482D">
        <w:rPr>
          <w:i/>
          <w:lang w:val="en-GB"/>
        </w:rPr>
        <w:t xml:space="preserve">Question 7: Do you agree with the other conditions for the setting of higher minimum LGD values?  </w:t>
      </w:r>
    </w:p>
    <w:p w:rsidR="00233196" w:rsidRPr="007D2B71" w:rsidRDefault="00233196" w:rsidP="00233196">
      <w:pPr>
        <w:rPr>
          <w:lang w:val="en-GB"/>
        </w:rPr>
      </w:pPr>
      <w:r>
        <w:rPr>
          <w:lang w:val="en-GB"/>
        </w:rPr>
        <w:t xml:space="preserve">We welcome the requirements for the competent authorities to </w:t>
      </w:r>
      <w:r w:rsidR="00107D83">
        <w:rPr>
          <w:lang w:val="en-GB"/>
        </w:rPr>
        <w:t xml:space="preserve">publicly </w:t>
      </w:r>
      <w:r>
        <w:rPr>
          <w:lang w:val="en-GB"/>
        </w:rPr>
        <w:t xml:space="preserve">describe and justify the expected effects of a potential increase in minimum LGD-values, which eventually </w:t>
      </w:r>
      <w:r w:rsidRPr="007D2B71">
        <w:rPr>
          <w:lang w:val="en-GB"/>
        </w:rPr>
        <w:t>should lead to enhanced harmonisation</w:t>
      </w:r>
      <w:r>
        <w:rPr>
          <w:lang w:val="en-GB"/>
        </w:rPr>
        <w:t>.</w:t>
      </w:r>
    </w:p>
    <w:p w:rsidR="00233196" w:rsidRPr="00F8482D" w:rsidRDefault="00233196" w:rsidP="00233196">
      <w:pPr>
        <w:rPr>
          <w:i/>
          <w:lang w:val="en-GB"/>
        </w:rPr>
      </w:pPr>
      <w:r w:rsidRPr="007D2B71">
        <w:rPr>
          <w:lang w:val="en-GB"/>
        </w:rPr>
        <w:t xml:space="preserve"> </w:t>
      </w:r>
      <w:r w:rsidRPr="00F8482D">
        <w:rPr>
          <w:i/>
          <w:lang w:val="en-GB"/>
        </w:rPr>
        <w:t>Question 8: Do you have any suggestions on the Impact Assessment?</w:t>
      </w:r>
    </w:p>
    <w:p w:rsidR="00233196" w:rsidRPr="00551EF3" w:rsidRDefault="00233196" w:rsidP="00233196">
      <w:pPr>
        <w:rPr>
          <w:lang w:val="en-GB"/>
        </w:rPr>
      </w:pPr>
      <w:r>
        <w:rPr>
          <w:lang w:val="en-GB"/>
        </w:rPr>
        <w:t>No comments</w:t>
      </w:r>
    </w:p>
    <w:p w:rsidR="00233196" w:rsidRPr="00551EF3" w:rsidRDefault="00233196" w:rsidP="00233196">
      <w:pPr>
        <w:rPr>
          <w:lang w:val="en-GB"/>
        </w:rPr>
      </w:pPr>
    </w:p>
    <w:p w:rsidR="00233196" w:rsidRPr="00551EF3" w:rsidRDefault="00233196" w:rsidP="00233196">
      <w:pPr>
        <w:spacing w:after="120"/>
        <w:rPr>
          <w:lang w:val="en-GB"/>
        </w:rPr>
      </w:pPr>
    </w:p>
    <w:p w:rsidR="00233196" w:rsidRPr="00551EF3" w:rsidRDefault="00233196" w:rsidP="00233196">
      <w:pPr>
        <w:spacing w:after="120"/>
        <w:jc w:val="center"/>
        <w:rPr>
          <w:lang w:val="en-GB"/>
        </w:rPr>
      </w:pPr>
      <w:r>
        <w:rPr>
          <w:lang w:val="en-GB"/>
        </w:rPr>
        <w:t>Kind regards,</w:t>
      </w:r>
    </w:p>
    <w:p w:rsidR="00233196" w:rsidRPr="00551EF3" w:rsidRDefault="00233196" w:rsidP="00233196">
      <w:pPr>
        <w:spacing w:after="120"/>
        <w:jc w:val="center"/>
        <w:rPr>
          <w:lang w:val="en-GB"/>
        </w:rPr>
      </w:pPr>
    </w:p>
    <w:p w:rsidR="00233196" w:rsidRPr="00551EF3" w:rsidRDefault="00A9454F" w:rsidP="00233196">
      <w:pPr>
        <w:spacing w:after="120"/>
        <w:jc w:val="center"/>
        <w:rPr>
          <w:lang w:val="en-GB"/>
        </w:rPr>
      </w:pPr>
      <w:r>
        <w:rPr>
          <w:lang w:val="en-GB"/>
        </w:rPr>
        <w:t>Mette Saaby Pedersen</w:t>
      </w:r>
    </w:p>
    <w:p w:rsidR="00233196" w:rsidRPr="00551EF3" w:rsidRDefault="00233196" w:rsidP="005C44F8">
      <w:pPr>
        <w:rPr>
          <w:lang w:val="en-GB"/>
        </w:rPr>
      </w:pPr>
    </w:p>
    <w:sectPr w:rsidR="00233196" w:rsidRPr="00551EF3" w:rsidSect="005C44F8">
      <w:footerReference w:type="default" r:id="rId8"/>
      <w:headerReference w:type="first" r:id="rId9"/>
      <w:footerReference w:type="first" r:id="rId10"/>
      <w:pgSz w:w="11906" w:h="16838"/>
      <w:pgMar w:top="2438" w:right="1134" w:bottom="1701" w:left="187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83" w:rsidRDefault="00107D83" w:rsidP="00F55146">
      <w:pPr>
        <w:spacing w:after="0" w:line="240" w:lineRule="auto"/>
      </w:pPr>
      <w:r>
        <w:separator/>
      </w:r>
    </w:p>
  </w:endnote>
  <w:endnote w:type="continuationSeparator" w:id="0">
    <w:p w:rsidR="00107D83" w:rsidRDefault="00107D83" w:rsidP="00F5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66610"/>
      <w:docPartObj>
        <w:docPartGallery w:val="Page Numbers (Bottom of Page)"/>
        <w:docPartUnique/>
      </w:docPartObj>
    </w:sdtPr>
    <w:sdtContent>
      <w:p w:rsidR="00107D83" w:rsidRDefault="00B65534" w:rsidP="009D46F9">
        <w:pPr>
          <w:pStyle w:val="Footer"/>
          <w:jc w:val="right"/>
          <w:rPr>
            <w:sz w:val="14"/>
            <w:szCs w:val="14"/>
          </w:rPr>
        </w:pPr>
        <w:fldSimple w:instr=" DOCPROPERTY  dokumentnr  \* MERGEFORMAT ">
          <w:r w:rsidR="00107D83">
            <w:rPr>
              <w:color w:val="808080" w:themeColor="background1" w:themeShade="80"/>
              <w:sz w:val="14"/>
              <w:szCs w:val="14"/>
            </w:rPr>
            <w:t>D88957</w:t>
          </w:r>
        </w:fldSimple>
      </w:p>
      <w:p w:rsidR="00107D83" w:rsidRPr="002B5F13" w:rsidRDefault="00107D83" w:rsidP="009D46F9">
        <w:pPr>
          <w:pStyle w:val="Footer"/>
          <w:jc w:val="center"/>
        </w:pPr>
      </w:p>
      <w:p w:rsidR="00107D83" w:rsidRDefault="00B65534">
        <w:pPr>
          <w:pStyle w:val="Footer"/>
          <w:jc w:val="right"/>
        </w:pPr>
        <w:fldSimple w:instr=" PAGE   \* MERGEFORMAT ">
          <w:r w:rsidR="00911DB4">
            <w:rPr>
              <w:noProof/>
            </w:rPr>
            <w:t>3</w:t>
          </w:r>
        </w:fldSimple>
      </w:p>
    </w:sdtContent>
  </w:sdt>
  <w:p w:rsidR="00107D83" w:rsidRDefault="00107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83" w:rsidRPr="00D726C6" w:rsidRDefault="00107D83" w:rsidP="009D46F9">
    <w:pPr>
      <w:pStyle w:val="Footer"/>
      <w:jc w:val="right"/>
      <w:rPr>
        <w:color w:val="808080" w:themeColor="background1" w:themeShade="80"/>
        <w:sz w:val="14"/>
        <w:szCs w:val="14"/>
      </w:rPr>
    </w:pPr>
    <w:r w:rsidRPr="00D726C6">
      <w:rPr>
        <w:noProof/>
        <w:color w:val="808080" w:themeColor="background1" w:themeShade="80"/>
        <w:sz w:val="14"/>
        <w:szCs w:val="14"/>
        <w:lang w:eastAsia="da-DK"/>
      </w:rPr>
      <w:drawing>
        <wp:anchor distT="0" distB="0" distL="114300" distR="114300" simplePos="0" relativeHeight="251659264" behindDoc="1" locked="0" layoutInCell="1" allowOverlap="1">
          <wp:simplePos x="0" y="0"/>
          <wp:positionH relativeFrom="column">
            <wp:posOffset>-1178560</wp:posOffset>
          </wp:positionH>
          <wp:positionV relativeFrom="paragraph">
            <wp:posOffset>-76200</wp:posOffset>
          </wp:positionV>
          <wp:extent cx="7540349" cy="1076324"/>
          <wp:effectExtent l="19050" t="0" r="3451" b="0"/>
          <wp:wrapNone/>
          <wp:docPr id="9" name="Billede 8" descr="SIDEFOD-R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FOD-RKR.jpg"/>
                  <pic:cNvPicPr/>
                </pic:nvPicPr>
                <pic:blipFill>
                  <a:blip r:embed="rId1"/>
                  <a:stretch>
                    <a:fillRect/>
                  </a:stretch>
                </pic:blipFill>
                <pic:spPr>
                  <a:xfrm>
                    <a:off x="0" y="0"/>
                    <a:ext cx="7540349" cy="1076324"/>
                  </a:xfrm>
                  <a:prstGeom prst="rect">
                    <a:avLst/>
                  </a:prstGeom>
                </pic:spPr>
              </pic:pic>
            </a:graphicData>
          </a:graphic>
        </wp:anchor>
      </w:drawing>
    </w:r>
    <w:fldSimple w:instr=" DOCPROPERTY  dokumentnr  \* MERGEFORMAT ">
      <w:r>
        <w:rPr>
          <w:color w:val="808080" w:themeColor="background1" w:themeShade="80"/>
          <w:sz w:val="14"/>
          <w:szCs w:val="14"/>
        </w:rPr>
        <w:t>D88957</w:t>
      </w:r>
    </w:fldSimple>
  </w:p>
  <w:p w:rsidR="00107D83" w:rsidRPr="00D726C6" w:rsidRDefault="00107D83" w:rsidP="009D46F9">
    <w:pPr>
      <w:pStyle w:val="Footer"/>
      <w:jc w:val="right"/>
      <w:rPr>
        <w:color w:val="BFBFBF" w:themeColor="background1" w:themeShade="BF"/>
        <w:sz w:val="16"/>
        <w:szCs w:val="16"/>
      </w:rPr>
    </w:pPr>
  </w:p>
  <w:p w:rsidR="00107D83" w:rsidRDefault="00107D83" w:rsidP="009D46F9">
    <w:pPr>
      <w:pStyle w:val="Footer"/>
      <w:jc w:val="right"/>
      <w:rPr>
        <w:sz w:val="14"/>
        <w:szCs w:val="14"/>
      </w:rPr>
    </w:pPr>
  </w:p>
  <w:p w:rsidR="00107D83" w:rsidRPr="009D46F9" w:rsidRDefault="00107D83" w:rsidP="009D46F9">
    <w:pPr>
      <w:pStyle w:val="Footer"/>
      <w:jc w:val="right"/>
      <w:rPr>
        <w:sz w:val="14"/>
        <w:szCs w:val="14"/>
      </w:rPr>
    </w:pPr>
  </w:p>
  <w:p w:rsidR="00107D83" w:rsidRDefault="00107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83" w:rsidRDefault="00107D83" w:rsidP="00F55146">
      <w:pPr>
        <w:spacing w:after="0" w:line="240" w:lineRule="auto"/>
      </w:pPr>
      <w:r>
        <w:separator/>
      </w:r>
    </w:p>
  </w:footnote>
  <w:footnote w:type="continuationSeparator" w:id="0">
    <w:p w:rsidR="00107D83" w:rsidRDefault="00107D83" w:rsidP="00F5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83" w:rsidRDefault="00107D83">
    <w:pPr>
      <w:pStyle w:val="Header"/>
    </w:pPr>
    <w:r>
      <w:rPr>
        <w:noProof/>
        <w:lang w:eastAsia="da-DK"/>
      </w:rPr>
      <w:drawing>
        <wp:anchor distT="0" distB="0" distL="114300" distR="114300" simplePos="0" relativeHeight="251658240" behindDoc="1" locked="0" layoutInCell="1" allowOverlap="1">
          <wp:simplePos x="0" y="0"/>
          <wp:positionH relativeFrom="column">
            <wp:posOffset>-1168400</wp:posOffset>
          </wp:positionH>
          <wp:positionV relativeFrom="paragraph">
            <wp:posOffset>-450215</wp:posOffset>
          </wp:positionV>
          <wp:extent cx="7517130" cy="1072515"/>
          <wp:effectExtent l="19050" t="0" r="7620" b="0"/>
          <wp:wrapNone/>
          <wp:docPr id="8" name="Billede 7" descr="SIDEHOVED-R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HOVED-RKR.jpg"/>
                  <pic:cNvPicPr/>
                </pic:nvPicPr>
                <pic:blipFill>
                  <a:blip r:embed="rId1"/>
                  <a:stretch>
                    <a:fillRect/>
                  </a:stretch>
                </pic:blipFill>
                <pic:spPr>
                  <a:xfrm>
                    <a:off x="0" y="0"/>
                    <a:ext cx="7517130" cy="10725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75A9"/>
    <w:multiLevelType w:val="hybridMultilevel"/>
    <w:tmpl w:val="59C2F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A17EA3"/>
    <w:multiLevelType w:val="hybridMultilevel"/>
    <w:tmpl w:val="6C103150"/>
    <w:lvl w:ilvl="0" w:tplc="0406000F">
      <w:start w:val="1"/>
      <w:numFmt w:val="decimal"/>
      <w:lvlText w:val="%1."/>
      <w:lvlJc w:val="left"/>
      <w:pPr>
        <w:ind w:left="1440" w:hanging="360"/>
      </w:pPr>
      <w:rPr>
        <w:rFonts w:hint="default"/>
      </w:rPr>
    </w:lvl>
    <w:lvl w:ilvl="1" w:tplc="183CF604">
      <w:start w:val="1"/>
      <w:numFmt w:val="lowerLetter"/>
      <w:pStyle w:val="Listeafsnit2niveau"/>
      <w:lvlText w:val="%2)"/>
      <w:lvlJc w:val="left"/>
      <w:pPr>
        <w:ind w:left="2160" w:hanging="360"/>
      </w:pPr>
      <w:rPr>
        <w:rFont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3D3730AC"/>
    <w:multiLevelType w:val="hybridMultilevel"/>
    <w:tmpl w:val="EF3ED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5D18BD"/>
    <w:multiLevelType w:val="hybridMultilevel"/>
    <w:tmpl w:val="608A0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F996BB9"/>
    <w:multiLevelType w:val="multilevel"/>
    <w:tmpl w:val="8640EA2E"/>
    <w:lvl w:ilvl="0">
      <w:start w:val="1"/>
      <w:numFmt w:val="decimal"/>
      <w:pStyle w:val="Listeoverskrift1"/>
      <w:lvlText w:val="%1."/>
      <w:lvlJc w:val="left"/>
      <w:pPr>
        <w:ind w:left="360" w:hanging="360"/>
      </w:pPr>
      <w:rPr>
        <w:rFonts w:hint="default"/>
      </w:rPr>
    </w:lvl>
    <w:lvl w:ilvl="1">
      <w:start w:val="1"/>
      <w:numFmt w:val="decimal"/>
      <w:pStyle w:val="Listeoverskrift2"/>
      <w:suff w:val="space"/>
      <w:lvlText w:val="%1.%2."/>
      <w:lvlJc w:val="left"/>
      <w:pPr>
        <w:ind w:left="522" w:hanging="522"/>
      </w:pPr>
      <w:rPr>
        <w:rFonts w:hint="default"/>
      </w:rPr>
    </w:lvl>
    <w:lvl w:ilvl="2">
      <w:start w:val="1"/>
      <w:numFmt w:val="decimal"/>
      <w:pStyle w:val="Listeoverskrift3"/>
      <w:suff w:val="space"/>
      <w:lvlText w:val="%1.%2.%3."/>
      <w:lvlJc w:val="left"/>
      <w:pPr>
        <w:ind w:left="663" w:hanging="663"/>
      </w:pPr>
      <w:rPr>
        <w:rFonts w:hint="default"/>
      </w:rPr>
    </w:lvl>
    <w:lvl w:ilvl="3">
      <w:start w:val="1"/>
      <w:numFmt w:val="decimal"/>
      <w:pStyle w:val="Listeoverskrit4"/>
      <w:suff w:val="space"/>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1"/>
  </w:num>
  <w:num w:numId="17">
    <w:abstractNumId w:val="4"/>
  </w:num>
  <w:num w:numId="18">
    <w:abstractNumId w:val="4"/>
  </w:num>
  <w:num w:numId="19">
    <w:abstractNumId w:val="4"/>
  </w:num>
  <w:num w:numId="20">
    <w:abstractNumId w:val="4"/>
  </w:num>
  <w:num w:numId="21">
    <w:abstractNumId w:val="3"/>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FB5DD2"/>
    <w:rsid w:val="00025136"/>
    <w:rsid w:val="00043B9E"/>
    <w:rsid w:val="00045E30"/>
    <w:rsid w:val="00055D69"/>
    <w:rsid w:val="00066441"/>
    <w:rsid w:val="000B1DB8"/>
    <w:rsid w:val="000D24F0"/>
    <w:rsid w:val="000D3A73"/>
    <w:rsid w:val="000E398D"/>
    <w:rsid w:val="001020B6"/>
    <w:rsid w:val="00103187"/>
    <w:rsid w:val="00107D83"/>
    <w:rsid w:val="001126CE"/>
    <w:rsid w:val="00116FD3"/>
    <w:rsid w:val="00121BF1"/>
    <w:rsid w:val="00123071"/>
    <w:rsid w:val="001251BD"/>
    <w:rsid w:val="001331C3"/>
    <w:rsid w:val="0016150E"/>
    <w:rsid w:val="00176293"/>
    <w:rsid w:val="00195B8F"/>
    <w:rsid w:val="001A303F"/>
    <w:rsid w:val="001A741C"/>
    <w:rsid w:val="001C2DF8"/>
    <w:rsid w:val="001E3D70"/>
    <w:rsid w:val="002316B0"/>
    <w:rsid w:val="00233196"/>
    <w:rsid w:val="002406C7"/>
    <w:rsid w:val="00242A3C"/>
    <w:rsid w:val="00243A7A"/>
    <w:rsid w:val="00261A0B"/>
    <w:rsid w:val="00295DFA"/>
    <w:rsid w:val="00296D86"/>
    <w:rsid w:val="002A0063"/>
    <w:rsid w:val="002B5F13"/>
    <w:rsid w:val="002C5CD8"/>
    <w:rsid w:val="002E1B0F"/>
    <w:rsid w:val="0030607C"/>
    <w:rsid w:val="00313A3E"/>
    <w:rsid w:val="00322EF7"/>
    <w:rsid w:val="00326FCE"/>
    <w:rsid w:val="003719CF"/>
    <w:rsid w:val="00397A10"/>
    <w:rsid w:val="003B06C9"/>
    <w:rsid w:val="003B0959"/>
    <w:rsid w:val="003C47C2"/>
    <w:rsid w:val="003C5F51"/>
    <w:rsid w:val="003C7452"/>
    <w:rsid w:val="003D232B"/>
    <w:rsid w:val="003D33C8"/>
    <w:rsid w:val="003D728B"/>
    <w:rsid w:val="003E25C0"/>
    <w:rsid w:val="00421309"/>
    <w:rsid w:val="00437199"/>
    <w:rsid w:val="0047118C"/>
    <w:rsid w:val="00472306"/>
    <w:rsid w:val="00472463"/>
    <w:rsid w:val="00475E24"/>
    <w:rsid w:val="00496074"/>
    <w:rsid w:val="004B1CB1"/>
    <w:rsid w:val="004E36FF"/>
    <w:rsid w:val="004F3805"/>
    <w:rsid w:val="00500706"/>
    <w:rsid w:val="00525FA1"/>
    <w:rsid w:val="00532299"/>
    <w:rsid w:val="0054253B"/>
    <w:rsid w:val="00542CFE"/>
    <w:rsid w:val="00551EF3"/>
    <w:rsid w:val="0056098B"/>
    <w:rsid w:val="005B7313"/>
    <w:rsid w:val="005C005D"/>
    <w:rsid w:val="005C4207"/>
    <w:rsid w:val="005C44F8"/>
    <w:rsid w:val="005D2B3A"/>
    <w:rsid w:val="005E28AC"/>
    <w:rsid w:val="005E2CAF"/>
    <w:rsid w:val="005F5469"/>
    <w:rsid w:val="0062019A"/>
    <w:rsid w:val="00620E68"/>
    <w:rsid w:val="0065130E"/>
    <w:rsid w:val="00692383"/>
    <w:rsid w:val="00695A97"/>
    <w:rsid w:val="00697354"/>
    <w:rsid w:val="006B35DF"/>
    <w:rsid w:val="006C4AEF"/>
    <w:rsid w:val="006E690A"/>
    <w:rsid w:val="00712E23"/>
    <w:rsid w:val="00714C39"/>
    <w:rsid w:val="00715164"/>
    <w:rsid w:val="007161B7"/>
    <w:rsid w:val="00734C43"/>
    <w:rsid w:val="00783A60"/>
    <w:rsid w:val="00783A7A"/>
    <w:rsid w:val="007931F8"/>
    <w:rsid w:val="007B3EA3"/>
    <w:rsid w:val="007B545F"/>
    <w:rsid w:val="007D2B71"/>
    <w:rsid w:val="007D6002"/>
    <w:rsid w:val="007F222C"/>
    <w:rsid w:val="007F608C"/>
    <w:rsid w:val="007F7C1C"/>
    <w:rsid w:val="0080001B"/>
    <w:rsid w:val="00805EC4"/>
    <w:rsid w:val="00826B6C"/>
    <w:rsid w:val="00840F95"/>
    <w:rsid w:val="00861853"/>
    <w:rsid w:val="00880414"/>
    <w:rsid w:val="00881977"/>
    <w:rsid w:val="00881A2D"/>
    <w:rsid w:val="008C02DE"/>
    <w:rsid w:val="008D1D64"/>
    <w:rsid w:val="008E2EBB"/>
    <w:rsid w:val="008F5713"/>
    <w:rsid w:val="00911DB4"/>
    <w:rsid w:val="009464D5"/>
    <w:rsid w:val="009465CA"/>
    <w:rsid w:val="009770BA"/>
    <w:rsid w:val="00982A32"/>
    <w:rsid w:val="009D46F9"/>
    <w:rsid w:val="00A4092E"/>
    <w:rsid w:val="00A5002A"/>
    <w:rsid w:val="00A82497"/>
    <w:rsid w:val="00A835F8"/>
    <w:rsid w:val="00A9454F"/>
    <w:rsid w:val="00A97D02"/>
    <w:rsid w:val="00AC514A"/>
    <w:rsid w:val="00AC73FE"/>
    <w:rsid w:val="00AD196B"/>
    <w:rsid w:val="00AD70A4"/>
    <w:rsid w:val="00AF01DA"/>
    <w:rsid w:val="00AF1F67"/>
    <w:rsid w:val="00B07A30"/>
    <w:rsid w:val="00B653D0"/>
    <w:rsid w:val="00B65534"/>
    <w:rsid w:val="00B922C1"/>
    <w:rsid w:val="00BB5BA0"/>
    <w:rsid w:val="00BF526B"/>
    <w:rsid w:val="00C47B35"/>
    <w:rsid w:val="00C66A14"/>
    <w:rsid w:val="00C8186F"/>
    <w:rsid w:val="00CB6519"/>
    <w:rsid w:val="00CD1CF4"/>
    <w:rsid w:val="00CF10EE"/>
    <w:rsid w:val="00CF3D1A"/>
    <w:rsid w:val="00D11FAD"/>
    <w:rsid w:val="00D12DE1"/>
    <w:rsid w:val="00D15EF9"/>
    <w:rsid w:val="00D166FF"/>
    <w:rsid w:val="00D16805"/>
    <w:rsid w:val="00D226C9"/>
    <w:rsid w:val="00D33490"/>
    <w:rsid w:val="00D51082"/>
    <w:rsid w:val="00D726C6"/>
    <w:rsid w:val="00D875D5"/>
    <w:rsid w:val="00DA2EB6"/>
    <w:rsid w:val="00DB4747"/>
    <w:rsid w:val="00DD15F0"/>
    <w:rsid w:val="00DD2B78"/>
    <w:rsid w:val="00DF2DF0"/>
    <w:rsid w:val="00E0314D"/>
    <w:rsid w:val="00E07550"/>
    <w:rsid w:val="00E100C5"/>
    <w:rsid w:val="00E177F5"/>
    <w:rsid w:val="00E260A2"/>
    <w:rsid w:val="00E42854"/>
    <w:rsid w:val="00E4658F"/>
    <w:rsid w:val="00E51804"/>
    <w:rsid w:val="00E819C0"/>
    <w:rsid w:val="00E93DD7"/>
    <w:rsid w:val="00EA5B0A"/>
    <w:rsid w:val="00EB4257"/>
    <w:rsid w:val="00EB42C9"/>
    <w:rsid w:val="00EB713E"/>
    <w:rsid w:val="00EC1935"/>
    <w:rsid w:val="00EC1C31"/>
    <w:rsid w:val="00EC4EDF"/>
    <w:rsid w:val="00EC539A"/>
    <w:rsid w:val="00EE1679"/>
    <w:rsid w:val="00F531FF"/>
    <w:rsid w:val="00F55146"/>
    <w:rsid w:val="00F578AC"/>
    <w:rsid w:val="00F8482D"/>
    <w:rsid w:val="00F91CCC"/>
    <w:rsid w:val="00FA65E0"/>
    <w:rsid w:val="00FB4054"/>
    <w:rsid w:val="00FB4943"/>
    <w:rsid w:val="00FB5DD2"/>
    <w:rsid w:val="00FD13C9"/>
    <w:rsid w:val="00FE0D50"/>
    <w:rsid w:val="00FE3386"/>
    <w:rsid w:val="00FE7AFB"/>
    <w:rsid w:val="00FF37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5"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7"/>
    <w:rPr>
      <w:rFonts w:ascii="Arial" w:hAnsi="Arial"/>
    </w:rPr>
  </w:style>
  <w:style w:type="paragraph" w:styleId="Heading1">
    <w:name w:val="heading 1"/>
    <w:basedOn w:val="Normal"/>
    <w:next w:val="Normal"/>
    <w:link w:val="Heading1Char"/>
    <w:autoRedefine/>
    <w:uiPriority w:val="2"/>
    <w:qFormat/>
    <w:rsid w:val="00EB4257"/>
    <w:pPr>
      <w:keepNext/>
      <w:keepLines/>
      <w:spacing w:before="480" w:after="0"/>
      <w:contextualSpacing/>
      <w:outlineLvl w:val="0"/>
    </w:pPr>
    <w:rPr>
      <w:rFonts w:eastAsiaTheme="majorEastAsia" w:cs="Arial"/>
      <w:b/>
      <w:bCs/>
      <w:sz w:val="32"/>
      <w:szCs w:val="32"/>
    </w:rPr>
  </w:style>
  <w:style w:type="paragraph" w:styleId="Heading2">
    <w:name w:val="heading 2"/>
    <w:basedOn w:val="Normal"/>
    <w:next w:val="Normal"/>
    <w:link w:val="Heading2Char"/>
    <w:uiPriority w:val="3"/>
    <w:qFormat/>
    <w:rsid w:val="00EB4257"/>
    <w:pPr>
      <w:keepNext/>
      <w:keepLines/>
      <w:spacing w:before="480" w:after="0"/>
      <w:contextualSpacing/>
      <w:outlineLvl w:val="1"/>
    </w:pPr>
    <w:rPr>
      <w:rFonts w:eastAsiaTheme="majorEastAsia" w:cstheme="majorBidi"/>
      <w:b/>
      <w:bCs/>
      <w:sz w:val="27"/>
      <w:szCs w:val="26"/>
    </w:rPr>
  </w:style>
  <w:style w:type="paragraph" w:styleId="Heading3">
    <w:name w:val="heading 3"/>
    <w:basedOn w:val="Normal"/>
    <w:next w:val="Normal"/>
    <w:link w:val="Heading3Char"/>
    <w:autoRedefine/>
    <w:uiPriority w:val="4"/>
    <w:unhideWhenUsed/>
    <w:qFormat/>
    <w:rsid w:val="00EB4257"/>
    <w:pPr>
      <w:keepNext/>
      <w:keepLines/>
      <w:spacing w:before="480" w:after="0"/>
      <w:contextualSpacing/>
      <w:outlineLvl w:val="2"/>
    </w:pPr>
    <w:rPr>
      <w:rFonts w:eastAsiaTheme="majorEastAsia" w:cstheme="majorBidi"/>
      <w:b/>
      <w:bCs/>
      <w:sz w:val="24"/>
      <w:lang w:val="en-US"/>
    </w:rPr>
  </w:style>
  <w:style w:type="paragraph" w:styleId="Heading4">
    <w:name w:val="heading 4"/>
    <w:basedOn w:val="Normal"/>
    <w:next w:val="Normal"/>
    <w:link w:val="Heading4Char"/>
    <w:uiPriority w:val="5"/>
    <w:unhideWhenUsed/>
    <w:qFormat/>
    <w:rsid w:val="00EB4257"/>
    <w:pPr>
      <w:keepNext/>
      <w:keepLines/>
      <w:spacing w:before="48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14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55146"/>
  </w:style>
  <w:style w:type="paragraph" w:styleId="Footer">
    <w:name w:val="footer"/>
    <w:basedOn w:val="Normal"/>
    <w:link w:val="FooterChar"/>
    <w:uiPriority w:val="99"/>
    <w:unhideWhenUsed/>
    <w:rsid w:val="000D24F0"/>
    <w:pPr>
      <w:tabs>
        <w:tab w:val="center" w:pos="4819"/>
        <w:tab w:val="right" w:pos="9638"/>
      </w:tabs>
      <w:spacing w:after="0" w:line="240" w:lineRule="auto"/>
    </w:pPr>
    <w:rPr>
      <w:color w:val="7F7F7F" w:themeColor="text1" w:themeTint="80"/>
      <w:sz w:val="18"/>
    </w:rPr>
  </w:style>
  <w:style w:type="character" w:customStyle="1" w:styleId="FooterChar">
    <w:name w:val="Footer Char"/>
    <w:basedOn w:val="DefaultParagraphFont"/>
    <w:link w:val="Footer"/>
    <w:uiPriority w:val="99"/>
    <w:rsid w:val="000D24F0"/>
    <w:rPr>
      <w:rFonts w:ascii="Arial" w:hAnsi="Arial"/>
      <w:color w:val="7F7F7F" w:themeColor="text1" w:themeTint="80"/>
      <w:sz w:val="18"/>
    </w:rPr>
  </w:style>
  <w:style w:type="paragraph" w:styleId="BalloonText">
    <w:name w:val="Balloon Text"/>
    <w:basedOn w:val="Normal"/>
    <w:link w:val="BalloonTextChar"/>
    <w:uiPriority w:val="99"/>
    <w:semiHidden/>
    <w:unhideWhenUsed/>
    <w:rsid w:val="00F5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46"/>
    <w:rPr>
      <w:rFonts w:ascii="Tahoma" w:hAnsi="Tahoma" w:cs="Tahoma"/>
      <w:sz w:val="16"/>
      <w:szCs w:val="16"/>
    </w:rPr>
  </w:style>
  <w:style w:type="paragraph" w:styleId="Title">
    <w:name w:val="Title"/>
    <w:basedOn w:val="Normal"/>
    <w:next w:val="Normal"/>
    <w:link w:val="TitleChar"/>
    <w:autoRedefine/>
    <w:uiPriority w:val="17"/>
    <w:qFormat/>
    <w:rsid w:val="00EB4257"/>
    <w:pPr>
      <w:spacing w:after="240" w:line="240" w:lineRule="auto"/>
      <w:contextualSpacing/>
    </w:pPr>
    <w:rPr>
      <w:rFonts w:eastAsiaTheme="majorEastAsia" w:cstheme="majorBidi"/>
      <w:b/>
      <w:sz w:val="52"/>
      <w:szCs w:val="52"/>
    </w:rPr>
  </w:style>
  <w:style w:type="character" w:customStyle="1" w:styleId="TitleChar">
    <w:name w:val="Title Char"/>
    <w:basedOn w:val="DefaultParagraphFont"/>
    <w:link w:val="Title"/>
    <w:uiPriority w:val="17"/>
    <w:rsid w:val="00EB4257"/>
    <w:rPr>
      <w:rFonts w:ascii="Arial" w:eastAsiaTheme="majorEastAsia" w:hAnsi="Arial" w:cstheme="majorBidi"/>
      <w:b/>
      <w:sz w:val="52"/>
      <w:szCs w:val="52"/>
    </w:rPr>
  </w:style>
  <w:style w:type="character" w:styleId="PlaceholderText">
    <w:name w:val="Placeholder Text"/>
    <w:basedOn w:val="DefaultParagraphFont"/>
    <w:uiPriority w:val="99"/>
    <w:semiHidden/>
    <w:rsid w:val="005E2CAF"/>
    <w:rPr>
      <w:color w:val="808080"/>
    </w:rPr>
  </w:style>
  <w:style w:type="paragraph" w:styleId="ListParagraph">
    <w:name w:val="List Paragraph"/>
    <w:aliases w:val="1. niveau"/>
    <w:basedOn w:val="Normal"/>
    <w:uiPriority w:val="15"/>
    <w:qFormat/>
    <w:rsid w:val="00EB4257"/>
    <w:pPr>
      <w:spacing w:before="200" w:after="0"/>
      <w:ind w:left="720"/>
    </w:pPr>
    <w:rPr>
      <w:rFonts w:cs="Arial"/>
      <w:szCs w:val="24"/>
      <w:lang w:eastAsia="da-DK"/>
    </w:rPr>
  </w:style>
  <w:style w:type="paragraph" w:customStyle="1" w:styleId="Listeafsnit2niveau">
    <w:name w:val="Listeafsnit 2. niveau"/>
    <w:basedOn w:val="ListParagraph"/>
    <w:uiPriority w:val="16"/>
    <w:qFormat/>
    <w:rsid w:val="00EB4257"/>
    <w:pPr>
      <w:numPr>
        <w:ilvl w:val="1"/>
        <w:numId w:val="16"/>
      </w:numPr>
      <w:spacing w:before="0"/>
    </w:pPr>
  </w:style>
  <w:style w:type="paragraph" w:customStyle="1" w:styleId="Listeoverskrift1">
    <w:name w:val="Listeoverskrift 1"/>
    <w:basedOn w:val="Normal"/>
    <w:next w:val="Normal"/>
    <w:uiPriority w:val="7"/>
    <w:qFormat/>
    <w:rsid w:val="00EB4257"/>
    <w:pPr>
      <w:numPr>
        <w:numId w:val="20"/>
      </w:numPr>
      <w:spacing w:before="480" w:after="0"/>
    </w:pPr>
    <w:rPr>
      <w:b/>
      <w:sz w:val="32"/>
      <w:szCs w:val="32"/>
    </w:rPr>
  </w:style>
  <w:style w:type="paragraph" w:customStyle="1" w:styleId="Listeoverskrift2">
    <w:name w:val="Listeoverskrift 2"/>
    <w:basedOn w:val="Listeoverskrift1"/>
    <w:next w:val="Normal"/>
    <w:uiPriority w:val="8"/>
    <w:qFormat/>
    <w:rsid w:val="00EB4257"/>
    <w:pPr>
      <w:numPr>
        <w:ilvl w:val="1"/>
      </w:numPr>
    </w:pPr>
    <w:rPr>
      <w:sz w:val="27"/>
      <w:szCs w:val="27"/>
    </w:rPr>
  </w:style>
  <w:style w:type="paragraph" w:customStyle="1" w:styleId="Listeoverskrift3">
    <w:name w:val="Listeoverskrift 3"/>
    <w:basedOn w:val="Listeoverskrift2"/>
    <w:next w:val="Normal"/>
    <w:uiPriority w:val="9"/>
    <w:qFormat/>
    <w:rsid w:val="00EB4257"/>
    <w:pPr>
      <w:numPr>
        <w:ilvl w:val="2"/>
      </w:numPr>
    </w:pPr>
    <w:rPr>
      <w:sz w:val="24"/>
      <w:szCs w:val="24"/>
    </w:rPr>
  </w:style>
  <w:style w:type="paragraph" w:customStyle="1" w:styleId="Listeoverskrit4">
    <w:name w:val="Listeoverskrit 4"/>
    <w:basedOn w:val="Listeoverskrift3"/>
    <w:next w:val="Normal"/>
    <w:uiPriority w:val="10"/>
    <w:qFormat/>
    <w:rsid w:val="00EB4257"/>
    <w:pPr>
      <w:numPr>
        <w:ilvl w:val="3"/>
      </w:numPr>
    </w:pPr>
    <w:rPr>
      <w:sz w:val="22"/>
      <w:szCs w:val="22"/>
    </w:rPr>
  </w:style>
  <w:style w:type="character" w:customStyle="1" w:styleId="Heading1Char">
    <w:name w:val="Heading 1 Char"/>
    <w:basedOn w:val="DefaultParagraphFont"/>
    <w:link w:val="Heading1"/>
    <w:uiPriority w:val="2"/>
    <w:rsid w:val="00EB4257"/>
    <w:rPr>
      <w:rFonts w:ascii="Arial" w:eastAsiaTheme="majorEastAsia" w:hAnsi="Arial" w:cs="Arial"/>
      <w:b/>
      <w:bCs/>
      <w:sz w:val="32"/>
      <w:szCs w:val="32"/>
    </w:rPr>
  </w:style>
  <w:style w:type="character" w:customStyle="1" w:styleId="Heading2Char">
    <w:name w:val="Heading 2 Char"/>
    <w:basedOn w:val="DefaultParagraphFont"/>
    <w:link w:val="Heading2"/>
    <w:uiPriority w:val="3"/>
    <w:rsid w:val="00EB4257"/>
    <w:rPr>
      <w:rFonts w:ascii="Arial" w:eastAsiaTheme="majorEastAsia" w:hAnsi="Arial" w:cstheme="majorBidi"/>
      <w:b/>
      <w:bCs/>
      <w:sz w:val="27"/>
      <w:szCs w:val="26"/>
    </w:rPr>
  </w:style>
  <w:style w:type="character" w:customStyle="1" w:styleId="Heading3Char">
    <w:name w:val="Heading 3 Char"/>
    <w:basedOn w:val="DefaultParagraphFont"/>
    <w:link w:val="Heading3"/>
    <w:uiPriority w:val="4"/>
    <w:rsid w:val="00EB4257"/>
    <w:rPr>
      <w:rFonts w:ascii="Arial" w:eastAsiaTheme="majorEastAsia" w:hAnsi="Arial" w:cstheme="majorBidi"/>
      <w:b/>
      <w:bCs/>
      <w:sz w:val="24"/>
      <w:lang w:val="en-US"/>
    </w:rPr>
  </w:style>
  <w:style w:type="character" w:customStyle="1" w:styleId="Heading4Char">
    <w:name w:val="Heading 4 Char"/>
    <w:basedOn w:val="DefaultParagraphFont"/>
    <w:link w:val="Heading4"/>
    <w:uiPriority w:val="5"/>
    <w:rsid w:val="00EB4257"/>
    <w:rPr>
      <w:rFonts w:ascii="Arial" w:eastAsiaTheme="majorEastAsia" w:hAnsi="Arial" w:cstheme="majorBidi"/>
      <w:b/>
      <w:bCs/>
      <w:iCs/>
    </w:rPr>
  </w:style>
  <w:style w:type="paragraph" w:styleId="Subtitle">
    <w:name w:val="Subtitle"/>
    <w:basedOn w:val="Normal"/>
    <w:next w:val="Normal"/>
    <w:link w:val="SubtitleChar"/>
    <w:autoRedefine/>
    <w:uiPriority w:val="18"/>
    <w:qFormat/>
    <w:rsid w:val="00EB4257"/>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8"/>
    <w:rsid w:val="00EB4257"/>
    <w:rPr>
      <w:rFonts w:ascii="Arial" w:eastAsiaTheme="majorEastAsia" w:hAnsi="Arial" w:cstheme="majorBidi"/>
      <w:b/>
      <w:iCs/>
      <w:spacing w:val="15"/>
    </w:rPr>
  </w:style>
  <w:style w:type="paragraph" w:styleId="Quote">
    <w:name w:val="Quote"/>
    <w:basedOn w:val="Normal"/>
    <w:next w:val="Normal"/>
    <w:link w:val="QuoteChar"/>
    <w:uiPriority w:val="6"/>
    <w:qFormat/>
    <w:rsid w:val="00EB4257"/>
    <w:pPr>
      <w:spacing w:before="200"/>
      <w:ind w:left="624"/>
    </w:pPr>
    <w:rPr>
      <w:i/>
      <w:iCs/>
      <w:color w:val="000000" w:themeColor="text1"/>
    </w:rPr>
  </w:style>
  <w:style w:type="character" w:customStyle="1" w:styleId="QuoteChar">
    <w:name w:val="Quote Char"/>
    <w:basedOn w:val="DefaultParagraphFont"/>
    <w:link w:val="Quote"/>
    <w:uiPriority w:val="6"/>
    <w:rsid w:val="00EB4257"/>
    <w:rPr>
      <w:rFonts w:ascii="Arial" w:hAnsi="Arial"/>
      <w:i/>
      <w:iCs/>
      <w:color w:val="000000" w:themeColor="text1"/>
    </w:rPr>
  </w:style>
  <w:style w:type="table" w:styleId="TableGrid">
    <w:name w:val="Table Grid"/>
    <w:basedOn w:val="TableNormal"/>
    <w:uiPriority w:val="59"/>
    <w:rsid w:val="00E10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883306">
      <w:bodyDiv w:val="1"/>
      <w:marLeft w:val="0"/>
      <w:marRight w:val="0"/>
      <w:marTop w:val="0"/>
      <w:marBottom w:val="0"/>
      <w:divBdr>
        <w:top w:val="none" w:sz="0" w:space="0" w:color="auto"/>
        <w:left w:val="none" w:sz="0" w:space="0" w:color="auto"/>
        <w:bottom w:val="none" w:sz="0" w:space="0" w:color="auto"/>
        <w:right w:val="none" w:sz="0" w:space="0" w:color="auto"/>
      </w:divBdr>
      <w:divsChild>
        <w:div w:id="30569225">
          <w:marLeft w:val="0"/>
          <w:marRight w:val="0"/>
          <w:marTop w:val="0"/>
          <w:marBottom w:val="0"/>
          <w:divBdr>
            <w:top w:val="none" w:sz="0" w:space="0" w:color="auto"/>
            <w:left w:val="none" w:sz="0" w:space="0" w:color="auto"/>
            <w:bottom w:val="none" w:sz="0" w:space="0" w:color="auto"/>
            <w:right w:val="none" w:sz="0" w:space="0" w:color="auto"/>
          </w:divBdr>
          <w:divsChild>
            <w:div w:id="1350067244">
              <w:marLeft w:val="0"/>
              <w:marRight w:val="0"/>
              <w:marTop w:val="0"/>
              <w:marBottom w:val="0"/>
              <w:divBdr>
                <w:top w:val="none" w:sz="0" w:space="0" w:color="auto"/>
                <w:left w:val="none" w:sz="0" w:space="0" w:color="auto"/>
                <w:bottom w:val="none" w:sz="0" w:space="0" w:color="auto"/>
                <w:right w:val="none" w:sz="0" w:space="0" w:color="auto"/>
              </w:divBdr>
              <w:divsChild>
                <w:div w:id="433134169">
                  <w:marLeft w:val="0"/>
                  <w:marRight w:val="0"/>
                  <w:marTop w:val="0"/>
                  <w:marBottom w:val="0"/>
                  <w:divBdr>
                    <w:top w:val="none" w:sz="0" w:space="0" w:color="auto"/>
                    <w:left w:val="none" w:sz="0" w:space="0" w:color="auto"/>
                    <w:bottom w:val="none" w:sz="0" w:space="0" w:color="auto"/>
                    <w:right w:val="none" w:sz="0" w:space="0" w:color="auto"/>
                  </w:divBdr>
                  <w:divsChild>
                    <w:div w:id="258369711">
                      <w:marLeft w:val="0"/>
                      <w:marRight w:val="0"/>
                      <w:marTop w:val="0"/>
                      <w:marBottom w:val="0"/>
                      <w:divBdr>
                        <w:top w:val="none" w:sz="0" w:space="0" w:color="auto"/>
                        <w:left w:val="none" w:sz="0" w:space="0" w:color="auto"/>
                        <w:bottom w:val="none" w:sz="0" w:space="0" w:color="auto"/>
                        <w:right w:val="none" w:sz="0" w:space="0" w:color="auto"/>
                      </w:divBdr>
                      <w:divsChild>
                        <w:div w:id="1935284236">
                          <w:marLeft w:val="0"/>
                          <w:marRight w:val="0"/>
                          <w:marTop w:val="0"/>
                          <w:marBottom w:val="0"/>
                          <w:divBdr>
                            <w:top w:val="none" w:sz="0" w:space="0" w:color="auto"/>
                            <w:left w:val="none" w:sz="0" w:space="0" w:color="auto"/>
                            <w:bottom w:val="none" w:sz="0" w:space="0" w:color="auto"/>
                            <w:right w:val="none" w:sz="0" w:space="0" w:color="auto"/>
                          </w:divBdr>
                          <w:divsChild>
                            <w:div w:id="1170371298">
                              <w:marLeft w:val="0"/>
                              <w:marRight w:val="0"/>
                              <w:marTop w:val="0"/>
                              <w:marBottom w:val="0"/>
                              <w:divBdr>
                                <w:top w:val="none" w:sz="0" w:space="0" w:color="auto"/>
                                <w:left w:val="none" w:sz="0" w:space="0" w:color="auto"/>
                                <w:bottom w:val="none" w:sz="0" w:space="0" w:color="auto"/>
                                <w:right w:val="none" w:sz="0" w:space="0" w:color="auto"/>
                              </w:divBdr>
                              <w:divsChild>
                                <w:div w:id="1990210675">
                                  <w:marLeft w:val="0"/>
                                  <w:marRight w:val="0"/>
                                  <w:marTop w:val="0"/>
                                  <w:marBottom w:val="0"/>
                                  <w:divBdr>
                                    <w:top w:val="none" w:sz="0" w:space="0" w:color="auto"/>
                                    <w:left w:val="none" w:sz="0" w:space="0" w:color="auto"/>
                                    <w:bottom w:val="none" w:sz="0" w:space="0" w:color="auto"/>
                                    <w:right w:val="none" w:sz="0" w:space="0" w:color="auto"/>
                                  </w:divBdr>
                                  <w:divsChild>
                                    <w:div w:id="1981957381">
                                      <w:marLeft w:val="0"/>
                                      <w:marRight w:val="0"/>
                                      <w:marTop w:val="0"/>
                                      <w:marBottom w:val="0"/>
                                      <w:divBdr>
                                        <w:top w:val="none" w:sz="0" w:space="0" w:color="auto"/>
                                        <w:left w:val="none" w:sz="0" w:space="0" w:color="auto"/>
                                        <w:bottom w:val="none" w:sz="0" w:space="0" w:color="auto"/>
                                        <w:right w:val="none" w:sz="0" w:space="0" w:color="auto"/>
                                      </w:divBdr>
                                      <w:divsChild>
                                        <w:div w:id="625354264">
                                          <w:marLeft w:val="0"/>
                                          <w:marRight w:val="0"/>
                                          <w:marTop w:val="0"/>
                                          <w:marBottom w:val="0"/>
                                          <w:divBdr>
                                            <w:top w:val="none" w:sz="0" w:space="0" w:color="auto"/>
                                            <w:left w:val="none" w:sz="0" w:space="0" w:color="auto"/>
                                            <w:bottom w:val="none" w:sz="0" w:space="0" w:color="auto"/>
                                            <w:right w:val="none" w:sz="0" w:space="0" w:color="auto"/>
                                          </w:divBdr>
                                          <w:divsChild>
                                            <w:div w:id="1200817559">
                                              <w:marLeft w:val="0"/>
                                              <w:marRight w:val="0"/>
                                              <w:marTop w:val="150"/>
                                              <w:marBottom w:val="150"/>
                                              <w:divBdr>
                                                <w:top w:val="none" w:sz="0" w:space="0" w:color="auto"/>
                                                <w:left w:val="none" w:sz="0" w:space="0" w:color="auto"/>
                                                <w:bottom w:val="none" w:sz="0" w:space="0" w:color="auto"/>
                                                <w:right w:val="none" w:sz="0" w:space="0" w:color="auto"/>
                                              </w:divBdr>
                                            </w:div>
                                            <w:div w:id="1827820679">
                                              <w:marLeft w:val="0"/>
                                              <w:marRight w:val="0"/>
                                              <w:marTop w:val="150"/>
                                              <w:marBottom w:val="150"/>
                                              <w:divBdr>
                                                <w:top w:val="none" w:sz="0" w:space="0" w:color="auto"/>
                                                <w:left w:val="none" w:sz="0" w:space="0" w:color="auto"/>
                                                <w:bottom w:val="none" w:sz="0" w:space="0" w:color="auto"/>
                                                <w:right w:val="none" w:sz="0" w:space="0" w:color="auto"/>
                                              </w:divBdr>
                                            </w:div>
                                            <w:div w:id="1908374891">
                                              <w:marLeft w:val="0"/>
                                              <w:marRight w:val="0"/>
                                              <w:marTop w:val="150"/>
                                              <w:marBottom w:val="150"/>
                                              <w:divBdr>
                                                <w:top w:val="none" w:sz="0" w:space="0" w:color="auto"/>
                                                <w:left w:val="none" w:sz="0" w:space="0" w:color="auto"/>
                                                <w:bottom w:val="none" w:sz="0" w:space="0" w:color="auto"/>
                                                <w:right w:val="none" w:sz="0" w:space="0" w:color="auto"/>
                                              </w:divBdr>
                                            </w:div>
                                            <w:div w:id="398669667">
                                              <w:marLeft w:val="0"/>
                                              <w:marRight w:val="0"/>
                                              <w:marTop w:val="150"/>
                                              <w:marBottom w:val="150"/>
                                              <w:divBdr>
                                                <w:top w:val="none" w:sz="0" w:space="0" w:color="auto"/>
                                                <w:left w:val="none" w:sz="0" w:space="0" w:color="auto"/>
                                                <w:bottom w:val="none" w:sz="0" w:space="0" w:color="auto"/>
                                                <w:right w:val="none" w:sz="0" w:space="0" w:color="auto"/>
                                              </w:divBdr>
                                            </w:div>
                                            <w:div w:id="1872571191">
                                              <w:marLeft w:val="0"/>
                                              <w:marRight w:val="0"/>
                                              <w:marTop w:val="150"/>
                                              <w:marBottom w:val="150"/>
                                              <w:divBdr>
                                                <w:top w:val="none" w:sz="0" w:space="0" w:color="auto"/>
                                                <w:left w:val="none" w:sz="0" w:space="0" w:color="auto"/>
                                                <w:bottom w:val="none" w:sz="0" w:space="0" w:color="auto"/>
                                                <w:right w:val="none" w:sz="0" w:space="0" w:color="auto"/>
                                              </w:divBdr>
                                            </w:div>
                                            <w:div w:id="2117216955">
                                              <w:marLeft w:val="0"/>
                                              <w:marRight w:val="0"/>
                                              <w:marTop w:val="150"/>
                                              <w:marBottom w:val="150"/>
                                              <w:divBdr>
                                                <w:top w:val="none" w:sz="0" w:space="0" w:color="auto"/>
                                                <w:left w:val="none" w:sz="0" w:space="0" w:color="auto"/>
                                                <w:bottom w:val="none" w:sz="0" w:space="0" w:color="auto"/>
                                                <w:right w:val="none" w:sz="0" w:space="0" w:color="auto"/>
                                              </w:divBdr>
                                            </w:div>
                                            <w:div w:id="1560743894">
                                              <w:marLeft w:val="0"/>
                                              <w:marRight w:val="0"/>
                                              <w:marTop w:val="150"/>
                                              <w:marBottom w:val="150"/>
                                              <w:divBdr>
                                                <w:top w:val="none" w:sz="0" w:space="0" w:color="auto"/>
                                                <w:left w:val="none" w:sz="0" w:space="0" w:color="auto"/>
                                                <w:bottom w:val="none" w:sz="0" w:space="0" w:color="auto"/>
                                                <w:right w:val="none" w:sz="0" w:space="0" w:color="auto"/>
                                              </w:divBdr>
                                            </w:div>
                                            <w:div w:id="1151487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17">
      <w:bodyDiv w:val="1"/>
      <w:marLeft w:val="0"/>
      <w:marRight w:val="0"/>
      <w:marTop w:val="0"/>
      <w:marBottom w:val="0"/>
      <w:divBdr>
        <w:top w:val="none" w:sz="0" w:space="0" w:color="auto"/>
        <w:left w:val="none" w:sz="0" w:space="0" w:color="auto"/>
        <w:bottom w:val="none" w:sz="0" w:space="0" w:color="auto"/>
        <w:right w:val="none" w:sz="0" w:space="0" w:color="auto"/>
      </w:divBdr>
    </w:div>
    <w:div w:id="20805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58CD-EF01-486A-8E81-F7C1B4E8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857</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Realkreditrådet</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Winther</dc:creator>
  <cp:lastModifiedBy>JHH</cp:lastModifiedBy>
  <cp:revision>26</cp:revision>
  <cp:lastPrinted>2015-01-08T08:55:00Z</cp:lastPrinted>
  <dcterms:created xsi:type="dcterms:W3CDTF">2015-06-18T09:24:00Z</dcterms:created>
  <dcterms:modified xsi:type="dcterms:W3CDTF">2015-10-06T15:17:00Z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kumentnr">
    <vt:lpwstr>D88957</vt:lpwstr>
  </property>
  <property fmtid="{D5CDD505-2E9C-101B-9397-08002B2CF9AE}" pid="3" name="til_navn">
    <vt:lpwstr> </vt:lpwstr>
  </property>
  <property fmtid="{D5CDD505-2E9C-101B-9397-08002B2CF9AE}" pid="4" name="til_adresse">
    <vt:lpwstr> </vt:lpwstr>
  </property>
  <property fmtid="{D5CDD505-2E9C-101B-9397-08002B2CF9AE}" pid="5" name="til_postnr">
    <vt:lpwstr> </vt:lpwstr>
  </property>
  <property fmtid="{D5CDD505-2E9C-101B-9397-08002B2CF9AE}" pid="6" name="til_by">
    <vt:lpwstr> </vt:lpwstr>
  </property>
  <property fmtid="{D5CDD505-2E9C-101B-9397-08002B2CF9AE}" pid="7" name="dato_udsendelse">
    <vt:lpwstr> </vt:lpwstr>
  </property>
  <property fmtid="{D5CDD505-2E9C-101B-9397-08002B2CF9AE}" pid="8" name="underskriver_navn">
    <vt:lpwstr> </vt:lpwstr>
  </property>
  <property fmtid="{D5CDD505-2E9C-101B-9397-08002B2CF9AE}" pid="9" name="underskriver_tlfdirekte">
    <vt:lpwstr> </vt:lpwstr>
  </property>
  <property fmtid="{D5CDD505-2E9C-101B-9397-08002B2CF9AE}" pid="10" name="underskriver_email">
    <vt:lpwstr> </vt:lpwstr>
  </property>
  <property fmtid="{D5CDD505-2E9C-101B-9397-08002B2CF9AE}" pid="11" name="att_navn">
    <vt:lpwstr> </vt:lpwstr>
  </property>
  <property fmtid="{D5CDD505-2E9C-101B-9397-08002B2CF9AE}" pid="12" name="ansvarlig_initialer">
    <vt:lpwstr> </vt:lpwstr>
  </property>
  <property fmtid="{D5CDD505-2E9C-101B-9397-08002B2CF9AE}" pid="13" name="dokumentstatus">
    <vt:lpwstr>Udkast</vt:lpwstr>
  </property>
  <property fmtid="{D5CDD505-2E9C-101B-9397-08002B2CF9AE}" pid="14" name="dokumenttitel">
    <vt:lpwstr>Response - CP on conditions to be taken into account when determining higher risk-weights and/or minimum LGD-values</vt:lpwstr>
  </property>
  <property fmtid="{D5CDD505-2E9C-101B-9397-08002B2CF9AE}" pid="15" name="referatnr">
    <vt:lpwstr> </vt:lpwstr>
  </property>
  <property fmtid="{D5CDD505-2E9C-101B-9397-08002B2CF9AE}" pid="16" name="ansvarlig_email">
    <vt:lpwstr> </vt:lpwstr>
  </property>
  <property fmtid="{D5CDD505-2E9C-101B-9397-08002B2CF9AE}" pid="17" name="ansvarlig_navn">
    <vt:lpwstr> </vt:lpwstr>
  </property>
  <property fmtid="{D5CDD505-2E9C-101B-9397-08002B2CF9AE}" pid="18" name="ansvarlig_tlfdirekte">
    <vt:lpwstr> </vt:lpwstr>
  </property>
  <property fmtid="{D5CDD505-2E9C-101B-9397-08002B2CF9AE}" pid="19" name="bilag_nr">
    <vt:lpwstr> </vt:lpwstr>
  </property>
  <property fmtid="{D5CDD505-2E9C-101B-9397-08002B2CF9AE}" pid="20" name="punkt_nr">
    <vt:lpwstr> </vt:lpwstr>
  </property>
  <property fmtid="{D5CDD505-2E9C-101B-9397-08002B2CF9AE}" pid="21" name="Udsendelsesdato">
    <vt:lpwstr> </vt:lpwstr>
  </property>
  <property fmtid="{D5CDD505-2E9C-101B-9397-08002B2CF9AE}" pid="22" name="dokumentsidstrettet">
    <vt:lpwstr>6. oktober 2015</vt:lpwstr>
  </property>
  <property fmtid="{D5CDD505-2E9C-101B-9397-08002B2CF9AE}" pid="23" name="dokumentversion">
    <vt:lpwstr>9.0</vt:lpwstr>
  </property>
  <property fmtid="{D5CDD505-2E9C-101B-9397-08002B2CF9AE}" pid="24" name="sagsnr">
    <vt:lpwstr>S508</vt:lpwstr>
  </property>
  <property fmtid="{D5CDD505-2E9C-101B-9397-08002B2CF9AE}" pid="25" name="mødedato">
    <vt:lpwstr> </vt:lpwstr>
  </property>
  <property fmtid="{D5CDD505-2E9C-101B-9397-08002B2CF9AE}" pid="26" name="modetype">
    <vt:lpwstr> </vt:lpwstr>
  </property>
</Properties>
</file>