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BDEB" w14:textId="77777777" w:rsidR="00152882" w:rsidRDefault="00152882" w:rsidP="00152882">
      <w:pPr>
        <w:sectPr w:rsidR="00152882" w:rsidSect="00825DAE">
          <w:headerReference w:type="default" r:id="rId10"/>
          <w:footerReference w:type="even" r:id="rId11"/>
          <w:footerReference w:type="default" r:id="rId12"/>
          <w:headerReference w:type="first" r:id="rId13"/>
          <w:footerReference w:type="first" r:id="rId14"/>
          <w:pgSz w:w="11907" w:h="16839" w:code="9"/>
          <w:pgMar w:top="2336" w:right="900" w:bottom="1600" w:left="900" w:header="708" w:footer="236" w:gutter="0"/>
          <w:cols w:space="708"/>
          <w:titlePg/>
          <w:docGrid w:linePitch="360"/>
        </w:sectPr>
      </w:pPr>
      <w:bookmarkStart w:id="2" w:name="_GoBack"/>
      <w:bookmarkEnd w:id="2"/>
    </w:p>
    <w:p w14:paraId="3B283FA0" w14:textId="77777777" w:rsidR="00BC346C" w:rsidRDefault="00BC346C" w:rsidP="00BC346C">
      <w:pPr>
        <w:sectPr w:rsidR="00BC346C" w:rsidSect="00BC346C">
          <w:headerReference w:type="default" r:id="rId15"/>
          <w:footerReference w:type="even" r:id="rId16"/>
          <w:footerReference w:type="default" r:id="rId17"/>
          <w:headerReference w:type="first" r:id="rId18"/>
          <w:footerReference w:type="first" r:id="rId19"/>
          <w:type w:val="continuous"/>
          <w:pgSz w:w="11907" w:h="16839" w:code="9"/>
          <w:pgMar w:top="2336" w:right="900" w:bottom="1600" w:left="900" w:header="708" w:footer="236" w:gutter="0"/>
          <w:cols w:space="708"/>
          <w:titlePg/>
          <w:docGrid w:linePitch="360"/>
        </w:sectPr>
      </w:pPr>
    </w:p>
    <w:p w14:paraId="5EF07EB2" w14:textId="1AC2643D" w:rsidR="00BC346C" w:rsidRPr="00065FE5" w:rsidRDefault="00BC346C" w:rsidP="00BC346C">
      <w:pPr>
        <w:rPr>
          <w:strike/>
          <w:sz w:val="17"/>
          <w:szCs w:val="17"/>
          <w:u w:val="single"/>
        </w:rPr>
      </w:pPr>
      <w:r w:rsidRPr="00065FE5">
        <w:rPr>
          <w:b/>
          <w:sz w:val="17"/>
          <w:szCs w:val="17"/>
          <w:u w:val="single"/>
        </w:rPr>
        <w:lastRenderedPageBreak/>
        <w:t>Question 1: Do you have any general comments on the draft Guidelines on the prudential assessment of acquisitions and increases of qualifying holdings in the financial sector?</w:t>
      </w:r>
    </w:p>
    <w:p w14:paraId="4B394FBA" w14:textId="77777777" w:rsidR="00BC346C" w:rsidRDefault="00BC346C" w:rsidP="00BC346C">
      <w:pPr>
        <w:rPr>
          <w:sz w:val="17"/>
          <w:szCs w:val="17"/>
        </w:rPr>
      </w:pPr>
    </w:p>
    <w:p w14:paraId="70B45CF9" w14:textId="77777777" w:rsidR="00BC346C" w:rsidRDefault="00BC346C" w:rsidP="00BC346C">
      <w:pPr>
        <w:rPr>
          <w:sz w:val="17"/>
          <w:szCs w:val="17"/>
        </w:rPr>
      </w:pPr>
      <w:r w:rsidRPr="00956545">
        <w:rPr>
          <w:sz w:val="17"/>
          <w:szCs w:val="17"/>
        </w:rPr>
        <w:t>Insurance Europe</w:t>
      </w:r>
      <w:r w:rsidRPr="009F71C6">
        <w:rPr>
          <w:sz w:val="17"/>
          <w:szCs w:val="17"/>
        </w:rPr>
        <w:t xml:space="preserve"> welcomes this opportunity to comment on ESA’s Joint Consultation Paper regarding the “</w:t>
      </w:r>
      <w:r w:rsidRPr="009F71C6">
        <w:rPr>
          <w:rFonts w:cs="Arial"/>
          <w:bCs/>
          <w:color w:val="000000"/>
          <w:sz w:val="17"/>
          <w:szCs w:val="17"/>
        </w:rPr>
        <w:t>Draft Joint Guidelines on the prudential assessment of acquisitions and increases of qualifying holdings in the financial sector</w:t>
      </w:r>
      <w:r w:rsidRPr="009F71C6">
        <w:rPr>
          <w:sz w:val="17"/>
          <w:szCs w:val="17"/>
        </w:rPr>
        <w:t xml:space="preserve">”.  </w:t>
      </w:r>
    </w:p>
    <w:p w14:paraId="525FA475" w14:textId="77777777" w:rsidR="00BC346C" w:rsidRPr="009F71C6" w:rsidRDefault="00BC346C" w:rsidP="00BC346C">
      <w:pPr>
        <w:rPr>
          <w:sz w:val="17"/>
          <w:szCs w:val="17"/>
        </w:rPr>
      </w:pPr>
    </w:p>
    <w:p w14:paraId="3A34FAD7" w14:textId="3ED74546" w:rsidR="00BC346C" w:rsidRPr="009F71C6" w:rsidRDefault="00BC346C" w:rsidP="00BC346C">
      <w:pPr>
        <w:rPr>
          <w:sz w:val="17"/>
          <w:szCs w:val="17"/>
        </w:rPr>
      </w:pPr>
      <w:r w:rsidRPr="00956545">
        <w:rPr>
          <w:sz w:val="17"/>
          <w:szCs w:val="17"/>
        </w:rPr>
        <w:t xml:space="preserve">From Insurance Europe’s point of view the </w:t>
      </w:r>
      <w:r>
        <w:rPr>
          <w:sz w:val="17"/>
          <w:szCs w:val="17"/>
        </w:rPr>
        <w:t>g</w:t>
      </w:r>
      <w:r w:rsidRPr="00956545">
        <w:rPr>
          <w:sz w:val="17"/>
          <w:szCs w:val="17"/>
        </w:rPr>
        <w:t xml:space="preserve">uidelines should not </w:t>
      </w:r>
      <w:r>
        <w:rPr>
          <w:sz w:val="17"/>
          <w:szCs w:val="17"/>
        </w:rPr>
        <w:t>duplicate</w:t>
      </w:r>
      <w:r w:rsidRPr="00956545">
        <w:rPr>
          <w:sz w:val="17"/>
          <w:szCs w:val="17"/>
        </w:rPr>
        <w:t xml:space="preserve"> already existing provisions as set out in relevant Directives, Regulations and Delegated Acts</w:t>
      </w:r>
      <w:r w:rsidRPr="00215FF0">
        <w:rPr>
          <w:sz w:val="17"/>
          <w:szCs w:val="17"/>
        </w:rPr>
        <w:t xml:space="preserve"> </w:t>
      </w:r>
      <w:r>
        <w:rPr>
          <w:sz w:val="17"/>
          <w:szCs w:val="17"/>
        </w:rPr>
        <w:t xml:space="preserve">nor </w:t>
      </w:r>
      <w:r w:rsidRPr="00B14EC5">
        <w:rPr>
          <w:sz w:val="17"/>
          <w:szCs w:val="17"/>
        </w:rPr>
        <w:t>add another layer of requirements</w:t>
      </w:r>
      <w:r w:rsidRPr="00956545">
        <w:rPr>
          <w:sz w:val="17"/>
          <w:szCs w:val="17"/>
        </w:rPr>
        <w:t xml:space="preserve">. </w:t>
      </w:r>
      <w:r w:rsidRPr="00956545" w:rsidDel="00D2489A">
        <w:rPr>
          <w:sz w:val="17"/>
          <w:szCs w:val="17"/>
        </w:rPr>
        <w:t xml:space="preserve"> </w:t>
      </w:r>
      <w:r w:rsidRPr="00956545">
        <w:rPr>
          <w:sz w:val="17"/>
          <w:szCs w:val="17"/>
        </w:rPr>
        <w:t>In addition</w:t>
      </w:r>
      <w:r>
        <w:rPr>
          <w:sz w:val="17"/>
          <w:szCs w:val="17"/>
        </w:rPr>
        <w:t>, it is important that</w:t>
      </w:r>
      <w:r w:rsidRPr="00361ED6" w:rsidDel="00065FE5">
        <w:rPr>
          <w:sz w:val="17"/>
          <w:szCs w:val="17"/>
        </w:rPr>
        <w:t xml:space="preserve"> </w:t>
      </w:r>
      <w:r w:rsidRPr="00956545">
        <w:rPr>
          <w:sz w:val="17"/>
          <w:szCs w:val="17"/>
        </w:rPr>
        <w:t>a consistent level playing field within the European Union</w:t>
      </w:r>
      <w:r>
        <w:rPr>
          <w:sz w:val="17"/>
          <w:szCs w:val="17"/>
        </w:rPr>
        <w:t xml:space="preserve"> is ensured and that gold plating by </w:t>
      </w:r>
      <w:r w:rsidRPr="00956545">
        <w:rPr>
          <w:sz w:val="17"/>
          <w:szCs w:val="17"/>
        </w:rPr>
        <w:t>national supervisory authorities</w:t>
      </w:r>
      <w:r>
        <w:rPr>
          <w:sz w:val="17"/>
          <w:szCs w:val="17"/>
        </w:rPr>
        <w:t xml:space="preserve"> is avoided.</w:t>
      </w:r>
      <w:r w:rsidRPr="00956545">
        <w:rPr>
          <w:sz w:val="17"/>
          <w:szCs w:val="17"/>
        </w:rPr>
        <w:t xml:space="preserve"> </w:t>
      </w:r>
    </w:p>
    <w:p w14:paraId="1D87D7E2" w14:textId="77777777" w:rsidR="00BC346C" w:rsidRPr="009F71C6" w:rsidRDefault="00BC346C" w:rsidP="00BC346C">
      <w:pPr>
        <w:rPr>
          <w:sz w:val="17"/>
          <w:szCs w:val="17"/>
        </w:rPr>
      </w:pPr>
    </w:p>
    <w:p w14:paraId="7F71C167" w14:textId="77777777" w:rsidR="00BC346C" w:rsidRPr="009F71C6" w:rsidRDefault="00BC346C" w:rsidP="00BC346C">
      <w:pPr>
        <w:rPr>
          <w:b/>
          <w:sz w:val="17"/>
          <w:szCs w:val="17"/>
        </w:rPr>
      </w:pPr>
      <w:r w:rsidRPr="009F71C6">
        <w:rPr>
          <w:b/>
          <w:sz w:val="17"/>
          <w:szCs w:val="17"/>
        </w:rPr>
        <w:t>1. Scope of the Guidelines</w:t>
      </w:r>
    </w:p>
    <w:p w14:paraId="4A15977C" w14:textId="77777777" w:rsidR="00BC346C" w:rsidRDefault="00BC346C" w:rsidP="00BC346C">
      <w:pPr>
        <w:rPr>
          <w:b/>
          <w:sz w:val="17"/>
          <w:szCs w:val="17"/>
        </w:rPr>
      </w:pPr>
    </w:p>
    <w:p w14:paraId="39614EAF" w14:textId="4228FDC2" w:rsidR="00BC346C" w:rsidRPr="009F71C6" w:rsidRDefault="00BC346C" w:rsidP="00BC346C">
      <w:pPr>
        <w:rPr>
          <w:sz w:val="17"/>
          <w:szCs w:val="17"/>
        </w:rPr>
      </w:pPr>
      <w:r w:rsidRPr="009F71C6">
        <w:rPr>
          <w:sz w:val="17"/>
          <w:szCs w:val="17"/>
        </w:rPr>
        <w:t xml:space="preserve">It is important that the </w:t>
      </w:r>
      <w:r>
        <w:rPr>
          <w:sz w:val="17"/>
          <w:szCs w:val="17"/>
        </w:rPr>
        <w:t>g</w:t>
      </w:r>
      <w:r w:rsidRPr="009F71C6">
        <w:rPr>
          <w:sz w:val="17"/>
          <w:szCs w:val="17"/>
        </w:rPr>
        <w:t xml:space="preserve">uidelines, in general, are only used where there are no regulatory measures already in place. Thus, the </w:t>
      </w:r>
      <w:r>
        <w:rPr>
          <w:sz w:val="17"/>
          <w:szCs w:val="17"/>
        </w:rPr>
        <w:t>g</w:t>
      </w:r>
      <w:r w:rsidRPr="009F71C6">
        <w:rPr>
          <w:sz w:val="17"/>
          <w:szCs w:val="17"/>
        </w:rPr>
        <w:t xml:space="preserve">uidelines on the prudential assessment of acquisitions and increases of qualifying holdings in the financial sector (hereafter referred to as “Guidelines”) should not create new </w:t>
      </w:r>
      <w:r>
        <w:rPr>
          <w:sz w:val="17"/>
          <w:szCs w:val="17"/>
        </w:rPr>
        <w:t>requirements</w:t>
      </w:r>
      <w:r w:rsidRPr="009F71C6">
        <w:rPr>
          <w:sz w:val="17"/>
          <w:szCs w:val="17"/>
        </w:rPr>
        <w:t xml:space="preserve"> where the relevant </w:t>
      </w:r>
      <w:r>
        <w:rPr>
          <w:sz w:val="17"/>
          <w:szCs w:val="17"/>
        </w:rPr>
        <w:t>legal</w:t>
      </w:r>
      <w:r w:rsidRPr="009F71C6">
        <w:rPr>
          <w:sz w:val="17"/>
          <w:szCs w:val="17"/>
        </w:rPr>
        <w:t xml:space="preserve"> texts refer to existing rules. </w:t>
      </w:r>
    </w:p>
    <w:p w14:paraId="651452DC" w14:textId="77777777" w:rsidR="00BC346C" w:rsidRDefault="00BC346C" w:rsidP="00BC346C">
      <w:pPr>
        <w:rPr>
          <w:sz w:val="17"/>
          <w:szCs w:val="17"/>
        </w:rPr>
      </w:pPr>
    </w:p>
    <w:p w14:paraId="57BBA01B" w14:textId="77777777" w:rsidR="00BC346C" w:rsidRDefault="00BC346C" w:rsidP="00BC346C">
      <w:pPr>
        <w:rPr>
          <w:sz w:val="17"/>
          <w:szCs w:val="17"/>
        </w:rPr>
      </w:pPr>
      <w:r w:rsidRPr="00496784">
        <w:rPr>
          <w:sz w:val="17"/>
          <w:szCs w:val="17"/>
        </w:rPr>
        <w:t xml:space="preserve">Insurance Europe supports the need for a uniform interpretation of the concept of </w:t>
      </w:r>
      <w:r>
        <w:rPr>
          <w:sz w:val="17"/>
          <w:szCs w:val="17"/>
        </w:rPr>
        <w:t>“</w:t>
      </w:r>
      <w:r w:rsidRPr="00496784">
        <w:rPr>
          <w:sz w:val="17"/>
          <w:szCs w:val="17"/>
        </w:rPr>
        <w:t>acting in concert</w:t>
      </w:r>
      <w:r>
        <w:rPr>
          <w:sz w:val="17"/>
          <w:szCs w:val="17"/>
        </w:rPr>
        <w:t>”</w:t>
      </w:r>
      <w:r w:rsidRPr="00496784">
        <w:rPr>
          <w:sz w:val="17"/>
          <w:szCs w:val="17"/>
        </w:rPr>
        <w:t>, but it should not be done through these guidelines.</w:t>
      </w:r>
      <w:r>
        <w:rPr>
          <w:sz w:val="17"/>
          <w:szCs w:val="17"/>
        </w:rPr>
        <w:t xml:space="preserve"> </w:t>
      </w:r>
      <w:r w:rsidRPr="001A67F0">
        <w:rPr>
          <w:sz w:val="17"/>
          <w:szCs w:val="17"/>
        </w:rPr>
        <w:t xml:space="preserve">Achieving the desired level of uniform application and interpretation would be best served by incorporating a clear </w:t>
      </w:r>
      <w:r>
        <w:rPr>
          <w:sz w:val="17"/>
          <w:szCs w:val="17"/>
        </w:rPr>
        <w:t xml:space="preserve">and consistent </w:t>
      </w:r>
      <w:r w:rsidRPr="001A67F0">
        <w:rPr>
          <w:sz w:val="17"/>
          <w:szCs w:val="17"/>
        </w:rPr>
        <w:t xml:space="preserve">definition </w:t>
      </w:r>
      <w:r>
        <w:rPr>
          <w:sz w:val="17"/>
          <w:szCs w:val="17"/>
        </w:rPr>
        <w:t>of this concept</w:t>
      </w:r>
      <w:r w:rsidRPr="001A67F0">
        <w:rPr>
          <w:sz w:val="17"/>
          <w:szCs w:val="17"/>
        </w:rPr>
        <w:t xml:space="preserve"> in the relevant sectoral Directives and Regulations</w:t>
      </w:r>
      <w:r>
        <w:rPr>
          <w:sz w:val="17"/>
          <w:szCs w:val="17"/>
        </w:rPr>
        <w:t xml:space="preserve"> </w:t>
      </w:r>
      <w:r w:rsidRPr="001A67F0">
        <w:rPr>
          <w:sz w:val="17"/>
          <w:szCs w:val="17"/>
        </w:rPr>
        <w:t>(e</w:t>
      </w:r>
      <w:r>
        <w:rPr>
          <w:sz w:val="17"/>
          <w:szCs w:val="17"/>
        </w:rPr>
        <w:t xml:space="preserve">g the Takeover Bids Directive and the </w:t>
      </w:r>
      <w:r w:rsidRPr="001A67F0">
        <w:rPr>
          <w:sz w:val="17"/>
          <w:szCs w:val="17"/>
        </w:rPr>
        <w:t xml:space="preserve">Transparency Directive </w:t>
      </w:r>
      <w:r>
        <w:rPr>
          <w:sz w:val="17"/>
          <w:szCs w:val="17"/>
        </w:rPr>
        <w:t xml:space="preserve">both </w:t>
      </w:r>
      <w:r w:rsidRPr="001A67F0">
        <w:rPr>
          <w:sz w:val="17"/>
          <w:szCs w:val="17"/>
        </w:rPr>
        <w:t>c</w:t>
      </w:r>
      <w:r>
        <w:rPr>
          <w:sz w:val="17"/>
          <w:szCs w:val="17"/>
        </w:rPr>
        <w:t xml:space="preserve">ontain a clear definition ie </w:t>
      </w:r>
      <w:r w:rsidRPr="00A93686">
        <w:rPr>
          <w:i/>
          <w:sz w:val="17"/>
          <w:szCs w:val="17"/>
        </w:rPr>
        <w:t>“any legal or natural person who decides to acquire or increase a qualifying holding in accordance with an explicit or implicit agreement between them</w:t>
      </w:r>
      <w:r>
        <w:rPr>
          <w:sz w:val="17"/>
          <w:szCs w:val="17"/>
        </w:rPr>
        <w:t>”)</w:t>
      </w:r>
      <w:r w:rsidRPr="001A67F0">
        <w:rPr>
          <w:sz w:val="17"/>
          <w:szCs w:val="17"/>
        </w:rPr>
        <w:t>.</w:t>
      </w:r>
      <w:r w:rsidRPr="00496784">
        <w:rPr>
          <w:sz w:val="17"/>
          <w:szCs w:val="17"/>
        </w:rPr>
        <w:t xml:space="preserve"> </w:t>
      </w:r>
      <w:r w:rsidRPr="009F71C6">
        <w:rPr>
          <w:sz w:val="17"/>
          <w:szCs w:val="17"/>
        </w:rPr>
        <w:t xml:space="preserve">As a consequence, there is no need to redefine the concept of </w:t>
      </w:r>
      <w:r>
        <w:rPr>
          <w:sz w:val="17"/>
          <w:szCs w:val="17"/>
        </w:rPr>
        <w:t>“</w:t>
      </w:r>
      <w:r w:rsidRPr="009F71C6">
        <w:rPr>
          <w:sz w:val="17"/>
          <w:szCs w:val="17"/>
        </w:rPr>
        <w:t>acting in concert</w:t>
      </w:r>
      <w:r>
        <w:rPr>
          <w:sz w:val="17"/>
          <w:szCs w:val="17"/>
        </w:rPr>
        <w:t>”</w:t>
      </w:r>
      <w:r w:rsidRPr="009F71C6">
        <w:rPr>
          <w:sz w:val="17"/>
          <w:szCs w:val="17"/>
        </w:rPr>
        <w:t xml:space="preserve"> or </w:t>
      </w:r>
      <w:r>
        <w:rPr>
          <w:sz w:val="17"/>
          <w:szCs w:val="17"/>
        </w:rPr>
        <w:t>“</w:t>
      </w:r>
      <w:r w:rsidRPr="009F71C6">
        <w:rPr>
          <w:sz w:val="17"/>
          <w:szCs w:val="17"/>
        </w:rPr>
        <w:t>indirect holding of voting rights</w:t>
      </w:r>
      <w:r>
        <w:rPr>
          <w:sz w:val="17"/>
          <w:szCs w:val="17"/>
        </w:rPr>
        <w:t>”</w:t>
      </w:r>
      <w:r w:rsidRPr="009F71C6">
        <w:rPr>
          <w:sz w:val="17"/>
          <w:szCs w:val="17"/>
        </w:rPr>
        <w:t xml:space="preserve">. Moreover, any such definitions in the </w:t>
      </w:r>
      <w:r>
        <w:rPr>
          <w:sz w:val="17"/>
          <w:szCs w:val="17"/>
        </w:rPr>
        <w:t>g</w:t>
      </w:r>
      <w:r w:rsidRPr="009F71C6">
        <w:rPr>
          <w:sz w:val="17"/>
          <w:szCs w:val="17"/>
        </w:rPr>
        <w:t>uidelines must not deviate from the relevant provisions in the Transparency Directive (as they do at least with respect to “acting in concert”, see also below).</w:t>
      </w:r>
      <w:r>
        <w:rPr>
          <w:sz w:val="17"/>
          <w:szCs w:val="17"/>
        </w:rPr>
        <w:t xml:space="preserve"> See further comments in our response to question 2.</w:t>
      </w:r>
    </w:p>
    <w:p w14:paraId="3B91CDA3" w14:textId="77777777" w:rsidR="00BC346C" w:rsidRDefault="00BC346C" w:rsidP="00BC346C">
      <w:pPr>
        <w:rPr>
          <w:sz w:val="17"/>
          <w:szCs w:val="17"/>
        </w:rPr>
      </w:pPr>
    </w:p>
    <w:p w14:paraId="638ACA2B" w14:textId="40840F70" w:rsidR="00BC346C" w:rsidRPr="009F71C6" w:rsidRDefault="00BC346C" w:rsidP="00BC346C">
      <w:pPr>
        <w:rPr>
          <w:sz w:val="17"/>
          <w:szCs w:val="17"/>
        </w:rPr>
      </w:pPr>
      <w:r w:rsidRPr="009F71C6">
        <w:rPr>
          <w:sz w:val="17"/>
          <w:szCs w:val="17"/>
        </w:rPr>
        <w:t>An additional problem might arise through the</w:t>
      </w:r>
      <w:r>
        <w:rPr>
          <w:sz w:val="17"/>
          <w:szCs w:val="17"/>
        </w:rPr>
        <w:t xml:space="preserve"> application</w:t>
      </w:r>
      <w:r w:rsidRPr="009F71C6">
        <w:rPr>
          <w:sz w:val="17"/>
          <w:szCs w:val="17"/>
        </w:rPr>
        <w:t xml:space="preserve"> of the </w:t>
      </w:r>
      <w:r>
        <w:rPr>
          <w:sz w:val="17"/>
          <w:szCs w:val="17"/>
        </w:rPr>
        <w:t>g</w:t>
      </w:r>
      <w:r w:rsidRPr="009F71C6">
        <w:rPr>
          <w:sz w:val="17"/>
          <w:szCs w:val="17"/>
        </w:rPr>
        <w:t xml:space="preserve">uidelines. Due to possible constraints from national law, the impact of the </w:t>
      </w:r>
      <w:r>
        <w:rPr>
          <w:sz w:val="17"/>
          <w:szCs w:val="17"/>
        </w:rPr>
        <w:t>g</w:t>
      </w:r>
      <w:r w:rsidRPr="009F71C6">
        <w:rPr>
          <w:sz w:val="17"/>
          <w:szCs w:val="17"/>
        </w:rPr>
        <w:t xml:space="preserve">uidelines might vary from Member State to Member State. </w:t>
      </w:r>
      <w:r>
        <w:rPr>
          <w:sz w:val="17"/>
          <w:szCs w:val="17"/>
        </w:rPr>
        <w:t xml:space="preserve">This may create conflicts with national laws (consistent with EU </w:t>
      </w:r>
      <w:r>
        <w:rPr>
          <w:sz w:val="17"/>
          <w:szCs w:val="17"/>
        </w:rPr>
        <w:lastRenderedPageBreak/>
        <w:t>Directives) and as such represent a</w:t>
      </w:r>
      <w:r w:rsidRPr="009F71C6">
        <w:rPr>
          <w:sz w:val="17"/>
          <w:szCs w:val="17"/>
        </w:rPr>
        <w:t xml:space="preserve"> potential risk for </w:t>
      </w:r>
      <w:r>
        <w:rPr>
          <w:sz w:val="17"/>
          <w:szCs w:val="17"/>
        </w:rPr>
        <w:t>the</w:t>
      </w:r>
      <w:r w:rsidRPr="009F71C6">
        <w:rPr>
          <w:sz w:val="17"/>
          <w:szCs w:val="17"/>
        </w:rPr>
        <w:t xml:space="preserve"> </w:t>
      </w:r>
      <w:r>
        <w:rPr>
          <w:sz w:val="17"/>
          <w:szCs w:val="17"/>
        </w:rPr>
        <w:t xml:space="preserve">envisaged </w:t>
      </w:r>
      <w:r w:rsidRPr="009F71C6">
        <w:rPr>
          <w:sz w:val="17"/>
          <w:szCs w:val="17"/>
        </w:rPr>
        <w:t xml:space="preserve">level playing-field in the European Union. </w:t>
      </w:r>
      <w:r>
        <w:rPr>
          <w:sz w:val="17"/>
          <w:szCs w:val="17"/>
        </w:rPr>
        <w:t>H</w:t>
      </w:r>
      <w:r w:rsidRPr="00467086">
        <w:rPr>
          <w:sz w:val="17"/>
          <w:szCs w:val="17"/>
        </w:rPr>
        <w:t>ence, supervisors should not create additional burdens on top of what is required in the legal texts</w:t>
      </w:r>
      <w:r w:rsidRPr="009F71C6">
        <w:rPr>
          <w:sz w:val="17"/>
          <w:szCs w:val="17"/>
        </w:rPr>
        <w:t xml:space="preserve">. </w:t>
      </w:r>
      <w:r>
        <w:rPr>
          <w:sz w:val="17"/>
          <w:szCs w:val="17"/>
        </w:rPr>
        <w:t>The following three points are examples of contradictions and additional burdens.</w:t>
      </w:r>
    </w:p>
    <w:p w14:paraId="5E7AB94C" w14:textId="25510CFD" w:rsidR="00BC346C" w:rsidRPr="00E0442C" w:rsidRDefault="00BC346C" w:rsidP="00BC346C">
      <w:pPr>
        <w:rPr>
          <w:sz w:val="17"/>
          <w:szCs w:val="17"/>
        </w:rPr>
      </w:pPr>
      <w:r w:rsidRPr="00E0442C">
        <w:rPr>
          <w:sz w:val="17"/>
          <w:szCs w:val="17"/>
        </w:rPr>
        <w:tab/>
      </w:r>
    </w:p>
    <w:p w14:paraId="2523851C" w14:textId="16C0F756" w:rsidR="00BC346C" w:rsidRPr="00E0442C" w:rsidRDefault="00BC346C" w:rsidP="00BC346C">
      <w:pPr>
        <w:rPr>
          <w:sz w:val="17"/>
          <w:szCs w:val="17"/>
        </w:rPr>
      </w:pPr>
      <w:r>
        <w:rPr>
          <w:sz w:val="17"/>
          <w:szCs w:val="17"/>
        </w:rPr>
        <w:t>With</w:t>
      </w:r>
      <w:r w:rsidRPr="00E0442C">
        <w:rPr>
          <w:sz w:val="17"/>
          <w:szCs w:val="17"/>
        </w:rPr>
        <w:t xml:space="preserve"> respect to the acquisition of a cross-border operating group</w:t>
      </w:r>
      <w:r>
        <w:rPr>
          <w:sz w:val="17"/>
          <w:szCs w:val="17"/>
        </w:rPr>
        <w:t>,</w:t>
      </w:r>
      <w:r w:rsidRPr="00E0442C">
        <w:rPr>
          <w:sz w:val="17"/>
          <w:szCs w:val="17"/>
        </w:rPr>
        <w:t xml:space="preserve"> only one supervisory authority should be competent to consider and permit such acquisition. This authority should be the group supervisor of the target group and other involved supervisory authorities should be bound by its decision. </w:t>
      </w:r>
    </w:p>
    <w:p w14:paraId="0F724EF2" w14:textId="20743BA7" w:rsidR="00BC346C" w:rsidRPr="00E0442C" w:rsidRDefault="00BC346C" w:rsidP="00BC346C">
      <w:pPr>
        <w:rPr>
          <w:sz w:val="17"/>
          <w:szCs w:val="17"/>
        </w:rPr>
      </w:pPr>
      <w:r w:rsidRPr="00E0442C">
        <w:rPr>
          <w:sz w:val="17"/>
          <w:szCs w:val="17"/>
        </w:rPr>
        <w:t xml:space="preserve"> </w:t>
      </w:r>
      <w:r w:rsidRPr="00E0442C">
        <w:rPr>
          <w:sz w:val="17"/>
          <w:szCs w:val="17"/>
        </w:rPr>
        <w:tab/>
      </w:r>
    </w:p>
    <w:p w14:paraId="2F4B5256" w14:textId="262140D3" w:rsidR="00BC346C" w:rsidRPr="00E0442C" w:rsidRDefault="00BC346C" w:rsidP="00BC346C">
      <w:pPr>
        <w:rPr>
          <w:sz w:val="17"/>
          <w:szCs w:val="17"/>
        </w:rPr>
      </w:pPr>
      <w:r>
        <w:rPr>
          <w:sz w:val="17"/>
          <w:szCs w:val="17"/>
        </w:rPr>
        <w:t>T</w:t>
      </w:r>
      <w:r w:rsidRPr="00E0442C">
        <w:rPr>
          <w:sz w:val="17"/>
          <w:szCs w:val="17"/>
        </w:rPr>
        <w:t>he supervisory authority should have the option of pre-authorization of an acquisition. On the current legal status</w:t>
      </w:r>
      <w:r>
        <w:rPr>
          <w:sz w:val="17"/>
          <w:szCs w:val="17"/>
        </w:rPr>
        <w:t>,</w:t>
      </w:r>
      <w:r w:rsidRPr="00E0442C">
        <w:rPr>
          <w:sz w:val="17"/>
          <w:szCs w:val="17"/>
        </w:rPr>
        <w:t xml:space="preserve"> acquisitions are not explicitly permitted by the supervisory authority but rather</w:t>
      </w:r>
      <w:r>
        <w:rPr>
          <w:sz w:val="17"/>
          <w:szCs w:val="17"/>
        </w:rPr>
        <w:t>,</w:t>
      </w:r>
      <w:r w:rsidRPr="00E0442C">
        <w:rPr>
          <w:sz w:val="17"/>
          <w:szCs w:val="17"/>
        </w:rPr>
        <w:t xml:space="preserve"> this permission is simulated at the end of a period. In straightforward cases the supervisory authority should have the opportunity to permit the acquisition explicitly to speed up the procedure. </w:t>
      </w:r>
    </w:p>
    <w:p w14:paraId="77A27E76" w14:textId="77777777" w:rsidR="00BC346C" w:rsidRPr="00E0442C" w:rsidRDefault="00BC346C" w:rsidP="00BC346C">
      <w:pPr>
        <w:rPr>
          <w:sz w:val="17"/>
          <w:szCs w:val="17"/>
        </w:rPr>
      </w:pPr>
    </w:p>
    <w:p w14:paraId="7CEC1F8F" w14:textId="71C71AC4" w:rsidR="00BC346C" w:rsidRPr="009F71C6" w:rsidRDefault="00BC346C" w:rsidP="00BC346C">
      <w:pPr>
        <w:rPr>
          <w:sz w:val="17"/>
          <w:szCs w:val="17"/>
        </w:rPr>
      </w:pPr>
      <w:r w:rsidRPr="00E0442C">
        <w:rPr>
          <w:sz w:val="17"/>
          <w:szCs w:val="17"/>
        </w:rPr>
        <w:t xml:space="preserve"> </w:t>
      </w:r>
      <w:r>
        <w:rPr>
          <w:sz w:val="17"/>
          <w:szCs w:val="17"/>
        </w:rPr>
        <w:t>Lastly, r</w:t>
      </w:r>
      <w:r w:rsidRPr="00E0442C">
        <w:rPr>
          <w:sz w:val="17"/>
          <w:szCs w:val="17"/>
        </w:rPr>
        <w:t xml:space="preserve">eferences to relevant provisions </w:t>
      </w:r>
      <w:r>
        <w:rPr>
          <w:sz w:val="17"/>
          <w:szCs w:val="17"/>
        </w:rPr>
        <w:t>should</w:t>
      </w:r>
      <w:r w:rsidRPr="00E0442C">
        <w:rPr>
          <w:sz w:val="17"/>
          <w:szCs w:val="17"/>
        </w:rPr>
        <w:t xml:space="preserve"> </w:t>
      </w:r>
      <w:r>
        <w:rPr>
          <w:sz w:val="17"/>
          <w:szCs w:val="17"/>
        </w:rPr>
        <w:t xml:space="preserve">also </w:t>
      </w:r>
      <w:r w:rsidRPr="00E0442C">
        <w:rPr>
          <w:sz w:val="17"/>
          <w:szCs w:val="17"/>
        </w:rPr>
        <w:t xml:space="preserve">include </w:t>
      </w:r>
      <w:r>
        <w:rPr>
          <w:sz w:val="17"/>
          <w:szCs w:val="17"/>
        </w:rPr>
        <w:t xml:space="preserve">references to </w:t>
      </w:r>
      <w:r w:rsidRPr="00E0442C">
        <w:rPr>
          <w:sz w:val="17"/>
          <w:szCs w:val="17"/>
        </w:rPr>
        <w:t>the Solvency II Directive</w:t>
      </w:r>
      <w:r>
        <w:rPr>
          <w:sz w:val="17"/>
          <w:szCs w:val="17"/>
        </w:rPr>
        <w:t xml:space="preserve">. </w:t>
      </w:r>
      <w:r w:rsidRPr="00E0442C">
        <w:rPr>
          <w:sz w:val="17"/>
          <w:szCs w:val="17"/>
        </w:rPr>
        <w:t xml:space="preserve">Sec. 3.1 (iii) and (iv): “Management body” and “management body in its supervisory function” are defined by reference to the CRD IV which is not applicable to insurance and reinsurance undertakings. </w:t>
      </w:r>
      <w:r>
        <w:rPr>
          <w:sz w:val="17"/>
          <w:szCs w:val="17"/>
        </w:rPr>
        <w:t>For s</w:t>
      </w:r>
      <w:r w:rsidRPr="00E0442C">
        <w:rPr>
          <w:sz w:val="17"/>
          <w:szCs w:val="17"/>
        </w:rPr>
        <w:t>ec. 3.1 (vii) “Qualifying holding” is defined in Article 13, No. 21 of the Solvency II Directive. This should be the relevant definition for any transactions with respect to holdings in insurance and reinsurance undertakings.</w:t>
      </w:r>
    </w:p>
    <w:p w14:paraId="0983B44D" w14:textId="77777777" w:rsidR="00BC346C" w:rsidRDefault="00BC346C" w:rsidP="00BC346C">
      <w:pPr>
        <w:rPr>
          <w:b/>
          <w:sz w:val="17"/>
          <w:szCs w:val="17"/>
        </w:rPr>
      </w:pPr>
    </w:p>
    <w:p w14:paraId="1CA8B17C" w14:textId="77777777" w:rsidR="00BC346C" w:rsidRPr="009F71C6" w:rsidRDefault="00BC346C" w:rsidP="00BC346C">
      <w:pPr>
        <w:rPr>
          <w:b/>
          <w:sz w:val="17"/>
          <w:szCs w:val="17"/>
        </w:rPr>
      </w:pPr>
      <w:r w:rsidRPr="009F71C6">
        <w:rPr>
          <w:b/>
          <w:sz w:val="17"/>
          <w:szCs w:val="17"/>
        </w:rPr>
        <w:t>2. Principle of proportionality</w:t>
      </w:r>
    </w:p>
    <w:p w14:paraId="0EADAEC7" w14:textId="77777777" w:rsidR="00BC346C" w:rsidRPr="009F71C6" w:rsidRDefault="00BC346C" w:rsidP="00BC346C">
      <w:pPr>
        <w:rPr>
          <w:b/>
          <w:sz w:val="17"/>
          <w:szCs w:val="17"/>
        </w:rPr>
      </w:pPr>
    </w:p>
    <w:p w14:paraId="3816BBC5" w14:textId="54F05824" w:rsidR="00BC346C" w:rsidRPr="009F71C6" w:rsidRDefault="00BC346C" w:rsidP="00BC346C">
      <w:pPr>
        <w:rPr>
          <w:sz w:val="17"/>
          <w:szCs w:val="17"/>
        </w:rPr>
      </w:pPr>
      <w:r w:rsidRPr="00C05D47">
        <w:rPr>
          <w:sz w:val="17"/>
          <w:szCs w:val="17"/>
        </w:rPr>
        <w:t>While Insurance Europe appreciates</w:t>
      </w:r>
      <w:r w:rsidRPr="00361ED6">
        <w:rPr>
          <w:sz w:val="17"/>
          <w:szCs w:val="17"/>
        </w:rPr>
        <w:t xml:space="preserve"> a coherent application of the proportionality principles, it is important that </w:t>
      </w:r>
      <w:r w:rsidRPr="00D01393">
        <w:rPr>
          <w:sz w:val="17"/>
          <w:szCs w:val="17"/>
        </w:rPr>
        <w:t xml:space="preserve">these lead to a </w:t>
      </w:r>
      <w:r w:rsidRPr="00C05D47">
        <w:rPr>
          <w:sz w:val="17"/>
          <w:szCs w:val="17"/>
        </w:rPr>
        <w:t>clear reduction of prudential control where the proposed acquirer is supervised within the EU/EEA, and for intra-group transactions relating to qualifying holdings.</w:t>
      </w:r>
    </w:p>
    <w:p w14:paraId="5B2E463D" w14:textId="77777777" w:rsidR="00BC346C" w:rsidRPr="009F71C6" w:rsidRDefault="00BC346C" w:rsidP="00BC346C">
      <w:pPr>
        <w:rPr>
          <w:sz w:val="17"/>
          <w:szCs w:val="17"/>
        </w:rPr>
      </w:pPr>
    </w:p>
    <w:p w14:paraId="19496B8D" w14:textId="77777777" w:rsidR="00BC346C" w:rsidRPr="006873E1" w:rsidRDefault="00BC346C" w:rsidP="00BC346C">
      <w:pPr>
        <w:autoSpaceDE w:val="0"/>
        <w:autoSpaceDN w:val="0"/>
        <w:adjustRightInd w:val="0"/>
        <w:rPr>
          <w:rFonts w:eastAsiaTheme="minorHAnsi" w:cs="Arial"/>
          <w:b/>
          <w:sz w:val="17"/>
          <w:szCs w:val="17"/>
        </w:rPr>
      </w:pPr>
      <w:r w:rsidRPr="006873E1">
        <w:rPr>
          <w:rFonts w:eastAsiaTheme="minorHAnsi" w:cs="Arial"/>
          <w:b/>
          <w:sz w:val="17"/>
          <w:szCs w:val="17"/>
        </w:rPr>
        <w:t xml:space="preserve">a) Companies supervised </w:t>
      </w:r>
      <w:r w:rsidRPr="006873E1">
        <w:rPr>
          <w:b/>
          <w:sz w:val="17"/>
          <w:szCs w:val="17"/>
        </w:rPr>
        <w:t>within the EU/EEA</w:t>
      </w:r>
      <w:r w:rsidRPr="006873E1">
        <w:rPr>
          <w:rFonts w:eastAsiaTheme="minorHAnsi" w:cs="Arial"/>
          <w:b/>
          <w:sz w:val="17"/>
          <w:szCs w:val="17"/>
        </w:rPr>
        <w:t xml:space="preserve"> </w:t>
      </w:r>
    </w:p>
    <w:p w14:paraId="30AFCE73" w14:textId="1944D75D" w:rsidR="00BC346C" w:rsidRPr="009F71C6" w:rsidRDefault="00BC346C" w:rsidP="00BC346C">
      <w:pPr>
        <w:autoSpaceDE w:val="0"/>
        <w:autoSpaceDN w:val="0"/>
        <w:adjustRightInd w:val="0"/>
        <w:rPr>
          <w:rFonts w:eastAsiaTheme="minorHAnsi" w:cs="Arial"/>
          <w:sz w:val="17"/>
          <w:szCs w:val="17"/>
        </w:rPr>
      </w:pPr>
      <w:r w:rsidRPr="009F71C6">
        <w:rPr>
          <w:rFonts w:eastAsiaTheme="minorHAnsi" w:cs="Arial"/>
          <w:sz w:val="17"/>
          <w:szCs w:val="17"/>
        </w:rPr>
        <w:t xml:space="preserve">Insurance and reinsurance undertakings are </w:t>
      </w:r>
      <w:r w:rsidR="00BD3394">
        <w:rPr>
          <w:rFonts w:eastAsiaTheme="minorHAnsi" w:cs="Arial"/>
          <w:sz w:val="17"/>
          <w:szCs w:val="17"/>
        </w:rPr>
        <w:t>authoris</w:t>
      </w:r>
      <w:r w:rsidRPr="00BD3394">
        <w:rPr>
          <w:rFonts w:eastAsiaTheme="minorHAnsi" w:cs="Arial"/>
          <w:sz w:val="17"/>
          <w:szCs w:val="17"/>
        </w:rPr>
        <w:t>ed by the supervisory authorities</w:t>
      </w:r>
      <w:r w:rsidRPr="009F71C6">
        <w:rPr>
          <w:rFonts w:eastAsiaTheme="minorHAnsi" w:cs="Arial"/>
          <w:sz w:val="17"/>
          <w:szCs w:val="17"/>
        </w:rPr>
        <w:t xml:space="preserve"> of their home member state</w:t>
      </w:r>
      <w:r>
        <w:rPr>
          <w:rFonts w:eastAsiaTheme="minorHAnsi" w:cs="Arial"/>
          <w:sz w:val="17"/>
          <w:szCs w:val="17"/>
        </w:rPr>
        <w:t>,</w:t>
      </w:r>
      <w:r w:rsidRPr="009F71C6">
        <w:rPr>
          <w:rFonts w:eastAsiaTheme="minorHAnsi" w:cs="Arial"/>
          <w:sz w:val="17"/>
          <w:szCs w:val="17"/>
        </w:rPr>
        <w:t xml:space="preserve"> to carry on business in the entire Community. A condition to the authorization is the prudential control of their good repute (including the integrity and professional competence of the persons effectively running their business). </w:t>
      </w:r>
      <w:r>
        <w:rPr>
          <w:rFonts w:eastAsiaTheme="minorHAnsi" w:cs="Arial"/>
          <w:sz w:val="17"/>
          <w:szCs w:val="17"/>
        </w:rPr>
        <w:t>Insurance Europe</w:t>
      </w:r>
      <w:r w:rsidRPr="009F71C6">
        <w:rPr>
          <w:rFonts w:eastAsiaTheme="minorHAnsi" w:cs="Arial"/>
          <w:sz w:val="17"/>
          <w:szCs w:val="17"/>
        </w:rPr>
        <w:t xml:space="preserve"> </w:t>
      </w:r>
      <w:r>
        <w:rPr>
          <w:rFonts w:eastAsiaTheme="minorHAnsi" w:cs="Arial"/>
          <w:sz w:val="17"/>
          <w:szCs w:val="17"/>
        </w:rPr>
        <w:t>believes</w:t>
      </w:r>
      <w:r w:rsidRPr="009F71C6">
        <w:rPr>
          <w:rFonts w:eastAsiaTheme="minorHAnsi" w:cs="Arial"/>
          <w:sz w:val="17"/>
          <w:szCs w:val="17"/>
        </w:rPr>
        <w:t xml:space="preserve"> that the qualitative requirements for conducting business are not lower </w:t>
      </w:r>
      <w:r>
        <w:rPr>
          <w:rFonts w:eastAsiaTheme="minorHAnsi" w:cs="Arial"/>
          <w:sz w:val="17"/>
          <w:szCs w:val="17"/>
        </w:rPr>
        <w:t xml:space="preserve">in terms of efficiency and purpose </w:t>
      </w:r>
      <w:r w:rsidRPr="009F71C6">
        <w:rPr>
          <w:rFonts w:eastAsiaTheme="minorHAnsi" w:cs="Arial"/>
          <w:sz w:val="17"/>
          <w:szCs w:val="17"/>
        </w:rPr>
        <w:t>than those for owning a qualifying holding in a regulated entity. Accordingly, the prudential control of the reputation of a proposed acquirer of a qualifying holding is redundant and should not be performed if such acquirer is supervised as financial sector regulated entity within the EU/EEA.</w:t>
      </w:r>
    </w:p>
    <w:p w14:paraId="638FDD87" w14:textId="77777777" w:rsidR="00BC346C" w:rsidRPr="009F71C6" w:rsidRDefault="00BC346C" w:rsidP="00BC346C">
      <w:pPr>
        <w:autoSpaceDE w:val="0"/>
        <w:autoSpaceDN w:val="0"/>
        <w:adjustRightInd w:val="0"/>
        <w:rPr>
          <w:rFonts w:eastAsiaTheme="minorHAnsi" w:cs="Arial"/>
          <w:sz w:val="17"/>
          <w:szCs w:val="17"/>
        </w:rPr>
      </w:pPr>
    </w:p>
    <w:p w14:paraId="21327663" w14:textId="0548ED83" w:rsidR="00BC346C" w:rsidRPr="009F71C6" w:rsidRDefault="00BC346C" w:rsidP="00BC346C">
      <w:pPr>
        <w:autoSpaceDE w:val="0"/>
        <w:autoSpaceDN w:val="0"/>
        <w:adjustRightInd w:val="0"/>
        <w:rPr>
          <w:rFonts w:eastAsiaTheme="minorHAnsi" w:cs="Arial"/>
          <w:sz w:val="17"/>
          <w:szCs w:val="17"/>
        </w:rPr>
      </w:pPr>
      <w:r w:rsidRPr="009F71C6">
        <w:rPr>
          <w:rFonts w:eastAsiaTheme="minorHAnsi" w:cs="Arial"/>
          <w:sz w:val="17"/>
          <w:szCs w:val="17"/>
        </w:rPr>
        <w:t>However, Sec</w:t>
      </w:r>
      <w:r>
        <w:rPr>
          <w:rFonts w:eastAsiaTheme="minorHAnsi" w:cs="Arial"/>
          <w:sz w:val="17"/>
          <w:szCs w:val="17"/>
        </w:rPr>
        <w:t>tion</w:t>
      </w:r>
      <w:r w:rsidRPr="009F71C6">
        <w:rPr>
          <w:rFonts w:eastAsiaTheme="minorHAnsi" w:cs="Arial"/>
          <w:sz w:val="17"/>
          <w:szCs w:val="17"/>
        </w:rPr>
        <w:t xml:space="preserve"> 10.4 of the </w:t>
      </w:r>
      <w:r>
        <w:rPr>
          <w:rFonts w:eastAsiaTheme="minorHAnsi" w:cs="Arial"/>
          <w:sz w:val="17"/>
          <w:szCs w:val="17"/>
        </w:rPr>
        <w:t>g</w:t>
      </w:r>
      <w:r w:rsidRPr="009F71C6">
        <w:rPr>
          <w:rFonts w:eastAsiaTheme="minorHAnsi" w:cs="Arial"/>
          <w:sz w:val="17"/>
          <w:szCs w:val="17"/>
        </w:rPr>
        <w:t xml:space="preserve">uidelines does not </w:t>
      </w:r>
      <w:r>
        <w:rPr>
          <w:rFonts w:eastAsiaTheme="minorHAnsi" w:cs="Arial"/>
          <w:sz w:val="17"/>
          <w:szCs w:val="17"/>
        </w:rPr>
        <w:t xml:space="preserve">provide enough certainty that such redundant supervision will be </w:t>
      </w:r>
      <w:r w:rsidRPr="009F71C6">
        <w:rPr>
          <w:rFonts w:eastAsiaTheme="minorHAnsi" w:cs="Arial"/>
          <w:sz w:val="17"/>
          <w:szCs w:val="17"/>
        </w:rPr>
        <w:t>eliminate</w:t>
      </w:r>
      <w:r>
        <w:rPr>
          <w:rFonts w:eastAsiaTheme="minorHAnsi" w:cs="Arial"/>
          <w:sz w:val="17"/>
          <w:szCs w:val="17"/>
        </w:rPr>
        <w:t>d</w:t>
      </w:r>
      <w:r w:rsidRPr="009F71C6">
        <w:rPr>
          <w:rFonts w:eastAsiaTheme="minorHAnsi" w:cs="Arial"/>
          <w:sz w:val="17"/>
          <w:szCs w:val="17"/>
        </w:rPr>
        <w:t>. It stipulates</w:t>
      </w:r>
      <w:r>
        <w:rPr>
          <w:rFonts w:eastAsiaTheme="minorHAnsi" w:cs="Arial"/>
          <w:sz w:val="17"/>
          <w:szCs w:val="17"/>
        </w:rPr>
        <w:t xml:space="preserve"> in its opening sentence that “both requirements should generally be considered to be met”. Although this appears to call for the exemption from redundant supervision in the cases described therein, the use of the word “generally” cast doubts as to whether the exemption will be applied without restrictions if the provisions set out are met. Therefore, the proposal is to delete “generally” from the opening sentence of section 10.4.</w:t>
      </w:r>
    </w:p>
    <w:p w14:paraId="27F46E7C" w14:textId="77777777" w:rsidR="00BC346C" w:rsidRPr="009F71C6" w:rsidRDefault="00BC346C" w:rsidP="00BC346C">
      <w:pPr>
        <w:rPr>
          <w:sz w:val="17"/>
          <w:szCs w:val="17"/>
        </w:rPr>
      </w:pPr>
    </w:p>
    <w:p w14:paraId="673F5F90" w14:textId="77777777" w:rsidR="00BC346C" w:rsidRPr="009F71C6" w:rsidRDefault="00BC346C" w:rsidP="00BC346C">
      <w:pPr>
        <w:autoSpaceDE w:val="0"/>
        <w:autoSpaceDN w:val="0"/>
        <w:adjustRightInd w:val="0"/>
        <w:rPr>
          <w:rFonts w:eastAsiaTheme="minorHAnsi" w:cs="Arial"/>
          <w:sz w:val="17"/>
          <w:szCs w:val="17"/>
        </w:rPr>
      </w:pPr>
      <w:r>
        <w:rPr>
          <w:rFonts w:eastAsiaTheme="minorHAnsi" w:cs="Arial"/>
          <w:sz w:val="17"/>
          <w:szCs w:val="17"/>
        </w:rPr>
        <w:t>In addition, by virtue of</w:t>
      </w:r>
      <w:r w:rsidRPr="009F71C6">
        <w:rPr>
          <w:rFonts w:eastAsiaTheme="minorHAnsi" w:cs="Arial"/>
          <w:sz w:val="17"/>
          <w:szCs w:val="17"/>
        </w:rPr>
        <w:t xml:space="preserve"> effectively applying the principle of proportionality, the Guidelines should make clear that proposed acquirers that are financial sector regulated entities (i.e. insurers, reinsurers, credit institutions, investment firms, pension funds or asset management companies) in the EU/EEA</w:t>
      </w:r>
      <w:r>
        <w:rPr>
          <w:rFonts w:eastAsiaTheme="minorHAnsi" w:cs="Arial"/>
          <w:sz w:val="17"/>
          <w:szCs w:val="17"/>
        </w:rPr>
        <w:t>,</w:t>
      </w:r>
      <w:r w:rsidRPr="009F71C6">
        <w:rPr>
          <w:rFonts w:eastAsiaTheme="minorHAnsi" w:cs="Arial"/>
          <w:sz w:val="17"/>
          <w:szCs w:val="17"/>
        </w:rPr>
        <w:t xml:space="preserve"> do not need to provide any of the information set forth in Annex I, Sec</w:t>
      </w:r>
      <w:r>
        <w:rPr>
          <w:rFonts w:eastAsiaTheme="minorHAnsi" w:cs="Arial"/>
          <w:sz w:val="17"/>
          <w:szCs w:val="17"/>
        </w:rPr>
        <w:t>tion</w:t>
      </w:r>
      <w:r w:rsidRPr="009F71C6">
        <w:rPr>
          <w:rFonts w:eastAsiaTheme="minorHAnsi" w:cs="Arial"/>
          <w:sz w:val="17"/>
          <w:szCs w:val="17"/>
        </w:rPr>
        <w:t xml:space="preserve"> 3, Sec</w:t>
      </w:r>
      <w:r>
        <w:rPr>
          <w:rFonts w:eastAsiaTheme="minorHAnsi" w:cs="Arial"/>
          <w:sz w:val="17"/>
          <w:szCs w:val="17"/>
        </w:rPr>
        <w:t>tion</w:t>
      </w:r>
      <w:r w:rsidRPr="009F71C6">
        <w:rPr>
          <w:rFonts w:eastAsiaTheme="minorHAnsi" w:cs="Arial"/>
          <w:sz w:val="17"/>
          <w:szCs w:val="17"/>
        </w:rPr>
        <w:t xml:space="preserve"> 4 and Sec</w:t>
      </w:r>
      <w:r>
        <w:rPr>
          <w:rFonts w:eastAsiaTheme="minorHAnsi" w:cs="Arial"/>
          <w:sz w:val="17"/>
          <w:szCs w:val="17"/>
        </w:rPr>
        <w:t>tion</w:t>
      </w:r>
      <w:r w:rsidRPr="009F71C6">
        <w:rPr>
          <w:rFonts w:eastAsiaTheme="minorHAnsi" w:cs="Arial"/>
          <w:sz w:val="17"/>
          <w:szCs w:val="17"/>
        </w:rPr>
        <w:t xml:space="preserve"> 5.</w:t>
      </w:r>
    </w:p>
    <w:p w14:paraId="05421353" w14:textId="77777777" w:rsidR="00BC346C" w:rsidRPr="009F71C6" w:rsidRDefault="00BC346C" w:rsidP="00BC346C">
      <w:pPr>
        <w:autoSpaceDE w:val="0"/>
        <w:autoSpaceDN w:val="0"/>
        <w:adjustRightInd w:val="0"/>
        <w:rPr>
          <w:rFonts w:eastAsiaTheme="minorHAnsi" w:cs="Arial"/>
          <w:sz w:val="17"/>
          <w:szCs w:val="17"/>
        </w:rPr>
      </w:pPr>
    </w:p>
    <w:p w14:paraId="52EBFBDE" w14:textId="13176ECF" w:rsidR="00BC346C" w:rsidRPr="003E47D6" w:rsidRDefault="00BC346C" w:rsidP="00BC346C">
      <w:pPr>
        <w:autoSpaceDE w:val="0"/>
        <w:autoSpaceDN w:val="0"/>
        <w:adjustRightInd w:val="0"/>
        <w:rPr>
          <w:rFonts w:eastAsiaTheme="minorHAnsi" w:cs="Arial"/>
          <w:b/>
          <w:sz w:val="17"/>
          <w:szCs w:val="17"/>
        </w:rPr>
      </w:pPr>
      <w:r w:rsidRPr="003E47D6">
        <w:rPr>
          <w:rFonts w:eastAsiaTheme="minorHAnsi" w:cs="Arial"/>
          <w:b/>
          <w:sz w:val="17"/>
          <w:szCs w:val="17"/>
        </w:rPr>
        <w:t xml:space="preserve">b) </w:t>
      </w:r>
      <w:r>
        <w:rPr>
          <w:rFonts w:eastAsiaTheme="minorHAnsi" w:cs="Arial"/>
          <w:b/>
          <w:sz w:val="17"/>
          <w:szCs w:val="17"/>
        </w:rPr>
        <w:t>Intra-g</w:t>
      </w:r>
      <w:r w:rsidRPr="003E47D6">
        <w:rPr>
          <w:rFonts w:eastAsiaTheme="minorHAnsi" w:cs="Arial"/>
          <w:b/>
          <w:sz w:val="17"/>
          <w:szCs w:val="17"/>
        </w:rPr>
        <w:t>roup transactions</w:t>
      </w:r>
    </w:p>
    <w:p w14:paraId="422A4DA3" w14:textId="66A5B161" w:rsidR="00BC346C" w:rsidRDefault="00BC346C" w:rsidP="00BC346C">
      <w:pPr>
        <w:autoSpaceDE w:val="0"/>
        <w:autoSpaceDN w:val="0"/>
        <w:adjustRightInd w:val="0"/>
        <w:rPr>
          <w:rFonts w:eastAsiaTheme="minorHAnsi" w:cs="Arial"/>
          <w:sz w:val="17"/>
          <w:szCs w:val="17"/>
        </w:rPr>
      </w:pPr>
      <w:r>
        <w:rPr>
          <w:rFonts w:eastAsiaTheme="minorHAnsi" w:cs="Arial"/>
          <w:sz w:val="17"/>
          <w:szCs w:val="17"/>
        </w:rPr>
        <w:t>Section</w:t>
      </w:r>
      <w:r w:rsidRPr="009F71C6">
        <w:rPr>
          <w:rFonts w:eastAsiaTheme="minorHAnsi" w:cs="Arial"/>
          <w:sz w:val="17"/>
          <w:szCs w:val="17"/>
        </w:rPr>
        <w:t xml:space="preserve"> 8.5 of the Guidelines </w:t>
      </w:r>
      <w:r>
        <w:rPr>
          <w:rFonts w:eastAsiaTheme="minorHAnsi" w:cs="Arial"/>
          <w:sz w:val="17"/>
          <w:szCs w:val="17"/>
        </w:rPr>
        <w:t>addresses the application of the proportionality principle in the case of intra-group transactions</w:t>
      </w:r>
      <w:r w:rsidR="00F47387">
        <w:rPr>
          <w:rFonts w:eastAsiaTheme="minorHAnsi" w:cs="Arial"/>
          <w:sz w:val="17"/>
          <w:szCs w:val="17"/>
        </w:rPr>
        <w:t>.</w:t>
      </w:r>
      <w:r w:rsidRPr="009F71C6">
        <w:rPr>
          <w:rFonts w:eastAsiaTheme="minorHAnsi" w:cs="Arial"/>
          <w:sz w:val="17"/>
          <w:szCs w:val="17"/>
        </w:rPr>
        <w:t xml:space="preserve"> </w:t>
      </w:r>
    </w:p>
    <w:p w14:paraId="6BF145D2" w14:textId="77777777" w:rsidR="00BC346C" w:rsidRDefault="00BC346C" w:rsidP="00BC346C">
      <w:pPr>
        <w:autoSpaceDE w:val="0"/>
        <w:autoSpaceDN w:val="0"/>
        <w:adjustRightInd w:val="0"/>
        <w:rPr>
          <w:rFonts w:eastAsiaTheme="minorHAnsi" w:cs="Arial"/>
          <w:sz w:val="17"/>
          <w:szCs w:val="17"/>
        </w:rPr>
      </w:pPr>
    </w:p>
    <w:p w14:paraId="221080CD" w14:textId="6DDE4493" w:rsidR="00BC346C" w:rsidRDefault="00BC346C" w:rsidP="00BC346C">
      <w:pPr>
        <w:autoSpaceDE w:val="0"/>
        <w:autoSpaceDN w:val="0"/>
        <w:adjustRightInd w:val="0"/>
        <w:rPr>
          <w:rFonts w:eastAsiaTheme="minorHAnsi" w:cs="Arial"/>
          <w:sz w:val="17"/>
          <w:szCs w:val="17"/>
        </w:rPr>
      </w:pPr>
      <w:r>
        <w:rPr>
          <w:rFonts w:eastAsiaTheme="minorHAnsi" w:cs="Arial"/>
          <w:sz w:val="17"/>
          <w:szCs w:val="17"/>
        </w:rPr>
        <w:t>It is stated that in case of intra-group transactions, the full assessment procedure should only be necessary for the new persons/entities in the group and the new group structure. Such an assessment of the new entities in the group is inconsistent with the requirements set out in article 57(1) of the Solvency II Directive</w:t>
      </w:r>
      <w:r w:rsidR="00826834">
        <w:rPr>
          <w:rFonts w:eastAsiaTheme="minorHAnsi" w:cs="Arial"/>
          <w:sz w:val="17"/>
          <w:szCs w:val="17"/>
        </w:rPr>
        <w:t xml:space="preserve"> (provision stemming from Acquisitions directive (</w:t>
      </w:r>
      <w:r w:rsidR="00826834" w:rsidRPr="005503E8">
        <w:rPr>
          <w:rFonts w:eastAsiaTheme="minorHAnsi" w:cs="Arial"/>
          <w:sz w:val="17"/>
          <w:szCs w:val="17"/>
        </w:rPr>
        <w:t>2007/44/EC</w:t>
      </w:r>
      <w:r w:rsidR="00826834">
        <w:rPr>
          <w:rFonts w:eastAsiaTheme="minorHAnsi" w:cs="Arial"/>
          <w:sz w:val="17"/>
          <w:szCs w:val="17"/>
        </w:rPr>
        <w:t>))</w:t>
      </w:r>
      <w:r>
        <w:rPr>
          <w:rFonts w:eastAsiaTheme="minorHAnsi" w:cs="Arial"/>
          <w:sz w:val="17"/>
          <w:szCs w:val="17"/>
        </w:rPr>
        <w:t>, where notification of new persons/entities</w:t>
      </w:r>
      <w:r w:rsidRPr="00BD496C">
        <w:rPr>
          <w:rFonts w:eastAsiaTheme="minorHAnsi" w:cs="Arial"/>
          <w:sz w:val="17"/>
          <w:szCs w:val="17"/>
        </w:rPr>
        <w:t xml:space="preserve"> </w:t>
      </w:r>
      <w:r>
        <w:rPr>
          <w:rFonts w:eastAsiaTheme="minorHAnsi" w:cs="Arial"/>
          <w:sz w:val="17"/>
          <w:szCs w:val="17"/>
        </w:rPr>
        <w:t>is only required</w:t>
      </w:r>
      <w:r w:rsidRPr="00BD496C">
        <w:rPr>
          <w:rFonts w:eastAsiaTheme="minorHAnsi" w:cs="Arial"/>
          <w:sz w:val="17"/>
          <w:szCs w:val="17"/>
        </w:rPr>
        <w:t xml:space="preserve"> if </w:t>
      </w:r>
      <w:r>
        <w:rPr>
          <w:rFonts w:eastAsiaTheme="minorHAnsi" w:cs="Arial"/>
          <w:sz w:val="17"/>
          <w:szCs w:val="17"/>
        </w:rPr>
        <w:t>the acquisition/disposal thresholds of 20 %, 30 % or 50 % are reached or exceeded</w:t>
      </w:r>
      <w:r w:rsidRPr="00BD496C">
        <w:rPr>
          <w:rFonts w:eastAsiaTheme="minorHAnsi" w:cs="Arial"/>
          <w:sz w:val="17"/>
          <w:szCs w:val="17"/>
        </w:rPr>
        <w:t>.</w:t>
      </w:r>
      <w:r>
        <w:rPr>
          <w:rFonts w:eastAsiaTheme="minorHAnsi" w:cs="Arial"/>
          <w:sz w:val="17"/>
          <w:szCs w:val="17"/>
        </w:rPr>
        <w:t xml:space="preserve"> Hence, </w:t>
      </w:r>
      <w:r w:rsidRPr="00BD496C">
        <w:rPr>
          <w:rFonts w:eastAsiaTheme="minorHAnsi" w:cs="Arial"/>
          <w:sz w:val="17"/>
          <w:szCs w:val="17"/>
        </w:rPr>
        <w:t>not all changes need to be notified according to the directive</w:t>
      </w:r>
      <w:r w:rsidR="00826834">
        <w:rPr>
          <w:rFonts w:eastAsiaTheme="minorHAnsi" w:cs="Arial"/>
          <w:sz w:val="17"/>
          <w:szCs w:val="17"/>
        </w:rPr>
        <w:t xml:space="preserve"> and an additional assessments is not needed</w:t>
      </w:r>
    </w:p>
    <w:p w14:paraId="6E2A0785" w14:textId="77777777" w:rsidR="00BC346C" w:rsidRDefault="00BC346C" w:rsidP="00BC346C">
      <w:pPr>
        <w:autoSpaceDE w:val="0"/>
        <w:autoSpaceDN w:val="0"/>
        <w:adjustRightInd w:val="0"/>
        <w:rPr>
          <w:rFonts w:eastAsiaTheme="minorHAnsi" w:cs="Arial"/>
          <w:sz w:val="17"/>
          <w:szCs w:val="17"/>
        </w:rPr>
      </w:pPr>
    </w:p>
    <w:p w14:paraId="5D6F6B5B" w14:textId="2502E059" w:rsidR="00BC346C" w:rsidRDefault="00BC346C" w:rsidP="00BC346C">
      <w:pPr>
        <w:autoSpaceDE w:val="0"/>
        <w:autoSpaceDN w:val="0"/>
        <w:adjustRightInd w:val="0"/>
        <w:rPr>
          <w:rFonts w:eastAsiaTheme="minorHAnsi" w:cs="Arial"/>
          <w:sz w:val="17"/>
          <w:szCs w:val="17"/>
        </w:rPr>
      </w:pPr>
      <w:r>
        <w:rPr>
          <w:rFonts w:eastAsiaTheme="minorHAnsi" w:cs="Arial"/>
          <w:sz w:val="17"/>
          <w:szCs w:val="17"/>
        </w:rPr>
        <w:t>Also, the last bullet point in this section suggest that, with a change in the nature of the holding, the assessment should be limited to the changes having occurred since the last assessment. Insurance Europe disagree</w:t>
      </w:r>
      <w:r w:rsidR="00826834">
        <w:rPr>
          <w:rFonts w:eastAsiaTheme="minorHAnsi" w:cs="Arial"/>
          <w:sz w:val="17"/>
          <w:szCs w:val="17"/>
        </w:rPr>
        <w:t>s</w:t>
      </w:r>
      <w:r>
        <w:rPr>
          <w:rFonts w:eastAsiaTheme="minorHAnsi" w:cs="Arial"/>
          <w:sz w:val="17"/>
          <w:szCs w:val="17"/>
        </w:rPr>
        <w:t xml:space="preserve"> that such an assessment is required in all circumstances; for example, an assessment should not be required where a holder of a qualifying interest is authorised to hold participations between certain ranges in accordance with the Acquisitions Directive</w:t>
      </w:r>
      <w:r w:rsidR="00EC1DFF">
        <w:rPr>
          <w:rFonts w:eastAsiaTheme="minorHAnsi" w:cs="Arial"/>
          <w:sz w:val="17"/>
          <w:szCs w:val="17"/>
        </w:rPr>
        <w:t>, or where a holder of a qualifying holding has previously obtained an authorisation on behalf of itself and of any of its subsidiaries (existing or newly incorporated)</w:t>
      </w:r>
      <w:r>
        <w:rPr>
          <w:rFonts w:eastAsiaTheme="minorHAnsi" w:cs="Arial"/>
          <w:sz w:val="17"/>
          <w:szCs w:val="17"/>
        </w:rPr>
        <w:t xml:space="preserve">. </w:t>
      </w:r>
    </w:p>
    <w:p w14:paraId="16766D95" w14:textId="77777777" w:rsidR="00BC346C" w:rsidRPr="00D50D31" w:rsidRDefault="00BC346C" w:rsidP="00BC346C">
      <w:pPr>
        <w:autoSpaceDE w:val="0"/>
        <w:autoSpaceDN w:val="0"/>
        <w:adjustRightInd w:val="0"/>
        <w:rPr>
          <w:rFonts w:eastAsiaTheme="minorHAnsi" w:cs="Arial"/>
          <w:b/>
          <w:sz w:val="17"/>
          <w:szCs w:val="17"/>
        </w:rPr>
      </w:pPr>
    </w:p>
    <w:p w14:paraId="5856B9B4" w14:textId="77777777" w:rsidR="00BC346C" w:rsidRPr="00D50D31" w:rsidRDefault="00BC346C" w:rsidP="00BC346C">
      <w:pPr>
        <w:autoSpaceDE w:val="0"/>
        <w:autoSpaceDN w:val="0"/>
        <w:adjustRightInd w:val="0"/>
        <w:rPr>
          <w:rFonts w:eastAsiaTheme="minorHAnsi" w:cs="Arial"/>
          <w:b/>
          <w:sz w:val="17"/>
          <w:szCs w:val="17"/>
        </w:rPr>
      </w:pPr>
      <w:r w:rsidRPr="00D50D31">
        <w:rPr>
          <w:rFonts w:eastAsiaTheme="minorHAnsi" w:cs="Arial"/>
          <w:b/>
          <w:sz w:val="17"/>
          <w:szCs w:val="17"/>
        </w:rPr>
        <w:t>c) Information requested</w:t>
      </w:r>
    </w:p>
    <w:p w14:paraId="121F20A9" w14:textId="1D11DB1F" w:rsidR="00BC346C" w:rsidRPr="009F71C6" w:rsidRDefault="00BC346C" w:rsidP="00BC346C">
      <w:pPr>
        <w:rPr>
          <w:sz w:val="17"/>
          <w:szCs w:val="17"/>
        </w:rPr>
      </w:pPr>
      <w:r w:rsidRPr="009F71C6">
        <w:rPr>
          <w:sz w:val="17"/>
          <w:szCs w:val="17"/>
        </w:rPr>
        <w:t xml:space="preserve">The information request relating to integrity should </w:t>
      </w:r>
      <w:r>
        <w:rPr>
          <w:sz w:val="17"/>
          <w:szCs w:val="17"/>
        </w:rPr>
        <w:t xml:space="preserve">not look back beyond </w:t>
      </w:r>
      <w:r w:rsidRPr="009F71C6">
        <w:rPr>
          <w:sz w:val="17"/>
          <w:szCs w:val="17"/>
        </w:rPr>
        <w:t xml:space="preserve">a </w:t>
      </w:r>
      <w:r w:rsidRPr="00315108">
        <w:rPr>
          <w:sz w:val="17"/>
          <w:szCs w:val="17"/>
        </w:rPr>
        <w:t>reasonably limited time period</w:t>
      </w:r>
      <w:r>
        <w:rPr>
          <w:sz w:val="17"/>
          <w:szCs w:val="17"/>
        </w:rPr>
        <w:t>,</w:t>
      </w:r>
      <w:r w:rsidRPr="00315108">
        <w:rPr>
          <w:sz w:val="17"/>
          <w:szCs w:val="17"/>
        </w:rPr>
        <w:t xml:space="preserve"> and </w:t>
      </w:r>
      <w:r>
        <w:rPr>
          <w:sz w:val="17"/>
          <w:szCs w:val="17"/>
        </w:rPr>
        <w:t>should comprise</w:t>
      </w:r>
      <w:r w:rsidRPr="00315108">
        <w:rPr>
          <w:sz w:val="17"/>
          <w:szCs w:val="17"/>
        </w:rPr>
        <w:t xml:space="preserve"> a limited scope t</w:t>
      </w:r>
      <w:r w:rsidRPr="009F71C6">
        <w:rPr>
          <w:sz w:val="17"/>
          <w:szCs w:val="17"/>
        </w:rPr>
        <w:t xml:space="preserve">hat considers only personal </w:t>
      </w:r>
      <w:r w:rsidRPr="009F71C6">
        <w:rPr>
          <w:sz w:val="17"/>
          <w:szCs w:val="17"/>
        </w:rPr>
        <w:lastRenderedPageBreak/>
        <w:t>sanctions and sanctions imposed on undertakings that a relevant natural person is or was managing</w:t>
      </w:r>
      <w:r>
        <w:rPr>
          <w:sz w:val="17"/>
          <w:szCs w:val="17"/>
        </w:rPr>
        <w:t>;</w:t>
      </w:r>
      <w:r w:rsidRPr="009F71C6">
        <w:rPr>
          <w:sz w:val="17"/>
          <w:szCs w:val="17"/>
        </w:rPr>
        <w:t xml:space="preserve"> </w:t>
      </w:r>
      <w:r>
        <w:rPr>
          <w:sz w:val="17"/>
          <w:szCs w:val="17"/>
        </w:rPr>
        <w:t>Simple</w:t>
      </w:r>
      <w:r w:rsidRPr="009F71C6">
        <w:rPr>
          <w:sz w:val="17"/>
          <w:szCs w:val="17"/>
        </w:rPr>
        <w:t xml:space="preserve"> control functions (i.e. membership in supervisory boards or non-executive memberships in boards of directors)</w:t>
      </w:r>
      <w:r>
        <w:rPr>
          <w:sz w:val="17"/>
          <w:szCs w:val="17"/>
        </w:rPr>
        <w:t xml:space="preserve"> should be out of the scope</w:t>
      </w:r>
      <w:r w:rsidRPr="009F71C6">
        <w:rPr>
          <w:sz w:val="17"/>
          <w:szCs w:val="17"/>
        </w:rPr>
        <w:t>.</w:t>
      </w:r>
    </w:p>
    <w:p w14:paraId="4F34A6F2" w14:textId="77777777" w:rsidR="00BC346C" w:rsidRDefault="00BC346C" w:rsidP="00BC346C">
      <w:pPr>
        <w:rPr>
          <w:sz w:val="17"/>
          <w:szCs w:val="17"/>
        </w:rPr>
      </w:pPr>
    </w:p>
    <w:p w14:paraId="31F56A8E" w14:textId="77777777" w:rsidR="00BC346C" w:rsidRPr="00F15E03" w:rsidRDefault="00BC346C" w:rsidP="00BC346C">
      <w:pPr>
        <w:rPr>
          <w:sz w:val="17"/>
          <w:szCs w:val="17"/>
        </w:rPr>
      </w:pPr>
      <w:r>
        <w:rPr>
          <w:sz w:val="17"/>
          <w:szCs w:val="17"/>
        </w:rPr>
        <w:t>For example, p</w:t>
      </w:r>
      <w:r w:rsidRPr="00F15E03">
        <w:rPr>
          <w:sz w:val="17"/>
          <w:szCs w:val="17"/>
        </w:rPr>
        <w:t>ar</w:t>
      </w:r>
      <w:r>
        <w:rPr>
          <w:sz w:val="17"/>
          <w:szCs w:val="17"/>
        </w:rPr>
        <w:t xml:space="preserve">agraph </w:t>
      </w:r>
      <w:r w:rsidRPr="00F15E03">
        <w:rPr>
          <w:sz w:val="17"/>
          <w:szCs w:val="17"/>
        </w:rPr>
        <w:t xml:space="preserve">10.5 of the draft </w:t>
      </w:r>
      <w:r>
        <w:rPr>
          <w:sz w:val="17"/>
          <w:szCs w:val="17"/>
        </w:rPr>
        <w:t>g</w:t>
      </w:r>
      <w:r w:rsidRPr="00F15E03">
        <w:rPr>
          <w:sz w:val="17"/>
          <w:szCs w:val="17"/>
        </w:rPr>
        <w:t xml:space="preserve">uidelines requires target supervisors to always carry out an integrity check in respect of the proposed acquirer. </w:t>
      </w:r>
      <w:r>
        <w:rPr>
          <w:sz w:val="17"/>
          <w:szCs w:val="17"/>
        </w:rPr>
        <w:t>Insurance Europe b</w:t>
      </w:r>
      <w:r w:rsidRPr="00F15E03">
        <w:rPr>
          <w:sz w:val="17"/>
          <w:szCs w:val="17"/>
        </w:rPr>
        <w:t>elieve</w:t>
      </w:r>
      <w:r>
        <w:rPr>
          <w:sz w:val="17"/>
          <w:szCs w:val="17"/>
        </w:rPr>
        <w:t>s</w:t>
      </w:r>
      <w:r w:rsidRPr="00F15E03">
        <w:rPr>
          <w:sz w:val="17"/>
          <w:szCs w:val="17"/>
        </w:rPr>
        <w:t xml:space="preserve"> that this is not in line with the principle of proportionality. </w:t>
      </w:r>
      <w:r>
        <w:rPr>
          <w:sz w:val="17"/>
          <w:szCs w:val="17"/>
        </w:rPr>
        <w:t>It is therefore</w:t>
      </w:r>
      <w:r w:rsidRPr="00F15E03">
        <w:rPr>
          <w:sz w:val="17"/>
          <w:szCs w:val="17"/>
        </w:rPr>
        <w:t xml:space="preserve"> suggest</w:t>
      </w:r>
      <w:r>
        <w:rPr>
          <w:sz w:val="17"/>
          <w:szCs w:val="17"/>
        </w:rPr>
        <w:t>ed</w:t>
      </w:r>
      <w:r w:rsidRPr="00F15E03">
        <w:rPr>
          <w:sz w:val="17"/>
          <w:szCs w:val="17"/>
        </w:rPr>
        <w:t xml:space="preserve"> to make a distinction between:</w:t>
      </w:r>
    </w:p>
    <w:p w14:paraId="2F059EDB" w14:textId="1CAD5051" w:rsidR="00BC346C" w:rsidRPr="00C727B8" w:rsidRDefault="00BC346C" w:rsidP="00C727B8">
      <w:pPr>
        <w:pStyle w:val="CEABullet-Level1"/>
        <w:rPr>
          <w:lang w:val="en-GB"/>
        </w:rPr>
      </w:pPr>
      <w:r w:rsidRPr="00C727B8">
        <w:rPr>
          <w:lang w:val="en-GB"/>
        </w:rPr>
        <w:t xml:space="preserve">A proposed acquirer supervised by the same competent authority; or </w:t>
      </w:r>
    </w:p>
    <w:p w14:paraId="05AC062A" w14:textId="7C480F9A" w:rsidR="00BC346C" w:rsidRPr="00C727B8" w:rsidRDefault="00BC346C" w:rsidP="00C727B8">
      <w:pPr>
        <w:pStyle w:val="CEABullet-Level1"/>
        <w:rPr>
          <w:lang w:val="en-GB"/>
        </w:rPr>
      </w:pPr>
      <w:r w:rsidRPr="00C727B8">
        <w:rPr>
          <w:lang w:val="en-GB"/>
        </w:rPr>
        <w:t>A proposed acquirer supervised by another competent authority in the same country; or</w:t>
      </w:r>
    </w:p>
    <w:p w14:paraId="33751B20" w14:textId="2567BA3C" w:rsidR="00BC346C" w:rsidRPr="00C727B8" w:rsidRDefault="00BC346C" w:rsidP="00C727B8">
      <w:pPr>
        <w:pStyle w:val="CEABullet-Level1"/>
        <w:rPr>
          <w:lang w:val="en-GB"/>
        </w:rPr>
      </w:pPr>
      <w:r w:rsidRPr="00C727B8">
        <w:rPr>
          <w:lang w:val="en-GB"/>
        </w:rPr>
        <w:t>A proposed acquirer supervised by a competent authority in another Member State.</w:t>
      </w:r>
    </w:p>
    <w:p w14:paraId="107C442E" w14:textId="77777777" w:rsidR="00BC346C" w:rsidRDefault="00BC346C" w:rsidP="00BC346C">
      <w:pPr>
        <w:rPr>
          <w:sz w:val="17"/>
          <w:szCs w:val="17"/>
        </w:rPr>
      </w:pPr>
      <w:r w:rsidRPr="00F15E03">
        <w:rPr>
          <w:sz w:val="17"/>
          <w:szCs w:val="17"/>
        </w:rPr>
        <w:t xml:space="preserve">When a proposed acquirer is already considered to be of ‘good repute’ by the target supervisor (either in his capacity as a holder of a qualifying holding or as a board member/ supervisory board member), it would be unnecessary to carry out an integrity check </w:t>
      </w:r>
      <w:r>
        <w:rPr>
          <w:sz w:val="17"/>
          <w:szCs w:val="17"/>
        </w:rPr>
        <w:t>with</w:t>
      </w:r>
      <w:r w:rsidRPr="00F15E03">
        <w:rPr>
          <w:sz w:val="17"/>
          <w:szCs w:val="17"/>
        </w:rPr>
        <w:t xml:space="preserve"> respect </w:t>
      </w:r>
      <w:r>
        <w:rPr>
          <w:sz w:val="17"/>
          <w:szCs w:val="17"/>
        </w:rPr>
        <w:t>to</w:t>
      </w:r>
      <w:r w:rsidRPr="00F15E03">
        <w:rPr>
          <w:sz w:val="17"/>
          <w:szCs w:val="17"/>
        </w:rPr>
        <w:t xml:space="preserve"> the proposed acquirer. </w:t>
      </w:r>
      <w:r>
        <w:rPr>
          <w:sz w:val="17"/>
          <w:szCs w:val="17"/>
        </w:rPr>
        <w:t>It is also</w:t>
      </w:r>
      <w:r w:rsidRPr="00F15E03">
        <w:rPr>
          <w:sz w:val="17"/>
          <w:szCs w:val="17"/>
        </w:rPr>
        <w:t xml:space="preserve"> expect</w:t>
      </w:r>
      <w:r>
        <w:rPr>
          <w:sz w:val="17"/>
          <w:szCs w:val="17"/>
        </w:rPr>
        <w:t>ed</w:t>
      </w:r>
      <w:r w:rsidRPr="00F15E03">
        <w:rPr>
          <w:sz w:val="17"/>
          <w:szCs w:val="17"/>
        </w:rPr>
        <w:t xml:space="preserve"> from the target supervisor to be aware of all developments since carrying out its previous assessment. In order to avoid unnecessary duplication of work and unnecessary delay in the assessment procedure, </w:t>
      </w:r>
      <w:r>
        <w:rPr>
          <w:sz w:val="17"/>
          <w:szCs w:val="17"/>
        </w:rPr>
        <w:t>insurance Europe</w:t>
      </w:r>
      <w:r w:rsidRPr="00F15E03">
        <w:rPr>
          <w:sz w:val="17"/>
          <w:szCs w:val="17"/>
        </w:rPr>
        <w:t xml:space="preserve"> believe</w:t>
      </w:r>
      <w:r>
        <w:rPr>
          <w:sz w:val="17"/>
          <w:szCs w:val="17"/>
        </w:rPr>
        <w:t>s</w:t>
      </w:r>
      <w:r w:rsidRPr="00F15E03">
        <w:rPr>
          <w:sz w:val="17"/>
          <w:szCs w:val="17"/>
        </w:rPr>
        <w:t xml:space="preserve"> that the proposed acquirer </w:t>
      </w:r>
      <w:r>
        <w:rPr>
          <w:sz w:val="17"/>
          <w:szCs w:val="17"/>
        </w:rPr>
        <w:t>should</w:t>
      </w:r>
      <w:r w:rsidRPr="00F15E03">
        <w:rPr>
          <w:sz w:val="17"/>
          <w:szCs w:val="17"/>
        </w:rPr>
        <w:t xml:space="preserve"> not obliged to submit a written statement on his integrity in these cases (as proposed in par</w:t>
      </w:r>
      <w:r>
        <w:rPr>
          <w:sz w:val="17"/>
          <w:szCs w:val="17"/>
        </w:rPr>
        <w:t>agraph</w:t>
      </w:r>
      <w:r w:rsidRPr="00F15E03">
        <w:rPr>
          <w:sz w:val="17"/>
          <w:szCs w:val="17"/>
        </w:rPr>
        <w:t xml:space="preserve"> 10.17)</w:t>
      </w:r>
    </w:p>
    <w:p w14:paraId="0A505BA0" w14:textId="77777777" w:rsidR="00BC346C" w:rsidRDefault="00BC346C" w:rsidP="00BC346C">
      <w:pPr>
        <w:ind w:left="709"/>
        <w:rPr>
          <w:sz w:val="17"/>
          <w:szCs w:val="17"/>
        </w:rPr>
      </w:pPr>
      <w:r w:rsidRPr="004E30F9">
        <w:rPr>
          <w:sz w:val="17"/>
          <w:szCs w:val="17"/>
        </w:rPr>
        <w:tab/>
      </w:r>
    </w:p>
    <w:p w14:paraId="47D7C478" w14:textId="77777777" w:rsidR="00BC346C" w:rsidRPr="00D50D31" w:rsidRDefault="00BC346C" w:rsidP="00BC346C">
      <w:pPr>
        <w:autoSpaceDE w:val="0"/>
        <w:autoSpaceDN w:val="0"/>
        <w:adjustRightInd w:val="0"/>
        <w:rPr>
          <w:rFonts w:eastAsiaTheme="minorHAnsi" w:cs="Arial"/>
          <w:b/>
          <w:sz w:val="17"/>
          <w:szCs w:val="17"/>
        </w:rPr>
      </w:pPr>
      <w:r>
        <w:rPr>
          <w:rFonts w:eastAsiaTheme="minorHAnsi" w:cs="Arial"/>
          <w:b/>
          <w:sz w:val="17"/>
          <w:szCs w:val="17"/>
        </w:rPr>
        <w:t xml:space="preserve">d) </w:t>
      </w:r>
      <w:r w:rsidRPr="00D50D31">
        <w:rPr>
          <w:rFonts w:eastAsiaTheme="minorHAnsi" w:cs="Arial"/>
          <w:b/>
          <w:sz w:val="17"/>
          <w:szCs w:val="17"/>
        </w:rPr>
        <w:t>Passive threshold crossings</w:t>
      </w:r>
    </w:p>
    <w:p w14:paraId="3B99040A" w14:textId="393F0DDC" w:rsidR="00BC346C" w:rsidRPr="004E30F9" w:rsidRDefault="00BC346C" w:rsidP="00BC346C">
      <w:pPr>
        <w:rPr>
          <w:sz w:val="17"/>
          <w:szCs w:val="17"/>
        </w:rPr>
      </w:pPr>
      <w:r w:rsidRPr="004E30F9">
        <w:rPr>
          <w:sz w:val="17"/>
          <w:szCs w:val="17"/>
        </w:rPr>
        <w:t xml:space="preserve">Article 57 of the Solvency II Directive imposes the obligation of prior notification to the competent supervisory authorities </w:t>
      </w:r>
      <w:r>
        <w:rPr>
          <w:sz w:val="17"/>
          <w:szCs w:val="17"/>
        </w:rPr>
        <w:t xml:space="preserve">for </w:t>
      </w:r>
      <w:r w:rsidRPr="004E30F9">
        <w:rPr>
          <w:sz w:val="17"/>
          <w:szCs w:val="17"/>
        </w:rPr>
        <w:t>any person</w:t>
      </w:r>
      <w:r>
        <w:rPr>
          <w:sz w:val="17"/>
          <w:szCs w:val="17"/>
        </w:rPr>
        <w:t xml:space="preserve"> (natural or legal)</w:t>
      </w:r>
      <w:r w:rsidRPr="004E30F9">
        <w:rPr>
          <w:sz w:val="17"/>
          <w:szCs w:val="17"/>
        </w:rPr>
        <w:t xml:space="preserve"> who has taken a decision to acquire a qualifying holding in an insurance or reinsurance undertaking, or to further increase its qualifying holding thereby exceeding the 20, 30 or 50% threshold in respect of capital or voting rights. In case of passive threshold crossings</w:t>
      </w:r>
      <w:r>
        <w:rPr>
          <w:sz w:val="17"/>
          <w:szCs w:val="17"/>
        </w:rPr>
        <w:t>,</w:t>
      </w:r>
      <w:r w:rsidRPr="004E30F9">
        <w:rPr>
          <w:sz w:val="17"/>
          <w:szCs w:val="17"/>
        </w:rPr>
        <w:t xml:space="preserve"> it is uncertain whether a notification needs to be made pursuant to Article 57 of the Solvency II Directive because there may not be any such decision of the holder of the qualifying holding. The </w:t>
      </w:r>
      <w:r>
        <w:rPr>
          <w:sz w:val="17"/>
          <w:szCs w:val="17"/>
        </w:rPr>
        <w:t>g</w:t>
      </w:r>
      <w:r w:rsidRPr="004E30F9">
        <w:rPr>
          <w:sz w:val="17"/>
          <w:szCs w:val="17"/>
        </w:rPr>
        <w:t xml:space="preserve">uideline should limit such uncertainty by giving concrete examples of cases where there are no decision triggering a notification by the holder of the qualifying holding. </w:t>
      </w:r>
      <w:r>
        <w:rPr>
          <w:sz w:val="17"/>
          <w:szCs w:val="17"/>
        </w:rPr>
        <w:t>For example,</w:t>
      </w:r>
      <w:r w:rsidRPr="004E30F9">
        <w:rPr>
          <w:sz w:val="17"/>
          <w:szCs w:val="17"/>
        </w:rPr>
        <w:t xml:space="preserve"> a notification duty triggered by the knowledge of the increase or decrease of shares by the relevant shareholder could be stipulated. </w:t>
      </w:r>
    </w:p>
    <w:p w14:paraId="783CC24E" w14:textId="77777777" w:rsidR="00BC346C" w:rsidRDefault="00BC346C" w:rsidP="00BC346C">
      <w:pPr>
        <w:rPr>
          <w:sz w:val="17"/>
          <w:szCs w:val="17"/>
        </w:rPr>
      </w:pPr>
    </w:p>
    <w:p w14:paraId="4DF71FE6" w14:textId="43037063" w:rsidR="00BC346C" w:rsidRDefault="00BC346C" w:rsidP="00BC346C">
      <w:pPr>
        <w:rPr>
          <w:sz w:val="17"/>
          <w:szCs w:val="17"/>
        </w:rPr>
      </w:pPr>
      <w:r w:rsidRPr="004E30F9">
        <w:rPr>
          <w:sz w:val="17"/>
          <w:szCs w:val="17"/>
        </w:rPr>
        <w:t>Examples should include the following scenarios:</w:t>
      </w:r>
      <w:r>
        <w:rPr>
          <w:sz w:val="17"/>
          <w:szCs w:val="17"/>
        </w:rPr>
        <w:t xml:space="preserve"> 1) a</w:t>
      </w:r>
      <w:r w:rsidRPr="004E30F9">
        <w:rPr>
          <w:sz w:val="17"/>
          <w:szCs w:val="17"/>
        </w:rPr>
        <w:t xml:space="preserve"> reduction of holdings below any relevant threshold occurs if the target company increases its capital and the relevant holder is either excluded</w:t>
      </w:r>
      <w:r>
        <w:rPr>
          <w:sz w:val="17"/>
          <w:szCs w:val="17"/>
        </w:rPr>
        <w:t>,</w:t>
      </w:r>
      <w:r w:rsidRPr="004E30F9">
        <w:rPr>
          <w:sz w:val="17"/>
          <w:szCs w:val="17"/>
        </w:rPr>
        <w:t xml:space="preserve"> or decides not to participate in the increase. In the first case, there is no decision to be taken by the relevant holder. </w:t>
      </w:r>
      <w:r>
        <w:rPr>
          <w:sz w:val="17"/>
          <w:szCs w:val="17"/>
        </w:rPr>
        <w:t>2) a</w:t>
      </w:r>
      <w:r w:rsidRPr="004E30F9">
        <w:rPr>
          <w:sz w:val="17"/>
          <w:szCs w:val="17"/>
        </w:rPr>
        <w:t xml:space="preserve">n increase of holdings reaching or exceeding any relevant threshold occurs if the target company repurchases </w:t>
      </w:r>
      <w:r w:rsidRPr="004E30F9">
        <w:rPr>
          <w:sz w:val="17"/>
          <w:szCs w:val="17"/>
        </w:rPr>
        <w:lastRenderedPageBreak/>
        <w:t>and redeems its own shares (</w:t>
      </w:r>
      <w:r>
        <w:rPr>
          <w:sz w:val="17"/>
          <w:szCs w:val="17"/>
        </w:rPr>
        <w:t>n</w:t>
      </w:r>
      <w:r w:rsidRPr="004E30F9">
        <w:rPr>
          <w:sz w:val="17"/>
          <w:szCs w:val="17"/>
        </w:rPr>
        <w:t>ote that there is no increase if the company repurchases its own shares without redeeming them, since Article 9 (1) second subparagraph stipulates that treasury shares for which voting rights are suspended</w:t>
      </w:r>
      <w:r>
        <w:rPr>
          <w:sz w:val="17"/>
          <w:szCs w:val="17"/>
        </w:rPr>
        <w:t>,</w:t>
      </w:r>
      <w:r w:rsidRPr="004E30F9">
        <w:rPr>
          <w:sz w:val="17"/>
          <w:szCs w:val="17"/>
        </w:rPr>
        <w:t xml:space="preserve"> need to be included in the denominator when calculating the ownership ratio).</w:t>
      </w:r>
      <w:r>
        <w:rPr>
          <w:sz w:val="17"/>
          <w:szCs w:val="17"/>
        </w:rPr>
        <w:t xml:space="preserve"> Furthermore, d</w:t>
      </w:r>
      <w:r w:rsidRPr="009F71C6">
        <w:rPr>
          <w:sz w:val="17"/>
          <w:szCs w:val="17"/>
        </w:rPr>
        <w:t xml:space="preserve">ocuments that have been submitted to the target supervisor within the past 12 months should not have to be resubmitted, unless there has been a material change. </w:t>
      </w:r>
    </w:p>
    <w:p w14:paraId="1C8F943F" w14:textId="77777777" w:rsidR="00BC346C" w:rsidRDefault="00BC346C" w:rsidP="00BC346C">
      <w:pPr>
        <w:rPr>
          <w:sz w:val="17"/>
          <w:szCs w:val="17"/>
        </w:rPr>
      </w:pPr>
    </w:p>
    <w:p w14:paraId="4B36F89F" w14:textId="75FB5A08" w:rsidR="00BC346C" w:rsidRPr="009F71C6" w:rsidRDefault="00BC346C" w:rsidP="00BC346C">
      <w:pPr>
        <w:rPr>
          <w:sz w:val="17"/>
          <w:szCs w:val="17"/>
        </w:rPr>
      </w:pPr>
      <w:r>
        <w:rPr>
          <w:sz w:val="17"/>
          <w:szCs w:val="17"/>
        </w:rPr>
        <w:t xml:space="preserve">Finally, the relevance of </w:t>
      </w:r>
      <w:r w:rsidRPr="009F71C6">
        <w:rPr>
          <w:sz w:val="17"/>
          <w:szCs w:val="17"/>
        </w:rPr>
        <w:t>Annex I, Sec</w:t>
      </w:r>
      <w:r>
        <w:rPr>
          <w:sz w:val="17"/>
          <w:szCs w:val="17"/>
        </w:rPr>
        <w:t>tion</w:t>
      </w:r>
      <w:r w:rsidRPr="009F71C6">
        <w:rPr>
          <w:sz w:val="17"/>
          <w:szCs w:val="17"/>
        </w:rPr>
        <w:t xml:space="preserve"> </w:t>
      </w:r>
      <w:r>
        <w:rPr>
          <w:sz w:val="17"/>
          <w:szCs w:val="17"/>
        </w:rPr>
        <w:t>3, (</w:t>
      </w:r>
      <w:r w:rsidRPr="009F71C6">
        <w:rPr>
          <w:sz w:val="17"/>
          <w:szCs w:val="17"/>
        </w:rPr>
        <w:t>2</w:t>
      </w:r>
      <w:r>
        <w:rPr>
          <w:sz w:val="17"/>
          <w:szCs w:val="17"/>
        </w:rPr>
        <w:t>)(</w:t>
      </w:r>
      <w:r w:rsidRPr="009F71C6">
        <w:rPr>
          <w:sz w:val="17"/>
          <w:szCs w:val="17"/>
        </w:rPr>
        <w:t>e</w:t>
      </w:r>
      <w:r>
        <w:rPr>
          <w:sz w:val="17"/>
          <w:szCs w:val="17"/>
        </w:rPr>
        <w:t>)</w:t>
      </w:r>
      <w:r w:rsidRPr="009F71C6" w:rsidDel="00E137C2">
        <w:rPr>
          <w:sz w:val="17"/>
          <w:szCs w:val="17"/>
        </w:rPr>
        <w:t xml:space="preserve"> </w:t>
      </w:r>
      <w:r>
        <w:rPr>
          <w:sz w:val="17"/>
          <w:szCs w:val="17"/>
        </w:rPr>
        <w:t>is questioned for</w:t>
      </w:r>
      <w:r w:rsidRPr="009F71C6">
        <w:rPr>
          <w:sz w:val="17"/>
          <w:szCs w:val="17"/>
        </w:rPr>
        <w:t xml:space="preserve"> </w:t>
      </w:r>
      <w:r>
        <w:rPr>
          <w:sz w:val="17"/>
          <w:szCs w:val="17"/>
        </w:rPr>
        <w:t xml:space="preserve">non </w:t>
      </w:r>
      <w:r w:rsidRPr="002D31C1">
        <w:rPr>
          <w:sz w:val="17"/>
          <w:szCs w:val="17"/>
        </w:rPr>
        <w:t xml:space="preserve">EU/EEA </w:t>
      </w:r>
      <w:r w:rsidRPr="009F71C6">
        <w:rPr>
          <w:sz w:val="17"/>
          <w:szCs w:val="17"/>
        </w:rPr>
        <w:t>listed companies. The information to be provided pursuant to Annex I, Sec</w:t>
      </w:r>
      <w:r>
        <w:rPr>
          <w:sz w:val="17"/>
          <w:szCs w:val="17"/>
        </w:rPr>
        <w:t>tion</w:t>
      </w:r>
      <w:r w:rsidRPr="009F71C6">
        <w:rPr>
          <w:sz w:val="17"/>
          <w:szCs w:val="17"/>
        </w:rPr>
        <w:t xml:space="preserve"> 5 (1) (e) and (f) should be sufficient.</w:t>
      </w:r>
    </w:p>
    <w:p w14:paraId="16ECCD65" w14:textId="77777777" w:rsidR="00BC346C" w:rsidRPr="009F71C6" w:rsidRDefault="00BC346C" w:rsidP="00BC346C">
      <w:pPr>
        <w:rPr>
          <w:sz w:val="17"/>
          <w:szCs w:val="17"/>
        </w:rPr>
      </w:pPr>
    </w:p>
    <w:p w14:paraId="1590692C" w14:textId="46B9DD77" w:rsidR="00BC346C" w:rsidRPr="009F71C6" w:rsidRDefault="00BC346C" w:rsidP="00BC346C">
      <w:pPr>
        <w:rPr>
          <w:b/>
          <w:sz w:val="17"/>
          <w:szCs w:val="17"/>
        </w:rPr>
      </w:pPr>
      <w:r w:rsidRPr="009F71C6">
        <w:rPr>
          <w:b/>
          <w:sz w:val="17"/>
          <w:szCs w:val="17"/>
        </w:rPr>
        <w:t xml:space="preserve">3. Guidelines </w:t>
      </w:r>
      <w:r>
        <w:rPr>
          <w:b/>
          <w:sz w:val="17"/>
          <w:szCs w:val="17"/>
        </w:rPr>
        <w:t xml:space="preserve">and EIOPA empowerments to develop </w:t>
      </w:r>
      <w:r w:rsidRPr="009F71C6">
        <w:rPr>
          <w:b/>
          <w:sz w:val="17"/>
          <w:szCs w:val="17"/>
        </w:rPr>
        <w:t>RTS</w:t>
      </w:r>
    </w:p>
    <w:p w14:paraId="601F696A" w14:textId="21B976B4" w:rsidR="00BC346C" w:rsidRPr="00314C48" w:rsidRDefault="00BC346C" w:rsidP="00BC346C">
      <w:pPr>
        <w:rPr>
          <w:sz w:val="17"/>
          <w:szCs w:val="17"/>
        </w:rPr>
      </w:pPr>
      <w:r w:rsidRPr="00D51744">
        <w:rPr>
          <w:sz w:val="17"/>
          <w:szCs w:val="17"/>
        </w:rPr>
        <w:t>Annex I sets out the minimum list of information which should be</w:t>
      </w:r>
      <w:r>
        <w:rPr>
          <w:sz w:val="17"/>
          <w:szCs w:val="17"/>
        </w:rPr>
        <w:t xml:space="preserve"> </w:t>
      </w:r>
      <w:r w:rsidRPr="00D51744">
        <w:rPr>
          <w:sz w:val="17"/>
          <w:szCs w:val="17"/>
        </w:rPr>
        <w:t>required by the competent authorities</w:t>
      </w:r>
      <w:r>
        <w:rPr>
          <w:sz w:val="17"/>
          <w:szCs w:val="17"/>
        </w:rPr>
        <w:t xml:space="preserve"> which</w:t>
      </w:r>
      <w:r w:rsidRPr="002D3F19">
        <w:rPr>
          <w:sz w:val="17"/>
          <w:szCs w:val="17"/>
        </w:rPr>
        <w:t xml:space="preserve"> is necessary to carry out the assessment of acquisitions and</w:t>
      </w:r>
      <w:r>
        <w:rPr>
          <w:sz w:val="17"/>
          <w:szCs w:val="17"/>
        </w:rPr>
        <w:t xml:space="preserve"> disposals</w:t>
      </w:r>
      <w:r w:rsidRPr="00314C48">
        <w:rPr>
          <w:sz w:val="17"/>
          <w:szCs w:val="17"/>
        </w:rPr>
        <w:t xml:space="preserve"> of qualifying holdings</w:t>
      </w:r>
      <w:r>
        <w:rPr>
          <w:sz w:val="17"/>
          <w:szCs w:val="17"/>
        </w:rPr>
        <w:t>. However, a</w:t>
      </w:r>
      <w:r w:rsidRPr="005F44AB">
        <w:rPr>
          <w:sz w:val="17"/>
          <w:szCs w:val="17"/>
        </w:rPr>
        <w:t>rticle 58 (8) of the Solvency II Directive empowers EIOPA</w:t>
      </w:r>
      <w:r w:rsidRPr="00314C48">
        <w:rPr>
          <w:sz w:val="17"/>
          <w:szCs w:val="17"/>
        </w:rPr>
        <w:t xml:space="preserve"> (“shall” empowerment)</w:t>
      </w:r>
      <w:r w:rsidRPr="005F44AB">
        <w:rPr>
          <w:sz w:val="17"/>
          <w:szCs w:val="17"/>
        </w:rPr>
        <w:t xml:space="preserve"> to develop draft regulatory technical standards (RTS) to (i) establish an exhaustive list of information that is necessary to carry out the assessment and that must be provided to the supervisory authorities, and (ii) specify the adjustments of the criteria for the prudential assessment.</w:t>
      </w:r>
      <w:r w:rsidRPr="00314C48">
        <w:rPr>
          <w:sz w:val="17"/>
          <w:szCs w:val="17"/>
        </w:rPr>
        <w:t xml:space="preserve"> </w:t>
      </w:r>
      <w:r>
        <w:rPr>
          <w:sz w:val="17"/>
          <w:szCs w:val="17"/>
        </w:rPr>
        <w:t>Therefore, t</w:t>
      </w:r>
      <w:r w:rsidRPr="00032E70">
        <w:rPr>
          <w:sz w:val="17"/>
          <w:szCs w:val="17"/>
        </w:rPr>
        <w:t>here is no need to have the</w:t>
      </w:r>
      <w:r w:rsidRPr="00032E70" w:rsidDel="00730554">
        <w:rPr>
          <w:sz w:val="17"/>
          <w:szCs w:val="17"/>
        </w:rPr>
        <w:t xml:space="preserve"> </w:t>
      </w:r>
      <w:r w:rsidRPr="00032E70">
        <w:rPr>
          <w:sz w:val="17"/>
          <w:szCs w:val="17"/>
        </w:rPr>
        <w:t xml:space="preserve">currently consulted joint </w:t>
      </w:r>
      <w:r>
        <w:rPr>
          <w:sz w:val="17"/>
          <w:szCs w:val="17"/>
        </w:rPr>
        <w:t>g</w:t>
      </w:r>
      <w:r w:rsidRPr="00032E70">
        <w:rPr>
          <w:sz w:val="17"/>
          <w:szCs w:val="17"/>
        </w:rPr>
        <w:t xml:space="preserve">uidelines on top of any such </w:t>
      </w:r>
      <w:r w:rsidRPr="00314C48">
        <w:rPr>
          <w:sz w:val="17"/>
          <w:szCs w:val="17"/>
        </w:rPr>
        <w:t xml:space="preserve">foreseen </w:t>
      </w:r>
      <w:r w:rsidRPr="00032E70">
        <w:rPr>
          <w:sz w:val="17"/>
          <w:szCs w:val="17"/>
        </w:rPr>
        <w:t xml:space="preserve">RTS </w:t>
      </w:r>
      <w:r w:rsidRPr="00314C48">
        <w:rPr>
          <w:sz w:val="17"/>
          <w:szCs w:val="17"/>
        </w:rPr>
        <w:t>as these guidelines should not pre-empt ongoing EU legislative procedures, substitute EU legislation, or be issued in areas where the European Commission has the power to issue technical standards (cf recital 25 EIOPA Regulation)</w:t>
      </w:r>
      <w:r w:rsidRPr="00032E70">
        <w:rPr>
          <w:sz w:val="17"/>
          <w:szCs w:val="17"/>
        </w:rPr>
        <w:t xml:space="preserve">. </w:t>
      </w:r>
      <w:r w:rsidRPr="00314C48">
        <w:rPr>
          <w:sz w:val="17"/>
          <w:szCs w:val="17"/>
        </w:rPr>
        <w:t>W</w:t>
      </w:r>
      <w:r w:rsidRPr="00547B90">
        <w:rPr>
          <w:sz w:val="17"/>
          <w:szCs w:val="17"/>
        </w:rPr>
        <w:t xml:space="preserve">hile it may make sense to develop joint </w:t>
      </w:r>
      <w:r w:rsidRPr="00314C48">
        <w:rPr>
          <w:sz w:val="17"/>
          <w:szCs w:val="17"/>
        </w:rPr>
        <w:t>g</w:t>
      </w:r>
      <w:r w:rsidRPr="00547B90">
        <w:rPr>
          <w:sz w:val="17"/>
          <w:szCs w:val="17"/>
        </w:rPr>
        <w:t xml:space="preserve">uidelines </w:t>
      </w:r>
      <w:r w:rsidRPr="00314C48">
        <w:rPr>
          <w:sz w:val="17"/>
          <w:szCs w:val="17"/>
        </w:rPr>
        <w:t xml:space="preserve">to further harmonisation between the different financial sectors, the </w:t>
      </w:r>
      <w:r w:rsidRPr="00547B90">
        <w:rPr>
          <w:sz w:val="17"/>
          <w:szCs w:val="17"/>
        </w:rPr>
        <w:t xml:space="preserve">ESAs </w:t>
      </w:r>
      <w:r w:rsidRPr="00314C48">
        <w:rPr>
          <w:sz w:val="17"/>
          <w:szCs w:val="17"/>
        </w:rPr>
        <w:t>sh</w:t>
      </w:r>
      <w:r w:rsidRPr="00547B90">
        <w:rPr>
          <w:sz w:val="17"/>
          <w:szCs w:val="17"/>
        </w:rPr>
        <w:t xml:space="preserve">ould </w:t>
      </w:r>
      <w:r w:rsidRPr="00314C48">
        <w:rPr>
          <w:sz w:val="17"/>
          <w:szCs w:val="17"/>
        </w:rPr>
        <w:t xml:space="preserve">not </w:t>
      </w:r>
      <w:r w:rsidRPr="00547B90">
        <w:rPr>
          <w:sz w:val="17"/>
          <w:szCs w:val="17"/>
        </w:rPr>
        <w:t xml:space="preserve">anticipate </w:t>
      </w:r>
      <w:r w:rsidRPr="00314C48">
        <w:rPr>
          <w:sz w:val="17"/>
          <w:szCs w:val="17"/>
        </w:rPr>
        <w:t xml:space="preserve">such RTS with descriptive guidelines.  </w:t>
      </w:r>
    </w:p>
    <w:p w14:paraId="3CBA15CD" w14:textId="77777777" w:rsidR="00BC346C" w:rsidRPr="009F71C6" w:rsidRDefault="00BC346C" w:rsidP="00BC346C">
      <w:pPr>
        <w:rPr>
          <w:sz w:val="17"/>
          <w:szCs w:val="17"/>
        </w:rPr>
      </w:pPr>
    </w:p>
    <w:p w14:paraId="49E32AD8" w14:textId="4CB6379D" w:rsidR="00BC346C" w:rsidRPr="009F71C6" w:rsidRDefault="00BC346C" w:rsidP="00BC346C">
      <w:pPr>
        <w:rPr>
          <w:sz w:val="17"/>
          <w:szCs w:val="17"/>
        </w:rPr>
      </w:pPr>
      <w:r w:rsidRPr="009F71C6">
        <w:rPr>
          <w:sz w:val="17"/>
          <w:szCs w:val="17"/>
        </w:rPr>
        <w:t xml:space="preserve">To reduce the burden on </w:t>
      </w:r>
      <w:r>
        <w:rPr>
          <w:sz w:val="17"/>
          <w:szCs w:val="17"/>
        </w:rPr>
        <w:t>undertakings</w:t>
      </w:r>
      <w:r w:rsidRPr="009F71C6">
        <w:rPr>
          <w:sz w:val="17"/>
          <w:szCs w:val="17"/>
        </w:rPr>
        <w:t xml:space="preserve"> subject to notification requirements</w:t>
      </w:r>
      <w:r>
        <w:rPr>
          <w:sz w:val="17"/>
          <w:szCs w:val="17"/>
        </w:rPr>
        <w:t>,</w:t>
      </w:r>
      <w:r w:rsidRPr="009F71C6">
        <w:rPr>
          <w:sz w:val="17"/>
          <w:szCs w:val="17"/>
        </w:rPr>
        <w:t xml:space="preserve"> it should be clarified that </w:t>
      </w:r>
      <w:r w:rsidRPr="00547B90">
        <w:rPr>
          <w:sz w:val="17"/>
          <w:szCs w:val="17"/>
        </w:rPr>
        <w:t>information contained in other documents like annual reports, regular supervisory reports (RSR), quantitative reporting templates (QRT) or solvency and financial condition reports (SFCR)</w:t>
      </w:r>
      <w:r>
        <w:rPr>
          <w:sz w:val="17"/>
          <w:szCs w:val="17"/>
        </w:rPr>
        <w:t>,</w:t>
      </w:r>
      <w:r w:rsidRPr="00547B90">
        <w:rPr>
          <w:sz w:val="17"/>
          <w:szCs w:val="17"/>
        </w:rPr>
        <w:t xml:space="preserve"> do not have to be submitted again to the supervisory authorities. It should also be clarified that all relevant documents can be submitted in English language.</w:t>
      </w:r>
    </w:p>
    <w:p w14:paraId="2AEF845A" w14:textId="77777777" w:rsidR="00BC346C" w:rsidRDefault="00BC346C" w:rsidP="00BC346C">
      <w:pPr>
        <w:rPr>
          <w:b/>
          <w:sz w:val="17"/>
          <w:szCs w:val="17"/>
        </w:rPr>
      </w:pPr>
    </w:p>
    <w:p w14:paraId="41B5290B" w14:textId="77777777" w:rsidR="00BC346C" w:rsidRPr="00D53FD7" w:rsidRDefault="00BC346C" w:rsidP="00BC346C">
      <w:pPr>
        <w:rPr>
          <w:b/>
          <w:sz w:val="17"/>
          <w:szCs w:val="17"/>
          <w:u w:val="single"/>
        </w:rPr>
      </w:pPr>
      <w:r w:rsidRPr="00D53FD7">
        <w:rPr>
          <w:b/>
          <w:sz w:val="17"/>
          <w:szCs w:val="17"/>
          <w:u w:val="single"/>
        </w:rPr>
        <w:t>Question 2: Do you consider the level of detail used in the draft Guidelines to be appropriate?</w:t>
      </w:r>
    </w:p>
    <w:p w14:paraId="5DF45540" w14:textId="77777777" w:rsidR="00BC346C" w:rsidRPr="009F71C6" w:rsidRDefault="00BC346C" w:rsidP="00BC346C">
      <w:pPr>
        <w:rPr>
          <w:b/>
          <w:sz w:val="17"/>
          <w:szCs w:val="17"/>
        </w:rPr>
      </w:pPr>
    </w:p>
    <w:p w14:paraId="01775251" w14:textId="05805A28" w:rsidR="00BC346C" w:rsidRPr="009F71C6" w:rsidRDefault="00BC346C" w:rsidP="00BC346C">
      <w:pPr>
        <w:rPr>
          <w:sz w:val="17"/>
          <w:szCs w:val="17"/>
        </w:rPr>
      </w:pPr>
      <w:r w:rsidRPr="009F71C6">
        <w:rPr>
          <w:sz w:val="17"/>
          <w:szCs w:val="17"/>
        </w:rPr>
        <w:t xml:space="preserve">The level of detail in the Guidelines </w:t>
      </w:r>
      <w:r>
        <w:rPr>
          <w:sz w:val="17"/>
          <w:szCs w:val="17"/>
        </w:rPr>
        <w:t>c</w:t>
      </w:r>
      <w:r w:rsidRPr="009F71C6">
        <w:rPr>
          <w:sz w:val="17"/>
          <w:szCs w:val="17"/>
        </w:rPr>
        <w:t xml:space="preserve">ould be </w:t>
      </w:r>
      <w:r w:rsidRPr="00547B90">
        <w:rPr>
          <w:sz w:val="17"/>
          <w:szCs w:val="17"/>
        </w:rPr>
        <w:t>materially reduced</w:t>
      </w:r>
      <w:r w:rsidRPr="009F71C6">
        <w:rPr>
          <w:sz w:val="17"/>
          <w:szCs w:val="17"/>
        </w:rPr>
        <w:t xml:space="preserve">, </w:t>
      </w:r>
      <w:r>
        <w:rPr>
          <w:sz w:val="17"/>
          <w:szCs w:val="17"/>
        </w:rPr>
        <w:t xml:space="preserve">by </w:t>
      </w:r>
      <w:r w:rsidRPr="009F71C6">
        <w:rPr>
          <w:sz w:val="17"/>
          <w:szCs w:val="17"/>
        </w:rPr>
        <w:t xml:space="preserve">avoiding redundancy and conflicting </w:t>
      </w:r>
      <w:r>
        <w:rPr>
          <w:sz w:val="17"/>
          <w:szCs w:val="17"/>
        </w:rPr>
        <w:t>requirements</w:t>
      </w:r>
      <w:r w:rsidRPr="009F71C6">
        <w:rPr>
          <w:sz w:val="17"/>
          <w:szCs w:val="17"/>
        </w:rPr>
        <w:t>. Furthermore, the Guidelines should take into account Art</w:t>
      </w:r>
      <w:r>
        <w:rPr>
          <w:sz w:val="17"/>
          <w:szCs w:val="17"/>
        </w:rPr>
        <w:t>icle</w:t>
      </w:r>
      <w:r w:rsidRPr="009F71C6">
        <w:rPr>
          <w:sz w:val="17"/>
          <w:szCs w:val="17"/>
        </w:rPr>
        <w:t xml:space="preserve"> 59 (4) S</w:t>
      </w:r>
      <w:r>
        <w:rPr>
          <w:sz w:val="17"/>
          <w:szCs w:val="17"/>
        </w:rPr>
        <w:t xml:space="preserve">olvency </w:t>
      </w:r>
      <w:r w:rsidRPr="009F71C6">
        <w:rPr>
          <w:sz w:val="17"/>
          <w:szCs w:val="17"/>
        </w:rPr>
        <w:t>II</w:t>
      </w:r>
      <w:r>
        <w:rPr>
          <w:sz w:val="17"/>
          <w:szCs w:val="17"/>
        </w:rPr>
        <w:t xml:space="preserve"> </w:t>
      </w:r>
      <w:r w:rsidRPr="009F71C6">
        <w:rPr>
          <w:sz w:val="17"/>
          <w:szCs w:val="17"/>
        </w:rPr>
        <w:t xml:space="preserve">Directive which states that member states, when making publicly available a list of necessary information, shall not require information that is not relevant </w:t>
      </w:r>
      <w:r w:rsidRPr="009F71C6">
        <w:rPr>
          <w:sz w:val="17"/>
          <w:szCs w:val="17"/>
        </w:rPr>
        <w:lastRenderedPageBreak/>
        <w:t>for a prudential assessment. The list of information to be provided should therefore also be materially reduced.</w:t>
      </w:r>
      <w:r>
        <w:rPr>
          <w:sz w:val="17"/>
          <w:szCs w:val="17"/>
        </w:rPr>
        <w:t xml:space="preserve"> </w:t>
      </w:r>
    </w:p>
    <w:p w14:paraId="599DADA3" w14:textId="77777777" w:rsidR="00BC346C" w:rsidRDefault="00BC346C" w:rsidP="00BC346C">
      <w:pPr>
        <w:rPr>
          <w:sz w:val="17"/>
          <w:szCs w:val="17"/>
        </w:rPr>
      </w:pPr>
    </w:p>
    <w:p w14:paraId="111B399C" w14:textId="77777777" w:rsidR="00BC346C" w:rsidRPr="00956545" w:rsidRDefault="00BC346C" w:rsidP="00BC346C">
      <w:pPr>
        <w:rPr>
          <w:sz w:val="17"/>
          <w:szCs w:val="17"/>
        </w:rPr>
      </w:pPr>
      <w:r>
        <w:rPr>
          <w:sz w:val="17"/>
          <w:szCs w:val="17"/>
        </w:rPr>
        <w:t>For example, w</w:t>
      </w:r>
      <w:r w:rsidRPr="00956545">
        <w:rPr>
          <w:sz w:val="17"/>
          <w:szCs w:val="17"/>
        </w:rPr>
        <w:t>ith respect to the determination of direct or indirect holding of voting rights in an insurance or reinsurance undertaking</w:t>
      </w:r>
      <w:r w:rsidRPr="00315108">
        <w:rPr>
          <w:sz w:val="17"/>
          <w:szCs w:val="17"/>
        </w:rPr>
        <w:t>, Article 63 Solvency II Directive 2009/138/EC (Solvency II Directive)</w:t>
      </w:r>
      <w:r w:rsidRPr="00956545">
        <w:rPr>
          <w:sz w:val="17"/>
          <w:szCs w:val="17"/>
        </w:rPr>
        <w:t xml:space="preserve"> refers to Article 9 and 10 </w:t>
      </w:r>
      <w:r>
        <w:rPr>
          <w:sz w:val="17"/>
          <w:szCs w:val="17"/>
        </w:rPr>
        <w:t xml:space="preserve">of the </w:t>
      </w:r>
      <w:r w:rsidRPr="00956545">
        <w:rPr>
          <w:sz w:val="17"/>
          <w:szCs w:val="17"/>
        </w:rPr>
        <w:t xml:space="preserve">Transparency Directive (2004/109/EC). Through this reference the aggregation of voting rights is determined with respect to: </w:t>
      </w:r>
    </w:p>
    <w:p w14:paraId="5C7DCA1F" w14:textId="77777777" w:rsidR="00BC346C" w:rsidRPr="001532C9" w:rsidRDefault="00BC346C" w:rsidP="00297E58">
      <w:pPr>
        <w:pStyle w:val="CEABullet-Level1"/>
        <w:rPr>
          <w:lang w:val="en-GB"/>
        </w:rPr>
      </w:pPr>
      <w:r w:rsidRPr="00956545">
        <w:rPr>
          <w:lang w:val="en-GB"/>
        </w:rPr>
        <w:t xml:space="preserve">Voting </w:t>
      </w:r>
      <w:r w:rsidRPr="001532C9">
        <w:rPr>
          <w:lang w:val="en-GB"/>
        </w:rPr>
        <w:t>rights held by third parties with whom a person is acting in concert (Article 63 Solvency II Directive in connection with Article 10 (a) of the Transparency Directive)</w:t>
      </w:r>
    </w:p>
    <w:p w14:paraId="60BFE6CB" w14:textId="77777777" w:rsidR="00BC346C" w:rsidRPr="00956545" w:rsidRDefault="00BC346C" w:rsidP="00297E58">
      <w:pPr>
        <w:pStyle w:val="CEABullet-Level1"/>
        <w:rPr>
          <w:lang w:val="en-GB"/>
        </w:rPr>
      </w:pPr>
      <w:r w:rsidRPr="001532C9">
        <w:rPr>
          <w:lang w:val="en-GB"/>
        </w:rPr>
        <w:t>Voting rights held</w:t>
      </w:r>
      <w:r w:rsidRPr="00956545">
        <w:rPr>
          <w:lang w:val="en-GB"/>
        </w:rPr>
        <w:t xml:space="preserve"> or aggregated by controlled undertakings (</w:t>
      </w:r>
      <w:r w:rsidRPr="00315108">
        <w:rPr>
          <w:lang w:val="en-GB"/>
        </w:rPr>
        <w:t>indirect holdings)</w:t>
      </w:r>
      <w:r w:rsidRPr="00956545">
        <w:rPr>
          <w:lang w:val="en-GB"/>
        </w:rPr>
        <w:t xml:space="preserve"> (Article 10 (e) </w:t>
      </w:r>
      <w:r>
        <w:rPr>
          <w:lang w:val="en-GB"/>
        </w:rPr>
        <w:t xml:space="preserve">of the </w:t>
      </w:r>
      <w:r w:rsidRPr="00956545">
        <w:rPr>
          <w:lang w:val="en-GB"/>
        </w:rPr>
        <w:t>Transparency Directive).</w:t>
      </w:r>
    </w:p>
    <w:p w14:paraId="3D05EA4A" w14:textId="77777777" w:rsidR="00BC346C" w:rsidRPr="009F71C6" w:rsidRDefault="00BC346C" w:rsidP="00BC346C">
      <w:pPr>
        <w:pStyle w:val="ListParagraph"/>
        <w:spacing w:after="0" w:line="288" w:lineRule="auto"/>
        <w:ind w:left="1423"/>
        <w:jc w:val="both"/>
        <w:rPr>
          <w:rFonts w:ascii="Verdana" w:hAnsi="Verdana"/>
          <w:sz w:val="17"/>
          <w:szCs w:val="17"/>
          <w:lang w:val="en-GB"/>
        </w:rPr>
      </w:pPr>
    </w:p>
    <w:p w14:paraId="26F9EBFB" w14:textId="77777777" w:rsidR="00BC346C" w:rsidRPr="0078428D" w:rsidRDefault="00BC346C" w:rsidP="00BC346C">
      <w:pPr>
        <w:pStyle w:val="CEABullet-Level1"/>
        <w:numPr>
          <w:ilvl w:val="0"/>
          <w:numId w:val="0"/>
        </w:numPr>
        <w:rPr>
          <w:rFonts w:eastAsiaTheme="minorHAnsi" w:cs="Arial"/>
          <w:szCs w:val="17"/>
          <w:lang w:val="en-GB"/>
        </w:rPr>
      </w:pPr>
      <w:r>
        <w:rPr>
          <w:rFonts w:cs="Times New Roman"/>
          <w:color w:val="auto"/>
          <w:szCs w:val="17"/>
          <w:lang w:val="en-GB"/>
        </w:rPr>
        <w:t>Hence, t</w:t>
      </w:r>
      <w:r w:rsidRPr="00AB1D5C">
        <w:rPr>
          <w:rFonts w:cs="Times New Roman"/>
          <w:color w:val="auto"/>
          <w:szCs w:val="17"/>
          <w:lang w:val="en-GB"/>
        </w:rPr>
        <w:t xml:space="preserve">he definition of acting in concert should be consistent with other relevant Directives and regulations. </w:t>
      </w:r>
      <w:r w:rsidRPr="00AB1D5C">
        <w:rPr>
          <w:szCs w:val="17"/>
          <w:lang w:val="en-GB"/>
        </w:rPr>
        <w:t>Section 4.1 of the Guidelines foresees a definition of “acting in concert” that requires to aggregate the voting rights of “</w:t>
      </w:r>
      <w:r w:rsidRPr="00AB1D5C">
        <w:rPr>
          <w:i/>
          <w:szCs w:val="17"/>
          <w:lang w:val="en-GB"/>
        </w:rPr>
        <w:t>persons who decide to acquire or increase a qualifying holding in accordance with an explicit or implicit agreement between them</w:t>
      </w:r>
      <w:r w:rsidRPr="00AB1D5C">
        <w:rPr>
          <w:szCs w:val="17"/>
          <w:lang w:val="en-GB"/>
        </w:rPr>
        <w:t xml:space="preserve">”. </w:t>
      </w:r>
      <w:r w:rsidRPr="0078428D">
        <w:rPr>
          <w:szCs w:val="17"/>
          <w:lang w:val="en-GB"/>
        </w:rPr>
        <w:t xml:space="preserve">This definition deviates materially from the relevant definition in Article 10 (a) </w:t>
      </w:r>
      <w:r>
        <w:rPr>
          <w:szCs w:val="17"/>
          <w:lang w:val="en-GB"/>
        </w:rPr>
        <w:t xml:space="preserve">of the </w:t>
      </w:r>
      <w:r w:rsidRPr="0078428D">
        <w:rPr>
          <w:szCs w:val="17"/>
          <w:lang w:val="en-GB"/>
        </w:rPr>
        <w:t>Transparency Directive to which Article 63 Solvency II Directive refers</w:t>
      </w:r>
      <w:r>
        <w:rPr>
          <w:szCs w:val="17"/>
          <w:lang w:val="en-GB"/>
        </w:rPr>
        <w:t>,</w:t>
      </w:r>
      <w:r w:rsidRPr="0078428D">
        <w:rPr>
          <w:szCs w:val="17"/>
          <w:lang w:val="en-GB"/>
        </w:rPr>
        <w:t xml:space="preserve"> and which requires to aggregate “</w:t>
      </w:r>
      <w:r w:rsidRPr="0078428D">
        <w:rPr>
          <w:rFonts w:eastAsiaTheme="minorHAnsi" w:cs="Arial"/>
          <w:i/>
          <w:szCs w:val="17"/>
          <w:lang w:val="en-GB"/>
        </w:rPr>
        <w:t>voting rights held by a third party with whom that person or entity has concluded an agreement, which obliges them to adopt, by concerted exercise of the voting rights they hold, a lasting common policy towards the management of the issuer in question“.</w:t>
      </w:r>
    </w:p>
    <w:p w14:paraId="5CDEC084" w14:textId="77777777" w:rsidR="00BC346C" w:rsidRPr="00AB1D5C" w:rsidRDefault="00BC346C" w:rsidP="00BC346C">
      <w:pPr>
        <w:autoSpaceDE w:val="0"/>
        <w:autoSpaceDN w:val="0"/>
        <w:adjustRightInd w:val="0"/>
        <w:ind w:left="708"/>
        <w:rPr>
          <w:rFonts w:eastAsiaTheme="minorHAnsi" w:cs="Arial"/>
          <w:i/>
          <w:sz w:val="17"/>
          <w:szCs w:val="17"/>
        </w:rPr>
      </w:pPr>
    </w:p>
    <w:p w14:paraId="688C7AF7" w14:textId="77777777" w:rsidR="00BC346C" w:rsidRPr="00AB1D5C" w:rsidRDefault="00BC346C" w:rsidP="00BC346C">
      <w:pPr>
        <w:autoSpaceDE w:val="0"/>
        <w:autoSpaceDN w:val="0"/>
        <w:adjustRightInd w:val="0"/>
        <w:rPr>
          <w:rFonts w:eastAsiaTheme="minorHAnsi" w:cs="Arial"/>
          <w:sz w:val="17"/>
          <w:szCs w:val="17"/>
        </w:rPr>
      </w:pPr>
      <w:r w:rsidRPr="00AB1D5C">
        <w:rPr>
          <w:rFonts w:eastAsiaTheme="minorHAnsi" w:cs="Arial"/>
          <w:sz w:val="17"/>
          <w:szCs w:val="17"/>
        </w:rPr>
        <w:t>The deviation concerns two elements: Firstly, Article 10 (a) of the Transparency Directive requires concerted exercise of voting rights, whereas Section 4.1 looks at a concerted acquisition (which may or may not involve subsequent concerted influence on the undertaking). Secondly, Article. 10 (a) of the Transparency Directive requires a lasting common policy towards the management of the target company where</w:t>
      </w:r>
      <w:r>
        <w:rPr>
          <w:rFonts w:eastAsiaTheme="minorHAnsi" w:cs="Arial"/>
          <w:sz w:val="17"/>
          <w:szCs w:val="17"/>
        </w:rPr>
        <w:t>as</w:t>
      </w:r>
      <w:r w:rsidRPr="00AB1D5C">
        <w:rPr>
          <w:rFonts w:eastAsiaTheme="minorHAnsi" w:cs="Arial"/>
          <w:sz w:val="17"/>
          <w:szCs w:val="17"/>
        </w:rPr>
        <w:t xml:space="preserve"> there is no such requirement in the Guidelines. It should also be noted that the definition contained in Section 4.1 of the </w:t>
      </w:r>
      <w:r>
        <w:rPr>
          <w:rFonts w:eastAsiaTheme="minorHAnsi" w:cs="Arial"/>
          <w:sz w:val="17"/>
          <w:szCs w:val="17"/>
        </w:rPr>
        <w:t>g</w:t>
      </w:r>
      <w:r w:rsidRPr="00AB1D5C">
        <w:rPr>
          <w:rFonts w:eastAsiaTheme="minorHAnsi" w:cs="Arial"/>
          <w:sz w:val="17"/>
          <w:szCs w:val="17"/>
        </w:rPr>
        <w:t>uidelines</w:t>
      </w:r>
      <w:r>
        <w:rPr>
          <w:rFonts w:eastAsiaTheme="minorHAnsi" w:cs="Arial"/>
          <w:sz w:val="17"/>
          <w:szCs w:val="17"/>
        </w:rPr>
        <w:t>,</w:t>
      </w:r>
      <w:r w:rsidRPr="00AB1D5C">
        <w:rPr>
          <w:rFonts w:eastAsiaTheme="minorHAnsi" w:cs="Arial"/>
          <w:sz w:val="17"/>
          <w:szCs w:val="17"/>
        </w:rPr>
        <w:t xml:space="preserve"> would not capture transactions by which two parties agree to exercise the voting rights already held by each of them in a concerted way, i.e. without the occurrence of any acquisition.</w:t>
      </w:r>
    </w:p>
    <w:p w14:paraId="70564EF6" w14:textId="77777777" w:rsidR="00BC346C" w:rsidRDefault="00BC346C" w:rsidP="00BC346C">
      <w:pPr>
        <w:rPr>
          <w:sz w:val="17"/>
          <w:szCs w:val="17"/>
        </w:rPr>
      </w:pPr>
    </w:p>
    <w:p w14:paraId="3A202F86" w14:textId="1ACB2776" w:rsidR="00BC346C" w:rsidRPr="00AB1D5C" w:rsidRDefault="00BC346C" w:rsidP="00BC346C">
      <w:pPr>
        <w:autoSpaceDE w:val="0"/>
        <w:autoSpaceDN w:val="0"/>
        <w:adjustRightInd w:val="0"/>
        <w:rPr>
          <w:rFonts w:eastAsiaTheme="minorHAnsi" w:cs="Arial"/>
          <w:sz w:val="17"/>
          <w:szCs w:val="17"/>
        </w:rPr>
      </w:pPr>
      <w:r w:rsidRPr="00AB1D5C">
        <w:rPr>
          <w:rFonts w:eastAsiaTheme="minorHAnsi" w:cs="Arial"/>
          <w:sz w:val="17"/>
          <w:szCs w:val="17"/>
        </w:rPr>
        <w:t xml:space="preserve">For all these reasons, the </w:t>
      </w:r>
      <w:r>
        <w:rPr>
          <w:rFonts w:eastAsiaTheme="minorHAnsi" w:cs="Arial"/>
          <w:sz w:val="17"/>
          <w:szCs w:val="17"/>
        </w:rPr>
        <w:t>g</w:t>
      </w:r>
      <w:r w:rsidRPr="00AB1D5C">
        <w:rPr>
          <w:rFonts w:eastAsiaTheme="minorHAnsi" w:cs="Arial"/>
          <w:sz w:val="17"/>
          <w:szCs w:val="17"/>
        </w:rPr>
        <w:t>uidelines should not contain an autonomous definition of “acting in concert”, but should refer to the Transparency Directive as stipulated in Article 63 of the Solvency II Directive.</w:t>
      </w:r>
    </w:p>
    <w:p w14:paraId="7FCC00C4" w14:textId="77777777" w:rsidR="00BC346C" w:rsidRPr="009F71C6" w:rsidRDefault="00BC346C" w:rsidP="00BC346C">
      <w:pPr>
        <w:keepNext/>
        <w:rPr>
          <w:sz w:val="17"/>
          <w:szCs w:val="17"/>
        </w:rPr>
      </w:pPr>
    </w:p>
    <w:p w14:paraId="50465E48" w14:textId="57CDBC95" w:rsidR="00BC346C" w:rsidRPr="00315108" w:rsidRDefault="00BC346C" w:rsidP="00BC346C">
      <w:pPr>
        <w:rPr>
          <w:b/>
          <w:sz w:val="17"/>
          <w:szCs w:val="17"/>
          <w:u w:val="single"/>
        </w:rPr>
      </w:pPr>
      <w:r w:rsidRPr="00315108">
        <w:rPr>
          <w:b/>
          <w:sz w:val="17"/>
          <w:szCs w:val="17"/>
          <w:u w:val="single"/>
        </w:rPr>
        <w:t xml:space="preserve">Question 3: Which approach identified above do you consider to </w:t>
      </w:r>
      <w:r w:rsidR="00720586">
        <w:rPr>
          <w:b/>
          <w:sz w:val="17"/>
          <w:szCs w:val="17"/>
          <w:u w:val="single"/>
        </w:rPr>
        <w:t>be the most appropriate, Option</w:t>
      </w:r>
      <w:r w:rsidRPr="00315108">
        <w:rPr>
          <w:b/>
          <w:sz w:val="17"/>
          <w:szCs w:val="17"/>
          <w:u w:val="single"/>
        </w:rPr>
        <w:t xml:space="preserve"> A or Option B? Please explain your answer.</w:t>
      </w:r>
    </w:p>
    <w:p w14:paraId="369BCC65" w14:textId="77777777" w:rsidR="00BC346C" w:rsidRPr="009F71C6" w:rsidRDefault="00BC346C" w:rsidP="00BC346C">
      <w:pPr>
        <w:rPr>
          <w:sz w:val="17"/>
          <w:szCs w:val="17"/>
        </w:rPr>
      </w:pPr>
    </w:p>
    <w:p w14:paraId="11FD092C" w14:textId="77777777" w:rsidR="00BC346C" w:rsidRPr="009F71C6" w:rsidRDefault="00BC346C" w:rsidP="00BC346C">
      <w:pPr>
        <w:rPr>
          <w:sz w:val="17"/>
          <w:szCs w:val="17"/>
        </w:rPr>
      </w:pPr>
      <w:r w:rsidRPr="009F71C6">
        <w:rPr>
          <w:sz w:val="17"/>
          <w:szCs w:val="17"/>
        </w:rPr>
        <w:t xml:space="preserve">The approach in Option A (control concept) is the most appropriate for the following reasons: </w:t>
      </w:r>
    </w:p>
    <w:p w14:paraId="3355A597" w14:textId="1FCED63A" w:rsidR="00BC346C" w:rsidRDefault="00BC346C" w:rsidP="00BC346C">
      <w:pPr>
        <w:pStyle w:val="CEABullet-Level1"/>
        <w:rPr>
          <w:lang w:val="en-GB"/>
        </w:rPr>
      </w:pPr>
      <w:r w:rsidRPr="00883F7A">
        <w:rPr>
          <w:lang w:val="en-GB"/>
        </w:rPr>
        <w:t>Option B</w:t>
      </w:r>
      <w:r>
        <w:rPr>
          <w:lang w:val="en-GB"/>
        </w:rPr>
        <w:t xml:space="preserve"> </w:t>
      </w:r>
      <w:r w:rsidRPr="00883F7A">
        <w:rPr>
          <w:lang w:val="en-GB"/>
        </w:rPr>
        <w:t>deviat</w:t>
      </w:r>
      <w:r>
        <w:rPr>
          <w:lang w:val="en-GB"/>
        </w:rPr>
        <w:t>es from</w:t>
      </w:r>
      <w:r w:rsidRPr="00883F7A">
        <w:rPr>
          <w:lang w:val="en-GB"/>
        </w:rPr>
        <w:t xml:space="preserve"> </w:t>
      </w:r>
      <w:r>
        <w:rPr>
          <w:lang w:val="en-GB"/>
        </w:rPr>
        <w:t>Article</w:t>
      </w:r>
      <w:r w:rsidRPr="00883F7A">
        <w:rPr>
          <w:lang w:val="en-GB"/>
        </w:rPr>
        <w:t xml:space="preserve"> 10 (e) </w:t>
      </w:r>
      <w:r>
        <w:rPr>
          <w:lang w:val="en-GB"/>
        </w:rPr>
        <w:t>of the Transparency Directive which is referred to in</w:t>
      </w:r>
      <w:r w:rsidRPr="00883F7A">
        <w:rPr>
          <w:lang w:val="en-GB"/>
        </w:rPr>
        <w:t xml:space="preserve"> </w:t>
      </w:r>
      <w:r>
        <w:rPr>
          <w:lang w:val="en-GB"/>
        </w:rPr>
        <w:t>a</w:t>
      </w:r>
      <w:r w:rsidRPr="00547B90">
        <w:rPr>
          <w:lang w:val="en-GB"/>
        </w:rPr>
        <w:t>rticle 63 of the Solvency II Directive</w:t>
      </w:r>
      <w:r>
        <w:rPr>
          <w:lang w:val="en-GB"/>
        </w:rPr>
        <w:t xml:space="preserve"> </w:t>
      </w:r>
      <w:r w:rsidRPr="00547B90">
        <w:rPr>
          <w:lang w:val="en-GB"/>
        </w:rPr>
        <w:t xml:space="preserve">with respect to the determination of the voting rights held. </w:t>
      </w:r>
      <w:r>
        <w:rPr>
          <w:lang w:val="en-GB"/>
        </w:rPr>
        <w:t>This article</w:t>
      </w:r>
      <w:r w:rsidRPr="00883F7A">
        <w:rPr>
          <w:lang w:val="en-GB"/>
        </w:rPr>
        <w:t xml:space="preserve"> corresponds to Option A.</w:t>
      </w:r>
      <w:r>
        <w:rPr>
          <w:lang w:val="en-GB"/>
        </w:rPr>
        <w:t xml:space="preserve"> as it</w:t>
      </w:r>
      <w:r w:rsidRPr="00547B90">
        <w:rPr>
          <w:lang w:val="en-GB"/>
        </w:rPr>
        <w:t xml:space="preserve"> requires to take account of “</w:t>
      </w:r>
      <w:r w:rsidRPr="00547B90">
        <w:rPr>
          <w:i/>
          <w:lang w:val="en-GB"/>
        </w:rPr>
        <w:t>voting rights which are held, or may be exercised within the meaning of points (a) to (d), by an undertaking controlled by that person or entity</w:t>
      </w:r>
      <w:r w:rsidRPr="00883F7A">
        <w:rPr>
          <w:i/>
          <w:lang w:val="en-GB"/>
        </w:rPr>
        <w:t>.</w:t>
      </w:r>
      <w:r w:rsidRPr="00883F7A">
        <w:rPr>
          <w:lang w:val="en-GB"/>
        </w:rPr>
        <w:t xml:space="preserve">” </w:t>
      </w:r>
    </w:p>
    <w:p w14:paraId="77BE6C11" w14:textId="77777777" w:rsidR="00BC346C" w:rsidRPr="008F4277" w:rsidRDefault="00BC346C" w:rsidP="00BC346C">
      <w:pPr>
        <w:pStyle w:val="CEABullet-Level1"/>
        <w:rPr>
          <w:lang w:val="en-GB"/>
        </w:rPr>
      </w:pPr>
      <w:r w:rsidRPr="008F4277">
        <w:rPr>
          <w:lang w:val="en-GB"/>
        </w:rPr>
        <w:t xml:space="preserve">For practical reasons, the control concept stipulated in </w:t>
      </w:r>
      <w:r>
        <w:rPr>
          <w:lang w:val="en-GB"/>
        </w:rPr>
        <w:t>a</w:t>
      </w:r>
      <w:r w:rsidRPr="008F4277">
        <w:rPr>
          <w:lang w:val="en-GB"/>
        </w:rPr>
        <w:t xml:space="preserve">rticle 10 (e) </w:t>
      </w:r>
      <w:r>
        <w:rPr>
          <w:lang w:val="en-GB"/>
        </w:rPr>
        <w:t xml:space="preserve">of the </w:t>
      </w:r>
      <w:r w:rsidRPr="008F4277">
        <w:rPr>
          <w:lang w:val="en-GB"/>
        </w:rPr>
        <w:t xml:space="preserve">Transparency Directive should apply. Large investors can monitor threshold crossings of their holdings only on the basis of elaborated monitoring systems. Applying different concepts of indirect holding of voting rights increases monitoring cost and the risk that such system-based monitoring fails. </w:t>
      </w:r>
    </w:p>
    <w:p w14:paraId="5F44BCB0" w14:textId="76A1A0D6" w:rsidR="00BC346C" w:rsidRPr="00547B90" w:rsidRDefault="00BC346C" w:rsidP="00BC346C">
      <w:pPr>
        <w:pStyle w:val="CEABullet-Level1"/>
        <w:rPr>
          <w:lang w:val="en-GB"/>
        </w:rPr>
      </w:pPr>
      <w:r w:rsidRPr="00547B90">
        <w:rPr>
          <w:lang w:val="en-GB"/>
        </w:rPr>
        <w:t>The Guidelines should not contain any definition of “indirect acquisition of qualifying holding” as such definition is not necessary and carr</w:t>
      </w:r>
      <w:r>
        <w:rPr>
          <w:lang w:val="en-GB"/>
        </w:rPr>
        <w:t>ies</w:t>
      </w:r>
      <w:r w:rsidRPr="00547B90">
        <w:rPr>
          <w:lang w:val="en-GB"/>
        </w:rPr>
        <w:t xml:space="preserve"> the risk of</w:t>
      </w:r>
      <w:r>
        <w:rPr>
          <w:lang w:val="en-GB"/>
        </w:rPr>
        <w:t xml:space="preserve"> </w:t>
      </w:r>
      <w:r w:rsidRPr="00547B90">
        <w:rPr>
          <w:lang w:val="en-GB"/>
        </w:rPr>
        <w:t xml:space="preserve">being in contradiction with the applicable Transparency Directive provisions. </w:t>
      </w:r>
    </w:p>
    <w:p w14:paraId="6B079728" w14:textId="77777777" w:rsidR="00BC346C" w:rsidRPr="00547B90" w:rsidRDefault="00BC346C" w:rsidP="00BC346C">
      <w:pPr>
        <w:pStyle w:val="CEABullet-Level1"/>
        <w:rPr>
          <w:lang w:val="en-GB"/>
        </w:rPr>
      </w:pPr>
      <w:r w:rsidRPr="00547B90">
        <w:rPr>
          <w:lang w:val="en-GB"/>
        </w:rPr>
        <w:t xml:space="preserve">As few as possible participations in a shareholding chain should be qualified as “indirect acquisitions”, especially only those participations which are controlled (regularly more than 50% of shares required). </w:t>
      </w:r>
    </w:p>
    <w:p w14:paraId="1D3ED6F7" w14:textId="049E1156" w:rsidR="00BC346C" w:rsidRPr="008F4277" w:rsidRDefault="00BC346C" w:rsidP="00BC346C">
      <w:pPr>
        <w:pStyle w:val="CEABullet-Level1"/>
        <w:rPr>
          <w:lang w:val="en-GB"/>
        </w:rPr>
      </w:pPr>
      <w:r w:rsidRPr="00D45EA2">
        <w:rPr>
          <w:lang w:val="en-GB"/>
        </w:rPr>
        <w:t>The</w:t>
      </w:r>
      <w:r w:rsidRPr="008F4277">
        <w:rPr>
          <w:lang w:val="en-GB"/>
        </w:rPr>
        <w:t xml:space="preserve"> Transparency Directive requires maximum harmonization with respect to the aggregation of voting rights as from November 2016. Thus, the possibility of different interpretations of the aggregation rules are considerably reduced. A review could be used to follow this direction further - not a new autonomous set of </w:t>
      </w:r>
      <w:r w:rsidRPr="00793E78">
        <w:rPr>
          <w:lang w:val="en-GB"/>
        </w:rPr>
        <w:t>requirements</w:t>
      </w:r>
      <w:r w:rsidRPr="008F4277">
        <w:rPr>
          <w:lang w:val="en-GB"/>
        </w:rPr>
        <w:t>.</w:t>
      </w:r>
    </w:p>
    <w:p w14:paraId="0EC977E8" w14:textId="77777777" w:rsidR="00BC346C" w:rsidRPr="009F71C6" w:rsidRDefault="00BC346C" w:rsidP="00BC346C">
      <w:pPr>
        <w:rPr>
          <w:b/>
          <w:sz w:val="17"/>
          <w:szCs w:val="17"/>
        </w:rPr>
      </w:pPr>
    </w:p>
    <w:p w14:paraId="6209BF45" w14:textId="77777777" w:rsidR="00BC346C" w:rsidRPr="00315108" w:rsidRDefault="00BC346C" w:rsidP="00BC346C">
      <w:pPr>
        <w:rPr>
          <w:b/>
          <w:sz w:val="17"/>
          <w:szCs w:val="17"/>
          <w:u w:val="single"/>
        </w:rPr>
      </w:pPr>
      <w:r w:rsidRPr="00315108">
        <w:rPr>
          <w:b/>
          <w:sz w:val="17"/>
          <w:szCs w:val="17"/>
          <w:u w:val="single"/>
        </w:rPr>
        <w:t>Question 4: Would you propose a different test for assessing whether a qualifying holding is being acquired indirectly? Please explain your answer.</w:t>
      </w:r>
    </w:p>
    <w:p w14:paraId="2AFB988D" w14:textId="77777777" w:rsidR="00BC346C" w:rsidRPr="009F71C6" w:rsidRDefault="00BC346C" w:rsidP="00BC346C">
      <w:pPr>
        <w:rPr>
          <w:b/>
          <w:sz w:val="17"/>
          <w:szCs w:val="17"/>
        </w:rPr>
      </w:pPr>
    </w:p>
    <w:p w14:paraId="111834F0" w14:textId="6137F075" w:rsidR="00BC346C" w:rsidRPr="009F71C6" w:rsidRDefault="00BC346C" w:rsidP="00BC346C">
      <w:pPr>
        <w:rPr>
          <w:sz w:val="17"/>
          <w:szCs w:val="17"/>
        </w:rPr>
      </w:pPr>
      <w:r w:rsidRPr="009F71C6">
        <w:rPr>
          <w:sz w:val="17"/>
          <w:szCs w:val="17"/>
        </w:rPr>
        <w:t>See answer to Question 3 above.</w:t>
      </w:r>
    </w:p>
    <w:p w14:paraId="4569BDF8" w14:textId="0B3079A5" w:rsidR="00152882" w:rsidRDefault="00152882" w:rsidP="00BC346C">
      <w:pPr>
        <w:spacing w:line="240" w:lineRule="auto"/>
        <w:jc w:val="left"/>
        <w:rPr>
          <w:sz w:val="20"/>
          <w:szCs w:val="20"/>
          <w:lang w:val="de-DE"/>
        </w:rPr>
      </w:pPr>
      <w:bookmarkStart w:id="3" w:name="BorderPlate"/>
      <w:bookmarkEnd w:id="3"/>
    </w:p>
    <w:p w14:paraId="4569BDF9" w14:textId="77777777" w:rsidR="00152882" w:rsidRDefault="00152882" w:rsidP="00152882">
      <w:pPr>
        <w:autoSpaceDE w:val="0"/>
        <w:autoSpaceDN w:val="0"/>
        <w:adjustRightInd w:val="0"/>
        <w:rPr>
          <w:sz w:val="20"/>
          <w:szCs w:val="20"/>
          <w:lang w:val="de-DE"/>
        </w:rPr>
      </w:pPr>
    </w:p>
    <w:p w14:paraId="4569BDFA" w14:textId="77777777" w:rsidR="00152882" w:rsidRDefault="00152882" w:rsidP="00152882">
      <w:pPr>
        <w:autoSpaceDE w:val="0"/>
        <w:autoSpaceDN w:val="0"/>
        <w:adjustRightInd w:val="0"/>
        <w:rPr>
          <w:sz w:val="20"/>
          <w:szCs w:val="20"/>
          <w:lang w:val="de-DE"/>
        </w:rPr>
      </w:pPr>
    </w:p>
    <w:p w14:paraId="4569BDFB" w14:textId="77777777" w:rsidR="00152882" w:rsidRDefault="00152882" w:rsidP="00152882">
      <w:pPr>
        <w:autoSpaceDE w:val="0"/>
        <w:autoSpaceDN w:val="0"/>
        <w:adjustRightInd w:val="0"/>
        <w:rPr>
          <w:sz w:val="20"/>
          <w:szCs w:val="20"/>
          <w:lang w:val="de-DE"/>
        </w:rPr>
      </w:pPr>
    </w:p>
    <w:p w14:paraId="4569BE1D" w14:textId="108D0B39" w:rsidR="00440FEE" w:rsidRPr="00152882" w:rsidRDefault="00440FEE" w:rsidP="00152882">
      <w:pPr>
        <w:autoSpaceDE w:val="0"/>
        <w:autoSpaceDN w:val="0"/>
        <w:adjustRightInd w:val="0"/>
        <w:rPr>
          <w:sz w:val="17"/>
          <w:szCs w:val="17"/>
          <w:lang w:val="de-DE"/>
        </w:rPr>
      </w:pPr>
    </w:p>
    <w:sectPr w:rsidR="00440FEE" w:rsidRPr="00152882" w:rsidSect="001C24A2">
      <w:type w:val="continuous"/>
      <w:pgSz w:w="11907" w:h="16839" w:code="9"/>
      <w:pgMar w:top="2336" w:right="902" w:bottom="1077" w:left="1474"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BE20" w14:textId="77777777" w:rsidR="008A2E1B" w:rsidRDefault="008A2E1B">
      <w:pPr>
        <w:spacing w:line="240" w:lineRule="auto"/>
      </w:pPr>
      <w:r>
        <w:separator/>
      </w:r>
    </w:p>
  </w:endnote>
  <w:endnote w:type="continuationSeparator" w:id="0">
    <w:p w14:paraId="4569BE21" w14:textId="77777777" w:rsidR="008A2E1B" w:rsidRDefault="008A2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20B0402020204020204"/>
    <w:charset w:val="00"/>
    <w:family w:val="swiss"/>
    <w:notTrueType/>
    <w:pitch w:val="variable"/>
    <w:sig w:usb0="00000003"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Frutiger LT Com 45 Light">
    <w:altName w:val="Corbel"/>
    <w:panose1 w:val="020B0303030504020204"/>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E26" w14:textId="77777777" w:rsidR="00774ED6" w:rsidRDefault="00152882" w:rsidP="00084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9BE27" w14:textId="77777777" w:rsidR="00774ED6" w:rsidRDefault="006B47BE" w:rsidP="00084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E28" w14:textId="77777777" w:rsidR="00A42CBE" w:rsidRPr="00723412" w:rsidRDefault="00152882" w:rsidP="00A42CBE">
    <w:pPr>
      <w:pStyle w:val="Footer"/>
      <w:framePr w:wrap="around" w:vAnchor="page" w:hAnchor="margin" w:xAlign="right" w:y="16161"/>
      <w:rPr>
        <w:rStyle w:val="PageNumber"/>
        <w:color w:val="002957"/>
      </w:rPr>
    </w:pPr>
    <w:r>
      <w:rPr>
        <w:rStyle w:val="PageNumber"/>
        <w:color w:val="002957"/>
        <w:szCs w:val="17"/>
      </w:rPr>
      <w:fldChar w:fldCharType="begin"/>
    </w:r>
    <w:r>
      <w:rPr>
        <w:rStyle w:val="PageNumber"/>
        <w:color w:val="002957"/>
        <w:szCs w:val="17"/>
      </w:rPr>
      <w:instrText xml:space="preserve"> PAGE   \* MERGEFORMAT </w:instrText>
    </w:r>
    <w:r>
      <w:rPr>
        <w:rStyle w:val="PageNumber"/>
        <w:color w:val="002957"/>
        <w:szCs w:val="17"/>
      </w:rPr>
      <w:fldChar w:fldCharType="separate"/>
    </w:r>
    <w:r w:rsidR="00BC346C">
      <w:rPr>
        <w:rStyle w:val="PageNumber"/>
        <w:noProof/>
        <w:color w:val="002957"/>
        <w:szCs w:val="17"/>
      </w:rPr>
      <w:t>2</w:t>
    </w:r>
    <w:r>
      <w:rPr>
        <w:rStyle w:val="PageNumber"/>
        <w:color w:val="002957"/>
        <w:szCs w:val="17"/>
      </w:rPr>
      <w:fldChar w:fldCharType="end"/>
    </w:r>
  </w:p>
  <w:p w14:paraId="4569BE29" w14:textId="77777777" w:rsidR="00774ED6" w:rsidRPr="0085650F" w:rsidRDefault="006B47BE" w:rsidP="0029642B">
    <w:pPr>
      <w:tabs>
        <w:tab w:val="right" w:pos="10260"/>
      </w:tabs>
      <w:autoSpaceDE w:val="0"/>
      <w:autoSpaceDN w:val="0"/>
      <w:adjustRightInd w:val="0"/>
      <w:ind w:right="360"/>
      <w:textAlignment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E50" w14:textId="77777777" w:rsidR="001A61B6" w:rsidRPr="006A3720" w:rsidRDefault="00152882" w:rsidP="00A42CBE">
    <w:pPr>
      <w:framePr w:w="3958" w:h="1015" w:hRule="exact" w:hSpace="181" w:wrap="around" w:vAnchor="page" w:hAnchor="page" w:x="7259" w:y="15423" w:anchorLock="1"/>
      <w:rPr>
        <w:rFonts w:cs="Tahoma"/>
        <w:color w:val="002957"/>
        <w:sz w:val="14"/>
        <w:szCs w:val="14"/>
      </w:rPr>
    </w:pPr>
    <w:r w:rsidRPr="006A3720">
      <w:rPr>
        <w:rFonts w:cs="Tahoma"/>
        <w:color w:val="002957"/>
        <w:sz w:val="14"/>
        <w:szCs w:val="14"/>
      </w:rPr>
      <w:t xml:space="preserve">© </w:t>
    </w:r>
    <w:r w:rsidRPr="006A3720">
      <w:rPr>
        <w:color w:val="002957"/>
        <w:sz w:val="14"/>
        <w:szCs w:val="14"/>
        <w:lang w:val="en-US"/>
      </w:rPr>
      <w:t>Reproduction in whole or in part of the content of this document and the communication thereof are made with the consent of Insurance Europe, must be clearly attributed to Insurance Europe and must include the date of the Insurance Europe document.</w:t>
    </w:r>
  </w:p>
  <w:p w14:paraId="4569BE51" w14:textId="77777777" w:rsidR="00C728C8" w:rsidRDefault="00152882" w:rsidP="00BD3110">
    <w:pPr>
      <w:pStyle w:val="CEAFooterauthorinfo"/>
      <w:ind w:left="567"/>
      <w:jc w:val="left"/>
      <w:rPr>
        <w:b w:val="0"/>
        <w:color w:val="002957"/>
        <w:sz w:val="14"/>
        <w:szCs w:val="14"/>
        <w:lang w:val="pt-PT"/>
      </w:rPr>
    </w:pPr>
    <w:r w:rsidRPr="00A4463C">
      <w:rPr>
        <w:b w:val="0"/>
        <w:color w:val="002957"/>
        <w:sz w:val="14"/>
        <w:szCs w:val="14"/>
        <w:lang w:val="fr-BE"/>
      </w:rPr>
      <w:t>Insurance Europe aisbl</w:t>
    </w:r>
  </w:p>
  <w:p w14:paraId="4569BE52" w14:textId="77777777" w:rsidR="00774ED6" w:rsidRPr="00A4463C" w:rsidRDefault="00A4463C" w:rsidP="00BD3110">
    <w:pPr>
      <w:pStyle w:val="CEAFooterauthorinfo"/>
      <w:ind w:left="567"/>
      <w:jc w:val="left"/>
      <w:rPr>
        <w:b w:val="0"/>
        <w:color w:val="002957"/>
        <w:sz w:val="14"/>
        <w:szCs w:val="14"/>
        <w:lang w:val="fr-BE"/>
      </w:rPr>
    </w:pPr>
    <w:r w:rsidRPr="00A4463C">
      <w:rPr>
        <w:b w:val="0"/>
        <w:color w:val="002957"/>
        <w:sz w:val="14"/>
        <w:szCs w:val="14"/>
        <w:lang w:val="fr-BE"/>
      </w:rPr>
      <w:t>Rue Montoyer 51, B-1000 Brussels</w:t>
    </w:r>
    <w:r w:rsidR="00BD3110" w:rsidRPr="00A4463C">
      <w:rPr>
        <w:b w:val="0"/>
        <w:color w:val="002957"/>
        <w:sz w:val="14"/>
        <w:szCs w:val="14"/>
        <w:lang w:val="fr-BE"/>
      </w:rPr>
      <w:t xml:space="preserve"> </w:t>
    </w:r>
  </w:p>
  <w:p w14:paraId="4569BE53" w14:textId="77777777" w:rsidR="00774ED6" w:rsidRDefault="00152882" w:rsidP="00994483">
    <w:pPr>
      <w:pStyle w:val="CEAFooterauthorinfo"/>
      <w:ind w:left="567"/>
      <w:jc w:val="left"/>
      <w:rPr>
        <w:b w:val="0"/>
        <w:color w:val="002957"/>
        <w:sz w:val="14"/>
        <w:szCs w:val="14"/>
        <w:lang w:val="pt-PT"/>
      </w:rPr>
    </w:pPr>
    <w:r w:rsidRPr="0085650F">
      <w:rPr>
        <w:b w:val="0"/>
        <w:color w:val="002957"/>
        <w:sz w:val="14"/>
        <w:szCs w:val="14"/>
        <w:lang w:val="pt-PT"/>
      </w:rPr>
      <w:t>Tel:</w:t>
    </w:r>
    <w:r w:rsidR="00407B3E">
      <w:rPr>
        <w:b w:val="0"/>
        <w:color w:val="002957"/>
        <w:sz w:val="14"/>
        <w:szCs w:val="14"/>
        <w:lang w:val="pt-PT"/>
      </w:rPr>
      <w:t xml:space="preserve"> +32 2 894 30 00 • Fax: +32 2 894 30 01</w:t>
    </w:r>
  </w:p>
  <w:p w14:paraId="4569BE54" w14:textId="77777777" w:rsidR="00F96C48" w:rsidRDefault="00A4463C" w:rsidP="00994483">
    <w:pPr>
      <w:pStyle w:val="CEAFooterauthorinfo"/>
      <w:ind w:left="567"/>
      <w:jc w:val="left"/>
      <w:rPr>
        <w:b w:val="0"/>
        <w:color w:val="82C55B"/>
        <w:sz w:val="14"/>
        <w:szCs w:val="14"/>
        <w:lang w:val="pt-PT"/>
      </w:rPr>
    </w:pPr>
    <w:r>
      <w:rPr>
        <w:b w:val="0"/>
        <w:color w:val="002957"/>
        <w:sz w:val="14"/>
        <w:szCs w:val="14"/>
        <w:lang w:val="pt-PT"/>
      </w:rPr>
      <w:t>E-mail : info@insuranceeurope.eu</w:t>
    </w:r>
  </w:p>
  <w:p w14:paraId="4569BE55" w14:textId="77777777" w:rsidR="00774ED6" w:rsidRPr="0085650F" w:rsidRDefault="00F96C48" w:rsidP="00A4463C">
    <w:pPr>
      <w:pStyle w:val="CEAFooterauthorinfo"/>
      <w:jc w:val="left"/>
      <w:rPr>
        <w:b w:val="0"/>
        <w:color w:val="82C55B"/>
        <w:sz w:val="14"/>
        <w:szCs w:val="14"/>
        <w:lang w:val="pt-PT"/>
      </w:rPr>
    </w:pPr>
    <w:r>
      <w:rPr>
        <w:b w:val="0"/>
        <w:color w:val="82C55B"/>
        <w:sz w:val="14"/>
        <w:szCs w:val="14"/>
        <w:lang w:val="pt-PT"/>
      </w:rPr>
      <w:t xml:space="preserve">           </w:t>
    </w:r>
    <w:r w:rsidRPr="00A4463C">
      <w:rPr>
        <w:b w:val="0"/>
        <w:color w:val="82C55B"/>
        <w:sz w:val="14"/>
        <w:szCs w:val="14"/>
        <w:lang w:val="pt-PT"/>
      </w:rPr>
      <w:t>www.insuranceeurope.eu</w:t>
    </w:r>
  </w:p>
  <w:p w14:paraId="4569BE56" w14:textId="77777777" w:rsidR="00774ED6" w:rsidRPr="00A4463C" w:rsidRDefault="006B47BE">
    <w:pPr>
      <w:pStyle w:val="Footer"/>
      <w:rPr>
        <w:color w:val="002957"/>
        <w:sz w:val="14"/>
        <w:szCs w:val="14"/>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270A" w14:textId="77777777" w:rsidR="00BC346C" w:rsidRDefault="00BC346C" w:rsidP="00DB1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D6920" w14:textId="77777777" w:rsidR="00BC346C" w:rsidRDefault="00BC346C" w:rsidP="00DB1FC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EAC9" w14:textId="77777777" w:rsidR="00BC346C" w:rsidRPr="00723412" w:rsidRDefault="00BC346C" w:rsidP="00DB1FC4">
    <w:pPr>
      <w:pStyle w:val="Footer"/>
      <w:framePr w:wrap="around" w:vAnchor="page" w:hAnchor="margin" w:xAlign="right" w:y="16161"/>
      <w:rPr>
        <w:rStyle w:val="PageNumber"/>
        <w:color w:val="002957"/>
      </w:rPr>
    </w:pPr>
    <w:r>
      <w:rPr>
        <w:rStyle w:val="PageNumber"/>
        <w:color w:val="002957"/>
        <w:szCs w:val="17"/>
      </w:rPr>
      <w:fldChar w:fldCharType="begin"/>
    </w:r>
    <w:r>
      <w:rPr>
        <w:rStyle w:val="PageNumber"/>
        <w:color w:val="002957"/>
        <w:szCs w:val="17"/>
      </w:rPr>
      <w:instrText xml:space="preserve"> PAGE   \* MERGEFORMAT </w:instrText>
    </w:r>
    <w:r>
      <w:rPr>
        <w:rStyle w:val="PageNumber"/>
        <w:color w:val="002957"/>
        <w:szCs w:val="17"/>
      </w:rPr>
      <w:fldChar w:fldCharType="separate"/>
    </w:r>
    <w:r w:rsidR="006B47BE">
      <w:rPr>
        <w:rStyle w:val="PageNumber"/>
        <w:noProof/>
        <w:color w:val="002957"/>
        <w:szCs w:val="17"/>
      </w:rPr>
      <w:t>2</w:t>
    </w:r>
    <w:r>
      <w:rPr>
        <w:rStyle w:val="PageNumber"/>
        <w:color w:val="002957"/>
        <w:szCs w:val="17"/>
      </w:rPr>
      <w:fldChar w:fldCharType="end"/>
    </w:r>
  </w:p>
  <w:p w14:paraId="634BFFF4" w14:textId="6E40ABD9" w:rsidR="00BC346C" w:rsidRPr="00297E58" w:rsidRDefault="00BC346C" w:rsidP="00620F3B">
    <w:pPr>
      <w:tabs>
        <w:tab w:val="right" w:pos="10260"/>
      </w:tabs>
      <w:autoSpaceDE w:val="0"/>
      <w:autoSpaceDN w:val="0"/>
      <w:adjustRightInd w:val="0"/>
      <w:ind w:right="360"/>
      <w:jc w:val="center"/>
      <w:textAlignment w:val="cen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1F10" w14:textId="77777777" w:rsidR="00BC346C" w:rsidRPr="006A3720" w:rsidRDefault="00BC346C" w:rsidP="00DB1FC4">
    <w:pPr>
      <w:framePr w:w="3958" w:h="1015" w:hRule="exact" w:hSpace="181" w:wrap="around" w:vAnchor="page" w:hAnchor="page" w:x="7259" w:y="15423" w:anchorLock="1"/>
      <w:rPr>
        <w:rFonts w:cs="Tahoma"/>
        <w:color w:val="002957"/>
        <w:sz w:val="14"/>
        <w:szCs w:val="14"/>
      </w:rPr>
    </w:pPr>
    <w:r w:rsidRPr="006A3720">
      <w:rPr>
        <w:rFonts w:cs="Tahoma"/>
        <w:color w:val="002957"/>
        <w:sz w:val="14"/>
        <w:szCs w:val="14"/>
      </w:rPr>
      <w:t xml:space="preserve">© </w:t>
    </w:r>
    <w:r w:rsidRPr="006A3720">
      <w:rPr>
        <w:color w:val="002957"/>
        <w:sz w:val="14"/>
        <w:szCs w:val="14"/>
        <w:lang w:val="en-US"/>
      </w:rPr>
      <w:t>Reproduction in whole or in part of the content of this document and the communication thereof are made with the consent of Insurance Europe, must be clearly attributed to Insurance Europe and must include the date of the Insurance Europe document.</w:t>
    </w:r>
  </w:p>
  <w:p w14:paraId="6A6E61E8" w14:textId="77777777" w:rsidR="00BC346C" w:rsidRDefault="00BC346C" w:rsidP="00BD3110">
    <w:pPr>
      <w:pStyle w:val="CEAFooterauthorinfo"/>
      <w:ind w:left="567"/>
      <w:jc w:val="left"/>
      <w:rPr>
        <w:b w:val="0"/>
        <w:color w:val="002957"/>
        <w:sz w:val="14"/>
        <w:szCs w:val="14"/>
        <w:lang w:val="pt-PT"/>
      </w:rPr>
    </w:pPr>
    <w:r w:rsidRPr="00A4463C">
      <w:rPr>
        <w:b w:val="0"/>
        <w:color w:val="002957"/>
        <w:sz w:val="14"/>
        <w:szCs w:val="14"/>
        <w:lang w:val="fr-BE"/>
      </w:rPr>
      <w:t>Insurance Europe aisbl</w:t>
    </w:r>
  </w:p>
  <w:p w14:paraId="27AEEADB" w14:textId="77777777" w:rsidR="00BC346C" w:rsidRPr="00A4463C" w:rsidRDefault="00BC346C" w:rsidP="00BD3110">
    <w:pPr>
      <w:pStyle w:val="CEAFooterauthorinfo"/>
      <w:ind w:left="567"/>
      <w:jc w:val="left"/>
      <w:rPr>
        <w:b w:val="0"/>
        <w:color w:val="002957"/>
        <w:sz w:val="14"/>
        <w:szCs w:val="14"/>
        <w:lang w:val="fr-BE"/>
      </w:rPr>
    </w:pPr>
    <w:r w:rsidRPr="00A4463C">
      <w:rPr>
        <w:b w:val="0"/>
        <w:color w:val="002957"/>
        <w:sz w:val="14"/>
        <w:szCs w:val="14"/>
        <w:lang w:val="fr-BE"/>
      </w:rPr>
      <w:t xml:space="preserve">Rue Montoyer 51, B-1000 Brussels </w:t>
    </w:r>
  </w:p>
  <w:p w14:paraId="7C74AAC6" w14:textId="77777777" w:rsidR="00BC346C" w:rsidRDefault="00BC346C" w:rsidP="00DB1FC4">
    <w:pPr>
      <w:pStyle w:val="CEAFooterauthorinfo"/>
      <w:ind w:left="567"/>
      <w:jc w:val="left"/>
      <w:rPr>
        <w:b w:val="0"/>
        <w:color w:val="002957"/>
        <w:sz w:val="14"/>
        <w:szCs w:val="14"/>
        <w:lang w:val="pt-PT"/>
      </w:rPr>
    </w:pPr>
    <w:r w:rsidRPr="0085650F">
      <w:rPr>
        <w:b w:val="0"/>
        <w:color w:val="002957"/>
        <w:sz w:val="14"/>
        <w:szCs w:val="14"/>
        <w:lang w:val="pt-PT"/>
      </w:rPr>
      <w:t>Tel:</w:t>
    </w:r>
    <w:r>
      <w:rPr>
        <w:b w:val="0"/>
        <w:color w:val="002957"/>
        <w:sz w:val="14"/>
        <w:szCs w:val="14"/>
        <w:lang w:val="pt-PT"/>
      </w:rPr>
      <w:t xml:space="preserve"> +32 2 894 30 00 • Fax: +32 2 894 30 01</w:t>
    </w:r>
  </w:p>
  <w:p w14:paraId="22C85841" w14:textId="77777777" w:rsidR="00BC346C" w:rsidRDefault="00BC346C" w:rsidP="00DB1FC4">
    <w:pPr>
      <w:pStyle w:val="CEAFooterauthorinfo"/>
      <w:ind w:left="567"/>
      <w:jc w:val="left"/>
      <w:rPr>
        <w:b w:val="0"/>
        <w:color w:val="82C55B"/>
        <w:sz w:val="14"/>
        <w:szCs w:val="14"/>
        <w:lang w:val="pt-PT"/>
      </w:rPr>
    </w:pPr>
    <w:r>
      <w:rPr>
        <w:b w:val="0"/>
        <w:color w:val="002957"/>
        <w:sz w:val="14"/>
        <w:szCs w:val="14"/>
        <w:lang w:val="pt-PT"/>
      </w:rPr>
      <w:t>E-mail : info@insuranceeurope.eu</w:t>
    </w:r>
  </w:p>
  <w:p w14:paraId="7AEE85DC" w14:textId="77777777" w:rsidR="00BC346C" w:rsidRPr="0085650F" w:rsidRDefault="00BC346C" w:rsidP="00A4463C">
    <w:pPr>
      <w:pStyle w:val="CEAFooterauthorinfo"/>
      <w:jc w:val="left"/>
      <w:rPr>
        <w:b w:val="0"/>
        <w:color w:val="82C55B"/>
        <w:sz w:val="14"/>
        <w:szCs w:val="14"/>
        <w:lang w:val="pt-PT"/>
      </w:rPr>
    </w:pPr>
    <w:r>
      <w:rPr>
        <w:b w:val="0"/>
        <w:color w:val="82C55B"/>
        <w:sz w:val="14"/>
        <w:szCs w:val="14"/>
        <w:lang w:val="pt-PT"/>
      </w:rPr>
      <w:t xml:space="preserve">           </w:t>
    </w:r>
    <w:r w:rsidRPr="00A4463C">
      <w:rPr>
        <w:b w:val="0"/>
        <w:color w:val="82C55B"/>
        <w:sz w:val="14"/>
        <w:szCs w:val="14"/>
        <w:lang w:val="pt-PT"/>
      </w:rPr>
      <w:t>www.insuranceeurope.eu</w:t>
    </w:r>
  </w:p>
  <w:p w14:paraId="2B92375E" w14:textId="77777777" w:rsidR="00BC346C" w:rsidRPr="00A4463C" w:rsidRDefault="00BC346C">
    <w:pPr>
      <w:pStyle w:val="Footer"/>
      <w:rPr>
        <w:color w:val="002957"/>
        <w:sz w:val="14"/>
        <w:szCs w:val="14"/>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BE1E" w14:textId="77777777" w:rsidR="008A2E1B" w:rsidRDefault="008A2E1B">
      <w:pPr>
        <w:spacing w:line="240" w:lineRule="auto"/>
      </w:pPr>
      <w:r>
        <w:separator/>
      </w:r>
    </w:p>
  </w:footnote>
  <w:footnote w:type="continuationSeparator" w:id="0">
    <w:p w14:paraId="4569BE1F" w14:textId="77777777" w:rsidR="008A2E1B" w:rsidRDefault="008A2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E23" w14:textId="77777777" w:rsidR="00774ED6" w:rsidRPr="00323E1C" w:rsidRDefault="00152882" w:rsidP="000846C0">
    <w:pPr>
      <w:pStyle w:val="Noparagraphstyle"/>
      <w:jc w:val="right"/>
      <w:rPr>
        <w:rFonts w:ascii="Verdana" w:hAnsi="Verdana"/>
        <w:sz w:val="18"/>
        <w:szCs w:val="18"/>
      </w:rPr>
    </w:pPr>
    <w:r w:rsidRPr="000D41DA">
      <w:rPr>
        <w:rFonts w:ascii="Frutiger LT Com 45 Light" w:hAnsi="Frutiger LT Com 45 Light"/>
        <w:noProof/>
        <w:lang w:val="en-GB" w:eastAsia="en-GB"/>
      </w:rPr>
      <w:drawing>
        <wp:anchor distT="0" distB="0" distL="114300" distR="114300" simplePos="0" relativeHeight="251656192" behindDoc="0" locked="0" layoutInCell="1" allowOverlap="1" wp14:anchorId="4569BE57" wp14:editId="1FEC7566">
          <wp:simplePos x="0" y="0"/>
          <wp:positionH relativeFrom="page">
            <wp:posOffset>528955</wp:posOffset>
          </wp:positionH>
          <wp:positionV relativeFrom="page">
            <wp:posOffset>521970</wp:posOffset>
          </wp:positionV>
          <wp:extent cx="1457325" cy="895350"/>
          <wp:effectExtent l="19050" t="0" r="0" b="0"/>
          <wp:wrapSquare wrapText="bothSides"/>
          <wp:docPr id="1"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6193" cy="895350"/>
                  </a:xfrm>
                  <a:prstGeom prst="rect">
                    <a:avLst/>
                  </a:prstGeom>
                  <a:noFill/>
                </pic:spPr>
              </pic:pic>
            </a:graphicData>
          </a:graphic>
        </wp:anchor>
      </w:drawing>
    </w:r>
  </w:p>
  <w:p w14:paraId="4569BE24" w14:textId="77777777" w:rsidR="00774ED6" w:rsidRPr="0085650F" w:rsidRDefault="00152882" w:rsidP="000846C0">
    <w:pPr>
      <w:pStyle w:val="Noparagraphstyle"/>
      <w:jc w:val="right"/>
      <w:rPr>
        <w:rFonts w:ascii="Verdana" w:hAnsi="Verdana" w:cs="Arial"/>
        <w:i/>
        <w:iCs/>
        <w:color w:val="034EA2"/>
      </w:rPr>
    </w:pPr>
    <w:r w:rsidRPr="00323E1C">
      <w:rPr>
        <w:rFonts w:ascii="Verdana" w:hAnsi="Verdana"/>
      </w:rPr>
      <w:tab/>
    </w:r>
  </w:p>
  <w:p w14:paraId="4569BE25" w14:textId="77777777" w:rsidR="00774ED6" w:rsidRPr="00491802" w:rsidRDefault="006B47BE" w:rsidP="000846C0">
    <w:pPr>
      <w:pStyle w:val="Header"/>
      <w:tabs>
        <w:tab w:val="clear" w:pos="4320"/>
        <w:tab w:val="clear" w:pos="8640"/>
        <w:tab w:val="center" w:pos="0"/>
        <w:tab w:val="right" w:pos="104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E2A" w14:textId="77777777" w:rsidR="00774ED6" w:rsidRPr="00323E1C" w:rsidRDefault="00152882" w:rsidP="0029642B">
    <w:pPr>
      <w:pStyle w:val="Noparagraphstyle"/>
      <w:jc w:val="right"/>
      <w:rPr>
        <w:rFonts w:ascii="Verdana" w:hAnsi="Verdana"/>
        <w:sz w:val="18"/>
        <w:szCs w:val="18"/>
      </w:rPr>
    </w:pPr>
    <w:r w:rsidRPr="000D41DA">
      <w:rPr>
        <w:rFonts w:ascii="Frutiger LT Com 45 Light" w:hAnsi="Frutiger LT Com 45 Light"/>
        <w:noProof/>
        <w:sz w:val="18"/>
        <w:szCs w:val="18"/>
        <w:lang w:val="en-GB" w:eastAsia="en-GB"/>
      </w:rPr>
      <w:drawing>
        <wp:anchor distT="0" distB="0" distL="114300" distR="114300" simplePos="0" relativeHeight="251657216" behindDoc="0" locked="0" layoutInCell="1" allowOverlap="1" wp14:anchorId="4569BE59" wp14:editId="4D6086F9">
          <wp:simplePos x="0" y="0"/>
          <wp:positionH relativeFrom="page">
            <wp:posOffset>523875</wp:posOffset>
          </wp:positionH>
          <wp:positionV relativeFrom="page">
            <wp:posOffset>523875</wp:posOffset>
          </wp:positionV>
          <wp:extent cx="1457325" cy="895350"/>
          <wp:effectExtent l="19050" t="0" r="0" b="0"/>
          <wp:wrapSquare wrapText="bothSides"/>
          <wp:docPr id="3"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6193" cy="895350"/>
                  </a:xfrm>
                  <a:prstGeom prst="rect">
                    <a:avLst/>
                  </a:prstGeom>
                  <a:noFill/>
                </pic:spPr>
              </pic:pic>
            </a:graphicData>
          </a:graphic>
        </wp:anchor>
      </w:drawing>
    </w:r>
  </w:p>
  <w:p w14:paraId="4569BE2B" w14:textId="77777777" w:rsidR="00774ED6" w:rsidRDefault="006B47BE">
    <w:pPr>
      <w:pStyle w:val="Header"/>
    </w:pPr>
  </w:p>
  <w:p w14:paraId="4569BE2C" w14:textId="77777777" w:rsidR="001C24A2" w:rsidRDefault="006B47BE">
    <w:pPr>
      <w:pStyle w:val="Header"/>
    </w:pPr>
  </w:p>
  <w:p w14:paraId="4569BE2D" w14:textId="77777777" w:rsidR="001C24A2" w:rsidRDefault="006B47BE">
    <w:pPr>
      <w:pStyle w:val="Header"/>
    </w:pPr>
  </w:p>
  <w:p w14:paraId="4569BE2E" w14:textId="77777777" w:rsidR="00774ED6" w:rsidRPr="002D768E" w:rsidRDefault="00152882" w:rsidP="00105937">
    <w:pPr>
      <w:jc w:val="right"/>
      <w:rPr>
        <w:rFonts w:cs="Arial"/>
        <w:color w:val="002957"/>
        <w:sz w:val="36"/>
        <w:szCs w:val="36"/>
        <w:lang w:val="fr-FR"/>
      </w:rPr>
    </w:pPr>
    <w:r>
      <w:tab/>
    </w:r>
    <w: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r w:rsidRPr="0085650F">
      <w:rPr>
        <w:rFonts w:cs="Arial"/>
        <w:b/>
        <w:sz w:val="40"/>
        <w:szCs w:val="40"/>
      </w:rPr>
      <w:tab/>
    </w:r>
    <w:bookmarkStart w:id="0" w:name="Title"/>
    <w:r w:rsidRPr="0085650F">
      <w:rPr>
        <w:rFonts w:cs="Arial"/>
        <w:color w:val="002957"/>
        <w:sz w:val="36"/>
        <w:szCs w:val="36"/>
      </w:rPr>
      <w:fldChar w:fldCharType="begin"/>
    </w:r>
    <w:r w:rsidRPr="002D768E">
      <w:rPr>
        <w:rFonts w:cs="Arial"/>
        <w:color w:val="002957"/>
        <w:sz w:val="36"/>
        <w:szCs w:val="36"/>
        <w:lang w:val="fr-FR"/>
      </w:rPr>
      <w:instrText xml:space="preserve"> DOCPROPERTY Title \* MERGEFORMAT </w:instrText>
    </w:r>
    <w:r w:rsidRPr="0085650F">
      <w:rPr>
        <w:rFonts w:cs="Arial"/>
        <w:color w:val="002957"/>
        <w:sz w:val="36"/>
        <w:szCs w:val="36"/>
      </w:rPr>
      <w:fldChar w:fldCharType="end"/>
    </w:r>
    <w:bookmarkEnd w:id="0"/>
  </w:p>
  <w:p w14:paraId="4569BE2F" w14:textId="73D2D0AA" w:rsidR="0017261F" w:rsidRDefault="0017261F" w:rsidP="0017261F">
    <w:pPr>
      <w:jc w:val="right"/>
      <w:rPr>
        <w:b/>
        <w:i/>
        <w:color w:val="002957"/>
        <w:sz w:val="32"/>
        <w:szCs w:val="32"/>
      </w:rPr>
    </w:pPr>
    <w:bookmarkStart w:id="1" w:name="Draft1st"/>
    <w:bookmarkEnd w:id="1"/>
  </w:p>
  <w:p w14:paraId="4569BE30" w14:textId="77777777" w:rsidR="00B21F6A" w:rsidRPr="002D768E" w:rsidRDefault="006B47BE" w:rsidP="00E20AAF">
    <w:pPr>
      <w:pStyle w:val="CEADraft"/>
      <w:rPr>
        <w:color w:val="002957"/>
        <w:lang w:val="fr-FR"/>
      </w:rPr>
    </w:pPr>
  </w:p>
  <w:p w14:paraId="4569BE31" w14:textId="77777777" w:rsidR="00634FC9" w:rsidRPr="002D768E" w:rsidRDefault="006B47BE" w:rsidP="009F1297">
    <w:pPr>
      <w:rPr>
        <w:color w:val="002957"/>
        <w:lang w:val="fr-FR"/>
      </w:rPr>
    </w:pPr>
  </w:p>
  <w:p w14:paraId="5D9A4558" w14:textId="77777777" w:rsidR="00BC346C" w:rsidRPr="00883F7A" w:rsidRDefault="00BC346C" w:rsidP="00BC346C">
    <w:pPr>
      <w:pStyle w:val="CEAPositionPaperTitle"/>
      <w:ind w:left="567"/>
      <w:rPr>
        <w:b w:val="0"/>
        <w:color w:val="002957"/>
        <w:sz w:val="28"/>
        <w:szCs w:val="28"/>
      </w:rPr>
    </w:pPr>
    <w:r w:rsidRPr="00883F7A">
      <w:rPr>
        <w:b w:val="0"/>
        <w:color w:val="002957"/>
        <w:sz w:val="28"/>
        <w:szCs w:val="28"/>
      </w:rPr>
      <w:t>Insurance Europe response to ESAs draft joint guidelines on the prudential assessment of acquisitions and increases of qualifying holdings in the financial sector</w:t>
    </w:r>
  </w:p>
  <w:p w14:paraId="4569BE33" w14:textId="77777777" w:rsidR="00634FC9" w:rsidRPr="00BC346C" w:rsidRDefault="006B47BE" w:rsidP="00E20AAF"/>
  <w:p w14:paraId="4569BE34" w14:textId="77777777" w:rsidR="00634FC9" w:rsidRPr="00BC346C" w:rsidRDefault="00152882" w:rsidP="00E20AAF">
    <w:r>
      <w:rPr>
        <w:noProof/>
        <w:lang w:eastAsia="en-GB"/>
      </w:rPr>
      <mc:AlternateContent>
        <mc:Choice Requires="wps">
          <w:drawing>
            <wp:anchor distT="0" distB="0" distL="114300" distR="114300" simplePos="0" relativeHeight="251660288" behindDoc="1" locked="1" layoutInCell="1" allowOverlap="1" wp14:anchorId="4569BE5B" wp14:editId="0B26CBC9">
              <wp:simplePos x="0" y="0"/>
              <wp:positionH relativeFrom="page">
                <wp:posOffset>923925</wp:posOffset>
              </wp:positionH>
              <wp:positionV relativeFrom="paragraph">
                <wp:posOffset>85090</wp:posOffset>
              </wp:positionV>
              <wp:extent cx="6076315" cy="2051685"/>
              <wp:effectExtent l="9525" t="8890" r="10160"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2051685"/>
                      </a:xfrm>
                      <a:prstGeom prst="roundRect">
                        <a:avLst>
                          <a:gd name="adj" fmla="val 16667"/>
                        </a:avLst>
                      </a:prstGeom>
                      <a:noFill/>
                      <a:ln w="6350">
                        <a:solidFill>
                          <a:srgbClr val="82C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4C001" id="AutoShape 18" o:spid="_x0000_s1026" style="position:absolute;margin-left:72.75pt;margin-top:6.7pt;width:478.45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" filled="f" strokecolor="#82c55b" strokeweight=".5pt">
              <w10:wrap anchorx="page"/>
              <w10:anchorlock/>
            </v:roundrect>
          </w:pict>
        </mc:Fallback>
      </mc:AlternateContent>
    </w:r>
  </w:p>
  <w:tbl>
    <w:tblPr>
      <w:tblW w:w="9498" w:type="dxa"/>
      <w:tblInd w:w="675" w:type="dxa"/>
      <w:tblBorders>
        <w:insideH w:val="single" w:sz="4" w:space="0" w:color="82C55B"/>
      </w:tblBorders>
      <w:tblLayout w:type="fixed"/>
      <w:tblLook w:val="0000" w:firstRow="0" w:lastRow="0" w:firstColumn="0" w:lastColumn="0" w:noHBand="0" w:noVBand="0"/>
    </w:tblPr>
    <w:tblGrid>
      <w:gridCol w:w="1394"/>
      <w:gridCol w:w="3557"/>
      <w:gridCol w:w="1570"/>
      <w:gridCol w:w="2977"/>
    </w:tblGrid>
    <w:tr w:rsidR="006D28F1" w:rsidRPr="000D41DA" w14:paraId="4569BE39" w14:textId="77777777" w:rsidTr="00974483">
      <w:trPr>
        <w:cantSplit/>
        <w:trHeight w:hRule="exact" w:val="584"/>
      </w:trPr>
      <w:tc>
        <w:tcPr>
          <w:tcW w:w="1394" w:type="dxa"/>
          <w:shd w:val="clear" w:color="auto" w:fill="auto"/>
          <w:vAlign w:val="center"/>
        </w:tcPr>
        <w:p w14:paraId="4569BE35" w14:textId="77777777" w:rsidR="00634FC9" w:rsidRPr="0085650F" w:rsidRDefault="00152882" w:rsidP="00E20AAF">
          <w:pPr>
            <w:pStyle w:val="CEALabel"/>
            <w:rPr>
              <w:b w:val="0"/>
              <w:color w:val="002957"/>
              <w:sz w:val="17"/>
              <w:szCs w:val="17"/>
            </w:rPr>
          </w:pPr>
          <w:r w:rsidRPr="0085650F">
            <w:rPr>
              <w:b w:val="0"/>
              <w:color w:val="002957"/>
              <w:sz w:val="17"/>
              <w:szCs w:val="17"/>
            </w:rPr>
            <w:t xml:space="preserve">Our reference: </w:t>
          </w:r>
        </w:p>
      </w:tc>
      <w:tc>
        <w:tcPr>
          <w:tcW w:w="3557" w:type="dxa"/>
          <w:shd w:val="clear" w:color="auto" w:fill="auto"/>
          <w:vAlign w:val="center"/>
        </w:tcPr>
        <w:p w14:paraId="4569BE36" w14:textId="272B0B9A" w:rsidR="00634FC9" w:rsidRPr="00585988" w:rsidRDefault="006B47BE" w:rsidP="0008034A">
          <w:pPr>
            <w:jc w:val="left"/>
            <w:rPr>
              <w:color w:val="002957"/>
              <w:sz w:val="17"/>
              <w:szCs w:val="17"/>
            </w:rPr>
          </w:pPr>
          <w:sdt>
            <w:sdtPr>
              <w:rPr>
                <w:color w:val="002957"/>
                <w:sz w:val="17"/>
                <w:szCs w:val="17"/>
              </w:rPr>
              <w:alias w:val="Reference"/>
              <w:tag w:val="Reference"/>
              <w:id w:val="-329138674"/>
              <w:placeholder>
                <w:docPart w:val="C599D63AA9CF4AA08BF74B58D808EA35"/>
              </w:placeholder>
              <w:dataBinding w:prefixMappings="xmlns:ns0='http://schemas.microsoft.com/office/2006/metadata/properties' xmlns:ns1='http://www.w3.org/2001/XMLSchema-instance' xmlns:ns2='http://schemas.microsoft.com/office/infopath/2007/PartnerControls' xmlns:ns3='e0da4f5e-37e5-4fce-b2cf-d2352e4e27d6' xmlns:ns4='d113e6c9-68c2-4198-bb3a-f8ecf571e120' " w:xpath="/ns0:properties[1]/documentManagement[1]/ns4:Reference[1]" w:storeItemID="{B35485A1-11AA-442D-8577-727460E39C5A}"/>
              <w:text/>
            </w:sdtPr>
            <w:sdtEndPr/>
            <w:sdtContent>
              <w:r w:rsidR="00C727B8">
                <w:rPr>
                  <w:color w:val="002957"/>
                  <w:sz w:val="17"/>
                  <w:szCs w:val="17"/>
                </w:rPr>
                <w:t>ECO-SLV-15-404</w:t>
              </w:r>
            </w:sdtContent>
          </w:sdt>
        </w:p>
      </w:tc>
      <w:tc>
        <w:tcPr>
          <w:tcW w:w="1570" w:type="dxa"/>
          <w:shd w:val="clear" w:color="auto" w:fill="auto"/>
          <w:vAlign w:val="center"/>
        </w:tcPr>
        <w:p w14:paraId="4569BE37" w14:textId="77777777" w:rsidR="00634FC9" w:rsidRPr="0085650F" w:rsidRDefault="00152882" w:rsidP="00E20AAF">
          <w:pPr>
            <w:pStyle w:val="CEALabel"/>
            <w:rPr>
              <w:b w:val="0"/>
              <w:color w:val="002957"/>
              <w:sz w:val="17"/>
              <w:szCs w:val="17"/>
            </w:rPr>
          </w:pPr>
          <w:r w:rsidRPr="0085650F">
            <w:rPr>
              <w:b w:val="0"/>
              <w:color w:val="002957"/>
              <w:sz w:val="17"/>
              <w:szCs w:val="17"/>
            </w:rPr>
            <w:t>Date:</w:t>
          </w:r>
        </w:p>
      </w:tc>
      <w:tc>
        <w:tcPr>
          <w:tcW w:w="2977" w:type="dxa"/>
          <w:shd w:val="clear" w:color="auto" w:fill="auto"/>
          <w:vAlign w:val="center"/>
        </w:tcPr>
        <w:p w14:paraId="4569BE38" w14:textId="56218B24" w:rsidR="00634FC9" w:rsidRPr="00585988" w:rsidRDefault="00833983" w:rsidP="00684E68">
          <w:pPr>
            <w:jc w:val="left"/>
            <w:rPr>
              <w:color w:val="002957"/>
              <w:sz w:val="17"/>
              <w:szCs w:val="17"/>
            </w:rPr>
          </w:pPr>
          <w:r>
            <w:rPr>
              <w:color w:val="002957"/>
              <w:sz w:val="17"/>
              <w:szCs w:val="17"/>
            </w:rPr>
            <w:t>2</w:t>
          </w:r>
          <w:r w:rsidR="00684E68">
            <w:rPr>
              <w:color w:val="002957"/>
              <w:sz w:val="17"/>
              <w:szCs w:val="17"/>
            </w:rPr>
            <w:t xml:space="preserve"> October</w:t>
          </w:r>
          <w:r w:rsidR="00BC346C">
            <w:rPr>
              <w:color w:val="002957"/>
              <w:sz w:val="17"/>
              <w:szCs w:val="17"/>
            </w:rPr>
            <w:t xml:space="preserve"> 2015</w:t>
          </w:r>
          <w:r w:rsidR="00152882" w:rsidRPr="00585988">
            <w:rPr>
              <w:color w:val="002957"/>
              <w:sz w:val="17"/>
              <w:szCs w:val="17"/>
            </w:rPr>
            <w:t xml:space="preserve"> </w:t>
          </w:r>
        </w:p>
      </w:tc>
    </w:tr>
    <w:tr w:rsidR="006D28F1" w:rsidRPr="000D41DA" w14:paraId="4569BE3E" w14:textId="77777777" w:rsidTr="00974483">
      <w:trPr>
        <w:cantSplit/>
        <w:trHeight w:hRule="exact" w:val="584"/>
      </w:trPr>
      <w:tc>
        <w:tcPr>
          <w:tcW w:w="1394" w:type="dxa"/>
          <w:shd w:val="clear" w:color="auto" w:fill="auto"/>
          <w:vAlign w:val="center"/>
        </w:tcPr>
        <w:p w14:paraId="4569BE3A" w14:textId="77777777" w:rsidR="00634FC9" w:rsidRPr="0085650F" w:rsidRDefault="00152882" w:rsidP="00E20AAF">
          <w:pPr>
            <w:pStyle w:val="CEALabel"/>
            <w:rPr>
              <w:b w:val="0"/>
              <w:color w:val="002957"/>
              <w:sz w:val="17"/>
              <w:szCs w:val="17"/>
            </w:rPr>
          </w:pPr>
          <w:r w:rsidRPr="0085650F">
            <w:rPr>
              <w:b w:val="0"/>
              <w:color w:val="002957"/>
              <w:sz w:val="17"/>
              <w:szCs w:val="17"/>
            </w:rPr>
            <w:t>Referring to:</w:t>
          </w:r>
        </w:p>
      </w:tc>
      <w:tc>
        <w:tcPr>
          <w:tcW w:w="3557" w:type="dxa"/>
          <w:shd w:val="clear" w:color="auto" w:fill="auto"/>
          <w:vAlign w:val="center"/>
        </w:tcPr>
        <w:p w14:paraId="4569BE3B" w14:textId="5E4A8EEE" w:rsidR="00634FC9" w:rsidRPr="00585988" w:rsidRDefault="006B47BE" w:rsidP="000077F1">
          <w:pPr>
            <w:jc w:val="left"/>
            <w:rPr>
              <w:color w:val="002957"/>
              <w:sz w:val="17"/>
              <w:szCs w:val="17"/>
            </w:rPr>
          </w:pPr>
        </w:p>
      </w:tc>
      <w:tc>
        <w:tcPr>
          <w:tcW w:w="1570" w:type="dxa"/>
          <w:shd w:val="clear" w:color="auto" w:fill="auto"/>
          <w:vAlign w:val="center"/>
        </w:tcPr>
        <w:p w14:paraId="4569BE3C" w14:textId="77777777" w:rsidR="00634FC9" w:rsidRPr="00585988" w:rsidRDefault="006B47BE" w:rsidP="00E20AAF">
          <w:pPr>
            <w:rPr>
              <w:color w:val="002957"/>
              <w:sz w:val="17"/>
              <w:szCs w:val="17"/>
            </w:rPr>
          </w:pPr>
        </w:p>
      </w:tc>
      <w:tc>
        <w:tcPr>
          <w:tcW w:w="2977" w:type="dxa"/>
          <w:shd w:val="clear" w:color="auto" w:fill="auto"/>
          <w:vAlign w:val="center"/>
        </w:tcPr>
        <w:p w14:paraId="4569BE3D" w14:textId="15954E44" w:rsidR="00634FC9" w:rsidRPr="00585988" w:rsidRDefault="006B47BE" w:rsidP="000077F1">
          <w:pPr>
            <w:jc w:val="left"/>
            <w:rPr>
              <w:color w:val="002957"/>
              <w:sz w:val="17"/>
              <w:szCs w:val="17"/>
            </w:rPr>
          </w:pPr>
        </w:p>
      </w:tc>
    </w:tr>
    <w:tr w:rsidR="006D28F1" w:rsidRPr="000D41DA" w14:paraId="4569BE43" w14:textId="77777777" w:rsidTr="00974483">
      <w:trPr>
        <w:cantSplit/>
        <w:trHeight w:hRule="exact" w:val="584"/>
      </w:trPr>
      <w:tc>
        <w:tcPr>
          <w:tcW w:w="1394" w:type="dxa"/>
          <w:shd w:val="clear" w:color="auto" w:fill="auto"/>
          <w:vAlign w:val="center"/>
        </w:tcPr>
        <w:p w14:paraId="4569BE3F" w14:textId="77777777" w:rsidR="00634FC9" w:rsidRPr="0085650F" w:rsidRDefault="00152882" w:rsidP="002B62D0">
          <w:pPr>
            <w:pStyle w:val="CEALabel"/>
            <w:rPr>
              <w:b w:val="0"/>
              <w:color w:val="002957"/>
              <w:sz w:val="17"/>
              <w:szCs w:val="17"/>
            </w:rPr>
          </w:pPr>
          <w:r w:rsidRPr="0085650F">
            <w:rPr>
              <w:b w:val="0"/>
              <w:color w:val="002957"/>
              <w:sz w:val="17"/>
              <w:szCs w:val="17"/>
            </w:rPr>
            <w:t>Related documents:</w:t>
          </w:r>
        </w:p>
      </w:tc>
      <w:tc>
        <w:tcPr>
          <w:tcW w:w="3557" w:type="dxa"/>
          <w:shd w:val="clear" w:color="auto" w:fill="auto"/>
          <w:vAlign w:val="center"/>
        </w:tcPr>
        <w:p w14:paraId="4569BE40" w14:textId="4FB160B1" w:rsidR="00634FC9" w:rsidRPr="00585988" w:rsidRDefault="006B47BE" w:rsidP="00833983">
          <w:pPr>
            <w:jc w:val="left"/>
            <w:rPr>
              <w:color w:val="002957"/>
              <w:sz w:val="17"/>
              <w:szCs w:val="17"/>
            </w:rPr>
          </w:pPr>
        </w:p>
      </w:tc>
      <w:tc>
        <w:tcPr>
          <w:tcW w:w="1570" w:type="dxa"/>
          <w:shd w:val="clear" w:color="auto" w:fill="auto"/>
          <w:vAlign w:val="center"/>
        </w:tcPr>
        <w:p w14:paraId="4569BE41" w14:textId="77777777" w:rsidR="00634FC9" w:rsidRPr="00585988" w:rsidRDefault="006B47BE" w:rsidP="00E20AAF">
          <w:pPr>
            <w:rPr>
              <w:color w:val="002957"/>
              <w:sz w:val="17"/>
              <w:szCs w:val="17"/>
            </w:rPr>
          </w:pPr>
        </w:p>
      </w:tc>
      <w:tc>
        <w:tcPr>
          <w:tcW w:w="2977" w:type="dxa"/>
          <w:shd w:val="clear" w:color="auto" w:fill="auto"/>
          <w:vAlign w:val="center"/>
        </w:tcPr>
        <w:p w14:paraId="4569BE42" w14:textId="77777777" w:rsidR="00634FC9" w:rsidRPr="00585988" w:rsidRDefault="006B47BE" w:rsidP="00DB4DC3">
          <w:pPr>
            <w:jc w:val="left"/>
            <w:rPr>
              <w:b/>
              <w:color w:val="002957"/>
              <w:sz w:val="17"/>
              <w:szCs w:val="17"/>
            </w:rPr>
          </w:pPr>
        </w:p>
      </w:tc>
    </w:tr>
    <w:tr w:rsidR="006D28F1" w:rsidRPr="000D41DA" w14:paraId="4569BE48" w14:textId="77777777" w:rsidTr="00974483">
      <w:trPr>
        <w:cantSplit/>
        <w:trHeight w:hRule="exact" w:val="584"/>
      </w:trPr>
      <w:tc>
        <w:tcPr>
          <w:tcW w:w="1394" w:type="dxa"/>
          <w:shd w:val="clear" w:color="auto" w:fill="auto"/>
          <w:vAlign w:val="center"/>
        </w:tcPr>
        <w:p w14:paraId="4569BE44" w14:textId="77777777" w:rsidR="00634FC9" w:rsidRPr="0085650F" w:rsidRDefault="00152882" w:rsidP="00E20AAF">
          <w:pPr>
            <w:pStyle w:val="CEALabel"/>
            <w:rPr>
              <w:b w:val="0"/>
              <w:color w:val="002957"/>
              <w:sz w:val="17"/>
              <w:szCs w:val="17"/>
            </w:rPr>
          </w:pPr>
          <w:r w:rsidRPr="0085650F">
            <w:rPr>
              <w:b w:val="0"/>
              <w:color w:val="002957"/>
              <w:sz w:val="17"/>
              <w:szCs w:val="17"/>
            </w:rPr>
            <w:t>Contact person:</w:t>
          </w:r>
        </w:p>
      </w:tc>
      <w:tc>
        <w:tcPr>
          <w:tcW w:w="3557" w:type="dxa"/>
          <w:shd w:val="clear" w:color="auto" w:fill="auto"/>
          <w:vAlign w:val="center"/>
        </w:tcPr>
        <w:p w14:paraId="4569BE45" w14:textId="67E6A708" w:rsidR="00634FC9" w:rsidRPr="00585988" w:rsidRDefault="00BC346C" w:rsidP="00E86666">
          <w:pPr>
            <w:jc w:val="left"/>
            <w:rPr>
              <w:color w:val="002957"/>
              <w:sz w:val="17"/>
              <w:szCs w:val="17"/>
            </w:rPr>
          </w:pPr>
          <w:r>
            <w:rPr>
              <w:color w:val="002957"/>
              <w:sz w:val="17"/>
              <w:szCs w:val="17"/>
            </w:rPr>
            <w:t>Prudential Regulation</w:t>
          </w:r>
          <w:r w:rsidR="00152882" w:rsidRPr="00E86666">
            <w:rPr>
              <w:color w:val="002957"/>
              <w:sz w:val="17"/>
              <w:szCs w:val="17"/>
            </w:rPr>
            <w:t xml:space="preserve"> </w:t>
          </w:r>
        </w:p>
      </w:tc>
      <w:tc>
        <w:tcPr>
          <w:tcW w:w="1570" w:type="dxa"/>
          <w:shd w:val="clear" w:color="auto" w:fill="auto"/>
          <w:vAlign w:val="center"/>
        </w:tcPr>
        <w:p w14:paraId="4569BE46" w14:textId="77777777" w:rsidR="00634FC9" w:rsidRPr="0085650F" w:rsidRDefault="00152882" w:rsidP="00E20AAF">
          <w:pPr>
            <w:pStyle w:val="CEALabel"/>
            <w:rPr>
              <w:b w:val="0"/>
              <w:color w:val="002957"/>
              <w:sz w:val="17"/>
              <w:szCs w:val="17"/>
            </w:rPr>
          </w:pPr>
          <w:r w:rsidRPr="0085650F">
            <w:rPr>
              <w:b w:val="0"/>
              <w:color w:val="002957"/>
              <w:sz w:val="17"/>
              <w:szCs w:val="17"/>
            </w:rPr>
            <w:t>E-mail:</w:t>
          </w:r>
        </w:p>
      </w:tc>
      <w:tc>
        <w:tcPr>
          <w:tcW w:w="2977" w:type="dxa"/>
          <w:shd w:val="clear" w:color="auto" w:fill="auto"/>
          <w:vAlign w:val="center"/>
        </w:tcPr>
        <w:p w14:paraId="4569BE47" w14:textId="064710C4" w:rsidR="00634FC9" w:rsidRPr="00585988" w:rsidRDefault="00BC346C" w:rsidP="00BC346C">
          <w:pPr>
            <w:jc w:val="left"/>
            <w:rPr>
              <w:color w:val="002957"/>
              <w:sz w:val="17"/>
              <w:szCs w:val="17"/>
            </w:rPr>
          </w:pPr>
          <w:r>
            <w:rPr>
              <w:color w:val="002957"/>
              <w:sz w:val="17"/>
              <w:szCs w:val="17"/>
            </w:rPr>
            <w:t>Prudential@insuranceeurope.eu</w:t>
          </w:r>
        </w:p>
      </w:tc>
    </w:tr>
    <w:tr w:rsidR="006D28F1" w:rsidRPr="000D41DA" w14:paraId="4569BE4D" w14:textId="77777777" w:rsidTr="00974483">
      <w:trPr>
        <w:cantSplit/>
        <w:trHeight w:hRule="exact" w:val="584"/>
      </w:trPr>
      <w:tc>
        <w:tcPr>
          <w:tcW w:w="1394" w:type="dxa"/>
          <w:shd w:val="clear" w:color="auto" w:fill="auto"/>
          <w:vAlign w:val="center"/>
        </w:tcPr>
        <w:p w14:paraId="4569BE49" w14:textId="77777777" w:rsidR="00634FC9" w:rsidRPr="0085650F" w:rsidRDefault="00152882" w:rsidP="00E20AAF">
          <w:pPr>
            <w:pStyle w:val="CEALabel"/>
            <w:rPr>
              <w:b w:val="0"/>
              <w:color w:val="002957"/>
              <w:sz w:val="17"/>
              <w:szCs w:val="17"/>
            </w:rPr>
          </w:pPr>
          <w:r w:rsidRPr="0085650F">
            <w:rPr>
              <w:b w:val="0"/>
              <w:color w:val="002957"/>
              <w:sz w:val="17"/>
              <w:szCs w:val="17"/>
            </w:rPr>
            <w:t xml:space="preserve">Pages: </w:t>
          </w:r>
        </w:p>
      </w:tc>
      <w:tc>
        <w:tcPr>
          <w:tcW w:w="3557" w:type="dxa"/>
          <w:shd w:val="clear" w:color="auto" w:fill="auto"/>
          <w:vAlign w:val="center"/>
        </w:tcPr>
        <w:p w14:paraId="4569BE4A" w14:textId="77777777" w:rsidR="00634FC9" w:rsidRPr="00585988" w:rsidRDefault="00152882" w:rsidP="00E20AAF">
          <w:pPr>
            <w:rPr>
              <w:color w:val="002957"/>
              <w:spacing w:val="-4"/>
              <w:w w:val="90"/>
              <w:sz w:val="17"/>
              <w:szCs w:val="17"/>
            </w:rPr>
          </w:pPr>
          <w:r w:rsidRPr="00585988">
            <w:rPr>
              <w:rStyle w:val="PageNumber"/>
              <w:color w:val="002957"/>
              <w:sz w:val="17"/>
              <w:szCs w:val="17"/>
            </w:rPr>
            <w:fldChar w:fldCharType="begin"/>
          </w:r>
          <w:r w:rsidRPr="00585988">
            <w:rPr>
              <w:rStyle w:val="PageNumber"/>
              <w:color w:val="002957"/>
              <w:sz w:val="17"/>
              <w:szCs w:val="17"/>
            </w:rPr>
            <w:instrText xml:space="preserve"> NUMPAGES </w:instrText>
          </w:r>
          <w:r w:rsidRPr="00585988">
            <w:rPr>
              <w:rStyle w:val="PageNumber"/>
              <w:color w:val="002957"/>
              <w:sz w:val="17"/>
              <w:szCs w:val="17"/>
            </w:rPr>
            <w:fldChar w:fldCharType="separate"/>
          </w:r>
          <w:r w:rsidR="006B47BE">
            <w:rPr>
              <w:rStyle w:val="PageNumber"/>
              <w:noProof/>
              <w:color w:val="002957"/>
              <w:sz w:val="17"/>
              <w:szCs w:val="17"/>
            </w:rPr>
            <w:t>5</w:t>
          </w:r>
          <w:r w:rsidRPr="00585988">
            <w:rPr>
              <w:rStyle w:val="PageNumber"/>
              <w:color w:val="002957"/>
              <w:sz w:val="17"/>
              <w:szCs w:val="17"/>
            </w:rPr>
            <w:fldChar w:fldCharType="end"/>
          </w:r>
        </w:p>
      </w:tc>
      <w:tc>
        <w:tcPr>
          <w:tcW w:w="1570" w:type="dxa"/>
          <w:shd w:val="clear" w:color="auto" w:fill="auto"/>
          <w:vAlign w:val="center"/>
        </w:tcPr>
        <w:p w14:paraId="4569BE4B" w14:textId="77777777" w:rsidR="00634FC9" w:rsidRPr="00585988" w:rsidRDefault="00974483" w:rsidP="001C24A2">
          <w:pPr>
            <w:ind w:right="-117"/>
            <w:rPr>
              <w:b/>
              <w:color w:val="002957"/>
              <w:sz w:val="17"/>
              <w:szCs w:val="17"/>
            </w:rPr>
          </w:pPr>
          <w:r>
            <w:rPr>
              <w:rFonts w:cs="Arial"/>
              <w:color w:val="002957"/>
              <w:sz w:val="17"/>
              <w:szCs w:val="17"/>
            </w:rPr>
            <w:t xml:space="preserve">Transparency Register </w:t>
          </w:r>
          <w:r w:rsidR="00152882" w:rsidRPr="00585988">
            <w:rPr>
              <w:rFonts w:cs="Arial"/>
              <w:color w:val="002957"/>
              <w:sz w:val="17"/>
              <w:szCs w:val="17"/>
            </w:rPr>
            <w:t>ID no.:</w:t>
          </w:r>
        </w:p>
      </w:tc>
      <w:tc>
        <w:tcPr>
          <w:tcW w:w="2977" w:type="dxa"/>
          <w:shd w:val="clear" w:color="auto" w:fill="auto"/>
          <w:vAlign w:val="center"/>
        </w:tcPr>
        <w:p w14:paraId="4569BE4C" w14:textId="77777777" w:rsidR="00634FC9" w:rsidRPr="00585988" w:rsidRDefault="00152882" w:rsidP="00E20AAF">
          <w:pPr>
            <w:rPr>
              <w:color w:val="002957"/>
              <w:sz w:val="17"/>
              <w:szCs w:val="17"/>
            </w:rPr>
          </w:pPr>
          <w:r w:rsidRPr="00585988">
            <w:rPr>
              <w:rFonts w:cs="Tahoma"/>
              <w:color w:val="002957"/>
              <w:sz w:val="17"/>
              <w:szCs w:val="17"/>
            </w:rPr>
            <w:t>33213703459-54</w:t>
          </w:r>
        </w:p>
      </w:tc>
    </w:tr>
  </w:tbl>
  <w:p w14:paraId="4569BE4E" w14:textId="77777777" w:rsidR="00634FC9" w:rsidRPr="000D41DA" w:rsidRDefault="006B47BE" w:rsidP="00634FC9">
    <w:pPr>
      <w:rPr>
        <w:b/>
        <w:sz w:val="22"/>
        <w:szCs w:val="22"/>
      </w:rPr>
    </w:pPr>
  </w:p>
  <w:p w14:paraId="4569BE4F" w14:textId="77777777" w:rsidR="009F1297" w:rsidRPr="000D41DA" w:rsidRDefault="006B47BE" w:rsidP="009F12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4C51C" w14:textId="77777777" w:rsidR="00BC346C" w:rsidRPr="00323E1C" w:rsidRDefault="00BC346C" w:rsidP="00DB1FC4">
    <w:pPr>
      <w:pStyle w:val="Noparagraphstyle"/>
      <w:jc w:val="right"/>
      <w:rPr>
        <w:rFonts w:ascii="Verdana" w:hAnsi="Verdana"/>
        <w:sz w:val="18"/>
        <w:szCs w:val="18"/>
      </w:rPr>
    </w:pPr>
    <w:r w:rsidRPr="000D41DA">
      <w:rPr>
        <w:rFonts w:ascii="Frutiger LT Com 45 Light" w:hAnsi="Frutiger LT Com 45 Light"/>
        <w:noProof/>
        <w:lang w:val="en-GB" w:eastAsia="en-GB"/>
      </w:rPr>
      <w:drawing>
        <wp:anchor distT="0" distB="0" distL="114300" distR="114300" simplePos="0" relativeHeight="251658240" behindDoc="0" locked="0" layoutInCell="1" allowOverlap="1" wp14:anchorId="23624EA8" wp14:editId="0D703CF4">
          <wp:simplePos x="0" y="0"/>
          <wp:positionH relativeFrom="page">
            <wp:posOffset>530087</wp:posOffset>
          </wp:positionH>
          <wp:positionV relativeFrom="page">
            <wp:posOffset>388620</wp:posOffset>
          </wp:positionV>
          <wp:extent cx="1457325" cy="895350"/>
          <wp:effectExtent l="19050" t="0" r="0" b="0"/>
          <wp:wrapSquare wrapText="bothSides"/>
          <wp:docPr id="5"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7325" cy="895350"/>
                  </a:xfrm>
                  <a:prstGeom prst="rect">
                    <a:avLst/>
                  </a:prstGeom>
                  <a:noFill/>
                </pic:spPr>
              </pic:pic>
            </a:graphicData>
          </a:graphic>
        </wp:anchor>
      </w:drawing>
    </w:r>
  </w:p>
  <w:p w14:paraId="591A8C27" w14:textId="77777777" w:rsidR="00BC346C" w:rsidRPr="0085650F" w:rsidRDefault="00BC346C" w:rsidP="00DB1FC4">
    <w:pPr>
      <w:pStyle w:val="Noparagraphstyle"/>
      <w:jc w:val="right"/>
      <w:rPr>
        <w:rFonts w:ascii="Verdana" w:hAnsi="Verdana" w:cs="Arial"/>
        <w:i/>
        <w:iCs/>
        <w:color w:val="034EA2"/>
      </w:rPr>
    </w:pPr>
    <w:r w:rsidRPr="00323E1C">
      <w:rPr>
        <w:rFonts w:ascii="Verdana" w:hAnsi="Verdana"/>
      </w:rPr>
      <w:tab/>
    </w:r>
  </w:p>
  <w:p w14:paraId="6A7F8ADC" w14:textId="77777777" w:rsidR="00BC346C" w:rsidRPr="00491802" w:rsidRDefault="00BC346C" w:rsidP="00DB1FC4">
    <w:pPr>
      <w:pStyle w:val="Header"/>
      <w:tabs>
        <w:tab w:val="clear" w:pos="4320"/>
        <w:tab w:val="clear" w:pos="8640"/>
        <w:tab w:val="center" w:pos="0"/>
        <w:tab w:val="right" w:pos="1044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102D" w14:textId="77777777" w:rsidR="00BC346C" w:rsidRPr="00323E1C" w:rsidRDefault="00BC346C" w:rsidP="00DB1FC4">
    <w:pPr>
      <w:pStyle w:val="Noparagraphstyle"/>
      <w:jc w:val="right"/>
      <w:rPr>
        <w:rFonts w:ascii="Verdana" w:hAnsi="Verdana"/>
        <w:sz w:val="18"/>
        <w:szCs w:val="18"/>
      </w:rPr>
    </w:pPr>
    <w:r w:rsidRPr="000D41DA">
      <w:rPr>
        <w:rFonts w:ascii="Frutiger LT Com 45 Light" w:hAnsi="Frutiger LT Com 45 Light"/>
        <w:noProof/>
        <w:sz w:val="18"/>
        <w:szCs w:val="18"/>
        <w:lang w:val="en-GB" w:eastAsia="en-GB"/>
      </w:rPr>
      <w:drawing>
        <wp:anchor distT="0" distB="0" distL="114300" distR="114300" simplePos="0" relativeHeight="251655168" behindDoc="0" locked="0" layoutInCell="1" allowOverlap="1" wp14:anchorId="25DF1FC7" wp14:editId="7BD2E58A">
          <wp:simplePos x="0" y="0"/>
          <wp:positionH relativeFrom="page">
            <wp:posOffset>523875</wp:posOffset>
          </wp:positionH>
          <wp:positionV relativeFrom="page">
            <wp:posOffset>523875</wp:posOffset>
          </wp:positionV>
          <wp:extent cx="1457325" cy="895350"/>
          <wp:effectExtent l="19050" t="0" r="0" b="0"/>
          <wp:wrapSquare wrapText="bothSides"/>
          <wp:docPr id="6"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6193" cy="895350"/>
                  </a:xfrm>
                  <a:prstGeom prst="rect">
                    <a:avLst/>
                  </a:prstGeom>
                  <a:noFill/>
                </pic:spPr>
              </pic:pic>
            </a:graphicData>
          </a:graphic>
        </wp:anchor>
      </w:drawing>
    </w:r>
  </w:p>
  <w:p w14:paraId="163E4FC3" w14:textId="77777777" w:rsidR="00BC346C" w:rsidRDefault="00BC346C">
    <w:pPr>
      <w:pStyle w:val="Header"/>
    </w:pPr>
  </w:p>
  <w:p w14:paraId="6F86B544" w14:textId="77777777" w:rsidR="00BC346C" w:rsidRDefault="00BC346C">
    <w:pPr>
      <w:pStyle w:val="Header"/>
    </w:pPr>
  </w:p>
  <w:p w14:paraId="1DE4F235" w14:textId="77777777" w:rsidR="00BC346C" w:rsidRDefault="00BC346C">
    <w:pPr>
      <w:pStyle w:val="Header"/>
    </w:pPr>
  </w:p>
  <w:p w14:paraId="732CA282" w14:textId="77777777" w:rsidR="00BC346C" w:rsidRDefault="00BC346C" w:rsidP="00DB1FC4">
    <w:pPr>
      <w:jc w:val="right"/>
    </w:pPr>
  </w:p>
  <w:p w14:paraId="12634B77" w14:textId="77777777" w:rsidR="00BC346C" w:rsidRDefault="00BC346C" w:rsidP="00DB1FC4">
    <w:pPr>
      <w:jc w:val="right"/>
      <w:rPr>
        <w:rFonts w:cs="Arial"/>
        <w:b/>
        <w:color w:val="034EA2"/>
        <w:sz w:val="40"/>
        <w:szCs w:val="40"/>
      </w:rPr>
    </w:pPr>
    <w:r>
      <w:tab/>
    </w:r>
    <w: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r w:rsidRPr="0085650F">
      <w:rPr>
        <w:rFonts w:cs="Arial"/>
        <w:b/>
        <w:color w:val="034EA2"/>
        <w:sz w:val="40"/>
        <w:szCs w:val="40"/>
      </w:rPr>
      <w:tab/>
    </w:r>
  </w:p>
  <w:p w14:paraId="0652DFFD" w14:textId="77777777" w:rsidR="00BC346C" w:rsidRPr="003C1F8F" w:rsidRDefault="00BC346C" w:rsidP="00DB1FC4">
    <w:pPr>
      <w:rPr>
        <w:color w:val="002957"/>
      </w:rPr>
    </w:pPr>
  </w:p>
  <w:p w14:paraId="34679286" w14:textId="77777777" w:rsidR="00BC346C" w:rsidRPr="00883F7A" w:rsidRDefault="00BC346C" w:rsidP="00DB1FC4">
    <w:pPr>
      <w:pStyle w:val="CEAPositionPaperTitle"/>
      <w:ind w:left="567"/>
      <w:rPr>
        <w:b w:val="0"/>
        <w:color w:val="002957"/>
        <w:sz w:val="28"/>
        <w:szCs w:val="28"/>
      </w:rPr>
    </w:pPr>
    <w:r w:rsidRPr="00883F7A">
      <w:rPr>
        <w:b w:val="0"/>
        <w:color w:val="002957"/>
        <w:sz w:val="28"/>
        <w:szCs w:val="28"/>
      </w:rPr>
      <w:t>Insurance Europe response to ESAs draft joint guidelines on the prudential assessment of acquisitions and increases of qualifying holdings in the financial sector</w:t>
    </w:r>
  </w:p>
  <w:p w14:paraId="046CFF91" w14:textId="77777777" w:rsidR="00BC346C" w:rsidRPr="00883F7A" w:rsidRDefault="00BC346C" w:rsidP="00DB1FC4"/>
  <w:p w14:paraId="64950BD4" w14:textId="77777777" w:rsidR="00BC346C" w:rsidRPr="00883F7A" w:rsidRDefault="00BC346C" w:rsidP="00DB1FC4">
    <w:r>
      <w:rPr>
        <w:noProof/>
        <w:lang w:eastAsia="en-GB"/>
      </w:rPr>
      <mc:AlternateContent>
        <mc:Choice Requires="wps">
          <w:drawing>
            <wp:anchor distT="0" distB="0" distL="114300" distR="114300" simplePos="0" relativeHeight="251659264" behindDoc="1" locked="1" layoutInCell="1" allowOverlap="1" wp14:anchorId="64BCCD93" wp14:editId="3A2776B7">
              <wp:simplePos x="0" y="0"/>
              <wp:positionH relativeFrom="page">
                <wp:posOffset>923925</wp:posOffset>
              </wp:positionH>
              <wp:positionV relativeFrom="paragraph">
                <wp:posOffset>85090</wp:posOffset>
              </wp:positionV>
              <wp:extent cx="6076315" cy="2051685"/>
              <wp:effectExtent l="9525" t="8890" r="10160" b="63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2051685"/>
                      </a:xfrm>
                      <a:prstGeom prst="roundRect">
                        <a:avLst>
                          <a:gd name="adj" fmla="val 16667"/>
                        </a:avLst>
                      </a:prstGeom>
                      <a:noFill/>
                      <a:ln w="6350">
                        <a:solidFill>
                          <a:srgbClr val="82C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31C34" id="AutoShape 18" o:spid="_x0000_s1026" style="position:absolute;margin-left:72.75pt;margin-top:6.7pt;width:478.45pt;height:16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" filled="f" strokecolor="#82c55b" strokeweight=".5pt">
              <w10:wrap anchorx="page"/>
              <w10:anchorlock/>
            </v:roundrect>
          </w:pict>
        </mc:Fallback>
      </mc:AlternateContent>
    </w:r>
  </w:p>
  <w:tbl>
    <w:tblPr>
      <w:tblW w:w="9498" w:type="dxa"/>
      <w:tblInd w:w="675" w:type="dxa"/>
      <w:tblBorders>
        <w:insideH w:val="single" w:sz="4" w:space="0" w:color="82C55B"/>
      </w:tblBorders>
      <w:tblLayout w:type="fixed"/>
      <w:tblLook w:val="0000" w:firstRow="0" w:lastRow="0" w:firstColumn="0" w:lastColumn="0" w:noHBand="0" w:noVBand="0"/>
    </w:tblPr>
    <w:tblGrid>
      <w:gridCol w:w="1394"/>
      <w:gridCol w:w="3557"/>
      <w:gridCol w:w="1570"/>
      <w:gridCol w:w="2977"/>
    </w:tblGrid>
    <w:tr w:rsidR="00BC346C" w:rsidRPr="000D41DA" w14:paraId="6F1AEBC0" w14:textId="77777777" w:rsidTr="00974483">
      <w:trPr>
        <w:cantSplit/>
        <w:trHeight w:hRule="exact" w:val="584"/>
      </w:trPr>
      <w:tc>
        <w:tcPr>
          <w:tcW w:w="1394" w:type="dxa"/>
          <w:shd w:val="clear" w:color="auto" w:fill="auto"/>
          <w:vAlign w:val="center"/>
        </w:tcPr>
        <w:p w14:paraId="44F3C006" w14:textId="77777777" w:rsidR="00BC346C" w:rsidRPr="0085650F" w:rsidRDefault="00BC346C" w:rsidP="00DB1FC4">
          <w:pPr>
            <w:pStyle w:val="CEALabel"/>
            <w:rPr>
              <w:b w:val="0"/>
              <w:color w:val="002957"/>
              <w:sz w:val="17"/>
              <w:szCs w:val="17"/>
            </w:rPr>
          </w:pPr>
          <w:r w:rsidRPr="0085650F">
            <w:rPr>
              <w:b w:val="0"/>
              <w:color w:val="002957"/>
              <w:sz w:val="17"/>
              <w:szCs w:val="17"/>
            </w:rPr>
            <w:t xml:space="preserve">Our reference: </w:t>
          </w:r>
        </w:p>
      </w:tc>
      <w:tc>
        <w:tcPr>
          <w:tcW w:w="3557" w:type="dxa"/>
          <w:shd w:val="clear" w:color="auto" w:fill="auto"/>
          <w:vAlign w:val="center"/>
        </w:tcPr>
        <w:p w14:paraId="561A7142" w14:textId="05349C07" w:rsidR="00BC346C" w:rsidRPr="00585988" w:rsidRDefault="006B47BE" w:rsidP="0008034A">
          <w:pPr>
            <w:jc w:val="left"/>
            <w:rPr>
              <w:color w:val="002957"/>
              <w:sz w:val="17"/>
              <w:szCs w:val="17"/>
            </w:rPr>
          </w:pPr>
          <w:sdt>
            <w:sdtPr>
              <w:rPr>
                <w:color w:val="002957"/>
                <w:sz w:val="17"/>
                <w:szCs w:val="17"/>
              </w:rPr>
              <w:alias w:val="Reference"/>
              <w:tag w:val="Reference"/>
              <w:id w:val="854771706"/>
              <w:placeholder>
                <w:docPart w:val="C599D63AA9CF4AA08BF74B58D808EA35"/>
              </w:placeholder>
              <w:dataBinding w:prefixMappings="xmlns:ns0='http://schemas.microsoft.com/office/2006/metadata/properties' xmlns:ns1='http://www.w3.org/2001/XMLSchema-instance' xmlns:ns2='http://schemas.microsoft.com/office/infopath/2007/PartnerControls' xmlns:ns3='e0da4f5e-37e5-4fce-b2cf-d2352e4e27d6' xmlns:ns4='d113e6c9-68c2-4198-bb3a-f8ecf571e120' " w:xpath="/ns0:properties[1]/documentManagement[1]/ns4:Reference[1]" w:storeItemID="{B35485A1-11AA-442D-8577-727460E39C5A}"/>
              <w:text/>
            </w:sdtPr>
            <w:sdtEndPr/>
            <w:sdtContent>
              <w:r w:rsidR="00C727B8">
                <w:rPr>
                  <w:color w:val="002957"/>
                  <w:sz w:val="17"/>
                  <w:szCs w:val="17"/>
                </w:rPr>
                <w:t>ECO-SLV-15-404</w:t>
              </w:r>
            </w:sdtContent>
          </w:sdt>
        </w:p>
      </w:tc>
      <w:tc>
        <w:tcPr>
          <w:tcW w:w="1570" w:type="dxa"/>
          <w:shd w:val="clear" w:color="auto" w:fill="auto"/>
          <w:vAlign w:val="center"/>
        </w:tcPr>
        <w:p w14:paraId="4F77CAF7" w14:textId="77777777" w:rsidR="00BC346C" w:rsidRPr="0085650F" w:rsidRDefault="00BC346C" w:rsidP="00DB1FC4">
          <w:pPr>
            <w:pStyle w:val="CEALabel"/>
            <w:rPr>
              <w:b w:val="0"/>
              <w:color w:val="002957"/>
              <w:sz w:val="17"/>
              <w:szCs w:val="17"/>
            </w:rPr>
          </w:pPr>
          <w:r w:rsidRPr="0085650F">
            <w:rPr>
              <w:b w:val="0"/>
              <w:color w:val="002957"/>
              <w:sz w:val="17"/>
              <w:szCs w:val="17"/>
            </w:rPr>
            <w:t>Date:</w:t>
          </w:r>
        </w:p>
      </w:tc>
      <w:tc>
        <w:tcPr>
          <w:tcW w:w="2977" w:type="dxa"/>
          <w:shd w:val="clear" w:color="auto" w:fill="auto"/>
          <w:vAlign w:val="center"/>
        </w:tcPr>
        <w:p w14:paraId="41B24557" w14:textId="77777777" w:rsidR="00BC346C" w:rsidRPr="00585988" w:rsidRDefault="00BC346C" w:rsidP="00C17701">
          <w:pPr>
            <w:jc w:val="left"/>
            <w:rPr>
              <w:color w:val="002957"/>
              <w:sz w:val="17"/>
              <w:szCs w:val="17"/>
            </w:rPr>
          </w:pPr>
          <w:r>
            <w:rPr>
              <w:color w:val="002957"/>
              <w:sz w:val="17"/>
              <w:szCs w:val="17"/>
            </w:rPr>
            <w:t>28 September 2015</w:t>
          </w:r>
          <w:r w:rsidRPr="00585988">
            <w:rPr>
              <w:color w:val="002957"/>
              <w:sz w:val="17"/>
              <w:szCs w:val="17"/>
            </w:rPr>
            <w:t xml:space="preserve"> </w:t>
          </w:r>
        </w:p>
      </w:tc>
    </w:tr>
    <w:tr w:rsidR="00BC346C" w:rsidRPr="000D41DA" w14:paraId="42D8B3B1" w14:textId="77777777" w:rsidTr="00974483">
      <w:trPr>
        <w:cantSplit/>
        <w:trHeight w:hRule="exact" w:val="584"/>
      </w:trPr>
      <w:tc>
        <w:tcPr>
          <w:tcW w:w="1394" w:type="dxa"/>
          <w:shd w:val="clear" w:color="auto" w:fill="auto"/>
          <w:vAlign w:val="center"/>
        </w:tcPr>
        <w:p w14:paraId="76D31A16" w14:textId="77777777" w:rsidR="00BC346C" w:rsidRPr="0085650F" w:rsidRDefault="00BC346C" w:rsidP="00DB1FC4">
          <w:pPr>
            <w:pStyle w:val="CEALabel"/>
            <w:rPr>
              <w:b w:val="0"/>
              <w:color w:val="002957"/>
              <w:sz w:val="17"/>
              <w:szCs w:val="17"/>
            </w:rPr>
          </w:pPr>
          <w:r w:rsidRPr="0085650F">
            <w:rPr>
              <w:b w:val="0"/>
              <w:color w:val="002957"/>
              <w:sz w:val="17"/>
              <w:szCs w:val="17"/>
            </w:rPr>
            <w:t>Referring to:</w:t>
          </w:r>
        </w:p>
      </w:tc>
      <w:tc>
        <w:tcPr>
          <w:tcW w:w="3557" w:type="dxa"/>
          <w:shd w:val="clear" w:color="auto" w:fill="auto"/>
          <w:vAlign w:val="center"/>
        </w:tcPr>
        <w:p w14:paraId="1B9CA938" w14:textId="77777777" w:rsidR="00BC346C" w:rsidRPr="00585988" w:rsidRDefault="00BC346C" w:rsidP="00DB1FC4">
          <w:pPr>
            <w:jc w:val="left"/>
            <w:rPr>
              <w:color w:val="002957"/>
              <w:sz w:val="17"/>
              <w:szCs w:val="17"/>
            </w:rPr>
          </w:pPr>
        </w:p>
      </w:tc>
      <w:tc>
        <w:tcPr>
          <w:tcW w:w="1570" w:type="dxa"/>
          <w:shd w:val="clear" w:color="auto" w:fill="auto"/>
          <w:vAlign w:val="center"/>
        </w:tcPr>
        <w:p w14:paraId="64147A1F" w14:textId="77777777" w:rsidR="00BC346C" w:rsidRPr="00585988" w:rsidRDefault="00BC346C" w:rsidP="00DB1FC4">
          <w:pPr>
            <w:rPr>
              <w:color w:val="002957"/>
              <w:sz w:val="17"/>
              <w:szCs w:val="17"/>
            </w:rPr>
          </w:pPr>
        </w:p>
      </w:tc>
      <w:tc>
        <w:tcPr>
          <w:tcW w:w="2977" w:type="dxa"/>
          <w:shd w:val="clear" w:color="auto" w:fill="auto"/>
          <w:vAlign w:val="center"/>
        </w:tcPr>
        <w:p w14:paraId="009DDA9F" w14:textId="77777777" w:rsidR="00BC346C" w:rsidRPr="00585988" w:rsidRDefault="00BC346C" w:rsidP="00DB1FC4">
          <w:pPr>
            <w:jc w:val="left"/>
            <w:rPr>
              <w:color w:val="002957"/>
              <w:sz w:val="17"/>
              <w:szCs w:val="17"/>
            </w:rPr>
          </w:pPr>
        </w:p>
      </w:tc>
    </w:tr>
    <w:tr w:rsidR="00BC346C" w:rsidRPr="000D41DA" w14:paraId="578AD66C" w14:textId="77777777" w:rsidTr="00974483">
      <w:trPr>
        <w:cantSplit/>
        <w:trHeight w:hRule="exact" w:val="584"/>
      </w:trPr>
      <w:tc>
        <w:tcPr>
          <w:tcW w:w="1394" w:type="dxa"/>
          <w:shd w:val="clear" w:color="auto" w:fill="auto"/>
          <w:vAlign w:val="center"/>
        </w:tcPr>
        <w:p w14:paraId="0E727468" w14:textId="77777777" w:rsidR="00BC346C" w:rsidRPr="0085650F" w:rsidRDefault="00BC346C" w:rsidP="00DB1FC4">
          <w:pPr>
            <w:pStyle w:val="CEALabel"/>
            <w:rPr>
              <w:b w:val="0"/>
              <w:color w:val="002957"/>
              <w:sz w:val="17"/>
              <w:szCs w:val="17"/>
            </w:rPr>
          </w:pPr>
          <w:r w:rsidRPr="0085650F">
            <w:rPr>
              <w:b w:val="0"/>
              <w:color w:val="002957"/>
              <w:sz w:val="17"/>
              <w:szCs w:val="17"/>
            </w:rPr>
            <w:t>Related documents:</w:t>
          </w:r>
        </w:p>
      </w:tc>
      <w:tc>
        <w:tcPr>
          <w:tcW w:w="3557" w:type="dxa"/>
          <w:shd w:val="clear" w:color="auto" w:fill="auto"/>
          <w:vAlign w:val="center"/>
        </w:tcPr>
        <w:p w14:paraId="57E87652" w14:textId="3647405E" w:rsidR="00BC346C" w:rsidRPr="00585988" w:rsidRDefault="00BC346C" w:rsidP="00FB3370">
          <w:pPr>
            <w:jc w:val="left"/>
            <w:rPr>
              <w:color w:val="002957"/>
              <w:sz w:val="17"/>
              <w:szCs w:val="17"/>
            </w:rPr>
          </w:pPr>
          <w:r w:rsidRPr="00585988">
            <w:rPr>
              <w:color w:val="002957"/>
              <w:sz w:val="17"/>
              <w:szCs w:val="17"/>
            </w:rPr>
            <w:t xml:space="preserve"> </w:t>
          </w:r>
          <w:r>
            <w:rPr>
              <w:color w:val="002957"/>
              <w:sz w:val="17"/>
              <w:szCs w:val="17"/>
            </w:rPr>
            <w:t>ECO-SLV-15-351</w:t>
          </w:r>
        </w:p>
      </w:tc>
      <w:tc>
        <w:tcPr>
          <w:tcW w:w="1570" w:type="dxa"/>
          <w:shd w:val="clear" w:color="auto" w:fill="auto"/>
          <w:vAlign w:val="center"/>
        </w:tcPr>
        <w:p w14:paraId="0C101F01" w14:textId="77777777" w:rsidR="00BC346C" w:rsidRPr="00585988" w:rsidRDefault="00BC346C" w:rsidP="00DB1FC4">
          <w:pPr>
            <w:rPr>
              <w:color w:val="002957"/>
              <w:sz w:val="17"/>
              <w:szCs w:val="17"/>
            </w:rPr>
          </w:pPr>
        </w:p>
      </w:tc>
      <w:tc>
        <w:tcPr>
          <w:tcW w:w="2977" w:type="dxa"/>
          <w:shd w:val="clear" w:color="auto" w:fill="auto"/>
          <w:vAlign w:val="center"/>
        </w:tcPr>
        <w:p w14:paraId="61821C76" w14:textId="77777777" w:rsidR="00BC346C" w:rsidRPr="00585988" w:rsidRDefault="00BC346C" w:rsidP="00DB1FC4">
          <w:pPr>
            <w:jc w:val="left"/>
            <w:rPr>
              <w:b/>
              <w:color w:val="002957"/>
              <w:sz w:val="17"/>
              <w:szCs w:val="17"/>
            </w:rPr>
          </w:pPr>
        </w:p>
      </w:tc>
    </w:tr>
    <w:tr w:rsidR="00BC346C" w:rsidRPr="000D41DA" w14:paraId="5141C878" w14:textId="77777777" w:rsidTr="00974483">
      <w:trPr>
        <w:cantSplit/>
        <w:trHeight w:hRule="exact" w:val="584"/>
      </w:trPr>
      <w:tc>
        <w:tcPr>
          <w:tcW w:w="1394" w:type="dxa"/>
          <w:shd w:val="clear" w:color="auto" w:fill="auto"/>
          <w:vAlign w:val="center"/>
        </w:tcPr>
        <w:p w14:paraId="0450DB3C" w14:textId="77777777" w:rsidR="00BC346C" w:rsidRPr="0085650F" w:rsidRDefault="00BC346C" w:rsidP="00DB1FC4">
          <w:pPr>
            <w:pStyle w:val="CEALabel"/>
            <w:rPr>
              <w:b w:val="0"/>
              <w:color w:val="002957"/>
              <w:sz w:val="17"/>
              <w:szCs w:val="17"/>
            </w:rPr>
          </w:pPr>
          <w:r w:rsidRPr="0085650F">
            <w:rPr>
              <w:b w:val="0"/>
              <w:color w:val="002957"/>
              <w:sz w:val="17"/>
              <w:szCs w:val="17"/>
            </w:rPr>
            <w:t>Contact person:</w:t>
          </w:r>
        </w:p>
      </w:tc>
      <w:tc>
        <w:tcPr>
          <w:tcW w:w="3557" w:type="dxa"/>
          <w:shd w:val="clear" w:color="auto" w:fill="auto"/>
          <w:vAlign w:val="center"/>
        </w:tcPr>
        <w:p w14:paraId="2CF732C9" w14:textId="77777777" w:rsidR="00BC346C" w:rsidRPr="00585988" w:rsidRDefault="00BC346C" w:rsidP="00DB1FC4">
          <w:pPr>
            <w:jc w:val="left"/>
            <w:rPr>
              <w:color w:val="002957"/>
              <w:sz w:val="17"/>
              <w:szCs w:val="17"/>
            </w:rPr>
          </w:pPr>
          <w:r>
            <w:rPr>
              <w:color w:val="002957"/>
              <w:sz w:val="17"/>
              <w:szCs w:val="17"/>
            </w:rPr>
            <w:t>Prudential Regulation</w:t>
          </w:r>
          <w:r w:rsidRPr="00E86666">
            <w:rPr>
              <w:color w:val="002957"/>
              <w:sz w:val="17"/>
              <w:szCs w:val="17"/>
            </w:rPr>
            <w:t xml:space="preserve"> </w:t>
          </w:r>
        </w:p>
      </w:tc>
      <w:tc>
        <w:tcPr>
          <w:tcW w:w="1570" w:type="dxa"/>
          <w:shd w:val="clear" w:color="auto" w:fill="auto"/>
          <w:vAlign w:val="center"/>
        </w:tcPr>
        <w:p w14:paraId="22642662" w14:textId="77777777" w:rsidR="00BC346C" w:rsidRPr="0085650F" w:rsidRDefault="00BC346C" w:rsidP="00DB1FC4">
          <w:pPr>
            <w:pStyle w:val="CEALabel"/>
            <w:rPr>
              <w:b w:val="0"/>
              <w:color w:val="002957"/>
              <w:sz w:val="17"/>
              <w:szCs w:val="17"/>
            </w:rPr>
          </w:pPr>
          <w:r w:rsidRPr="0085650F">
            <w:rPr>
              <w:b w:val="0"/>
              <w:color w:val="002957"/>
              <w:sz w:val="17"/>
              <w:szCs w:val="17"/>
            </w:rPr>
            <w:t>E-mail:</w:t>
          </w:r>
        </w:p>
      </w:tc>
      <w:tc>
        <w:tcPr>
          <w:tcW w:w="2977" w:type="dxa"/>
          <w:shd w:val="clear" w:color="auto" w:fill="auto"/>
          <w:vAlign w:val="center"/>
        </w:tcPr>
        <w:p w14:paraId="77213D83" w14:textId="77777777" w:rsidR="00BC346C" w:rsidRPr="00585988" w:rsidRDefault="00BC346C" w:rsidP="00DB1FC4">
          <w:pPr>
            <w:jc w:val="left"/>
            <w:rPr>
              <w:color w:val="002957"/>
              <w:sz w:val="17"/>
              <w:szCs w:val="17"/>
            </w:rPr>
          </w:pPr>
          <w:r>
            <w:rPr>
              <w:color w:val="002957"/>
              <w:sz w:val="17"/>
              <w:szCs w:val="17"/>
            </w:rPr>
            <w:t>Prudential@insuranceeurope.eu</w:t>
          </w:r>
        </w:p>
      </w:tc>
    </w:tr>
    <w:tr w:rsidR="00BC346C" w:rsidRPr="000D41DA" w14:paraId="04C9ACD8" w14:textId="77777777" w:rsidTr="00974483">
      <w:trPr>
        <w:cantSplit/>
        <w:trHeight w:hRule="exact" w:val="584"/>
      </w:trPr>
      <w:tc>
        <w:tcPr>
          <w:tcW w:w="1394" w:type="dxa"/>
          <w:shd w:val="clear" w:color="auto" w:fill="auto"/>
          <w:vAlign w:val="center"/>
        </w:tcPr>
        <w:p w14:paraId="63B4836D" w14:textId="77777777" w:rsidR="00BC346C" w:rsidRPr="0085650F" w:rsidRDefault="00BC346C" w:rsidP="00DB1FC4">
          <w:pPr>
            <w:pStyle w:val="CEALabel"/>
            <w:rPr>
              <w:b w:val="0"/>
              <w:color w:val="002957"/>
              <w:sz w:val="17"/>
              <w:szCs w:val="17"/>
            </w:rPr>
          </w:pPr>
          <w:r w:rsidRPr="0085650F">
            <w:rPr>
              <w:b w:val="0"/>
              <w:color w:val="002957"/>
              <w:sz w:val="17"/>
              <w:szCs w:val="17"/>
            </w:rPr>
            <w:t xml:space="preserve">Pages: </w:t>
          </w:r>
        </w:p>
      </w:tc>
      <w:tc>
        <w:tcPr>
          <w:tcW w:w="3557" w:type="dxa"/>
          <w:shd w:val="clear" w:color="auto" w:fill="auto"/>
          <w:vAlign w:val="center"/>
        </w:tcPr>
        <w:p w14:paraId="1F22D2A7" w14:textId="77777777" w:rsidR="00BC346C" w:rsidRPr="00585988" w:rsidRDefault="00BC346C" w:rsidP="00DB1FC4">
          <w:pPr>
            <w:rPr>
              <w:color w:val="002957"/>
              <w:spacing w:val="-4"/>
              <w:w w:val="90"/>
              <w:sz w:val="17"/>
              <w:szCs w:val="17"/>
            </w:rPr>
          </w:pPr>
          <w:r w:rsidRPr="00585988">
            <w:rPr>
              <w:rStyle w:val="PageNumber"/>
              <w:color w:val="002957"/>
              <w:sz w:val="17"/>
              <w:szCs w:val="17"/>
            </w:rPr>
            <w:fldChar w:fldCharType="begin"/>
          </w:r>
          <w:r w:rsidRPr="00585988">
            <w:rPr>
              <w:rStyle w:val="PageNumber"/>
              <w:color w:val="002957"/>
              <w:sz w:val="17"/>
              <w:szCs w:val="17"/>
            </w:rPr>
            <w:instrText xml:space="preserve"> NUMPAGES </w:instrText>
          </w:r>
          <w:r w:rsidRPr="00585988">
            <w:rPr>
              <w:rStyle w:val="PageNumber"/>
              <w:color w:val="002957"/>
              <w:sz w:val="17"/>
              <w:szCs w:val="17"/>
            </w:rPr>
            <w:fldChar w:fldCharType="separate"/>
          </w:r>
          <w:r>
            <w:rPr>
              <w:rStyle w:val="PageNumber"/>
              <w:noProof/>
              <w:color w:val="002957"/>
              <w:sz w:val="17"/>
              <w:szCs w:val="17"/>
            </w:rPr>
            <w:t>6</w:t>
          </w:r>
          <w:r w:rsidRPr="00585988">
            <w:rPr>
              <w:rStyle w:val="PageNumber"/>
              <w:color w:val="002957"/>
              <w:sz w:val="17"/>
              <w:szCs w:val="17"/>
            </w:rPr>
            <w:fldChar w:fldCharType="end"/>
          </w:r>
        </w:p>
      </w:tc>
      <w:tc>
        <w:tcPr>
          <w:tcW w:w="1570" w:type="dxa"/>
          <w:shd w:val="clear" w:color="auto" w:fill="auto"/>
          <w:vAlign w:val="center"/>
        </w:tcPr>
        <w:p w14:paraId="15F81348" w14:textId="77777777" w:rsidR="00BC346C" w:rsidRPr="00585988" w:rsidRDefault="00BC346C" w:rsidP="00DB1FC4">
          <w:pPr>
            <w:ind w:right="-117"/>
            <w:rPr>
              <w:b/>
              <w:color w:val="002957"/>
              <w:sz w:val="17"/>
              <w:szCs w:val="17"/>
            </w:rPr>
          </w:pPr>
          <w:r>
            <w:rPr>
              <w:rFonts w:cs="Arial"/>
              <w:color w:val="002957"/>
              <w:sz w:val="17"/>
              <w:szCs w:val="17"/>
            </w:rPr>
            <w:t xml:space="preserve">Transparency Register </w:t>
          </w:r>
          <w:r w:rsidRPr="00585988">
            <w:rPr>
              <w:rFonts w:cs="Arial"/>
              <w:color w:val="002957"/>
              <w:sz w:val="17"/>
              <w:szCs w:val="17"/>
            </w:rPr>
            <w:t>ID no.:</w:t>
          </w:r>
        </w:p>
      </w:tc>
      <w:tc>
        <w:tcPr>
          <w:tcW w:w="2977" w:type="dxa"/>
          <w:shd w:val="clear" w:color="auto" w:fill="auto"/>
          <w:vAlign w:val="center"/>
        </w:tcPr>
        <w:p w14:paraId="690876FD" w14:textId="77777777" w:rsidR="00BC346C" w:rsidRPr="00585988" w:rsidRDefault="00BC346C" w:rsidP="00DB1FC4">
          <w:pPr>
            <w:rPr>
              <w:color w:val="002957"/>
              <w:sz w:val="17"/>
              <w:szCs w:val="17"/>
            </w:rPr>
          </w:pPr>
          <w:r w:rsidRPr="00585988">
            <w:rPr>
              <w:rFonts w:cs="Tahoma"/>
              <w:color w:val="002957"/>
              <w:sz w:val="17"/>
              <w:szCs w:val="17"/>
            </w:rPr>
            <w:t>33213703459-54</w:t>
          </w:r>
        </w:p>
      </w:tc>
    </w:tr>
  </w:tbl>
  <w:p w14:paraId="47F88148" w14:textId="77777777" w:rsidR="00BC346C" w:rsidRPr="000D41DA" w:rsidRDefault="00BC346C" w:rsidP="00DB1FC4">
    <w:pPr>
      <w:rPr>
        <w:b/>
        <w:sz w:val="22"/>
        <w:szCs w:val="22"/>
      </w:rPr>
    </w:pPr>
  </w:p>
  <w:p w14:paraId="23848472" w14:textId="77777777" w:rsidR="00BC346C" w:rsidRPr="000D41DA" w:rsidRDefault="00BC346C" w:rsidP="00DB1F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5" type="#_x0000_t75" style="width:10.9pt;height:10.9pt" o:bullet="t">
        <v:imagedata r:id="rId1" o:title="CEA - Bullets Rounded Squares_BulletLevel1_forMS"/>
      </v:shape>
    </w:pict>
  </w:numPicBullet>
  <w:numPicBullet w:numPicBulletId="1">
    <w:pict>
      <v:shape id="_x0000_i2396" type="#_x0000_t75" style="width:6.7pt;height:6.7pt" o:bullet="t">
        <v:imagedata r:id="rId2" o:title="CEA - Bullets Rounded Squares_BulletLevel2_forMS"/>
      </v:shape>
    </w:pict>
  </w:numPicBullet>
  <w:numPicBullet w:numPicBulletId="2">
    <w:pict>
      <v:shape id="_x0000_i2397" type="#_x0000_t75" style="width:8.35pt;height:8.35pt" o:bullet="t">
        <v:imagedata r:id="rId3" o:title="CEA - Bullets Rounded Squares_BulletLevel3_forMS"/>
      </v:shape>
    </w:pict>
  </w:numPicBullet>
  <w:abstractNum w:abstractNumId="0" w15:restartNumberingAfterBreak="0">
    <w:nsid w:val="1054071E"/>
    <w:multiLevelType w:val="hybridMultilevel"/>
    <w:tmpl w:val="EBE65710"/>
    <w:lvl w:ilvl="0" w:tplc="A0240652">
      <w:start w:val="165"/>
      <w:numFmt w:val="bullet"/>
      <w:pStyle w:val="CEABullet-Level2"/>
      <w:lvlText w:val=""/>
      <w:lvlPicBulletId w:val="1"/>
      <w:lvlJc w:val="left"/>
      <w:pPr>
        <w:ind w:left="1800" w:hanging="360"/>
      </w:pPr>
      <w:rPr>
        <w:rFonts w:ascii="Symbol" w:hAnsi="Symbol"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3FEE4D2D"/>
    <w:multiLevelType w:val="hybridMultilevel"/>
    <w:tmpl w:val="0D606F1C"/>
    <w:lvl w:ilvl="0" w:tplc="5A804136">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447E4D85"/>
    <w:multiLevelType w:val="hybridMultilevel"/>
    <w:tmpl w:val="36024468"/>
    <w:lvl w:ilvl="0" w:tplc="37180294">
      <w:start w:val="165"/>
      <w:numFmt w:val="bullet"/>
      <w:pStyle w:val="CEABullet-Level3"/>
      <w:lvlText w:val=""/>
      <w:lvlPicBulletId w:val="2"/>
      <w:lvlJc w:val="left"/>
      <w:pPr>
        <w:ind w:left="2673" w:hanging="360"/>
      </w:pPr>
      <w:rPr>
        <w:rFonts w:ascii="Symbol" w:hAnsi="Symbol" w:hint="default"/>
        <w:color w:val="auto"/>
      </w:rPr>
    </w:lvl>
    <w:lvl w:ilvl="1" w:tplc="080C0003" w:tentative="1">
      <w:start w:val="1"/>
      <w:numFmt w:val="bullet"/>
      <w:lvlText w:val="o"/>
      <w:lvlJc w:val="left"/>
      <w:pPr>
        <w:ind w:left="3393" w:hanging="360"/>
      </w:pPr>
      <w:rPr>
        <w:rFonts w:ascii="Courier New" w:hAnsi="Courier New" w:cs="Courier New" w:hint="default"/>
      </w:rPr>
    </w:lvl>
    <w:lvl w:ilvl="2" w:tplc="080C0005" w:tentative="1">
      <w:start w:val="1"/>
      <w:numFmt w:val="bullet"/>
      <w:lvlText w:val=""/>
      <w:lvlJc w:val="left"/>
      <w:pPr>
        <w:ind w:left="4113" w:hanging="360"/>
      </w:pPr>
      <w:rPr>
        <w:rFonts w:ascii="Wingdings" w:hAnsi="Wingdings" w:hint="default"/>
      </w:rPr>
    </w:lvl>
    <w:lvl w:ilvl="3" w:tplc="080C0001" w:tentative="1">
      <w:start w:val="1"/>
      <w:numFmt w:val="bullet"/>
      <w:lvlText w:val=""/>
      <w:lvlJc w:val="left"/>
      <w:pPr>
        <w:ind w:left="4833" w:hanging="360"/>
      </w:pPr>
      <w:rPr>
        <w:rFonts w:ascii="Symbol" w:hAnsi="Symbol" w:hint="default"/>
      </w:rPr>
    </w:lvl>
    <w:lvl w:ilvl="4" w:tplc="080C0003" w:tentative="1">
      <w:start w:val="1"/>
      <w:numFmt w:val="bullet"/>
      <w:lvlText w:val="o"/>
      <w:lvlJc w:val="left"/>
      <w:pPr>
        <w:ind w:left="5553" w:hanging="360"/>
      </w:pPr>
      <w:rPr>
        <w:rFonts w:ascii="Courier New" w:hAnsi="Courier New" w:cs="Courier New" w:hint="default"/>
      </w:rPr>
    </w:lvl>
    <w:lvl w:ilvl="5" w:tplc="080C0005" w:tentative="1">
      <w:start w:val="1"/>
      <w:numFmt w:val="bullet"/>
      <w:lvlText w:val=""/>
      <w:lvlJc w:val="left"/>
      <w:pPr>
        <w:ind w:left="6273" w:hanging="360"/>
      </w:pPr>
      <w:rPr>
        <w:rFonts w:ascii="Wingdings" w:hAnsi="Wingdings" w:hint="default"/>
      </w:rPr>
    </w:lvl>
    <w:lvl w:ilvl="6" w:tplc="080C0001" w:tentative="1">
      <w:start w:val="1"/>
      <w:numFmt w:val="bullet"/>
      <w:lvlText w:val=""/>
      <w:lvlJc w:val="left"/>
      <w:pPr>
        <w:ind w:left="6993" w:hanging="360"/>
      </w:pPr>
      <w:rPr>
        <w:rFonts w:ascii="Symbol" w:hAnsi="Symbol" w:hint="default"/>
      </w:rPr>
    </w:lvl>
    <w:lvl w:ilvl="7" w:tplc="080C0003" w:tentative="1">
      <w:start w:val="1"/>
      <w:numFmt w:val="bullet"/>
      <w:lvlText w:val="o"/>
      <w:lvlJc w:val="left"/>
      <w:pPr>
        <w:ind w:left="7713" w:hanging="360"/>
      </w:pPr>
      <w:rPr>
        <w:rFonts w:ascii="Courier New" w:hAnsi="Courier New" w:cs="Courier New" w:hint="default"/>
      </w:rPr>
    </w:lvl>
    <w:lvl w:ilvl="8" w:tplc="080C0005" w:tentative="1">
      <w:start w:val="1"/>
      <w:numFmt w:val="bullet"/>
      <w:lvlText w:val=""/>
      <w:lvlJc w:val="left"/>
      <w:pPr>
        <w:ind w:left="8433" w:hanging="360"/>
      </w:pPr>
      <w:rPr>
        <w:rFonts w:ascii="Wingdings" w:hAnsi="Wingdings" w:hint="default"/>
      </w:rPr>
    </w:lvl>
  </w:abstractNum>
  <w:abstractNum w:abstractNumId="3" w15:restartNumberingAfterBreak="0">
    <w:nsid w:val="52512CA9"/>
    <w:multiLevelType w:val="hybridMultilevel"/>
    <w:tmpl w:val="0BA65E6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69203EA2"/>
    <w:multiLevelType w:val="hybridMultilevel"/>
    <w:tmpl w:val="22F69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9E2B88"/>
    <w:multiLevelType w:val="hybridMultilevel"/>
    <w:tmpl w:val="636CBA02"/>
    <w:lvl w:ilvl="0" w:tplc="2CF65F2A">
      <w:start w:val="165"/>
      <w:numFmt w:val="bullet"/>
      <w:pStyle w:val="CEABullet-Level1"/>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82"/>
    <w:rsid w:val="00001CB6"/>
    <w:rsid w:val="00020124"/>
    <w:rsid w:val="0008034A"/>
    <w:rsid w:val="000D3A9E"/>
    <w:rsid w:val="000D58F0"/>
    <w:rsid w:val="0011250B"/>
    <w:rsid w:val="00152882"/>
    <w:rsid w:val="001532C9"/>
    <w:rsid w:val="0017261F"/>
    <w:rsid w:val="002104FD"/>
    <w:rsid w:val="00261545"/>
    <w:rsid w:val="00297E58"/>
    <w:rsid w:val="00346792"/>
    <w:rsid w:val="003F1A95"/>
    <w:rsid w:val="00407B3E"/>
    <w:rsid w:val="00440FEE"/>
    <w:rsid w:val="0047113D"/>
    <w:rsid w:val="004D6D42"/>
    <w:rsid w:val="005D20CD"/>
    <w:rsid w:val="00620F3B"/>
    <w:rsid w:val="00684E68"/>
    <w:rsid w:val="006B47BE"/>
    <w:rsid w:val="00705583"/>
    <w:rsid w:val="00720586"/>
    <w:rsid w:val="00752590"/>
    <w:rsid w:val="00825DAE"/>
    <w:rsid w:val="00826834"/>
    <w:rsid w:val="00833983"/>
    <w:rsid w:val="008A2E1B"/>
    <w:rsid w:val="009728B6"/>
    <w:rsid w:val="00974483"/>
    <w:rsid w:val="00A4463C"/>
    <w:rsid w:val="00B07945"/>
    <w:rsid w:val="00B83C4B"/>
    <w:rsid w:val="00BC346C"/>
    <w:rsid w:val="00BC4E09"/>
    <w:rsid w:val="00BD3110"/>
    <w:rsid w:val="00BD3394"/>
    <w:rsid w:val="00BF11D2"/>
    <w:rsid w:val="00C3572E"/>
    <w:rsid w:val="00C727B8"/>
    <w:rsid w:val="00C728C8"/>
    <w:rsid w:val="00D27615"/>
    <w:rsid w:val="00E73A37"/>
    <w:rsid w:val="00EC1DFF"/>
    <w:rsid w:val="00EC5290"/>
    <w:rsid w:val="00F47387"/>
    <w:rsid w:val="00F67F1B"/>
    <w:rsid w:val="00F778BB"/>
    <w:rsid w:val="00F8705B"/>
    <w:rsid w:val="00F96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BDEB"/>
  <w15:docId w15:val="{57358DE3-D343-4B6D-B4FA-D5833C1C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2"/>
    <w:pPr>
      <w:spacing w:after="0" w:line="288" w:lineRule="auto"/>
      <w:jc w:val="both"/>
    </w:pPr>
    <w:rPr>
      <w:rFonts w:ascii="Verdana" w:eastAsia="Times New Roman" w:hAnsi="Verdana" w:cs="Times New Roman"/>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52882"/>
    <w:pPr>
      <w:tabs>
        <w:tab w:val="center" w:pos="4320"/>
        <w:tab w:val="right" w:pos="8640"/>
      </w:tabs>
    </w:pPr>
  </w:style>
  <w:style w:type="character" w:customStyle="1" w:styleId="HeaderChar">
    <w:name w:val="Header Char"/>
    <w:basedOn w:val="DefaultParagraphFont"/>
    <w:link w:val="Header"/>
    <w:semiHidden/>
    <w:rsid w:val="00152882"/>
    <w:rPr>
      <w:rFonts w:ascii="Verdana" w:eastAsia="Times New Roman" w:hAnsi="Verdana" w:cs="Times New Roman"/>
      <w:sz w:val="18"/>
      <w:szCs w:val="24"/>
      <w:lang w:val="en-GB"/>
    </w:rPr>
  </w:style>
  <w:style w:type="paragraph" w:styleId="Footer">
    <w:name w:val="footer"/>
    <w:basedOn w:val="Normal"/>
    <w:link w:val="FooterChar"/>
    <w:semiHidden/>
    <w:rsid w:val="00152882"/>
    <w:pPr>
      <w:tabs>
        <w:tab w:val="center" w:pos="4320"/>
        <w:tab w:val="right" w:pos="8640"/>
      </w:tabs>
    </w:pPr>
  </w:style>
  <w:style w:type="character" w:customStyle="1" w:styleId="FooterChar">
    <w:name w:val="Footer Char"/>
    <w:basedOn w:val="DefaultParagraphFont"/>
    <w:link w:val="Footer"/>
    <w:semiHidden/>
    <w:rsid w:val="00152882"/>
    <w:rPr>
      <w:rFonts w:ascii="Verdana" w:eastAsia="Times New Roman" w:hAnsi="Verdana" w:cs="Times New Roman"/>
      <w:sz w:val="18"/>
      <w:szCs w:val="24"/>
      <w:lang w:val="en-GB"/>
    </w:rPr>
  </w:style>
  <w:style w:type="paragraph" w:customStyle="1" w:styleId="Noparagraphstyle">
    <w:name w:val="[No paragraph style]"/>
    <w:semiHidden/>
    <w:rsid w:val="0015288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styleId="PageNumber">
    <w:name w:val="page number"/>
    <w:basedOn w:val="DefaultParagraphFont"/>
    <w:semiHidden/>
    <w:rsid w:val="00152882"/>
  </w:style>
  <w:style w:type="paragraph" w:customStyle="1" w:styleId="Heading1CEA">
    <w:name w:val="Heading 1 (CEA)"/>
    <w:basedOn w:val="Normal"/>
    <w:link w:val="Heading1CEAChar"/>
    <w:semiHidden/>
    <w:rsid w:val="00152882"/>
    <w:pPr>
      <w:autoSpaceDE w:val="0"/>
      <w:autoSpaceDN w:val="0"/>
      <w:adjustRightInd w:val="0"/>
    </w:pPr>
    <w:rPr>
      <w:rFonts w:ascii="Arial" w:hAnsi="Arial"/>
      <w:b/>
      <w:color w:val="034EA2"/>
      <w:sz w:val="32"/>
      <w:szCs w:val="32"/>
    </w:rPr>
  </w:style>
  <w:style w:type="character" w:customStyle="1" w:styleId="Heading1CEAChar">
    <w:name w:val="Heading 1 (CEA) Char"/>
    <w:basedOn w:val="DefaultParagraphFont"/>
    <w:link w:val="Heading1CEA"/>
    <w:semiHidden/>
    <w:rsid w:val="00152882"/>
    <w:rPr>
      <w:rFonts w:ascii="Arial" w:eastAsia="Times New Roman" w:hAnsi="Arial" w:cs="Times New Roman"/>
      <w:b/>
      <w:color w:val="034EA2"/>
      <w:sz w:val="32"/>
      <w:szCs w:val="32"/>
      <w:lang w:val="en-GB"/>
    </w:rPr>
  </w:style>
  <w:style w:type="paragraph" w:customStyle="1" w:styleId="CEAPositionPaperTitle">
    <w:name w:val="CEA Position Paper Title"/>
    <w:basedOn w:val="Normal"/>
    <w:semiHidden/>
    <w:qFormat/>
    <w:rsid w:val="00152882"/>
    <w:pPr>
      <w:ind w:left="-27"/>
    </w:pPr>
    <w:rPr>
      <w:b/>
      <w:color w:val="034EA2"/>
      <w:sz w:val="32"/>
      <w:szCs w:val="32"/>
    </w:rPr>
  </w:style>
  <w:style w:type="paragraph" w:customStyle="1" w:styleId="CEADraft">
    <w:name w:val="CEA Draft"/>
    <w:basedOn w:val="Normal"/>
    <w:semiHidden/>
    <w:qFormat/>
    <w:rsid w:val="00152882"/>
    <w:pPr>
      <w:jc w:val="right"/>
    </w:pPr>
    <w:rPr>
      <w:rFonts w:cs="Arial"/>
      <w:b/>
      <w:i/>
      <w:color w:val="034EA2"/>
      <w:sz w:val="32"/>
      <w:szCs w:val="40"/>
    </w:rPr>
  </w:style>
  <w:style w:type="paragraph" w:customStyle="1" w:styleId="CEAFooterauthorinfo">
    <w:name w:val="CEA Footer (author info)"/>
    <w:basedOn w:val="Normal"/>
    <w:semiHidden/>
    <w:qFormat/>
    <w:rsid w:val="00152882"/>
    <w:pPr>
      <w:autoSpaceDE w:val="0"/>
      <w:autoSpaceDN w:val="0"/>
      <w:adjustRightInd w:val="0"/>
      <w:textAlignment w:val="center"/>
    </w:pPr>
    <w:rPr>
      <w:rFonts w:cs="Arial"/>
      <w:b/>
      <w:color w:val="034EA2"/>
      <w:sz w:val="16"/>
      <w:szCs w:val="16"/>
      <w:lang w:val="nl-NL"/>
    </w:rPr>
  </w:style>
  <w:style w:type="paragraph" w:customStyle="1" w:styleId="CEALabel">
    <w:name w:val="CEA Label"/>
    <w:basedOn w:val="Normal"/>
    <w:semiHidden/>
    <w:qFormat/>
    <w:rsid w:val="00152882"/>
    <w:rPr>
      <w:rFonts w:cs="Arial"/>
      <w:b/>
      <w:color w:val="034EA2"/>
      <w:szCs w:val="18"/>
    </w:rPr>
  </w:style>
  <w:style w:type="character" w:styleId="PlaceholderText">
    <w:name w:val="Placeholder Text"/>
    <w:basedOn w:val="DefaultParagraphFont"/>
    <w:uiPriority w:val="99"/>
    <w:semiHidden/>
    <w:rsid w:val="0008034A"/>
    <w:rPr>
      <w:color w:val="808080"/>
    </w:rPr>
  </w:style>
  <w:style w:type="paragraph" w:styleId="BalloonText">
    <w:name w:val="Balloon Text"/>
    <w:basedOn w:val="Normal"/>
    <w:link w:val="BalloonTextChar"/>
    <w:uiPriority w:val="99"/>
    <w:semiHidden/>
    <w:unhideWhenUsed/>
    <w:rsid w:val="000803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4A"/>
    <w:rPr>
      <w:rFonts w:ascii="Tahoma" w:eastAsia="Times New Roman" w:hAnsi="Tahoma" w:cs="Tahoma"/>
      <w:sz w:val="16"/>
      <w:szCs w:val="16"/>
      <w:lang w:val="en-GB"/>
    </w:rPr>
  </w:style>
  <w:style w:type="paragraph" w:customStyle="1" w:styleId="CEABullet-Level1">
    <w:name w:val="CEA Bullet - Level 1"/>
    <w:basedOn w:val="Normal"/>
    <w:qFormat/>
    <w:rsid w:val="00825DAE"/>
    <w:pPr>
      <w:numPr>
        <w:numId w:val="1"/>
      </w:numPr>
      <w:autoSpaceDE w:val="0"/>
      <w:autoSpaceDN w:val="0"/>
      <w:adjustRightInd w:val="0"/>
    </w:pPr>
    <w:rPr>
      <w:rFonts w:cs="Frutiger LT Std 45 Light"/>
      <w:color w:val="000000"/>
      <w:sz w:val="17"/>
      <w:szCs w:val="20"/>
      <w:lang w:val="fr-BE"/>
    </w:rPr>
  </w:style>
  <w:style w:type="paragraph" w:customStyle="1" w:styleId="CEABullet-Level2">
    <w:name w:val="CEA Bullet - Level 2"/>
    <w:basedOn w:val="CEABullet-Level1"/>
    <w:next w:val="Normal"/>
    <w:qFormat/>
    <w:rsid w:val="00825DAE"/>
    <w:pPr>
      <w:numPr>
        <w:numId w:val="2"/>
      </w:numPr>
    </w:pPr>
  </w:style>
  <w:style w:type="paragraph" w:customStyle="1" w:styleId="CEABullet-Level3">
    <w:name w:val="CEA Bullet - Level 3"/>
    <w:basedOn w:val="Normal"/>
    <w:qFormat/>
    <w:rsid w:val="00825DAE"/>
    <w:pPr>
      <w:numPr>
        <w:numId w:val="3"/>
      </w:numPr>
      <w:autoSpaceDE w:val="0"/>
      <w:autoSpaceDN w:val="0"/>
      <w:adjustRightInd w:val="0"/>
    </w:pPr>
    <w:rPr>
      <w:rFonts w:cs="Frutiger LT Std 45 Light"/>
      <w:color w:val="000000"/>
      <w:sz w:val="17"/>
      <w:szCs w:val="20"/>
      <w:lang w:val="fr-BE"/>
    </w:rPr>
  </w:style>
  <w:style w:type="paragraph" w:customStyle="1" w:styleId="CEADirectorGeneral">
    <w:name w:val="CEA Director General"/>
    <w:basedOn w:val="Normal"/>
    <w:semiHidden/>
    <w:qFormat/>
    <w:rsid w:val="00825DAE"/>
    <w:pPr>
      <w:tabs>
        <w:tab w:val="right" w:pos="360"/>
        <w:tab w:val="left" w:pos="540"/>
      </w:tabs>
      <w:autoSpaceDE w:val="0"/>
      <w:autoSpaceDN w:val="0"/>
      <w:adjustRightInd w:val="0"/>
      <w:textAlignment w:val="center"/>
    </w:pPr>
    <w:rPr>
      <w:sz w:val="22"/>
      <w:szCs w:val="22"/>
    </w:rPr>
  </w:style>
  <w:style w:type="paragraph" w:customStyle="1" w:styleId="CEADocumentType">
    <w:name w:val="CEA Document Type"/>
    <w:basedOn w:val="Normal"/>
    <w:semiHidden/>
    <w:qFormat/>
    <w:rsid w:val="00825DAE"/>
    <w:pPr>
      <w:jc w:val="right"/>
    </w:pPr>
    <w:rPr>
      <w:rFonts w:cs="Frutiger LT Std 55 Roman"/>
      <w:b/>
      <w:color w:val="0032FF"/>
      <w:sz w:val="40"/>
      <w:szCs w:val="40"/>
    </w:rPr>
  </w:style>
  <w:style w:type="paragraph" w:customStyle="1" w:styleId="CEAFootnote">
    <w:name w:val="CEA Footnote"/>
    <w:basedOn w:val="Normal"/>
    <w:semiHidden/>
    <w:qFormat/>
    <w:rsid w:val="00825DAE"/>
    <w:pPr>
      <w:spacing w:line="240" w:lineRule="auto"/>
    </w:pPr>
    <w:rPr>
      <w:sz w:val="16"/>
    </w:rPr>
  </w:style>
  <w:style w:type="character" w:customStyle="1" w:styleId="CEAGraphTitle">
    <w:name w:val="CEA Graph Title"/>
    <w:uiPriority w:val="1"/>
    <w:qFormat/>
    <w:rsid w:val="00825DAE"/>
    <w:rPr>
      <w:rFonts w:ascii="Verdana" w:hAnsi="Verdana"/>
      <w:smallCaps w:val="0"/>
      <w:sz w:val="19"/>
    </w:rPr>
  </w:style>
  <w:style w:type="character" w:customStyle="1" w:styleId="CEAGraphX">
    <w:name w:val="CEA Graph X"/>
    <w:uiPriority w:val="1"/>
    <w:qFormat/>
    <w:rsid w:val="00825DAE"/>
    <w:rPr>
      <w:rFonts w:ascii="Verdana" w:hAnsi="Verdana"/>
      <w:smallCaps/>
      <w:sz w:val="19"/>
    </w:rPr>
  </w:style>
  <w:style w:type="paragraph" w:customStyle="1" w:styleId="CEAPressReleaseSubtitle">
    <w:name w:val="CEA Press Release Subtitle"/>
    <w:basedOn w:val="Normal"/>
    <w:semiHidden/>
    <w:qFormat/>
    <w:rsid w:val="00825DAE"/>
    <w:rPr>
      <w:sz w:val="22"/>
      <w:szCs w:val="22"/>
    </w:rPr>
  </w:style>
  <w:style w:type="paragraph" w:customStyle="1" w:styleId="CEAPressReleaseTitle">
    <w:name w:val="CEA Press Release Title"/>
    <w:basedOn w:val="Normal"/>
    <w:semiHidden/>
    <w:qFormat/>
    <w:rsid w:val="00825DAE"/>
    <w:pPr>
      <w:autoSpaceDE w:val="0"/>
      <w:autoSpaceDN w:val="0"/>
      <w:adjustRightInd w:val="0"/>
      <w:spacing w:line="240" w:lineRule="auto"/>
    </w:pPr>
    <w:rPr>
      <w:rFonts w:ascii="Frutiger LT Com 45 Light" w:hAnsi="Frutiger LT Com 45 Light"/>
      <w:b/>
      <w:color w:val="034EA2"/>
      <w:sz w:val="36"/>
      <w:szCs w:val="36"/>
    </w:rPr>
  </w:style>
  <w:style w:type="paragraph" w:customStyle="1" w:styleId="CEASubjectLine">
    <w:name w:val="CEA Subject Line"/>
    <w:basedOn w:val="Normal"/>
    <w:semiHidden/>
    <w:qFormat/>
    <w:rsid w:val="00825DAE"/>
    <w:rPr>
      <w:rFonts w:cs="Frutiger LT Std 55 Roman"/>
      <w:b/>
      <w:sz w:val="17"/>
      <w:szCs w:val="20"/>
    </w:rPr>
  </w:style>
  <w:style w:type="paragraph" w:customStyle="1" w:styleId="SN-ZFassung10ptAbstand-genau-14pthand">
    <w:name w:val="SN-ZFassung_10pt_Abstand-genau-14pt_hand"/>
    <w:basedOn w:val="Normal"/>
    <w:autoRedefine/>
    <w:rsid w:val="00BC346C"/>
    <w:rPr>
      <w:rFonts w:ascii="Arial" w:hAnsi="Arial"/>
      <w:sz w:val="22"/>
      <w:szCs w:val="22"/>
      <w:lang w:val="en-US" w:eastAsia="de-DE"/>
    </w:rPr>
  </w:style>
  <w:style w:type="paragraph" w:styleId="ListParagraph">
    <w:name w:val="List Paragraph"/>
    <w:basedOn w:val="Normal"/>
    <w:uiPriority w:val="34"/>
    <w:qFormat/>
    <w:rsid w:val="00BC346C"/>
    <w:pPr>
      <w:spacing w:after="200" w:line="240" w:lineRule="auto"/>
      <w:ind w:left="720"/>
      <w:contextualSpacing/>
      <w:jc w:val="left"/>
    </w:pPr>
    <w:rPr>
      <w:rFonts w:ascii="Arial" w:eastAsia="MS Mincho" w:hAnsi="Arial"/>
      <w:sz w:val="22"/>
      <w:szCs w:val="22"/>
      <w:lang w:val="de-DE"/>
    </w:rPr>
  </w:style>
  <w:style w:type="character" w:styleId="CommentReference">
    <w:name w:val="annotation reference"/>
    <w:basedOn w:val="DefaultParagraphFont"/>
    <w:uiPriority w:val="99"/>
    <w:semiHidden/>
    <w:unhideWhenUsed/>
    <w:rsid w:val="00BC346C"/>
    <w:rPr>
      <w:sz w:val="16"/>
      <w:szCs w:val="16"/>
    </w:rPr>
  </w:style>
  <w:style w:type="paragraph" w:styleId="CommentText">
    <w:name w:val="annotation text"/>
    <w:basedOn w:val="Normal"/>
    <w:link w:val="CommentTextChar"/>
    <w:uiPriority w:val="99"/>
    <w:semiHidden/>
    <w:unhideWhenUsed/>
    <w:rsid w:val="00BC346C"/>
    <w:pPr>
      <w:spacing w:line="240" w:lineRule="auto"/>
    </w:pPr>
    <w:rPr>
      <w:sz w:val="20"/>
      <w:szCs w:val="20"/>
    </w:rPr>
  </w:style>
  <w:style w:type="character" w:customStyle="1" w:styleId="CommentTextChar">
    <w:name w:val="Comment Text Char"/>
    <w:basedOn w:val="DefaultParagraphFont"/>
    <w:link w:val="CommentText"/>
    <w:uiPriority w:val="99"/>
    <w:semiHidden/>
    <w:rsid w:val="00BC346C"/>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9D63AA9CF4AA08BF74B58D808EA35"/>
        <w:category>
          <w:name w:val="General"/>
          <w:gallery w:val="placeholder"/>
        </w:category>
        <w:types>
          <w:type w:val="bbPlcHdr"/>
        </w:types>
        <w:behaviors>
          <w:behavior w:val="content"/>
        </w:behaviors>
        <w:guid w:val="{DF5E50AD-395B-4B40-BEC3-294CECEE326E}"/>
      </w:docPartPr>
      <w:docPartBody>
        <w:p w:rsidR="00AF50EC" w:rsidRDefault="00F36970">
          <w:r w:rsidRPr="00AE0FFA">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20B0402020204020204"/>
    <w:charset w:val="00"/>
    <w:family w:val="swiss"/>
    <w:notTrueType/>
    <w:pitch w:val="variable"/>
    <w:sig w:usb0="00000003"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Frutiger LT Com 45 Light">
    <w:altName w:val="Corbel"/>
    <w:panose1 w:val="020B0303030504020204"/>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70"/>
    <w:rsid w:val="00067782"/>
    <w:rsid w:val="000F1CB6"/>
    <w:rsid w:val="0057158E"/>
    <w:rsid w:val="00634188"/>
    <w:rsid w:val="00AF50EC"/>
    <w:rsid w:val="00E401F3"/>
    <w:rsid w:val="00F36970"/>
    <w:rsid w:val="00F633AE"/>
    <w:rsid w:val="00F679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9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d113e6c9-68c2-4198-bb3a-f8ecf571e120">01-10-2015</Document_x0020_Date>
    <Type_x0020_of_x0020_memo xmlns="d113e6c9-68c2-4198-bb3a-f8ecf571e120" xsi:nil="true"/>
    <Reference xmlns="d113e6c9-68c2-4198-bb3a-f8ecf571e120">ECO-SLV-15-404</Reference>
    <_Source xmlns="http://schemas.microsoft.com/sharepoint/v3/fields" xsi:nil="true"/>
    <Type_x0020_of_x0020_document xmlns="d113e6c9-68c2-4198-bb3a-f8ecf571e120">Position Paper</Type_x0020_of_x0020_document>
    <Linked_x0020_files xmlns="7adb48b6-3973-4eaa-90bf-52485ba4b57c" xsi:nil="true"/>
    <Meeting_x0020_Date xmlns="d113e6c9-68c2-4198-bb3a-f8ecf571e120" xsi:nil="true"/>
    <Starttime xmlns="d113e6c9-68c2-4198-bb3a-f8ecf571e120">00:00</Starttime>
    <Endtime xmlns="d113e6c9-68c2-4198-bb3a-f8ecf571e120">00:00</End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0EB97D5A8D14ABF6FE39E404530FC" ma:contentTypeVersion="13" ma:contentTypeDescription="Create a new document." ma:contentTypeScope="" ma:versionID="70efc823a9c50fe9192767b5c8dfeaed">
  <xsd:schema xmlns:xsd="http://www.w3.org/2001/XMLSchema" xmlns:xs="http://www.w3.org/2001/XMLSchema" xmlns:p="http://schemas.microsoft.com/office/2006/metadata/properties" xmlns:ns2="d113e6c9-68c2-4198-bb3a-f8ecf571e120" xmlns:ns3="7adb48b6-3973-4eaa-90bf-52485ba4b57c" xmlns:ns4="http://schemas.microsoft.com/sharepoint/v3/fields" targetNamespace="http://schemas.microsoft.com/office/2006/metadata/properties" ma:root="true" ma:fieldsID="1aeb5d912de046cec078ddd1ac2dcaba" ns2:_="" ns3:_="" ns4:_="">
    <xsd:import namespace="d113e6c9-68c2-4198-bb3a-f8ecf571e120"/>
    <xsd:import namespace="7adb48b6-3973-4eaa-90bf-52485ba4b57c"/>
    <xsd:import namespace="http://schemas.microsoft.com/sharepoint/v3/fields"/>
    <xsd:element name="properties">
      <xsd:complexType>
        <xsd:sequence>
          <xsd:element name="documentManagement">
            <xsd:complexType>
              <xsd:all>
                <xsd:element ref="ns2:Document_x0020_Date" minOccurs="0"/>
                <xsd:element ref="ns2:Reference" minOccurs="0"/>
                <xsd:element ref="ns3:Linked_x0020_files" minOccurs="0"/>
                <xsd:element ref="ns2:Type_x0020_of_x0020_document" minOccurs="0"/>
                <xsd:element ref="ns2:Type_x0020_of_x0020_memo" minOccurs="0"/>
                <xsd:element ref="ns4:_Source" minOccurs="0"/>
                <xsd:element ref="ns2:Meeting_x0020_Date" minOccurs="0"/>
                <xsd:element ref="ns2:Starttime" minOccurs="0"/>
                <xsd:element ref="ns2:E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e6c9-68c2-4198-bb3a-f8ecf571e120" elementFormDefault="qualified">
    <xsd:import namespace="http://schemas.microsoft.com/office/2006/documentManagement/types"/>
    <xsd:import namespace="http://schemas.microsoft.com/office/infopath/2007/PartnerControls"/>
    <xsd:element name="Document_x0020_Date" ma:index="8" nillable="true" ma:displayName="Document Date" ma:internalName="Document_x0020_Date">
      <xsd:simpleType>
        <xsd:restriction base="dms:Text">
          <xsd:maxLength value="255"/>
        </xsd:restriction>
      </xsd:simpleType>
    </xsd:element>
    <xsd:element name="Reference" ma:index="9" nillable="true" ma:displayName="Reference" ma:internalName="Referenc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Memo"/>
          <xsd:enumeration value="Blank document"/>
          <xsd:enumeration value="Agenda"/>
          <xsd:enumeration value="News Flash"/>
          <xsd:enumeration value="Participants List"/>
          <xsd:enumeration value="Press Release"/>
          <xsd:enumeration value="Fax Cover"/>
          <xsd:enumeration value="Letter"/>
          <xsd:enumeration value="Background note"/>
          <xsd:enumeration value="Meeting Conclusions"/>
          <xsd:enumeration value="Position Paper"/>
          <xsd:enumeration value="PowerPoint template"/>
          <xsd:enumeration value="External document"/>
          <xsd:enumeration value="Briefing Note"/>
          <xsd:enumeration value="Working Document"/>
          <xsd:enumeration value="Presentation"/>
          <xsd:enumeration value="Action Points"/>
          <xsd:enumeration value="RAB Agenda"/>
          <xsd:enumeration value="RAB Letter"/>
          <xsd:enumeration value="RAB Letter with CEOs"/>
          <xsd:enumeration value="RAB Blank document"/>
          <xsd:enumeration value="RAB Background note"/>
          <xsd:enumeration value="RAB Meeting conclusions"/>
        </xsd:restriction>
      </xsd:simpleType>
    </xsd:element>
    <xsd:element name="Type_x0020_of_x0020_memo" ma:index="12" nillable="true" ma:displayName="Type of memo" ma:format="Dropdown" ma:internalName="Type_x0020_of_x0020_memo">
      <xsd:simpleType>
        <xsd:restriction base="dms:Choice">
          <xsd:enumeration value="information"/>
          <xsd:enumeration value="action"/>
        </xsd:restriction>
      </xsd:simpleType>
    </xsd:element>
    <xsd:element name="Meeting_x0020_Date" ma:index="16" nillable="true" ma:displayName="Meeting Date" ma:format="DateOnly" ma:internalName="Meeting_x0020_Date">
      <xsd:simpleType>
        <xsd:restriction base="dms:DateTime"/>
      </xsd:simpleType>
    </xsd:element>
    <xsd:element name="Starttime" ma:index="17" nillable="true" ma:displayName="Starttime" ma:internalName="Starttime">
      <xsd:simpleType>
        <xsd:restriction base="dms:Text">
          <xsd:maxLength value="255"/>
        </xsd:restriction>
      </xsd:simpleType>
    </xsd:element>
    <xsd:element name="Endtime" ma:index="18" nillable="true" ma:displayName="Endtime" ma:internalName="Endti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b48b6-3973-4eaa-90bf-52485ba4b57c" elementFormDefault="qualified">
    <xsd:import namespace="http://schemas.microsoft.com/office/2006/documentManagement/types"/>
    <xsd:import namespace="http://schemas.microsoft.com/office/infopath/2007/PartnerControls"/>
    <xsd:element name="Linked_x0020_files" ma:index="10" nillable="true" ma:displayName="Linked files" ma:internalName="Linked_x0020_fil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5"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485A1-11AA-442D-8577-727460E39C5A}">
  <ds:schemaRefs>
    <ds:schemaRef ds:uri="http://schemas.microsoft.com/office/2006/documentManagement/types"/>
    <ds:schemaRef ds:uri="http://www.w3.org/XML/1998/namespace"/>
    <ds:schemaRef ds:uri="d113e6c9-68c2-4198-bb3a-f8ecf571e120"/>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fields"/>
    <ds:schemaRef ds:uri="7adb48b6-3973-4eaa-90bf-52485ba4b57c"/>
    <ds:schemaRef ds:uri="http://purl.org/dc/terms/"/>
  </ds:schemaRefs>
</ds:datastoreItem>
</file>

<file path=customXml/itemProps2.xml><?xml version="1.0" encoding="utf-8"?>
<ds:datastoreItem xmlns:ds="http://schemas.openxmlformats.org/officeDocument/2006/customXml" ds:itemID="{63827B13-D241-4323-B7A9-75B7AD1AA6EE}">
  <ds:schemaRefs>
    <ds:schemaRef ds:uri="http://schemas.microsoft.com/sharepoint/v3/contenttype/forms"/>
  </ds:schemaRefs>
</ds:datastoreItem>
</file>

<file path=customXml/itemProps3.xml><?xml version="1.0" encoding="utf-8"?>
<ds:datastoreItem xmlns:ds="http://schemas.openxmlformats.org/officeDocument/2006/customXml" ds:itemID="{929538FA-7738-434D-AF93-50DEC86F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e6c9-68c2-4198-bb3a-f8ecf571e120"/>
    <ds:schemaRef ds:uri="7adb48b6-3973-4eaa-90bf-52485ba4b57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Insurance Europe response to ESAs draft joint guidelines on the prudential assessment of acquisitions and increases of qualifying holdings in the financial sector </vt:lpstr>
    </vt:vector>
  </TitlesOfParts>
  <Company>Insurance Europe</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Europe response to ESAs draft joint guidelines on the prudential assessment of acquisitions and increases of qualifying holdings in the financial sector</dc:title>
  <dc:creator>Support Helpdesk</dc:creator>
  <cp:lastModifiedBy>Mette Baden</cp:lastModifiedBy>
  <cp:revision>2</cp:revision>
  <dcterms:created xsi:type="dcterms:W3CDTF">2015-10-02T12:39:00Z</dcterms:created>
  <dcterms:modified xsi:type="dcterms:W3CDTF">2015-10-02T12:39:00Z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0x01010036D0EB97D5A8D14ABF6FE39E404530FC</vt:lpwstr>
  </property>
</Properties>
</file>