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85C" w:rsidRPr="00D3585C" w:rsidRDefault="00D3585C" w:rsidP="00D3585C">
      <w:pPr>
        <w:pStyle w:val="Coverdisclaimer"/>
        <w:framePr w:wrap="around"/>
      </w:pPr>
      <w:r w:rsidRPr="00D3585C">
        <w:t>FOR PROFESSIONAL CLIENTS ONLY, NOT TO BE DISTRIBUTED TO RETAIL CLIENTS</w:t>
      </w:r>
    </w:p>
    <w:p w:rsidR="00D3585C" w:rsidRPr="00D3585C" w:rsidRDefault="00D3585C" w:rsidP="00D3585C">
      <w:pPr>
        <w:pStyle w:val="Coverdisclaimer"/>
        <w:framePr w:wrap="around"/>
      </w:pPr>
      <w:r w:rsidRPr="00D3585C">
        <w:t>THIS DOCUMENT IS NOT TO BE REPRODUCED IN ANY FORM FOR ANY OTHER PURPOSE</w:t>
      </w:r>
    </w:p>
    <w:p w:rsidR="000A2B92" w:rsidRDefault="000A2B92" w:rsidP="00F021BA">
      <w:pPr>
        <w:pStyle w:val="CoverPageSubtitle"/>
        <w:rPr>
          <w:sz w:val="32"/>
          <w:szCs w:val="20"/>
        </w:rPr>
      </w:pPr>
      <w:r w:rsidRPr="000A2B92">
        <w:rPr>
          <w:sz w:val="32"/>
          <w:szCs w:val="20"/>
        </w:rPr>
        <w:t xml:space="preserve">Draft regulatory technical standards on risk-mitigation </w:t>
      </w:r>
      <w:proofErr w:type="gramStart"/>
      <w:r w:rsidRPr="000A2B92">
        <w:rPr>
          <w:sz w:val="32"/>
          <w:szCs w:val="20"/>
        </w:rPr>
        <w:t>techniques</w:t>
      </w:r>
      <w:proofErr w:type="gramEnd"/>
      <w:r w:rsidRPr="000A2B92">
        <w:rPr>
          <w:sz w:val="32"/>
          <w:szCs w:val="20"/>
        </w:rPr>
        <w:t xml:space="preserve"> for OTC-derivative contracts not cleared by a CCP under Article 11(15) of Regulation (EU) No 648/2012</w:t>
      </w:r>
    </w:p>
    <w:p w:rsidR="005A0CBF" w:rsidRPr="00F021BA" w:rsidRDefault="000A2B92" w:rsidP="00F021BA">
      <w:pPr>
        <w:pStyle w:val="CoverPageSubtitle"/>
      </w:pPr>
      <w:r>
        <w:t xml:space="preserve">Insight </w:t>
      </w:r>
      <w:r w:rsidR="006E1F40">
        <w:t>Investment r</w:t>
      </w:r>
      <w:r>
        <w:t>esponse</w:t>
      </w:r>
    </w:p>
    <w:p w:rsidR="001D243A" w:rsidRPr="001D243A" w:rsidRDefault="000A2B92" w:rsidP="00E73A36">
      <w:pPr>
        <w:pStyle w:val="CoverPageDate"/>
        <w:sectPr w:rsidR="001D243A" w:rsidRPr="001D243A" w:rsidSect="00657F0A">
          <w:headerReference w:type="default" r:id="rId9"/>
          <w:footerReference w:type="even" r:id="rId10"/>
          <w:footerReference w:type="default" r:id="rId11"/>
          <w:headerReference w:type="first" r:id="rId12"/>
          <w:pgSz w:w="11907" w:h="16840" w:code="9"/>
          <w:pgMar w:top="13041" w:right="1418" w:bottom="1134" w:left="1418" w:header="737" w:footer="1021" w:gutter="0"/>
          <w:cols w:space="720"/>
          <w:titlePg/>
          <w:docGrid w:linePitch="258"/>
        </w:sectPr>
      </w:pPr>
      <w:r>
        <w:t>10 July 2015</w:t>
      </w:r>
    </w:p>
    <w:p w:rsidR="006276D7" w:rsidRPr="00826190" w:rsidRDefault="006276D7" w:rsidP="006276D7">
      <w:pPr>
        <w:pStyle w:val="BodyText"/>
      </w:pPr>
      <w:r w:rsidRPr="00826190">
        <w:lastRenderedPageBreak/>
        <w:t xml:space="preserve">Insight Investment is a leading global asset manager, responsible for </w:t>
      </w:r>
      <w:r w:rsidR="006157F1">
        <w:t xml:space="preserve">EUR </w:t>
      </w:r>
      <w:r>
        <w:t>549</w:t>
      </w:r>
      <w:r w:rsidRPr="00826190">
        <w:t xml:space="preserve"> billion</w:t>
      </w:r>
      <w:r w:rsidRPr="00826190">
        <w:rPr>
          <w:rStyle w:val="FootnoteReference"/>
          <w:caps/>
        </w:rPr>
        <w:footnoteReference w:id="1"/>
      </w:r>
      <w:r w:rsidRPr="00826190">
        <w:t xml:space="preserve"> in assets under management, including </w:t>
      </w:r>
      <w:r w:rsidR="00FB7A73">
        <w:t xml:space="preserve">assets </w:t>
      </w:r>
      <w:r w:rsidRPr="00826190">
        <w:t>managed on behalf of European pension schemes in the form of liability risk management mandates.  This positions Insight as one of the largest managers of European pension schemes and a very significant user of over-the-counter (OTC) derivatives on their behalf.</w:t>
      </w:r>
    </w:p>
    <w:p w:rsidR="006276D7" w:rsidRDefault="006276D7" w:rsidP="006276D7">
      <w:pPr>
        <w:pStyle w:val="BodyText"/>
      </w:pPr>
      <w:r w:rsidRPr="00826190">
        <w:t xml:space="preserve">We welcome the opportunity to provide our views and are pleased to submit our response to the </w:t>
      </w:r>
      <w:r>
        <w:t xml:space="preserve">second </w:t>
      </w:r>
      <w:r w:rsidRPr="00826190">
        <w:t xml:space="preserve">consultation </w:t>
      </w:r>
      <w:r>
        <w:t>paper on</w:t>
      </w:r>
      <w:r w:rsidRPr="00826190">
        <w:t xml:space="preserve"> </w:t>
      </w:r>
      <w:r w:rsidRPr="00826190">
        <w:rPr>
          <w:i/>
        </w:rPr>
        <w:t>Draft regulatory technical standards on risk-mitigation techniques for OTC-derivative contracts not cleared by a CCP under Article 11(15) of Regulation (EU) No 648/2012</w:t>
      </w:r>
      <w:r w:rsidRPr="00826190">
        <w:t xml:space="preserve">, issued </w:t>
      </w:r>
      <w:r>
        <w:t>on 10 June 2015</w:t>
      </w:r>
      <w:r w:rsidRPr="00826190">
        <w:t>.</w:t>
      </w:r>
    </w:p>
    <w:p w:rsidR="006276D7" w:rsidRPr="006276D7" w:rsidRDefault="006276D7" w:rsidP="006276D7">
      <w:pPr>
        <w:pStyle w:val="BodyText"/>
        <w:rPr>
          <w:b/>
        </w:rPr>
      </w:pPr>
      <w:proofErr w:type="gramStart"/>
      <w:r w:rsidRPr="006276D7">
        <w:rPr>
          <w:b/>
        </w:rPr>
        <w:t>Question 1.</w:t>
      </w:r>
      <w:proofErr w:type="gramEnd"/>
      <w:r w:rsidRPr="006276D7">
        <w:rPr>
          <w:b/>
        </w:rPr>
        <w:t xml:space="preserve"> Respondents are invited to comment on the proposal in this section concerning the treatment of non-financial counterparties domiciled outside the EU.</w:t>
      </w:r>
    </w:p>
    <w:p w:rsidR="006276D7" w:rsidRPr="006276D7" w:rsidRDefault="006276D7" w:rsidP="006276D7">
      <w:pPr>
        <w:pStyle w:val="BodyText"/>
      </w:pPr>
      <w:r w:rsidRPr="006276D7">
        <w:t>We welcome the proposed clarifications to Article 2 GEN and we agree that the margin requirements should not apply to TCEs that would be non-financial counterparties below the clearing threshold if they were established in the European Union.</w:t>
      </w:r>
    </w:p>
    <w:p w:rsidR="006276D7" w:rsidRPr="006276D7" w:rsidRDefault="006276D7" w:rsidP="006276D7">
      <w:pPr>
        <w:pStyle w:val="BodyText"/>
        <w:rPr>
          <w:b/>
        </w:rPr>
      </w:pPr>
      <w:proofErr w:type="gramStart"/>
      <w:r w:rsidRPr="006276D7">
        <w:rPr>
          <w:b/>
        </w:rPr>
        <w:t>Question 2.</w:t>
      </w:r>
      <w:proofErr w:type="gramEnd"/>
      <w:r w:rsidRPr="006276D7">
        <w:rPr>
          <w:b/>
        </w:rPr>
        <w:t xml:space="preserve"> Respondents are invited to comment on the proposal in this section concerning the timing of calculation, call and delivery of initial and variation margins. </w:t>
      </w:r>
    </w:p>
    <w:p w:rsidR="00EA0ACF" w:rsidRPr="00394896" w:rsidRDefault="00EA0ACF" w:rsidP="00394896">
      <w:pPr>
        <w:pStyle w:val="BodyText"/>
        <w:rPr>
          <w:u w:val="single"/>
        </w:rPr>
      </w:pPr>
      <w:r w:rsidRPr="00394896">
        <w:rPr>
          <w:u w:val="single"/>
        </w:rPr>
        <w:t>Treatment for FX</w:t>
      </w:r>
    </w:p>
    <w:p w:rsidR="006276D7" w:rsidRPr="006276D7" w:rsidRDefault="006276D7" w:rsidP="00394896">
      <w:pPr>
        <w:pStyle w:val="BodyText"/>
      </w:pPr>
      <w:r w:rsidRPr="006276D7">
        <w:t>In our response to the first consultation, we requested a reconsideration of the proposal to impose variation margin on physically settled foreign exchange (FX) forward contracts.</w:t>
      </w:r>
    </w:p>
    <w:p w:rsidR="006276D7" w:rsidRDefault="006276D7" w:rsidP="006276D7">
      <w:pPr>
        <w:pStyle w:val="BodyText"/>
      </w:pPr>
      <w:r w:rsidRPr="006276D7">
        <w:t>We note that the second consultation paper continues to propose that the variation margin requirement appl</w:t>
      </w:r>
      <w:r w:rsidR="00E77205">
        <w:t>ies</w:t>
      </w:r>
      <w:r w:rsidRPr="006276D7">
        <w:t xml:space="preserve"> to FX forwards.  We believe that the March 2015 BCBS-IOSCO paper on </w:t>
      </w:r>
      <w:r w:rsidR="00E77205">
        <w:t>m</w:t>
      </w:r>
      <w:r w:rsidRPr="006276D7">
        <w:t xml:space="preserve">argin requirements for non-centrally cleared derivatives provides the framework for the European Supervisory Authorities </w:t>
      </w:r>
      <w:r w:rsidR="00E77205">
        <w:t xml:space="preserve">(ESAs) </w:t>
      </w:r>
      <w:r w:rsidRPr="006276D7">
        <w:t xml:space="preserve">to apply additional flexibility to the variation margining of physically-settled FX forwards, and we also note that equivalent rules proposed by the regulators in the United States do not propose to impose variation margin on FX forwards.  In our view, it is important that the domestic implementations of the BCBS-IOSCO framework are consistent with one another and do not dissuade pension funds from employing FX forwards to </w:t>
      </w:r>
      <w:r w:rsidR="00E77205" w:rsidRPr="006276D7">
        <w:t xml:space="preserve">prudently </w:t>
      </w:r>
      <w:r w:rsidRPr="006276D7">
        <w:t xml:space="preserve">manage foreign exchange risk.  </w:t>
      </w:r>
    </w:p>
    <w:p w:rsidR="00EA0ACF" w:rsidRDefault="00EA0ACF" w:rsidP="00EA0ACF">
      <w:pPr>
        <w:pStyle w:val="BodyText"/>
      </w:pPr>
      <w:r w:rsidRPr="006276D7">
        <w:t xml:space="preserve">For the above reasons, and for the reasons set out in our response to the first consultation, we believe </w:t>
      </w:r>
      <w:r w:rsidR="00E77205">
        <w:t xml:space="preserve">the </w:t>
      </w:r>
      <w:r w:rsidRPr="006276D7">
        <w:t xml:space="preserve">ESAs should reconsider this requirement.  </w:t>
      </w:r>
    </w:p>
    <w:p w:rsidR="00EA0ACF" w:rsidRDefault="00EA0ACF" w:rsidP="00EA0ACF">
      <w:pPr>
        <w:pStyle w:val="BodyText"/>
      </w:pPr>
      <w:r>
        <w:t xml:space="preserve">We reiterate the points made in our first consultation response in response to this issue below. </w:t>
      </w:r>
    </w:p>
    <w:p w:rsidR="00EA0ACF" w:rsidRDefault="00EA0ACF" w:rsidP="00EA0ACF">
      <w:pPr>
        <w:pStyle w:val="BodyText"/>
        <w:spacing w:after="0"/>
        <w:jc w:val="both"/>
        <w:rPr>
          <w:rFonts w:eastAsia="Times New Roman" w:cs="Arial"/>
          <w:szCs w:val="19"/>
          <w:lang w:eastAsia="en-US"/>
        </w:rPr>
      </w:pPr>
      <w:r w:rsidRPr="0053454C">
        <w:rPr>
          <w:rFonts w:eastAsia="Times New Roman" w:cs="Arial"/>
          <w:szCs w:val="19"/>
          <w:lang w:eastAsia="en-US"/>
        </w:rPr>
        <w:t>The consultation includes a proposed obligation to pay variation margin on forward FX contracts, which are typically used by investors to either generate investment returns or hedge currency exposure. In this section we focus on the potential impact on investors aiming to hedge currency exposure.</w:t>
      </w:r>
    </w:p>
    <w:p w:rsidR="00EA0ACF" w:rsidRPr="0053454C" w:rsidRDefault="00EA0ACF" w:rsidP="00EA0ACF">
      <w:pPr>
        <w:pStyle w:val="BodyText"/>
        <w:spacing w:after="0"/>
        <w:jc w:val="both"/>
        <w:rPr>
          <w:rFonts w:eastAsia="Times New Roman" w:cs="Arial"/>
          <w:szCs w:val="19"/>
          <w:lang w:eastAsia="en-US"/>
        </w:rPr>
      </w:pPr>
    </w:p>
    <w:p w:rsidR="00EA0ACF" w:rsidRPr="0053454C" w:rsidRDefault="00EA0ACF" w:rsidP="00EA0ACF">
      <w:pPr>
        <w:pStyle w:val="BodyText"/>
        <w:spacing w:after="0"/>
        <w:jc w:val="both"/>
        <w:rPr>
          <w:rFonts w:eastAsia="Times New Roman" w:cs="Arial"/>
          <w:szCs w:val="19"/>
          <w:lang w:eastAsia="en-US"/>
        </w:rPr>
      </w:pPr>
      <w:r w:rsidRPr="0053454C">
        <w:rPr>
          <w:rFonts w:eastAsia="Times New Roman" w:cs="Arial"/>
          <w:szCs w:val="19"/>
          <w:lang w:eastAsia="en-US"/>
        </w:rPr>
        <w:lastRenderedPageBreak/>
        <w:t>We believe the proposal would increase the investment and operational costs of using forward FX contracts, and could therefore discourage investors from prudent currency risk management. This could leave pension schemes exposed to currency risk, which would typically have a greater impact on a pension scheme’s investment returns than the credit risk arising from uncollateralised positions. We therefore believe this proposal, which aims to reduce credit risk, could leave pension schemes exposed to a far greater risk in the form of unhedged currency exposure.</w:t>
      </w:r>
    </w:p>
    <w:p w:rsidR="00EA0ACF" w:rsidRDefault="00EA0ACF" w:rsidP="00EA0ACF">
      <w:pPr>
        <w:pStyle w:val="BodyText"/>
        <w:spacing w:after="0"/>
        <w:jc w:val="both"/>
        <w:rPr>
          <w:rFonts w:eastAsia="Times New Roman" w:cs="Arial"/>
          <w:szCs w:val="19"/>
          <w:lang w:eastAsia="en-US"/>
        </w:rPr>
      </w:pPr>
    </w:p>
    <w:p w:rsidR="00EA0ACF" w:rsidRDefault="00EA0ACF" w:rsidP="00EA0ACF">
      <w:pPr>
        <w:pStyle w:val="BodyText"/>
        <w:spacing w:after="0"/>
        <w:jc w:val="both"/>
        <w:rPr>
          <w:rFonts w:eastAsia="Times New Roman" w:cs="Arial"/>
          <w:szCs w:val="19"/>
          <w:lang w:eastAsia="en-US"/>
        </w:rPr>
      </w:pPr>
      <w:r w:rsidRPr="0053454C">
        <w:rPr>
          <w:rFonts w:eastAsia="Times New Roman" w:cs="Arial"/>
          <w:szCs w:val="19"/>
          <w:lang w:eastAsia="en-US"/>
        </w:rPr>
        <w:t>We explain how the proposal could lead to increased costs and operational complexity for currency hedges below:</w:t>
      </w:r>
    </w:p>
    <w:p w:rsidR="00EA0ACF" w:rsidRPr="0053454C" w:rsidRDefault="00EA0ACF" w:rsidP="00EA0ACF">
      <w:pPr>
        <w:pStyle w:val="BodyText"/>
        <w:spacing w:after="0"/>
        <w:jc w:val="both"/>
        <w:rPr>
          <w:rFonts w:eastAsia="Times New Roman" w:cs="Arial"/>
          <w:szCs w:val="19"/>
          <w:lang w:eastAsia="en-US"/>
        </w:rPr>
      </w:pPr>
    </w:p>
    <w:p w:rsidR="00EA0ACF" w:rsidRDefault="00EA0ACF" w:rsidP="00EA0ACF">
      <w:pPr>
        <w:pStyle w:val="BodyText"/>
        <w:numPr>
          <w:ilvl w:val="0"/>
          <w:numId w:val="33"/>
        </w:numPr>
        <w:jc w:val="both"/>
        <w:rPr>
          <w:b/>
          <w:szCs w:val="19"/>
        </w:rPr>
      </w:pPr>
      <w:r w:rsidRPr="0053454C">
        <w:rPr>
          <w:b/>
          <w:szCs w:val="19"/>
        </w:rPr>
        <w:t>Increased costs</w:t>
      </w:r>
    </w:p>
    <w:p w:rsidR="00EA0ACF" w:rsidRPr="0053454C" w:rsidRDefault="00EA0ACF" w:rsidP="00EA0ACF">
      <w:pPr>
        <w:pStyle w:val="BodyText"/>
        <w:ind w:left="720"/>
        <w:jc w:val="both"/>
        <w:rPr>
          <w:szCs w:val="19"/>
        </w:rPr>
      </w:pPr>
      <w:r w:rsidRPr="0053454C">
        <w:rPr>
          <w:szCs w:val="19"/>
        </w:rPr>
        <w:t>Pension schemes implement currency hedges in order to offset the foreign currency exposure that results from holding international assets. Therefore every currency hedge is fully backed by underlying assets, but the proposed requirement to make available an additional pool of collateral to support variation margin would increase the cost of holding foreign assets with currency protection.</w:t>
      </w:r>
    </w:p>
    <w:p w:rsidR="00EA0ACF" w:rsidRPr="0053454C" w:rsidRDefault="00EA0ACF" w:rsidP="00EA0ACF">
      <w:pPr>
        <w:pStyle w:val="BodyText"/>
        <w:ind w:left="720"/>
        <w:jc w:val="both"/>
        <w:rPr>
          <w:szCs w:val="19"/>
        </w:rPr>
      </w:pPr>
      <w:r w:rsidRPr="0053454C">
        <w:rPr>
          <w:szCs w:val="19"/>
        </w:rPr>
        <w:t>Given the typical level of volatility for developed market currencies, we estimate that for every 100% invested in the asset, another 10% may be required to support variation margin. This means that a pension scheme would need to make €110 principal available for every €100 of fully-hedged overseas investment. This additional cost is particularly burdensome when the underlying investments are illiquid and cannot be offered as collateral: these might include foreign property, infrastructure or private equity investments.</w:t>
      </w:r>
    </w:p>
    <w:p w:rsidR="00EA0ACF" w:rsidRDefault="00EA0ACF" w:rsidP="00EA0ACF">
      <w:pPr>
        <w:pStyle w:val="BodyText"/>
        <w:numPr>
          <w:ilvl w:val="0"/>
          <w:numId w:val="33"/>
        </w:numPr>
        <w:jc w:val="both"/>
        <w:rPr>
          <w:b/>
          <w:szCs w:val="19"/>
        </w:rPr>
      </w:pPr>
      <w:r w:rsidRPr="0053454C">
        <w:rPr>
          <w:b/>
          <w:szCs w:val="19"/>
        </w:rPr>
        <w:t>Increased operational complexity</w:t>
      </w:r>
    </w:p>
    <w:p w:rsidR="00EA0ACF" w:rsidRPr="0053454C" w:rsidRDefault="00EA0ACF" w:rsidP="00EA0ACF">
      <w:pPr>
        <w:pStyle w:val="BodyText"/>
        <w:ind w:left="720"/>
        <w:jc w:val="both"/>
        <w:rPr>
          <w:szCs w:val="19"/>
        </w:rPr>
      </w:pPr>
      <w:r w:rsidRPr="0053454C">
        <w:rPr>
          <w:szCs w:val="19"/>
        </w:rPr>
        <w:t>Operational difficulties in dealing with variation margin for FX hedges are likely to result in some pension schemes either ceasing to protect themselves against foreign currency exposure or holding lower than optimal levels of overseas assets. Pension funds with smaller investment teams are likely to be most affected, as they have less capacity to absorb the additional operational requirements and extensive legal documentation that arise from managing margin and collateral, and may need to incur additional costs by employing a third party to manage the process.</w:t>
      </w:r>
    </w:p>
    <w:p w:rsidR="00EA0ACF" w:rsidRPr="0053454C" w:rsidRDefault="00EA0ACF" w:rsidP="00EA0ACF">
      <w:pPr>
        <w:pStyle w:val="BodyText"/>
        <w:spacing w:after="0"/>
        <w:jc w:val="both"/>
        <w:rPr>
          <w:rFonts w:eastAsia="Times New Roman" w:cs="Arial"/>
          <w:szCs w:val="19"/>
          <w:lang w:eastAsia="en-US"/>
        </w:rPr>
      </w:pPr>
      <w:r w:rsidRPr="0053454C">
        <w:rPr>
          <w:rFonts w:eastAsia="Times New Roman" w:cs="Arial"/>
          <w:szCs w:val="19"/>
          <w:lang w:eastAsia="en-US"/>
        </w:rPr>
        <w:t>A good manager of a currency hedge will already take responsibility for minimising credit risk by selecting the highest quality counterparties and monitoring credit risk over time. The prudent diversification of exposure across counterparties and the use of short-dated instruments are typically used to further reduce counterparty risk. Relative to other derivatives, forward FX contracts are among the simplest, representing something as simple as a delayed cash settlement. Using them can offset the impact of currency moves, which can be large and unpredictable and lie outside the control of a pension scheme. We therefore believe regulators should reconsider the proposed requirement.</w:t>
      </w:r>
    </w:p>
    <w:p w:rsidR="00EA0ACF" w:rsidRDefault="00EA0ACF" w:rsidP="00EA0ACF">
      <w:pPr>
        <w:pStyle w:val="BodyText"/>
      </w:pPr>
    </w:p>
    <w:p w:rsidR="00EA0ACF" w:rsidRPr="00394896" w:rsidRDefault="00EA0ACF" w:rsidP="006276D7">
      <w:pPr>
        <w:pStyle w:val="BodyText"/>
        <w:rPr>
          <w:u w:val="single"/>
        </w:rPr>
      </w:pPr>
      <w:r w:rsidRPr="00394896">
        <w:rPr>
          <w:u w:val="single"/>
        </w:rPr>
        <w:t>Timing around VM rules</w:t>
      </w:r>
    </w:p>
    <w:p w:rsidR="00EA0ACF" w:rsidRPr="00394896" w:rsidRDefault="00EA0ACF" w:rsidP="00394896">
      <w:pPr>
        <w:rPr>
          <w:color w:val="000000"/>
          <w:lang w:eastAsia="en-GB"/>
        </w:rPr>
      </w:pPr>
      <w:r w:rsidRPr="00394896">
        <w:rPr>
          <w:color w:val="000000"/>
          <w:lang w:eastAsia="en-GB"/>
        </w:rPr>
        <w:t xml:space="preserve">Further clarity is required on the obligations set out in Article 1 </w:t>
      </w:r>
      <w:proofErr w:type="gramStart"/>
      <w:r w:rsidRPr="00394896">
        <w:rPr>
          <w:color w:val="000000"/>
          <w:lang w:eastAsia="en-GB"/>
        </w:rPr>
        <w:t>VM(</w:t>
      </w:r>
      <w:proofErr w:type="gramEnd"/>
      <w:r w:rsidRPr="00394896">
        <w:rPr>
          <w:color w:val="000000"/>
          <w:lang w:eastAsia="en-GB"/>
        </w:rPr>
        <w:t xml:space="preserve">3) and (5), in particular to take account of the settlement periods for non-cash securities.  </w:t>
      </w:r>
    </w:p>
    <w:p w:rsidR="00EA0ACF" w:rsidRDefault="00EA0ACF" w:rsidP="00EA0ACF">
      <w:pPr>
        <w:rPr>
          <w:color w:val="000000"/>
          <w:sz w:val="20"/>
          <w:lang w:eastAsia="en-GB"/>
        </w:rPr>
      </w:pPr>
    </w:p>
    <w:p w:rsidR="00EA0ACF" w:rsidRDefault="00EA0ACF" w:rsidP="00394896">
      <w:pPr>
        <w:ind w:left="360"/>
        <w:rPr>
          <w:color w:val="000000"/>
          <w:sz w:val="20"/>
          <w:lang w:eastAsia="en-GB"/>
        </w:rPr>
      </w:pPr>
      <w:r>
        <w:rPr>
          <w:color w:val="000000"/>
          <w:sz w:val="20"/>
          <w:lang w:eastAsia="en-GB"/>
        </w:rPr>
        <w:t>We would expect a typical counterparty:</w:t>
      </w:r>
    </w:p>
    <w:p w:rsidR="00EA0ACF" w:rsidRDefault="00EA0ACF" w:rsidP="00394896">
      <w:pPr>
        <w:pStyle w:val="ListParagraph"/>
        <w:numPr>
          <w:ilvl w:val="0"/>
          <w:numId w:val="30"/>
        </w:numPr>
        <w:spacing w:before="40" w:after="40" w:line="240" w:lineRule="auto"/>
        <w:ind w:left="1080"/>
        <w:contextualSpacing w:val="0"/>
        <w:rPr>
          <w:color w:val="000000"/>
          <w:lang w:eastAsia="en-GB"/>
        </w:rPr>
      </w:pPr>
      <w:proofErr w:type="gramStart"/>
      <w:r>
        <w:rPr>
          <w:color w:val="000000"/>
          <w:lang w:eastAsia="en-GB"/>
        </w:rPr>
        <w:t>to</w:t>
      </w:r>
      <w:proofErr w:type="gramEnd"/>
      <w:r>
        <w:rPr>
          <w:color w:val="000000"/>
          <w:lang w:eastAsia="en-GB"/>
        </w:rPr>
        <w:t xml:space="preserve"> calculate its exposure at the end of day T.</w:t>
      </w:r>
    </w:p>
    <w:p w:rsidR="00EA0ACF" w:rsidRDefault="00EA0ACF" w:rsidP="00394896">
      <w:pPr>
        <w:pStyle w:val="ListParagraph"/>
        <w:numPr>
          <w:ilvl w:val="0"/>
          <w:numId w:val="30"/>
        </w:numPr>
        <w:spacing w:before="40" w:after="40" w:line="240" w:lineRule="auto"/>
        <w:ind w:left="1080"/>
        <w:contextualSpacing w:val="0"/>
        <w:rPr>
          <w:color w:val="000000"/>
          <w:lang w:eastAsia="en-GB"/>
        </w:rPr>
      </w:pPr>
      <w:proofErr w:type="gramStart"/>
      <w:r>
        <w:rPr>
          <w:color w:val="000000"/>
          <w:lang w:eastAsia="en-GB"/>
        </w:rPr>
        <w:t>to</w:t>
      </w:r>
      <w:proofErr w:type="gramEnd"/>
      <w:r>
        <w:rPr>
          <w:color w:val="000000"/>
          <w:lang w:eastAsia="en-GB"/>
        </w:rPr>
        <w:t xml:space="preserve"> call for variation margin during the day of T+1.</w:t>
      </w:r>
    </w:p>
    <w:p w:rsidR="00EA0ACF" w:rsidRDefault="00EA0ACF" w:rsidP="00394896">
      <w:pPr>
        <w:pStyle w:val="ListParagraph"/>
        <w:numPr>
          <w:ilvl w:val="0"/>
          <w:numId w:val="30"/>
        </w:numPr>
        <w:spacing w:before="40" w:after="40" w:line="240" w:lineRule="auto"/>
        <w:ind w:left="1080"/>
        <w:contextualSpacing w:val="0"/>
        <w:rPr>
          <w:color w:val="000000"/>
          <w:lang w:eastAsia="en-GB"/>
        </w:rPr>
      </w:pPr>
      <w:proofErr w:type="gramStart"/>
      <w:r>
        <w:rPr>
          <w:color w:val="000000"/>
          <w:lang w:eastAsia="en-GB"/>
        </w:rPr>
        <w:t>to</w:t>
      </w:r>
      <w:proofErr w:type="gramEnd"/>
      <w:r>
        <w:rPr>
          <w:color w:val="000000"/>
          <w:lang w:eastAsia="en-GB"/>
        </w:rPr>
        <w:t xml:space="preserve"> collect variation margin by the end of T+2 for high quality government securities settled on a </w:t>
      </w:r>
      <w:proofErr w:type="spellStart"/>
      <w:r>
        <w:rPr>
          <w:color w:val="000000"/>
          <w:lang w:eastAsia="en-GB"/>
        </w:rPr>
        <w:t>DvP</w:t>
      </w:r>
      <w:proofErr w:type="spellEnd"/>
      <w:r>
        <w:rPr>
          <w:color w:val="000000"/>
          <w:lang w:eastAsia="en-GB"/>
        </w:rPr>
        <w:t xml:space="preserve"> basis (or a longer settlement period for certain asset types).   </w:t>
      </w:r>
    </w:p>
    <w:p w:rsidR="00EA0ACF" w:rsidRDefault="00EA0ACF" w:rsidP="00394896">
      <w:pPr>
        <w:ind w:left="360"/>
        <w:rPr>
          <w:color w:val="000000"/>
          <w:sz w:val="20"/>
          <w:lang w:eastAsia="en-GB"/>
        </w:rPr>
      </w:pPr>
    </w:p>
    <w:p w:rsidR="00EA0ACF" w:rsidRDefault="00EA0ACF" w:rsidP="00394896">
      <w:pPr>
        <w:ind w:left="360"/>
        <w:rPr>
          <w:color w:val="000000"/>
          <w:sz w:val="20"/>
          <w:lang w:eastAsia="en-GB"/>
        </w:rPr>
      </w:pPr>
      <w:r>
        <w:rPr>
          <w:color w:val="000000"/>
          <w:sz w:val="20"/>
          <w:lang w:eastAsia="en-GB"/>
        </w:rPr>
        <w:t xml:space="preserve">On </w:t>
      </w:r>
      <w:r w:rsidR="0055186E">
        <w:rPr>
          <w:color w:val="000000"/>
          <w:sz w:val="20"/>
          <w:lang w:eastAsia="en-GB"/>
        </w:rPr>
        <w:t>a plain reading</w:t>
      </w:r>
      <w:r>
        <w:rPr>
          <w:color w:val="000000"/>
          <w:sz w:val="20"/>
          <w:lang w:eastAsia="en-GB"/>
        </w:rPr>
        <w:t xml:space="preserve">, Article 1 </w:t>
      </w:r>
      <w:proofErr w:type="gramStart"/>
      <w:r>
        <w:rPr>
          <w:color w:val="000000"/>
          <w:sz w:val="20"/>
          <w:lang w:eastAsia="en-GB"/>
        </w:rPr>
        <w:t>VM(</w:t>
      </w:r>
      <w:proofErr w:type="gramEnd"/>
      <w:r>
        <w:rPr>
          <w:color w:val="000000"/>
          <w:sz w:val="20"/>
          <w:lang w:eastAsia="en-GB"/>
        </w:rPr>
        <w:t xml:space="preserve">5) requires the </w:t>
      </w:r>
      <w:r>
        <w:rPr>
          <w:i/>
          <w:iCs/>
          <w:color w:val="000000"/>
          <w:sz w:val="20"/>
          <w:lang w:eastAsia="en-GB"/>
        </w:rPr>
        <w:t xml:space="preserve">collection </w:t>
      </w:r>
      <w:r>
        <w:rPr>
          <w:color w:val="000000"/>
          <w:sz w:val="20"/>
          <w:lang w:eastAsia="en-GB"/>
        </w:rPr>
        <w:t xml:space="preserve">of variation margin by T+1.  </w:t>
      </w:r>
      <w:r w:rsidR="006E1F40">
        <w:rPr>
          <w:color w:val="000000"/>
          <w:sz w:val="20"/>
          <w:lang w:eastAsia="en-GB"/>
        </w:rPr>
        <w:t xml:space="preserve">While </w:t>
      </w:r>
      <w:r>
        <w:rPr>
          <w:color w:val="000000"/>
          <w:sz w:val="20"/>
          <w:lang w:eastAsia="en-GB"/>
        </w:rPr>
        <w:t xml:space="preserve">we believe it is possible to </w:t>
      </w:r>
      <w:r>
        <w:rPr>
          <w:i/>
          <w:iCs/>
          <w:color w:val="000000"/>
          <w:sz w:val="20"/>
          <w:lang w:eastAsia="en-GB"/>
        </w:rPr>
        <w:t xml:space="preserve">call </w:t>
      </w:r>
      <w:r>
        <w:rPr>
          <w:color w:val="000000"/>
          <w:sz w:val="20"/>
          <w:lang w:eastAsia="en-GB"/>
        </w:rPr>
        <w:t xml:space="preserve">for variation margin by T+1, the operational process required to source and transfer collateral means that it is not practicable to have transferred and/or have collected the variation margin by T+1; we note that this concern is expressed in the text for consultation. This requirement would impose risks and give rise to the concerns that the ESAs have already noted. It is our view that Article 1 </w:t>
      </w:r>
      <w:proofErr w:type="gramStart"/>
      <w:r>
        <w:rPr>
          <w:color w:val="000000"/>
          <w:sz w:val="20"/>
          <w:lang w:eastAsia="en-GB"/>
        </w:rPr>
        <w:t>VM(</w:t>
      </w:r>
      <w:proofErr w:type="gramEnd"/>
      <w:r>
        <w:rPr>
          <w:color w:val="000000"/>
          <w:sz w:val="20"/>
          <w:lang w:eastAsia="en-GB"/>
        </w:rPr>
        <w:t>5) should be deleted and that the general rule in Article 1</w:t>
      </w:r>
      <w:r w:rsidR="006E1F40">
        <w:rPr>
          <w:color w:val="000000"/>
          <w:sz w:val="20"/>
          <w:lang w:eastAsia="en-GB"/>
        </w:rPr>
        <w:t xml:space="preserve"> </w:t>
      </w:r>
      <w:r>
        <w:rPr>
          <w:color w:val="000000"/>
          <w:sz w:val="20"/>
          <w:lang w:eastAsia="en-GB"/>
        </w:rPr>
        <w:t>VM(3) should apply to all transactions (subject to our comment on collection below).</w:t>
      </w:r>
    </w:p>
    <w:p w:rsidR="00EA0ACF" w:rsidRDefault="00EA0ACF" w:rsidP="00394896">
      <w:pPr>
        <w:ind w:left="360"/>
        <w:rPr>
          <w:color w:val="000000"/>
          <w:sz w:val="20"/>
          <w:lang w:eastAsia="en-GB"/>
        </w:rPr>
      </w:pPr>
    </w:p>
    <w:p w:rsidR="00EA0ACF" w:rsidRDefault="00EA0ACF" w:rsidP="00394896">
      <w:pPr>
        <w:ind w:left="360"/>
        <w:rPr>
          <w:color w:val="000000"/>
          <w:sz w:val="20"/>
          <w:lang w:eastAsia="en-GB"/>
        </w:rPr>
      </w:pPr>
      <w:r>
        <w:rPr>
          <w:color w:val="000000"/>
          <w:sz w:val="20"/>
          <w:lang w:eastAsia="en-GB"/>
        </w:rPr>
        <w:t>We note that both Article 1</w:t>
      </w:r>
      <w:r w:rsidR="006E1F40">
        <w:rPr>
          <w:color w:val="000000"/>
          <w:sz w:val="20"/>
          <w:lang w:eastAsia="en-GB"/>
        </w:rPr>
        <w:t xml:space="preserve"> </w:t>
      </w:r>
      <w:proofErr w:type="gramStart"/>
      <w:r>
        <w:rPr>
          <w:color w:val="000000"/>
          <w:sz w:val="20"/>
          <w:lang w:eastAsia="en-GB"/>
        </w:rPr>
        <w:t>VM(</w:t>
      </w:r>
      <w:proofErr w:type="gramEnd"/>
      <w:r>
        <w:rPr>
          <w:color w:val="000000"/>
          <w:sz w:val="20"/>
          <w:lang w:eastAsia="en-GB"/>
        </w:rPr>
        <w:t xml:space="preserve">3) and (5) impose an obligation to “collect”.  It is not clear what ramifications there are for a collecting counterparty if (for example) an operational failure causes a settlement failure and the relevant timelines </w:t>
      </w:r>
      <w:r w:rsidR="006E1F40">
        <w:rPr>
          <w:color w:val="000000"/>
          <w:sz w:val="20"/>
          <w:lang w:eastAsia="en-GB"/>
        </w:rPr>
        <w:t>are</w:t>
      </w:r>
      <w:r>
        <w:rPr>
          <w:color w:val="000000"/>
          <w:sz w:val="20"/>
          <w:lang w:eastAsia="en-GB"/>
        </w:rPr>
        <w:t xml:space="preserve"> breached; we would welcome further clarity on this aspect of the rule.</w:t>
      </w:r>
    </w:p>
    <w:p w:rsidR="00EA0ACF" w:rsidRPr="006276D7" w:rsidRDefault="00EA0ACF" w:rsidP="006276D7">
      <w:pPr>
        <w:pStyle w:val="BodyText"/>
      </w:pPr>
    </w:p>
    <w:p w:rsidR="006276D7" w:rsidRPr="006276D7" w:rsidRDefault="006276D7" w:rsidP="006276D7">
      <w:pPr>
        <w:pStyle w:val="BodyText"/>
        <w:rPr>
          <w:b/>
        </w:rPr>
      </w:pPr>
      <w:proofErr w:type="gramStart"/>
      <w:r w:rsidRPr="006276D7">
        <w:rPr>
          <w:b/>
        </w:rPr>
        <w:t>Question 4.</w:t>
      </w:r>
      <w:proofErr w:type="gramEnd"/>
      <w:r w:rsidRPr="006276D7">
        <w:rPr>
          <w:b/>
        </w:rPr>
        <w:t xml:space="preserve"> Respondents are invited to comment on whether the requirements of this section concerning the concentration limits address the concerns expressed on the previous proposal. </w:t>
      </w:r>
    </w:p>
    <w:p w:rsidR="006276D7" w:rsidRPr="006276D7" w:rsidRDefault="006276D7" w:rsidP="006276D7">
      <w:pPr>
        <w:pStyle w:val="BodyText"/>
      </w:pPr>
      <w:r w:rsidRPr="006276D7">
        <w:t>While we appreciate the ESAs</w:t>
      </w:r>
      <w:r w:rsidR="00D9531F">
        <w:t>’</w:t>
      </w:r>
      <w:r w:rsidRPr="006276D7">
        <w:t xml:space="preserve"> efforts to reduce the scope of the concentration rules, we do not support the concentration rules and</w:t>
      </w:r>
      <w:r w:rsidR="006157F1">
        <w:t xml:space="preserve"> believe</w:t>
      </w:r>
      <w:r w:rsidRPr="006276D7">
        <w:t xml:space="preserve"> </w:t>
      </w:r>
      <w:proofErr w:type="gramStart"/>
      <w:r w:rsidRPr="006276D7">
        <w:t>a reconsideration</w:t>
      </w:r>
      <w:proofErr w:type="gramEnd"/>
      <w:r w:rsidRPr="006276D7">
        <w:t xml:space="preserve"> is needed. We feel that the concentration rules go over and above the international standards set by BCBS-IOSCO causing potential for inconsistency with rules set by other international regulators. Separately</w:t>
      </w:r>
      <w:r>
        <w:t>,</w:t>
      </w:r>
      <w:r w:rsidRPr="006276D7">
        <w:t xml:space="preserve"> we believe the current proposal would introduce significant unintended consequences and practical issues. </w:t>
      </w:r>
    </w:p>
    <w:p w:rsidR="00D23421" w:rsidRDefault="00D23421" w:rsidP="00D23421">
      <w:pPr>
        <w:pStyle w:val="BodyText"/>
      </w:pPr>
      <w:r w:rsidRPr="006276D7">
        <w:t xml:space="preserve">We set out below the unintended consequences these rules </w:t>
      </w:r>
      <w:r>
        <w:t>would present,</w:t>
      </w:r>
      <w:r w:rsidRPr="006276D7">
        <w:t xml:space="preserve"> firstly </w:t>
      </w:r>
      <w:r>
        <w:t xml:space="preserve">to all market participants, </w:t>
      </w:r>
      <w:r w:rsidR="00AA2F77">
        <w:t xml:space="preserve">and secondly </w:t>
      </w:r>
      <w:r>
        <w:t xml:space="preserve">to </w:t>
      </w:r>
      <w:r w:rsidRPr="006276D7">
        <w:t xml:space="preserve">pension schemes. </w:t>
      </w:r>
    </w:p>
    <w:p w:rsidR="00D23421" w:rsidRPr="00394896" w:rsidRDefault="00D23421" w:rsidP="00D23421">
      <w:pPr>
        <w:pStyle w:val="BodyText"/>
        <w:rPr>
          <w:u w:val="single"/>
        </w:rPr>
      </w:pPr>
      <w:r w:rsidRPr="00394896">
        <w:rPr>
          <w:u w:val="single"/>
        </w:rPr>
        <w:t xml:space="preserve">Issues with the current proposal relating to all market participants: </w:t>
      </w:r>
    </w:p>
    <w:p w:rsidR="006276D7" w:rsidRPr="00394896" w:rsidRDefault="006276D7" w:rsidP="00394896">
      <w:pPr>
        <w:pStyle w:val="ListBullet"/>
      </w:pPr>
      <w:r w:rsidRPr="00394896">
        <w:rPr>
          <w:b/>
        </w:rPr>
        <w:t xml:space="preserve">We believe that the proposed issuer concentration limit, when applied to sovereign bonds issued by EU governments outside the </w:t>
      </w:r>
      <w:proofErr w:type="spellStart"/>
      <w:r w:rsidR="006E1F40">
        <w:rPr>
          <w:b/>
        </w:rPr>
        <w:t>e</w:t>
      </w:r>
      <w:r w:rsidR="006E1F40" w:rsidRPr="00394896">
        <w:rPr>
          <w:b/>
        </w:rPr>
        <w:t>urozone</w:t>
      </w:r>
      <w:proofErr w:type="spellEnd"/>
      <w:r w:rsidRPr="00394896">
        <w:rPr>
          <w:b/>
        </w:rPr>
        <w:t xml:space="preserve">, would have significant adverse implications specific to users of non-euro-denominated OTC derivatives and would introduce material new risks. </w:t>
      </w:r>
      <w:r w:rsidRPr="00394896">
        <w:t>This would include, for example, derivatives denominated in British sterling, the Polish zloty, the Hungarian forint and the Swedish krona.</w:t>
      </w:r>
    </w:p>
    <w:p w:rsidR="006276D7" w:rsidRPr="00394896" w:rsidRDefault="006276D7" w:rsidP="00394896">
      <w:pPr>
        <w:pStyle w:val="ListBullet"/>
        <w:rPr>
          <w:b/>
        </w:rPr>
      </w:pPr>
      <w:r w:rsidRPr="00394896">
        <w:rPr>
          <w:b/>
        </w:rPr>
        <w:t xml:space="preserve">We also </w:t>
      </w:r>
      <w:r w:rsidR="006157F1" w:rsidRPr="00394896">
        <w:rPr>
          <w:b/>
        </w:rPr>
        <w:t xml:space="preserve">believe </w:t>
      </w:r>
      <w:r w:rsidRPr="00394896">
        <w:rPr>
          <w:b/>
        </w:rPr>
        <w:t xml:space="preserve">the proposed concentration limits, when combined with the proposed FX haircut set out in </w:t>
      </w:r>
      <w:r w:rsidR="00250E61" w:rsidRPr="00394896">
        <w:rPr>
          <w:b/>
        </w:rPr>
        <w:t xml:space="preserve">paragraphs </w:t>
      </w:r>
      <w:r w:rsidRPr="00394896">
        <w:rPr>
          <w:b/>
        </w:rPr>
        <w:t xml:space="preserve">6 and 7 of Annex 2, will disproportionately affect entities based in the European Union but outside the </w:t>
      </w:r>
      <w:proofErr w:type="spellStart"/>
      <w:r w:rsidR="006E1F40">
        <w:rPr>
          <w:b/>
        </w:rPr>
        <w:t>e</w:t>
      </w:r>
      <w:r w:rsidR="006E1F40" w:rsidRPr="00394896">
        <w:rPr>
          <w:b/>
        </w:rPr>
        <w:t>urozone</w:t>
      </w:r>
      <w:proofErr w:type="spellEnd"/>
      <w:r w:rsidRPr="00394896">
        <w:rPr>
          <w:b/>
        </w:rPr>
        <w:t xml:space="preserve">.  </w:t>
      </w:r>
    </w:p>
    <w:p w:rsidR="003807BB" w:rsidRPr="00394896" w:rsidRDefault="003807BB" w:rsidP="00394896">
      <w:pPr>
        <w:pStyle w:val="ListBullet"/>
        <w:rPr>
          <w:b/>
        </w:rPr>
      </w:pPr>
      <w:r w:rsidRPr="00394896">
        <w:rPr>
          <w:b/>
        </w:rPr>
        <w:t xml:space="preserve">Derivative valuations </w:t>
      </w:r>
      <w:r w:rsidR="00AA2F77" w:rsidRPr="00394896">
        <w:rPr>
          <w:b/>
        </w:rPr>
        <w:t xml:space="preserve">are directly linked to the format of the underlying collateral that is used for margining the derivatives. It is not clear how derivative valuations could work </w:t>
      </w:r>
      <w:r w:rsidR="006E1F40">
        <w:rPr>
          <w:b/>
        </w:rPr>
        <w:t>when</w:t>
      </w:r>
      <w:r w:rsidR="00AA2F77" w:rsidRPr="00394896">
        <w:rPr>
          <w:b/>
        </w:rPr>
        <w:t xml:space="preserve"> there is </w:t>
      </w:r>
      <w:r w:rsidR="006E1F40">
        <w:rPr>
          <w:b/>
        </w:rPr>
        <w:t xml:space="preserve">a </w:t>
      </w:r>
      <w:r w:rsidR="00AA2F77" w:rsidRPr="00394896">
        <w:rPr>
          <w:b/>
        </w:rPr>
        <w:t xml:space="preserve">collateral mix of 50% in one jurisdiction and 50% in another jurisdiction or cash. </w:t>
      </w:r>
      <w:r w:rsidR="00AA2F77" w:rsidRPr="00394896">
        <w:t>It is likely that end-users would receive valuations based off the worse valuation curve in this scenario.</w:t>
      </w:r>
      <w:r w:rsidR="00AA2F77" w:rsidRPr="00394896">
        <w:rPr>
          <w:b/>
        </w:rPr>
        <w:t xml:space="preserve"> </w:t>
      </w:r>
    </w:p>
    <w:p w:rsidR="00AA2F77" w:rsidRPr="006276D7" w:rsidRDefault="00AA2F77" w:rsidP="00AA2F77">
      <w:pPr>
        <w:pStyle w:val="ListBullet"/>
        <w:rPr>
          <w:b/>
        </w:rPr>
      </w:pPr>
      <w:r w:rsidRPr="006276D7">
        <w:rPr>
          <w:b/>
        </w:rPr>
        <w:t xml:space="preserve">We are concerned the concentration rules are likely to result in rules that may not be possible to implement for </w:t>
      </w:r>
      <w:r>
        <w:rPr>
          <w:b/>
        </w:rPr>
        <w:t xml:space="preserve">transactions with </w:t>
      </w:r>
      <w:r w:rsidRPr="006276D7">
        <w:rPr>
          <w:b/>
        </w:rPr>
        <w:t>buy-side clients with more than one asset manager and</w:t>
      </w:r>
      <w:r>
        <w:rPr>
          <w:b/>
        </w:rPr>
        <w:t>/</w:t>
      </w:r>
      <w:r w:rsidRPr="006276D7">
        <w:rPr>
          <w:b/>
        </w:rPr>
        <w:t>or</w:t>
      </w:r>
      <w:r>
        <w:rPr>
          <w:b/>
        </w:rPr>
        <w:t xml:space="preserve"> </w:t>
      </w:r>
      <w:r w:rsidRPr="006276D7">
        <w:rPr>
          <w:b/>
        </w:rPr>
        <w:t>mandates. At best</w:t>
      </w:r>
      <w:r>
        <w:rPr>
          <w:b/>
        </w:rPr>
        <w:t>,</w:t>
      </w:r>
      <w:r w:rsidRPr="006276D7">
        <w:rPr>
          <w:b/>
        </w:rPr>
        <w:t xml:space="preserve"> if it can be implemented, we feel that it is likely to lead to significant delays in the settlement of margins</w:t>
      </w:r>
      <w:r>
        <w:rPr>
          <w:b/>
        </w:rPr>
        <w:t>,</w:t>
      </w:r>
      <w:r w:rsidRPr="006276D7">
        <w:rPr>
          <w:b/>
        </w:rPr>
        <w:t xml:space="preserve"> going against the overall objective of prudent risk management. </w:t>
      </w:r>
    </w:p>
    <w:p w:rsidR="00AA2F77" w:rsidRDefault="00AA2F77" w:rsidP="00AA2F77">
      <w:pPr>
        <w:pStyle w:val="ListBullet"/>
        <w:numPr>
          <w:ilvl w:val="0"/>
          <w:numId w:val="0"/>
        </w:numPr>
        <w:ind w:left="360"/>
      </w:pPr>
      <w:r w:rsidRPr="006276D7">
        <w:t>We currently post daily variation margin on a T+1 basis for most derivatives products. It is not clear how these complex concentration rules could be applied in situations when clients have more than one asset manager or more than one mandate. First, the calculations would need to be done across all asset managers, all mandates, and all groups of the buy-side client to determine if the initial margin collected goes above EUR 1bn to determine if the entity is in-scope for the concentration rules (Article 7 LEC 3(c)). Then, either simultaneously or immediately afterwards</w:t>
      </w:r>
      <w:r>
        <w:t>,</w:t>
      </w:r>
      <w:r w:rsidRPr="006276D7">
        <w:t xml:space="preserve"> a calculation must be done to </w:t>
      </w:r>
      <w:r w:rsidRPr="006276D7">
        <w:lastRenderedPageBreak/>
        <w:t>calculate the total VM and IM across all asset managers, all mandates and across all groups, to determine how much of the total VM and IM goes above EUR 1bn (Article 7 LEC 2). Then some form of further communication needs to happen across all managers and/or the client to ensure that the 50% rule is met. It is difficult to envisage how this could be implemented at all in practi</w:t>
      </w:r>
      <w:r>
        <w:t>c</w:t>
      </w:r>
      <w:r w:rsidRPr="006276D7">
        <w:t xml:space="preserve">e. If it can indeed be implemented somehow, it is likely to lead to significant delays to the settlement of margins, which we feel would go against the objective of prudent risk management. </w:t>
      </w:r>
    </w:p>
    <w:p w:rsidR="00AA2F77" w:rsidRDefault="00AA2F77" w:rsidP="00AA2F77">
      <w:pPr>
        <w:pStyle w:val="ListBullet"/>
        <w:numPr>
          <w:ilvl w:val="0"/>
          <w:numId w:val="0"/>
        </w:numPr>
        <w:ind w:left="360"/>
      </w:pPr>
      <w:r>
        <w:t>Note that given that banks are typically on the other side of the transaction with buy-side clients, this issue would impact not just the buy-side clients but also banks</w:t>
      </w:r>
      <w:r w:rsidR="006E1F40">
        <w:t>,</w:t>
      </w:r>
      <w:r>
        <w:t xml:space="preserve"> who would be required to post collateral in the relevant format so that the buy-side client could meet the 50% requirement rules on collateral that it collects. </w:t>
      </w:r>
    </w:p>
    <w:p w:rsidR="00AA2F77" w:rsidRDefault="00AA2F77" w:rsidP="00AA2F77">
      <w:pPr>
        <w:pStyle w:val="ListBullet"/>
        <w:numPr>
          <w:ilvl w:val="0"/>
          <w:numId w:val="26"/>
        </w:numPr>
      </w:pPr>
      <w:r w:rsidRPr="00DF0422">
        <w:rPr>
          <w:b/>
        </w:rPr>
        <w:t xml:space="preserve">We are concerned the </w:t>
      </w:r>
      <w:r>
        <w:rPr>
          <w:b/>
        </w:rPr>
        <w:t xml:space="preserve">practical and timing implications of the complex </w:t>
      </w:r>
      <w:r w:rsidRPr="00DF0422">
        <w:rPr>
          <w:b/>
        </w:rPr>
        <w:t xml:space="preserve">concentration rules </w:t>
      </w:r>
      <w:r w:rsidR="00FB7A73">
        <w:rPr>
          <w:b/>
        </w:rPr>
        <w:t>need further thought to ensure that it does not create any unintended consequences</w:t>
      </w:r>
      <w:r>
        <w:rPr>
          <w:b/>
        </w:rPr>
        <w:t xml:space="preserve">: </w:t>
      </w:r>
      <w:r>
        <w:t>Any end-user subject to the initial margin rules is likely to only become in-scope for the initial margin rules from 2020. This is because it is unlikely that an end user would have EUR 750</w:t>
      </w:r>
      <w:r w:rsidR="006E1F40">
        <w:t xml:space="preserve"> billion </w:t>
      </w:r>
      <w:r>
        <w:t>of non-cleared derivatives, but it is possible that an end-user could have EUR 8</w:t>
      </w:r>
      <w:r w:rsidR="006E1F40">
        <w:t xml:space="preserve"> billion </w:t>
      </w:r>
      <w:r>
        <w:t xml:space="preserve">of non-cleared derivatives. Based on this, an end-user could only become in-scope for any concentration rules from 2020 (based on Article </w:t>
      </w:r>
      <w:r w:rsidRPr="006276D7">
        <w:t>7 LEC 3(c)</w:t>
      </w:r>
      <w:r>
        <w:t xml:space="preserve">). </w:t>
      </w:r>
    </w:p>
    <w:p w:rsidR="00AA2F77" w:rsidRDefault="00AA2F77" w:rsidP="00AA2F77">
      <w:pPr>
        <w:pStyle w:val="ListBullet"/>
        <w:numPr>
          <w:ilvl w:val="0"/>
          <w:numId w:val="0"/>
        </w:numPr>
        <w:ind w:left="360"/>
      </w:pPr>
      <w:r>
        <w:t>Once an end-user is in-scope for the concentration rules, it would apply to not only IM but also VM</w:t>
      </w:r>
      <w:r w:rsidR="006E1F40">
        <w:t>.</w:t>
      </w:r>
      <w:r>
        <w:t xml:space="preserve"> However</w:t>
      </w:r>
      <w:r w:rsidR="006E1F40">
        <w:t>,</w:t>
      </w:r>
      <w:r>
        <w:t xml:space="preserve"> it is not clear if this would apply to previously posted VM or just VM posted from the date when the entity becomes in-scope for the concentration rules. Either way we are concerned that there are significant unintended consequences and hurdles to overcome. </w:t>
      </w:r>
    </w:p>
    <w:p w:rsidR="007E00F6" w:rsidRDefault="007E00F6" w:rsidP="007E00F6">
      <w:pPr>
        <w:pStyle w:val="ListBullet"/>
        <w:numPr>
          <w:ilvl w:val="0"/>
          <w:numId w:val="0"/>
        </w:numPr>
        <w:ind w:left="360"/>
      </w:pPr>
      <w:r>
        <w:t>If the rules are intended to be applied to all VM</w:t>
      </w:r>
      <w:r w:rsidR="006E1F40">
        <w:t>,</w:t>
      </w:r>
      <w:r>
        <w:t xml:space="preserve"> including previously posted VM</w:t>
      </w:r>
      <w:r w:rsidR="006E1F40">
        <w:t>,</w:t>
      </w:r>
      <w:r>
        <w:t xml:space="preserve"> this would create a “big</w:t>
      </w:r>
      <w:r w:rsidR="006E1F40">
        <w:t xml:space="preserve"> </w:t>
      </w:r>
      <w:r>
        <w:t>bang” date and it would likely create significant disruption. It’s not clear how market participants could readjust the collateral mix that has been already posted. Furthermore, readjusting the collateral mix for derivatives contracts would impact derivative valuations for previously traded derivative contracts. This is because derivative valuations are directly linked to the underlying collateral that is posted. Counterparty banks would likely try to pass on the cost of the change in derivatives valuation to end-users. End users could therefore incur additional costs and this is not something that they would be able to quantify at the time of entry into the derivative contract.</w:t>
      </w:r>
    </w:p>
    <w:p w:rsidR="007E00F6" w:rsidRDefault="007E00F6" w:rsidP="007E00F6">
      <w:pPr>
        <w:pStyle w:val="ListBullet"/>
        <w:numPr>
          <w:ilvl w:val="0"/>
          <w:numId w:val="0"/>
        </w:numPr>
        <w:ind w:left="360"/>
      </w:pPr>
      <w:r>
        <w:t>If the rules are intended to capture only the VM posted from the date when the entity becomes subject to the concentration rules, it is not clear how this could work in practice. It is difficult to envisage how we could implement two different VM calculations taking into account different time periods.</w:t>
      </w:r>
    </w:p>
    <w:p w:rsidR="007E00F6" w:rsidRDefault="007E00F6" w:rsidP="007E00F6">
      <w:pPr>
        <w:pStyle w:val="ListBullet"/>
        <w:numPr>
          <w:ilvl w:val="0"/>
          <w:numId w:val="0"/>
        </w:numPr>
        <w:ind w:left="360"/>
      </w:pPr>
      <w:r>
        <w:t>Note that a transaction between a bank and an end-user would become subject to the concentration rules at the point when the end-user becomes an in-scope entity, as the bank is already likely to be a systemically important institution. Therefore the timing issue described above in relation to when the concentration rules would come into effect for a transaction would be an issue not just for the end-users but also for the bank on the other side of the transaction.</w:t>
      </w:r>
    </w:p>
    <w:p w:rsidR="003807BB" w:rsidRDefault="003807BB" w:rsidP="006276D7">
      <w:pPr>
        <w:pStyle w:val="BodyText"/>
      </w:pPr>
    </w:p>
    <w:p w:rsidR="006276D7" w:rsidRPr="00394896" w:rsidRDefault="006276D7" w:rsidP="006276D7">
      <w:pPr>
        <w:pStyle w:val="BodyText"/>
        <w:rPr>
          <w:u w:val="single"/>
        </w:rPr>
      </w:pPr>
      <w:r w:rsidRPr="00394896">
        <w:rPr>
          <w:u w:val="single"/>
        </w:rPr>
        <w:t xml:space="preserve">Issues with the current proposal relating to pension schemes (or pension scheme arrangements as defined in EMIR level 1): </w:t>
      </w:r>
    </w:p>
    <w:p w:rsidR="006276D7" w:rsidRPr="006276D7" w:rsidRDefault="006276D7" w:rsidP="006276D7">
      <w:pPr>
        <w:pStyle w:val="ListBullet"/>
      </w:pPr>
      <w:r w:rsidRPr="006276D7">
        <w:rPr>
          <w:b/>
        </w:rPr>
        <w:t>Pension schemes are not systemically important institutions:</w:t>
      </w:r>
      <w:r>
        <w:t xml:space="preserve"> </w:t>
      </w:r>
      <w:r w:rsidRPr="006276D7">
        <w:t>While the current ESA</w:t>
      </w:r>
      <w:r w:rsidR="00D9531F">
        <w:t>s’</w:t>
      </w:r>
      <w:r w:rsidRPr="006276D7">
        <w:t xml:space="preserve"> proposal tries to bring into scope only systemically important institutions, Article 7 LEC 3(c) brings into scope entities that are not systemically important institutions. This Article brings into scope any counterparty that collects initial margin in excess of EUR 1 billion which would include large pension schemes with </w:t>
      </w:r>
      <w:r w:rsidRPr="006276D7">
        <w:lastRenderedPageBreak/>
        <w:t>over EUR 8</w:t>
      </w:r>
      <w:r w:rsidR="006E1F40">
        <w:t xml:space="preserve"> billion </w:t>
      </w:r>
      <w:r w:rsidRPr="006276D7">
        <w:t xml:space="preserve">gross notional of non-cleared derivatives positions which would be subject to the initial margin rules. </w:t>
      </w:r>
    </w:p>
    <w:p w:rsidR="006276D7" w:rsidRPr="006276D7" w:rsidRDefault="006276D7" w:rsidP="006276D7">
      <w:pPr>
        <w:pStyle w:val="ListBullet"/>
        <w:numPr>
          <w:ilvl w:val="0"/>
          <w:numId w:val="0"/>
        </w:numPr>
        <w:ind w:left="360"/>
      </w:pPr>
      <w:r w:rsidRPr="006276D7">
        <w:t>Pension schemes are subject to a requirement to prudently manage risk. As part of this, pension schemes use derivatives to prudently manage financial solvency and reduce the risk that the pension schemes may become financially insolvent. Pension schemes are not systemically important institutions and should not be treated as such. Pension schemes are asset</w:t>
      </w:r>
      <w:r w:rsidR="006157F1">
        <w:t>-</w:t>
      </w:r>
      <w:r w:rsidRPr="006276D7">
        <w:t>rich, do not take large amounts of leverage and are focused on managing their financial solvency to pay current and future pensioners’ retirement incomes.</w:t>
      </w:r>
    </w:p>
    <w:p w:rsidR="006276D7" w:rsidRPr="006276D7" w:rsidRDefault="006276D7" w:rsidP="006276D7">
      <w:pPr>
        <w:pStyle w:val="ListBullet"/>
      </w:pPr>
      <w:r w:rsidRPr="006276D7">
        <w:rPr>
          <w:b/>
        </w:rPr>
        <w:t xml:space="preserve">Concentration rules </w:t>
      </w:r>
      <w:r w:rsidR="006157F1">
        <w:rPr>
          <w:b/>
        </w:rPr>
        <w:t xml:space="preserve">increase risk </w:t>
      </w:r>
      <w:r w:rsidRPr="006276D7">
        <w:rPr>
          <w:b/>
        </w:rPr>
        <w:t xml:space="preserve">when applied to pension schemes in the European Union but not within the </w:t>
      </w:r>
      <w:proofErr w:type="spellStart"/>
      <w:r w:rsidR="006E1F40">
        <w:rPr>
          <w:b/>
        </w:rPr>
        <w:t>e</w:t>
      </w:r>
      <w:r w:rsidRPr="006276D7">
        <w:rPr>
          <w:b/>
        </w:rPr>
        <w:t>urozone</w:t>
      </w:r>
      <w:proofErr w:type="spellEnd"/>
      <w:r w:rsidRPr="006276D7">
        <w:rPr>
          <w:b/>
        </w:rPr>
        <w:t>:</w:t>
      </w:r>
      <w:r>
        <w:rPr>
          <w:b/>
        </w:rPr>
        <w:t xml:space="preserve"> </w:t>
      </w:r>
      <w:r w:rsidRPr="006276D7">
        <w:t xml:space="preserve">The impact of these concentration rules would be significant for pension schemes within the EU but not within the </w:t>
      </w:r>
      <w:proofErr w:type="spellStart"/>
      <w:r w:rsidR="006E1F40">
        <w:t>e</w:t>
      </w:r>
      <w:r w:rsidR="00EC7E21" w:rsidRPr="006276D7">
        <w:t>urozone</w:t>
      </w:r>
      <w:proofErr w:type="spellEnd"/>
      <w:r w:rsidRPr="006276D7">
        <w:t xml:space="preserve">, </w:t>
      </w:r>
      <w:r w:rsidR="006157F1">
        <w:t xml:space="preserve">such as </w:t>
      </w:r>
      <w:r w:rsidRPr="006276D7">
        <w:t xml:space="preserve">UK pension schemes. UK pension schemes hold </w:t>
      </w:r>
      <w:r w:rsidR="006157F1">
        <w:t xml:space="preserve">a </w:t>
      </w:r>
      <w:r w:rsidRPr="006276D7">
        <w:t xml:space="preserve">significant amount of </w:t>
      </w:r>
      <w:r w:rsidR="006157F1">
        <w:t>s</w:t>
      </w:r>
      <w:r w:rsidRPr="006276D7">
        <w:t>terling UK government bonds</w:t>
      </w:r>
      <w:r w:rsidR="006157F1">
        <w:t xml:space="preserve"> (</w:t>
      </w:r>
      <w:r w:rsidRPr="006276D7">
        <w:t>gilts</w:t>
      </w:r>
      <w:r w:rsidR="006157F1">
        <w:t>)</w:t>
      </w:r>
      <w:r w:rsidRPr="006276D7">
        <w:t xml:space="preserve">. These gilts provide certain interest rate and inflation risk protection against the liabilities of UK pension schemes and therefore play an important role </w:t>
      </w:r>
      <w:r w:rsidR="006157F1">
        <w:t xml:space="preserve">for </w:t>
      </w:r>
      <w:r w:rsidRPr="006276D7">
        <w:t>UK pension scheme</w:t>
      </w:r>
      <w:r w:rsidR="006157F1">
        <w:t>s</w:t>
      </w:r>
      <w:r w:rsidRPr="006276D7">
        <w:t xml:space="preserve"> managing </w:t>
      </w:r>
      <w:r w:rsidR="006157F1">
        <w:t xml:space="preserve">their </w:t>
      </w:r>
      <w:r w:rsidRPr="006276D7">
        <w:t xml:space="preserve">financial solvency. Other EU government bonds would not provide this protection against these </w:t>
      </w:r>
      <w:r w:rsidR="006157F1" w:rsidRPr="006276D7">
        <w:t>liabilit</w:t>
      </w:r>
      <w:r w:rsidR="006157F1">
        <w:t>y risks</w:t>
      </w:r>
      <w:r w:rsidR="006157F1" w:rsidRPr="006276D7">
        <w:t xml:space="preserve"> </w:t>
      </w:r>
      <w:r w:rsidRPr="006276D7">
        <w:t xml:space="preserve">as EU government bonds are not denominated in </w:t>
      </w:r>
      <w:r w:rsidR="006157F1">
        <w:t>s</w:t>
      </w:r>
      <w:r w:rsidRPr="006276D7">
        <w:t xml:space="preserve">terling and are not linked to UK interest or inflation rates. A UK pension scheme required to comply with the concentration limits would likely have to convert some of its gilts into non-UK bonds, introducing not only currency risk but also increasing the financial solvency risk to the pension scheme. The net effect of the concentration rules on large pension schemes would therefore be </w:t>
      </w:r>
      <w:r w:rsidR="006157F1">
        <w:t xml:space="preserve">to </w:t>
      </w:r>
      <w:r w:rsidRPr="006276D7">
        <w:t>increas</w:t>
      </w:r>
      <w:r w:rsidR="006157F1">
        <w:t>e risk</w:t>
      </w:r>
      <w:r w:rsidRPr="006276D7">
        <w:t>, rather than reduc</w:t>
      </w:r>
      <w:r w:rsidR="006157F1">
        <w:t>e</w:t>
      </w:r>
      <w:r w:rsidRPr="006276D7">
        <w:t xml:space="preserve"> risk, </w:t>
      </w:r>
      <w:r w:rsidR="006157F1">
        <w:t xml:space="preserve">for </w:t>
      </w:r>
      <w:r w:rsidRPr="006276D7">
        <w:t xml:space="preserve">pension beneficiaries, the sponsor corporate responsible for the employee pension schemes, and the financial system overall. </w:t>
      </w:r>
    </w:p>
    <w:p w:rsidR="006276D7" w:rsidRPr="006276D7" w:rsidRDefault="006276D7" w:rsidP="006276D7">
      <w:pPr>
        <w:pStyle w:val="ListBullet"/>
      </w:pPr>
      <w:r w:rsidRPr="006276D7">
        <w:rPr>
          <w:b/>
        </w:rPr>
        <w:t>Concentration rules would force pension schemes to either take more risk or hold more cash, going against EMIR level 1 policymakers’ objective:</w:t>
      </w:r>
      <w:r>
        <w:rPr>
          <w:b/>
        </w:rPr>
        <w:t xml:space="preserve"> </w:t>
      </w:r>
      <w:r w:rsidRPr="006276D7">
        <w:t xml:space="preserve">In order to comply with the concentration limit requirement without introducing currency risks, a UK pension scheme would need to hold cash instead of gilts. Holding cash would introduce significant costs </w:t>
      </w:r>
      <w:r w:rsidR="006157F1">
        <w:t xml:space="preserve">for </w:t>
      </w:r>
      <w:r w:rsidRPr="006276D7">
        <w:t>pensioners</w:t>
      </w:r>
      <w:r w:rsidR="006157F1">
        <w:t>.</w:t>
      </w:r>
      <w:r w:rsidRPr="006276D7">
        <w:t xml:space="preserve"> EMIR level 1 text already recognises that pension schemes do not hold cash and must not be forced to hold cash. The temporary relief for pension schemes from the central clearing obligation is a reflection of pension schemes’ inability to post cash for variation margin required in central clearing. We feel that these concentration rules would effectively force large UK pension schemes to either a) take unwarranted risk and go against their principle of managing risk prudently, or b) hold cash incurring significant cost</w:t>
      </w:r>
      <w:r w:rsidR="006157F1">
        <w:t>s</w:t>
      </w:r>
      <w:r w:rsidRPr="006276D7">
        <w:t xml:space="preserve"> </w:t>
      </w:r>
      <w:r w:rsidR="006157F1">
        <w:t xml:space="preserve">for </w:t>
      </w:r>
      <w:r w:rsidRPr="006276D7">
        <w:t>pensioners</w:t>
      </w:r>
      <w:r w:rsidR="006157F1">
        <w:t>,</w:t>
      </w:r>
      <w:r w:rsidRPr="006276D7">
        <w:t xml:space="preserve"> going against the EMIR level 1 policymakers’ objective. </w:t>
      </w:r>
    </w:p>
    <w:p w:rsidR="006276D7" w:rsidRPr="006276D7" w:rsidRDefault="006276D7" w:rsidP="006276D7">
      <w:pPr>
        <w:pStyle w:val="BodyText"/>
      </w:pPr>
      <w:r w:rsidRPr="006276D7">
        <w:t xml:space="preserve">We therefore believe that the concentration limits, even in their modified form, continue to be of concern and we believe that </w:t>
      </w:r>
      <w:r w:rsidR="00E96958">
        <w:t>they should be removed</w:t>
      </w:r>
      <w:r w:rsidRPr="006276D7">
        <w:t xml:space="preserve">.  </w:t>
      </w:r>
      <w:r w:rsidR="00720E85">
        <w:t xml:space="preserve">We would be happy to engage on ways to make this work if it cannot be removed entirely (e.g. applying </w:t>
      </w:r>
      <w:r w:rsidR="00720E85" w:rsidRPr="00720E85">
        <w:t xml:space="preserve">concentration rules </w:t>
      </w:r>
      <w:bookmarkStart w:id="0" w:name="_GoBack"/>
      <w:bookmarkEnd w:id="0"/>
      <w:r w:rsidR="00720E85">
        <w:t>only for initial margin and only between banks).</w:t>
      </w:r>
    </w:p>
    <w:p w:rsidR="001406F4" w:rsidRPr="00F021BA" w:rsidRDefault="001406F4" w:rsidP="00F021BA"/>
    <w:p w:rsidR="0056577B" w:rsidRDefault="0056577B" w:rsidP="00D068DB">
      <w:pPr>
        <w:pStyle w:val="TOC-Heading1NoNumbering"/>
      </w:pPr>
      <w:bookmarkStart w:id="1" w:name="_Toc301182458"/>
      <w:bookmarkStart w:id="2" w:name="_Toc301271785"/>
      <w:bookmarkStart w:id="3" w:name="_Toc337039119"/>
      <w:r>
        <w:lastRenderedPageBreak/>
        <w:t>Contact page</w:t>
      </w:r>
      <w:bookmarkEnd w:id="1"/>
      <w:bookmarkEnd w:id="2"/>
      <w:bookmarkEnd w:id="3"/>
    </w:p>
    <w:tbl>
      <w:tblPr>
        <w:tblW w:w="5000" w:type="pct"/>
        <w:tblLook w:val="01E0" w:firstRow="1" w:lastRow="1" w:firstColumn="1" w:lastColumn="1" w:noHBand="0" w:noVBand="0"/>
      </w:tblPr>
      <w:tblGrid>
        <w:gridCol w:w="3327"/>
        <w:gridCol w:w="5960"/>
      </w:tblGrid>
      <w:tr w:rsidR="0056577B" w:rsidRPr="00BD5BB2" w:rsidTr="00BA261E">
        <w:tc>
          <w:tcPr>
            <w:tcW w:w="3527" w:type="dxa"/>
            <w:shd w:val="clear" w:color="auto" w:fill="auto"/>
          </w:tcPr>
          <w:p w:rsidR="0056577B" w:rsidRPr="00B761EC" w:rsidRDefault="0056577B">
            <w:pPr>
              <w:pStyle w:val="ContactsTableHeading"/>
            </w:pPr>
            <w:r>
              <w:t>Main contact</w:t>
            </w:r>
          </w:p>
        </w:tc>
        <w:tc>
          <w:tcPr>
            <w:tcW w:w="3209" w:type="pct"/>
            <w:shd w:val="clear" w:color="auto" w:fill="auto"/>
          </w:tcPr>
          <w:p w:rsidR="0056577B" w:rsidRPr="00BA261E" w:rsidRDefault="00EA0ACF">
            <w:pPr>
              <w:pStyle w:val="ContactsTableText"/>
              <w:rPr>
                <w:highlight w:val="yellow"/>
              </w:rPr>
            </w:pPr>
            <w:r w:rsidRPr="00394896">
              <w:t>Vanaja Indra</w:t>
            </w:r>
          </w:p>
        </w:tc>
      </w:tr>
      <w:tr w:rsidR="0056577B" w:rsidRPr="00BD5BB2" w:rsidTr="00BA261E">
        <w:tc>
          <w:tcPr>
            <w:tcW w:w="3527" w:type="dxa"/>
            <w:shd w:val="clear" w:color="auto" w:fill="auto"/>
          </w:tcPr>
          <w:p w:rsidR="0056577B" w:rsidRDefault="0056577B">
            <w:pPr>
              <w:pStyle w:val="ContactsTableHeading"/>
            </w:pPr>
            <w:r>
              <w:t>Title</w:t>
            </w:r>
          </w:p>
        </w:tc>
        <w:tc>
          <w:tcPr>
            <w:tcW w:w="3209" w:type="pct"/>
            <w:shd w:val="clear" w:color="auto" w:fill="auto"/>
          </w:tcPr>
          <w:p w:rsidR="0056577B" w:rsidRPr="00BA261E" w:rsidRDefault="00EA0ACF" w:rsidP="00394896">
            <w:pPr>
              <w:pStyle w:val="ContactsTableText"/>
              <w:rPr>
                <w:highlight w:val="yellow"/>
              </w:rPr>
            </w:pPr>
            <w:r w:rsidRPr="00394896">
              <w:t>Market &amp; Regulatory Reform Director</w:t>
            </w:r>
          </w:p>
        </w:tc>
      </w:tr>
      <w:tr w:rsidR="0056577B" w:rsidRPr="00BD5BB2" w:rsidTr="00BA261E">
        <w:tc>
          <w:tcPr>
            <w:tcW w:w="3527" w:type="dxa"/>
            <w:shd w:val="clear" w:color="auto" w:fill="auto"/>
          </w:tcPr>
          <w:p w:rsidR="0056577B" w:rsidRDefault="0056577B">
            <w:pPr>
              <w:pStyle w:val="ContactsTableHeading"/>
            </w:pPr>
            <w:r>
              <w:t>Telephone</w:t>
            </w:r>
          </w:p>
        </w:tc>
        <w:tc>
          <w:tcPr>
            <w:tcW w:w="3209" w:type="pct"/>
            <w:shd w:val="clear" w:color="auto" w:fill="auto"/>
          </w:tcPr>
          <w:p w:rsidR="0056577B" w:rsidRPr="00BA261E" w:rsidRDefault="0056577B">
            <w:pPr>
              <w:pStyle w:val="ContactsTableText"/>
              <w:rPr>
                <w:highlight w:val="yellow"/>
              </w:rPr>
            </w:pPr>
            <w:r w:rsidRPr="00394896">
              <w:t>+44 20 7321 1</w:t>
            </w:r>
            <w:r w:rsidR="00EA0ACF">
              <w:t>110</w:t>
            </w:r>
          </w:p>
        </w:tc>
      </w:tr>
      <w:tr w:rsidR="0056577B" w:rsidRPr="00BD5BB2" w:rsidTr="00BA261E">
        <w:tc>
          <w:tcPr>
            <w:tcW w:w="3527" w:type="dxa"/>
            <w:shd w:val="clear" w:color="auto" w:fill="auto"/>
          </w:tcPr>
          <w:p w:rsidR="0056577B" w:rsidRDefault="0056577B">
            <w:pPr>
              <w:pStyle w:val="ContactsTableHeading"/>
            </w:pPr>
            <w:r>
              <w:t>Email</w:t>
            </w:r>
          </w:p>
        </w:tc>
        <w:tc>
          <w:tcPr>
            <w:tcW w:w="3209" w:type="pct"/>
            <w:shd w:val="clear" w:color="auto" w:fill="auto"/>
          </w:tcPr>
          <w:p w:rsidR="0056577B" w:rsidRPr="00394896" w:rsidRDefault="00EA0ACF" w:rsidP="00394896">
            <w:pPr>
              <w:pStyle w:val="ContactsTableText"/>
              <w:rPr>
                <w:rStyle w:val="Hyperlink"/>
                <w:color w:val="000000" w:themeColor="text1"/>
                <w:highlight w:val="yellow"/>
              </w:rPr>
            </w:pPr>
            <w:r w:rsidRPr="00394896">
              <w:rPr>
                <w:color w:val="000000" w:themeColor="text1"/>
              </w:rPr>
              <w:t>vanaja.indra@insightinvestment.com</w:t>
            </w:r>
            <w:r w:rsidRPr="00394896" w:rsidDel="00EA0ACF">
              <w:rPr>
                <w:color w:val="000000" w:themeColor="text1"/>
              </w:rPr>
              <w:t xml:space="preserve"> </w:t>
            </w:r>
          </w:p>
        </w:tc>
      </w:tr>
      <w:tr w:rsidR="0056577B" w:rsidRPr="00BD5BB2" w:rsidTr="00BA261E">
        <w:tc>
          <w:tcPr>
            <w:tcW w:w="3527" w:type="dxa"/>
            <w:shd w:val="clear" w:color="auto" w:fill="auto"/>
          </w:tcPr>
          <w:p w:rsidR="0056577B" w:rsidRDefault="0056577B">
            <w:pPr>
              <w:pStyle w:val="ContactsTableHeading"/>
            </w:pPr>
            <w:r>
              <w:t>Address</w:t>
            </w:r>
          </w:p>
        </w:tc>
        <w:tc>
          <w:tcPr>
            <w:tcW w:w="3209" w:type="pct"/>
            <w:shd w:val="clear" w:color="auto" w:fill="auto"/>
          </w:tcPr>
          <w:p w:rsidR="0056577B" w:rsidRDefault="0056577B">
            <w:pPr>
              <w:pStyle w:val="ContactsTableText"/>
            </w:pPr>
            <w:r>
              <w:t>160 Queen Victoria Street,</w:t>
            </w:r>
            <w:r>
              <w:br/>
              <w:t>London EC4V 4LA</w:t>
            </w:r>
          </w:p>
        </w:tc>
      </w:tr>
      <w:tr w:rsidR="0056577B" w:rsidRPr="00BD5BB2" w:rsidTr="00BA261E">
        <w:tc>
          <w:tcPr>
            <w:tcW w:w="3527" w:type="dxa"/>
            <w:shd w:val="clear" w:color="auto" w:fill="auto"/>
          </w:tcPr>
          <w:p w:rsidR="0056577B" w:rsidRPr="00566787" w:rsidRDefault="0056577B">
            <w:pPr>
              <w:pStyle w:val="ContactsTableHeading"/>
            </w:pPr>
            <w:r w:rsidRPr="00566787">
              <w:t>Website</w:t>
            </w:r>
          </w:p>
        </w:tc>
        <w:tc>
          <w:tcPr>
            <w:tcW w:w="3209" w:type="pct"/>
            <w:shd w:val="clear" w:color="auto" w:fill="auto"/>
          </w:tcPr>
          <w:p w:rsidR="0056577B" w:rsidRPr="00B761EC" w:rsidRDefault="00720E85">
            <w:pPr>
              <w:pStyle w:val="ContactsTableText"/>
              <w:rPr>
                <w:rStyle w:val="Hyperlink"/>
              </w:rPr>
            </w:pPr>
            <w:hyperlink r:id="rId13" w:history="1">
              <w:r w:rsidR="0056577B" w:rsidRPr="00B761EC">
                <w:rPr>
                  <w:rStyle w:val="Hyperlink"/>
                </w:rPr>
                <w:t>www.insightinvestment.com</w:t>
              </w:r>
            </w:hyperlink>
          </w:p>
        </w:tc>
      </w:tr>
    </w:tbl>
    <w:p w:rsidR="0056577B" w:rsidRDefault="0056577B" w:rsidP="009C3295">
      <w:pPr>
        <w:pStyle w:val="BodyText"/>
      </w:pPr>
    </w:p>
    <w:p w:rsidR="00C3089C" w:rsidRDefault="00C3089C" w:rsidP="009C3295">
      <w:pPr>
        <w:pStyle w:val="BodyText"/>
      </w:pPr>
    </w:p>
    <w:p w:rsidR="006106B4" w:rsidRDefault="006106B4" w:rsidP="00D068DB">
      <w:pPr>
        <w:pStyle w:val="TOC-Heading1NoNumbering"/>
      </w:pPr>
      <w:bookmarkStart w:id="4" w:name="_Toc300929062"/>
      <w:bookmarkStart w:id="5" w:name="_Toc301271786"/>
      <w:bookmarkStart w:id="6" w:name="_Toc337039120"/>
      <w:r>
        <w:lastRenderedPageBreak/>
        <w:t>Notes</w:t>
      </w:r>
      <w:bookmarkEnd w:id="4"/>
      <w:bookmarkEnd w:id="5"/>
      <w:bookmarkEnd w:id="6"/>
    </w:p>
    <w:p w:rsidR="00E90BCD" w:rsidRPr="00DE2B0E" w:rsidRDefault="00E90BCD" w:rsidP="00E90BCD">
      <w:pPr>
        <w:pStyle w:val="NormalWeb"/>
        <w:spacing w:before="0" w:after="0"/>
        <w:textAlignment w:val="baseline"/>
        <w:rPr>
          <w:rFonts w:ascii="Arial" w:hAnsi="Arial"/>
          <w:sz w:val="18"/>
          <w:szCs w:val="18"/>
        </w:rPr>
      </w:pPr>
      <w:r w:rsidRPr="00DE2B0E">
        <w:rPr>
          <w:rFonts w:ascii="Arial" w:hAnsi="Arial"/>
          <w:sz w:val="18"/>
          <w:szCs w:val="18"/>
        </w:rPr>
        <w:t>This is a marketing document intended for professional clients only and should not be made available to or relied upon by retail clients. Unless otherwise stated, the source of information is Insight Investment. Any forecasts or opinions are Insight Investment’s own at the date of this document (or as otherwise specified) and may change. Material in this publication is for general information only and is not advice, proper advice (in accordance with the UK Pensions Act 1995), investment advice or recommendation of any purchase or sale of any security.  It should not be regarded as a guarantee of future performance. The value of investments and any income from them will fluctuate and is not guaranteed (this may partly be due to exchange rate changes) and investors may not get back the amount invested. Past performance is not a guide to future performance. This document must not be used for the purpose of an offer or solicitation in any jurisdiction or in any circumstances in which such offer or solicitation is unlawful or otherwise not permitted. This document should not be amended or forwarded to a third party without consent from Insight Investment.</w:t>
      </w:r>
    </w:p>
    <w:p w:rsidR="00E90BCD" w:rsidRDefault="00E90BCD" w:rsidP="00E90BCD">
      <w:pPr>
        <w:pStyle w:val="NormalWeb"/>
        <w:spacing w:before="0" w:after="0"/>
        <w:textAlignment w:val="baseline"/>
        <w:rPr>
          <w:rFonts w:ascii="Arial" w:hAnsi="Arial"/>
          <w:sz w:val="18"/>
          <w:szCs w:val="18"/>
        </w:rPr>
      </w:pPr>
    </w:p>
    <w:p w:rsidR="00E90BCD" w:rsidRPr="00DE2B0E" w:rsidRDefault="00E90BCD" w:rsidP="00E90BCD">
      <w:pPr>
        <w:pStyle w:val="NormalWeb"/>
        <w:spacing w:before="0" w:after="0"/>
        <w:textAlignment w:val="baseline"/>
        <w:rPr>
          <w:rFonts w:ascii="Arial" w:hAnsi="Arial"/>
          <w:sz w:val="18"/>
          <w:szCs w:val="18"/>
        </w:rPr>
      </w:pPr>
      <w:r w:rsidRPr="00DE2B0E">
        <w:rPr>
          <w:rFonts w:ascii="Arial" w:hAnsi="Arial"/>
          <w:sz w:val="18"/>
          <w:szCs w:val="18"/>
        </w:rPr>
        <w:t>Telephone calls may be recorded.</w:t>
      </w:r>
    </w:p>
    <w:p w:rsidR="00E90BCD" w:rsidRPr="00DE2B0E" w:rsidRDefault="00E90BCD" w:rsidP="00E90BCD">
      <w:pPr>
        <w:pStyle w:val="Heading4NoNumbering"/>
      </w:pPr>
      <w:r w:rsidRPr="00DE2B0E">
        <w:t>For clients and prospects of Insight Investment Management (Global) Limited:</w:t>
      </w:r>
    </w:p>
    <w:p w:rsidR="00E90BCD" w:rsidRPr="00DE2B0E" w:rsidRDefault="00E90BCD" w:rsidP="00E90BCD">
      <w:pPr>
        <w:pStyle w:val="NormalWeb"/>
        <w:spacing w:before="0" w:after="0"/>
        <w:textAlignment w:val="baseline"/>
        <w:rPr>
          <w:rFonts w:ascii="Arial" w:hAnsi="Arial"/>
          <w:sz w:val="18"/>
          <w:szCs w:val="18"/>
        </w:rPr>
      </w:pPr>
      <w:proofErr w:type="gramStart"/>
      <w:r w:rsidRPr="00DE2B0E">
        <w:rPr>
          <w:rFonts w:ascii="Arial" w:hAnsi="Arial"/>
          <w:sz w:val="18"/>
          <w:szCs w:val="18"/>
        </w:rPr>
        <w:t>Issued by Insight Investment Management (Global) Limited.</w:t>
      </w:r>
      <w:proofErr w:type="gramEnd"/>
      <w:r w:rsidRPr="00DE2B0E">
        <w:rPr>
          <w:rFonts w:ascii="Arial" w:hAnsi="Arial"/>
          <w:sz w:val="18"/>
          <w:szCs w:val="18"/>
        </w:rPr>
        <w:t xml:space="preserve"> </w:t>
      </w:r>
      <w:proofErr w:type="gramStart"/>
      <w:r w:rsidRPr="00DE2B0E">
        <w:rPr>
          <w:rFonts w:ascii="Arial" w:hAnsi="Arial"/>
          <w:sz w:val="18"/>
          <w:szCs w:val="18"/>
        </w:rPr>
        <w:t>Registered in England and Wales.</w:t>
      </w:r>
      <w:proofErr w:type="gramEnd"/>
      <w:r w:rsidRPr="00DE2B0E">
        <w:rPr>
          <w:rFonts w:ascii="Arial" w:hAnsi="Arial"/>
          <w:sz w:val="18"/>
          <w:szCs w:val="18"/>
        </w:rPr>
        <w:t xml:space="preserve"> Registered office 160 Queen Victoria Street, London EC4V 4LA; registered number 00827982. </w:t>
      </w:r>
    </w:p>
    <w:p w:rsidR="00E90BCD" w:rsidRPr="00DE2B0E" w:rsidRDefault="00E90BCD" w:rsidP="00E90BCD">
      <w:pPr>
        <w:pStyle w:val="Heading4NoNumbering"/>
      </w:pPr>
      <w:r w:rsidRPr="00DE2B0E">
        <w:t>For clients and prospects of Insight Investment Funds Management Limited:</w:t>
      </w:r>
    </w:p>
    <w:p w:rsidR="00E90BCD" w:rsidRPr="00DE2B0E" w:rsidRDefault="00E90BCD" w:rsidP="00E90BCD">
      <w:pPr>
        <w:pStyle w:val="NormalWeb"/>
        <w:spacing w:before="0" w:after="0"/>
        <w:textAlignment w:val="baseline"/>
        <w:rPr>
          <w:rFonts w:ascii="Arial" w:hAnsi="Arial"/>
          <w:sz w:val="18"/>
          <w:szCs w:val="18"/>
        </w:rPr>
      </w:pPr>
      <w:proofErr w:type="gramStart"/>
      <w:r w:rsidRPr="00DE2B0E">
        <w:rPr>
          <w:rFonts w:ascii="Arial" w:hAnsi="Arial"/>
          <w:sz w:val="18"/>
          <w:szCs w:val="18"/>
        </w:rPr>
        <w:t>Issued by Insight Investment Funds Management Limited.</w:t>
      </w:r>
      <w:proofErr w:type="gramEnd"/>
      <w:r w:rsidRPr="00DE2B0E">
        <w:rPr>
          <w:rFonts w:ascii="Arial" w:hAnsi="Arial"/>
          <w:sz w:val="18"/>
          <w:szCs w:val="18"/>
        </w:rPr>
        <w:t xml:space="preserve"> </w:t>
      </w:r>
      <w:proofErr w:type="gramStart"/>
      <w:r w:rsidRPr="00DE2B0E">
        <w:rPr>
          <w:rFonts w:ascii="Arial" w:hAnsi="Arial"/>
          <w:sz w:val="18"/>
          <w:szCs w:val="18"/>
        </w:rPr>
        <w:t>Registered in England and Wales.</w:t>
      </w:r>
      <w:proofErr w:type="gramEnd"/>
      <w:r w:rsidRPr="00DE2B0E">
        <w:rPr>
          <w:rFonts w:ascii="Arial" w:hAnsi="Arial"/>
          <w:sz w:val="18"/>
          <w:szCs w:val="18"/>
        </w:rPr>
        <w:t xml:space="preserve"> Registered office 160 Queen Victoria Street, London EC4V 4LA; registered number 01835691.</w:t>
      </w:r>
    </w:p>
    <w:p w:rsidR="00E90BCD" w:rsidRPr="00DE2B0E" w:rsidRDefault="00E90BCD" w:rsidP="00E90BCD">
      <w:pPr>
        <w:pStyle w:val="Heading4NoNumbering"/>
      </w:pPr>
      <w:r w:rsidRPr="00DE2B0E">
        <w:t>For clients and prospects of Pareto Investment Management Limited:</w:t>
      </w:r>
    </w:p>
    <w:p w:rsidR="00E90BCD" w:rsidRPr="00DE2B0E" w:rsidRDefault="00E90BCD" w:rsidP="00E90BCD">
      <w:pPr>
        <w:pStyle w:val="NormalWeb"/>
        <w:spacing w:before="0" w:after="0"/>
        <w:textAlignment w:val="baseline"/>
        <w:rPr>
          <w:rFonts w:ascii="Arial" w:hAnsi="Arial"/>
          <w:sz w:val="18"/>
          <w:szCs w:val="18"/>
        </w:rPr>
      </w:pPr>
      <w:proofErr w:type="gramStart"/>
      <w:r w:rsidRPr="00DE2B0E">
        <w:rPr>
          <w:rFonts w:ascii="Arial" w:hAnsi="Arial"/>
          <w:sz w:val="18"/>
          <w:szCs w:val="18"/>
        </w:rPr>
        <w:t>Issued by Pareto Investment Management Limited.</w:t>
      </w:r>
      <w:proofErr w:type="gramEnd"/>
      <w:r w:rsidRPr="00DE2B0E">
        <w:rPr>
          <w:rFonts w:ascii="Arial" w:hAnsi="Arial"/>
          <w:sz w:val="18"/>
          <w:szCs w:val="18"/>
        </w:rPr>
        <w:t xml:space="preserve"> </w:t>
      </w:r>
      <w:proofErr w:type="gramStart"/>
      <w:r w:rsidRPr="00DE2B0E">
        <w:rPr>
          <w:rFonts w:ascii="Arial" w:hAnsi="Arial"/>
          <w:sz w:val="18"/>
          <w:szCs w:val="18"/>
        </w:rPr>
        <w:t>Registered in England and Wales.</w:t>
      </w:r>
      <w:proofErr w:type="gramEnd"/>
      <w:r w:rsidRPr="00DE2B0E">
        <w:rPr>
          <w:rFonts w:ascii="Arial" w:hAnsi="Arial"/>
          <w:sz w:val="18"/>
          <w:szCs w:val="18"/>
        </w:rPr>
        <w:t xml:space="preserve"> Registered office 160 Queen Victoria Street, London EC4V 4LA; registered number 03169281.</w:t>
      </w:r>
    </w:p>
    <w:p w:rsidR="00E90BCD" w:rsidRDefault="00E90BCD" w:rsidP="00E90BCD">
      <w:pPr>
        <w:pStyle w:val="NormalWeb"/>
        <w:spacing w:before="24" w:after="24" w:line="228" w:lineRule="auto"/>
        <w:textAlignment w:val="baseline"/>
        <w:rPr>
          <w:rFonts w:ascii="Arial" w:hAnsi="Arial"/>
          <w:sz w:val="18"/>
          <w:szCs w:val="18"/>
        </w:rPr>
      </w:pPr>
    </w:p>
    <w:p w:rsidR="00E90BCD" w:rsidRPr="00DE2B0E" w:rsidRDefault="00E90BCD" w:rsidP="00E90BCD">
      <w:pPr>
        <w:pStyle w:val="NormalWeb"/>
        <w:spacing w:before="24" w:after="24" w:line="228" w:lineRule="auto"/>
        <w:textAlignment w:val="baseline"/>
        <w:rPr>
          <w:rFonts w:ascii="Arial" w:hAnsi="Arial"/>
          <w:sz w:val="18"/>
          <w:szCs w:val="18"/>
        </w:rPr>
      </w:pPr>
      <w:r w:rsidRPr="00DE2B0E">
        <w:rPr>
          <w:rFonts w:ascii="Arial" w:hAnsi="Arial"/>
          <w:sz w:val="18"/>
          <w:szCs w:val="18"/>
        </w:rPr>
        <w:t xml:space="preserve">Insight Investment Management (Global) Limited, Insight Investment Funds Management Limited and Pareto Investment Management Limited are authorised and regulated by the Financial Conduct Authority in the UK. Insight Investment Management (Global) Limited and Pareto Investment Management Limited are authorised to operate  across Europe in accordance with the provisions of the European passport under Directive 2004/39 on markets in financial instruments. </w:t>
      </w:r>
    </w:p>
    <w:p w:rsidR="00E90BCD" w:rsidRPr="00DE2B0E" w:rsidRDefault="00E90BCD" w:rsidP="00E90BCD">
      <w:pPr>
        <w:pStyle w:val="Heading4NoNumbering"/>
      </w:pPr>
      <w:r w:rsidRPr="00DE2B0E">
        <w:t>For clients and prospects based in Singapore:</w:t>
      </w:r>
    </w:p>
    <w:p w:rsidR="00E90BCD" w:rsidRPr="00DE2B0E" w:rsidRDefault="00E90BCD" w:rsidP="00E90BCD">
      <w:pPr>
        <w:pStyle w:val="NormalWeb"/>
        <w:spacing w:before="0" w:after="0"/>
        <w:textAlignment w:val="baseline"/>
        <w:rPr>
          <w:rFonts w:ascii="Arial" w:hAnsi="Arial"/>
          <w:b/>
          <w:sz w:val="18"/>
          <w:szCs w:val="18"/>
        </w:rPr>
      </w:pPr>
      <w:r w:rsidRPr="00DE2B0E">
        <w:rPr>
          <w:rFonts w:ascii="Arial" w:hAnsi="Arial"/>
          <w:b/>
          <w:sz w:val="18"/>
          <w:szCs w:val="18"/>
        </w:rPr>
        <w:t xml:space="preserve">This material is for Institutional Investors only. </w:t>
      </w:r>
    </w:p>
    <w:p w:rsidR="00E90BCD" w:rsidRPr="00DE2B0E" w:rsidRDefault="00E90BCD" w:rsidP="00E90BCD">
      <w:pPr>
        <w:pStyle w:val="NormalWeb"/>
        <w:spacing w:before="0" w:after="0"/>
        <w:textAlignment w:val="baseline"/>
        <w:rPr>
          <w:rFonts w:ascii="Arial" w:hAnsi="Arial"/>
          <w:sz w:val="18"/>
          <w:szCs w:val="18"/>
        </w:rPr>
      </w:pPr>
      <w:r w:rsidRPr="00DE2B0E">
        <w:rPr>
          <w:rFonts w:ascii="Arial" w:hAnsi="Arial"/>
          <w:sz w:val="18"/>
          <w:szCs w:val="18"/>
        </w:rPr>
        <w:t>This documentation has not been registered as a prospectus with the Monetary Authority of Singapore. Accordingly, it and any other document or material in connection with the offer or sale, or invitation for subscription or purchase, of Shares may not be circulated or distributed, nor may Shares be offered or sold, or be made the subject of an invitation for subscription or purchase, whether directly or indirectly, to persons in Singapore other than (</w:t>
      </w:r>
      <w:proofErr w:type="spellStart"/>
      <w:r w:rsidRPr="00DE2B0E">
        <w:rPr>
          <w:rFonts w:ascii="Arial" w:hAnsi="Arial"/>
          <w:sz w:val="18"/>
          <w:szCs w:val="18"/>
        </w:rPr>
        <w:t>i</w:t>
      </w:r>
      <w:proofErr w:type="spellEnd"/>
      <w:r w:rsidRPr="00DE2B0E">
        <w:rPr>
          <w:rFonts w:ascii="Arial" w:hAnsi="Arial"/>
          <w:sz w:val="18"/>
          <w:szCs w:val="18"/>
        </w:rPr>
        <w:t>) to an institutional investor pursuant to Section 304 of the Securities and Futures Act, Chapter 289 of Singapore (the “SFA”) or (ii) otherwise pursuant to, and in accordance with the conditions of, any other applicable provision of the SFA.</w:t>
      </w:r>
    </w:p>
    <w:p w:rsidR="00E90BCD" w:rsidRPr="00DE2B0E" w:rsidRDefault="00E90BCD" w:rsidP="00E90BCD">
      <w:pPr>
        <w:pStyle w:val="Heading4NoNumbering"/>
      </w:pPr>
      <w:r w:rsidRPr="00DE2B0E">
        <w:t xml:space="preserve">For clients and prospects based in Australia: </w:t>
      </w:r>
    </w:p>
    <w:p w:rsidR="00E90BCD" w:rsidRPr="00DE2B0E" w:rsidRDefault="00E90BCD" w:rsidP="00E90BCD">
      <w:pPr>
        <w:pStyle w:val="NormalWeb"/>
        <w:spacing w:before="12" w:after="12" w:line="228" w:lineRule="auto"/>
        <w:textAlignment w:val="baseline"/>
        <w:rPr>
          <w:rFonts w:ascii="Arial" w:hAnsi="Arial"/>
          <w:b/>
          <w:sz w:val="18"/>
          <w:szCs w:val="18"/>
        </w:rPr>
      </w:pPr>
      <w:r w:rsidRPr="00DE2B0E">
        <w:rPr>
          <w:rFonts w:ascii="Arial" w:hAnsi="Arial"/>
          <w:b/>
          <w:sz w:val="18"/>
          <w:szCs w:val="18"/>
        </w:rPr>
        <w:t>This material is for wholesale clients only and is not intended for distribution to, nor should it be relied upon by, retail clients.</w:t>
      </w:r>
    </w:p>
    <w:p w:rsidR="00E90BCD" w:rsidRPr="00DE2B0E" w:rsidRDefault="00E90BCD" w:rsidP="00E90BCD">
      <w:pPr>
        <w:pStyle w:val="NormalWeb"/>
        <w:spacing w:before="24" w:after="24" w:line="228" w:lineRule="auto"/>
        <w:textAlignment w:val="baseline"/>
        <w:rPr>
          <w:rFonts w:ascii="Arial" w:hAnsi="Arial"/>
          <w:sz w:val="18"/>
          <w:szCs w:val="18"/>
        </w:rPr>
      </w:pPr>
      <w:r w:rsidRPr="00DE2B0E">
        <w:rPr>
          <w:rFonts w:ascii="Arial" w:hAnsi="Arial"/>
          <w:sz w:val="18"/>
          <w:szCs w:val="18"/>
        </w:rPr>
        <w:t>Insight Investment Management (Global) Limited is exempt from the requirement to hold an Australian financial services license under the Australian Securities and Investments Commission Corporations Act 2001 in respect of the financial services it provides. Insight Investment Management (Global) Limited is authorised and regulated by the Financial Conduct Authority under UK laws, which differ from Australian laws.</w:t>
      </w:r>
    </w:p>
    <w:p w:rsidR="00E90BCD" w:rsidRPr="00DE2B0E" w:rsidRDefault="00E90BCD" w:rsidP="00E90BCD">
      <w:pPr>
        <w:pStyle w:val="NormalWeb"/>
        <w:spacing w:before="24" w:after="24" w:line="228" w:lineRule="auto"/>
        <w:textAlignment w:val="baseline"/>
        <w:rPr>
          <w:rFonts w:ascii="Arial" w:hAnsi="Arial"/>
          <w:sz w:val="18"/>
          <w:szCs w:val="18"/>
        </w:rPr>
      </w:pPr>
    </w:p>
    <w:p w:rsidR="006106B4" w:rsidRDefault="00E90BCD" w:rsidP="00931824">
      <w:pPr>
        <w:pStyle w:val="NormalWeb"/>
        <w:spacing w:before="0" w:after="0"/>
        <w:textAlignment w:val="baseline"/>
      </w:pPr>
      <w:proofErr w:type="gramStart"/>
      <w:r w:rsidRPr="00DE2B0E">
        <w:rPr>
          <w:rFonts w:ascii="Arial" w:hAnsi="Arial"/>
          <w:sz w:val="18"/>
          <w:szCs w:val="18"/>
        </w:rPr>
        <w:t>© 201</w:t>
      </w:r>
      <w:r w:rsidR="00166A27">
        <w:rPr>
          <w:rFonts w:ascii="Arial" w:hAnsi="Arial"/>
          <w:sz w:val="18"/>
          <w:szCs w:val="18"/>
        </w:rPr>
        <w:t>5</w:t>
      </w:r>
      <w:r w:rsidRPr="00DE2B0E">
        <w:rPr>
          <w:rFonts w:ascii="Arial" w:hAnsi="Arial"/>
          <w:sz w:val="18"/>
          <w:szCs w:val="18"/>
        </w:rPr>
        <w:t xml:space="preserve"> Insight Investment.</w:t>
      </w:r>
      <w:proofErr w:type="gramEnd"/>
      <w:r w:rsidRPr="00DE2B0E">
        <w:rPr>
          <w:rFonts w:ascii="Arial" w:hAnsi="Arial"/>
          <w:sz w:val="18"/>
          <w:szCs w:val="18"/>
        </w:rPr>
        <w:t xml:space="preserve"> All rights reserved.</w:t>
      </w:r>
      <w:r>
        <w:rPr>
          <w:rFonts w:ascii="Arial" w:hAnsi="Arial"/>
          <w:sz w:val="18"/>
          <w:szCs w:val="18"/>
        </w:rPr>
        <w:br/>
      </w:r>
      <w:r>
        <w:rPr>
          <w:rFonts w:ascii="Arial" w:hAnsi="Arial"/>
          <w:sz w:val="18"/>
          <w:szCs w:val="18"/>
        </w:rPr>
        <w:br/>
      </w:r>
      <w:r>
        <w:rPr>
          <w:rFonts w:ascii="Arial" w:hAnsi="Arial"/>
          <w:sz w:val="18"/>
          <w:szCs w:val="18"/>
        </w:rPr>
        <w:br/>
      </w:r>
      <w:r>
        <w:rPr>
          <w:noProof/>
          <w:lang w:eastAsia="en-GB"/>
        </w:rPr>
        <w:drawing>
          <wp:inline distT="0" distB="0" distL="0" distR="0" wp14:anchorId="79373EAD" wp14:editId="576C6E67">
            <wp:extent cx="1259205" cy="560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205" cy="560705"/>
                    </a:xfrm>
                    <a:prstGeom prst="rect">
                      <a:avLst/>
                    </a:prstGeom>
                    <a:noFill/>
                    <a:ln>
                      <a:noFill/>
                    </a:ln>
                    <a:effectLst/>
                  </pic:spPr>
                </pic:pic>
              </a:graphicData>
            </a:graphic>
          </wp:inline>
        </w:drawing>
      </w:r>
    </w:p>
    <w:sectPr w:rsidR="006106B4" w:rsidSect="00A10048">
      <w:headerReference w:type="even" r:id="rId15"/>
      <w:headerReference w:type="default" r:id="rId16"/>
      <w:footerReference w:type="default" r:id="rId17"/>
      <w:headerReference w:type="first" r:id="rId18"/>
      <w:footerReference w:type="first" r:id="rId19"/>
      <w:pgSz w:w="11907" w:h="16840" w:code="9"/>
      <w:pgMar w:top="1418" w:right="1418" w:bottom="1418" w:left="1418" w:header="907"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6D7" w:rsidRDefault="006276D7" w:rsidP="00F021BA">
      <w:r>
        <w:separator/>
      </w:r>
    </w:p>
    <w:p w:rsidR="006276D7" w:rsidRDefault="006276D7" w:rsidP="00F021BA"/>
    <w:p w:rsidR="006276D7" w:rsidRDefault="006276D7" w:rsidP="00F021BA"/>
  </w:endnote>
  <w:endnote w:type="continuationSeparator" w:id="0">
    <w:p w:rsidR="006276D7" w:rsidRDefault="006276D7" w:rsidP="00F021BA">
      <w:r>
        <w:continuationSeparator/>
      </w:r>
    </w:p>
    <w:p w:rsidR="006276D7" w:rsidRDefault="006276D7" w:rsidP="00F021BA"/>
    <w:p w:rsidR="006276D7" w:rsidRDefault="006276D7" w:rsidP="00F02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A" w:rsidRDefault="00B974BA" w:rsidP="002635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74BA" w:rsidRDefault="00B974BA" w:rsidP="002635F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74"/>
      <w:gridCol w:w="3078"/>
      <w:gridCol w:w="3135"/>
    </w:tblGrid>
    <w:tr w:rsidR="00B974BA" w:rsidTr="00BA261E">
      <w:tc>
        <w:tcPr>
          <w:tcW w:w="3285" w:type="dxa"/>
          <w:shd w:val="clear" w:color="auto" w:fill="auto"/>
        </w:tcPr>
        <w:p w:rsidR="00B974BA" w:rsidRPr="00CA1D88" w:rsidRDefault="00B974BA" w:rsidP="00CA1D88">
          <w:pPr>
            <w:pStyle w:val="Footer"/>
          </w:pPr>
        </w:p>
      </w:tc>
      <w:tc>
        <w:tcPr>
          <w:tcW w:w="3285" w:type="dxa"/>
          <w:shd w:val="clear" w:color="auto" w:fill="auto"/>
        </w:tcPr>
        <w:p w:rsidR="00B974BA" w:rsidRPr="00CA1D88" w:rsidRDefault="00B974BA" w:rsidP="00BA261E">
          <w:pPr>
            <w:pStyle w:val="Footer"/>
            <w:jc w:val="center"/>
            <w:rPr>
              <w:rStyle w:val="PageNumber"/>
            </w:rPr>
          </w:pPr>
          <w:r w:rsidRPr="00CA1D88">
            <w:rPr>
              <w:rStyle w:val="PageNumber"/>
            </w:rPr>
            <w:t>2</w:t>
          </w:r>
        </w:p>
      </w:tc>
      <w:tc>
        <w:tcPr>
          <w:tcW w:w="3285" w:type="dxa"/>
          <w:shd w:val="clear" w:color="auto" w:fill="auto"/>
        </w:tcPr>
        <w:p w:rsidR="00B974BA" w:rsidRPr="00CA1D88" w:rsidRDefault="00B974BA" w:rsidP="00CA1D88">
          <w:pPr>
            <w:pStyle w:val="Footer"/>
          </w:pPr>
          <w:r w:rsidRPr="00CA1D88">
            <w:t>INSIGHT INVESTMENT</w:t>
          </w:r>
        </w:p>
      </w:tc>
    </w:tr>
  </w:tbl>
  <w:p w:rsidR="00B974BA" w:rsidRDefault="00B974BA" w:rsidP="00CA1D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3074"/>
      <w:gridCol w:w="3078"/>
      <w:gridCol w:w="3135"/>
    </w:tblGrid>
    <w:tr w:rsidR="00B974BA" w:rsidTr="00BA261E">
      <w:tc>
        <w:tcPr>
          <w:tcW w:w="3285" w:type="dxa"/>
          <w:shd w:val="clear" w:color="auto" w:fill="auto"/>
        </w:tcPr>
        <w:p w:rsidR="00B974BA" w:rsidRPr="00CA1D88" w:rsidRDefault="00B974BA" w:rsidP="00BA261E">
          <w:pPr>
            <w:pStyle w:val="Footer"/>
            <w:ind w:right="360"/>
          </w:pPr>
        </w:p>
      </w:tc>
      <w:tc>
        <w:tcPr>
          <w:tcW w:w="3285" w:type="dxa"/>
          <w:shd w:val="clear" w:color="auto" w:fill="auto"/>
        </w:tcPr>
        <w:p w:rsidR="00B974BA" w:rsidRPr="002635F1" w:rsidRDefault="00B974BA" w:rsidP="00BA261E">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20E85">
            <w:rPr>
              <w:rStyle w:val="PageNumber"/>
              <w:noProof/>
            </w:rPr>
            <w:t>6</w:t>
          </w:r>
          <w:r>
            <w:rPr>
              <w:rStyle w:val="PageNumber"/>
            </w:rPr>
            <w:fldChar w:fldCharType="end"/>
          </w:r>
        </w:p>
      </w:tc>
      <w:tc>
        <w:tcPr>
          <w:tcW w:w="3285" w:type="dxa"/>
          <w:shd w:val="clear" w:color="auto" w:fill="auto"/>
        </w:tcPr>
        <w:p w:rsidR="00B974BA" w:rsidRPr="00CA1D88" w:rsidRDefault="00B974BA" w:rsidP="00CA1D88">
          <w:pPr>
            <w:pStyle w:val="Footer"/>
          </w:pPr>
          <w:r w:rsidRPr="00CA1D88">
            <w:t>INSIGHT INVESTMENT</w:t>
          </w:r>
        </w:p>
      </w:tc>
    </w:tr>
  </w:tbl>
  <w:p w:rsidR="00B974BA" w:rsidRDefault="00B974BA" w:rsidP="00F021B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A" w:rsidRDefault="00B974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6D7" w:rsidRDefault="006276D7" w:rsidP="00F021BA">
      <w:r>
        <w:separator/>
      </w:r>
    </w:p>
  </w:footnote>
  <w:footnote w:type="continuationSeparator" w:id="0">
    <w:p w:rsidR="006276D7" w:rsidRDefault="006276D7" w:rsidP="00F021BA">
      <w:r>
        <w:continuationSeparator/>
      </w:r>
    </w:p>
    <w:p w:rsidR="006276D7" w:rsidRDefault="006276D7" w:rsidP="00F021BA"/>
    <w:p w:rsidR="006276D7" w:rsidRDefault="006276D7" w:rsidP="00F021BA"/>
  </w:footnote>
  <w:footnote w:id="1">
    <w:p w:rsidR="006276D7" w:rsidRDefault="006276D7" w:rsidP="006276D7">
      <w:pPr>
        <w:pStyle w:val="FootnoteText"/>
      </w:pPr>
      <w:r>
        <w:rPr>
          <w:rStyle w:val="FootnoteReference"/>
        </w:rPr>
        <w:footnoteRef/>
      </w:r>
      <w:r>
        <w:t xml:space="preserve"> </w:t>
      </w:r>
      <w:proofErr w:type="gramStart"/>
      <w:r w:rsidRPr="006276D7">
        <w:t>As at 31 March 2015.</w:t>
      </w:r>
      <w:proofErr w:type="gramEnd"/>
      <w:r w:rsidRPr="006276D7">
        <w:t xml:space="preserve"> Assets under management (AUM) are represented by the value of cash securities and other economic exposure managed for clients. Reflects the AUM of the Insight Group (Insight), which includes Insight Investment Management (Global) Limited, Pareto Investment Management Limited, Insight Investment Funds Management Limited, Cutwater Investor Services Corporation and Cutwater Asset Management Corporation (Cutwater Asset Management). Cutwater Asset Management is owned by BNY Mellon and operated by Insight. Base AUM reported in GBP, FX rates as per WM Reuters 4pm Spot Rates.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A" w:rsidRPr="00CA1D88" w:rsidRDefault="00B974BA" w:rsidP="00D009E1">
    <w:pPr>
      <w:pStyle w:val="Header"/>
    </w:pPr>
    <w:r w:rsidRPr="00CA1D88">
      <w:t>PROSPECT OR CONSULTANT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A" w:rsidRDefault="000B78D6" w:rsidP="00D009E1">
    <w:pPr>
      <w:pStyle w:val="Header"/>
    </w:pPr>
    <w:r>
      <w:rPr>
        <w:noProof/>
        <w:lang w:eastAsia="en-GB"/>
      </w:rPr>
      <w:drawing>
        <wp:anchor distT="0" distB="0" distL="114300" distR="114300" simplePos="0" relativeHeight="251659264" behindDoc="1" locked="0" layoutInCell="1" allowOverlap="0" wp14:anchorId="706429E8" wp14:editId="4DA88A9D">
          <wp:simplePos x="0" y="0"/>
          <wp:positionH relativeFrom="column">
            <wp:posOffset>-911225</wp:posOffset>
          </wp:positionH>
          <wp:positionV relativeFrom="paragraph">
            <wp:posOffset>-479796</wp:posOffset>
          </wp:positionV>
          <wp:extent cx="7595235" cy="10771505"/>
          <wp:effectExtent l="0" t="0" r="5715" b="0"/>
          <wp:wrapNone/>
          <wp:docPr id="7" name="Picture 7" descr="N:\Depts\Central Services\RFP &amp; DTP\DTP Directory\PowerPoint templates 2013\A4 Portrait Bright green undersheet covers_15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pts\Central Services\RFP &amp; DTP\DTP Directory\PowerPoint templates 2013\A4 Portrait Bright green undersheet covers_150dp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5235" cy="10771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A" w:rsidRDefault="00B974BA" w:rsidP="00F021BA"/>
  <w:p w:rsidR="00B974BA" w:rsidRDefault="00B974BA" w:rsidP="00F021B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F40" w:rsidRPr="006E1F40" w:rsidRDefault="006E1F40" w:rsidP="006E1F40">
    <w:pPr>
      <w:pStyle w:val="Header"/>
    </w:pPr>
    <w:r>
      <w:t xml:space="preserve">INSIGHT investment RESPONSE: </w:t>
    </w:r>
    <w:r w:rsidRPr="006E1F40">
      <w:t xml:space="preserve">Draft </w:t>
    </w:r>
    <w:r>
      <w:t xml:space="preserve">rts </w:t>
    </w:r>
    <w:r w:rsidRPr="006E1F40">
      <w:t>on risk-mitigation techniques for OTC-derivative contracts not cleared by a CCP under Article 11(15) of Regulation (EU) No 648/2012</w:t>
    </w:r>
  </w:p>
  <w:p w:rsidR="00B974BA" w:rsidRPr="00D009E1" w:rsidRDefault="00B974BA" w:rsidP="00D009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A" w:rsidRDefault="00B974BA" w:rsidP="00D009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76199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A68B9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832D7E2"/>
    <w:lvl w:ilvl="0">
      <w:start w:val="1"/>
      <w:numFmt w:val="decimal"/>
      <w:pStyle w:val="ListNumber3"/>
      <w:lvlText w:val="%1."/>
      <w:lvlJc w:val="left"/>
      <w:pPr>
        <w:tabs>
          <w:tab w:val="num" w:pos="926"/>
        </w:tabs>
        <w:ind w:left="926" w:hanging="360"/>
      </w:pPr>
    </w:lvl>
  </w:abstractNum>
  <w:abstractNum w:abstractNumId="3">
    <w:nsid w:val="FFFFFF7F"/>
    <w:multiLevelType w:val="singleLevel"/>
    <w:tmpl w:val="6D68B0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C68345E"/>
    <w:lvl w:ilvl="0">
      <w:start w:val="1"/>
      <w:numFmt w:val="bullet"/>
      <w:pStyle w:val="ListBullet5"/>
      <w:lvlText w:val=""/>
      <w:lvlJc w:val="left"/>
      <w:pPr>
        <w:tabs>
          <w:tab w:val="num" w:pos="1418"/>
        </w:tabs>
        <w:ind w:left="1418" w:hanging="284"/>
      </w:pPr>
      <w:rPr>
        <w:rFonts w:ascii="Symbol" w:hAnsi="Symbol" w:hint="default"/>
      </w:rPr>
    </w:lvl>
  </w:abstractNum>
  <w:abstractNum w:abstractNumId="5">
    <w:nsid w:val="FFFFFF81"/>
    <w:multiLevelType w:val="singleLevel"/>
    <w:tmpl w:val="F86C05B2"/>
    <w:lvl w:ilvl="0">
      <w:start w:val="1"/>
      <w:numFmt w:val="bullet"/>
      <w:pStyle w:val="ListBullet4"/>
      <w:lvlText w:val="-"/>
      <w:lvlJc w:val="left"/>
      <w:pPr>
        <w:tabs>
          <w:tab w:val="num" w:pos="1134"/>
        </w:tabs>
        <w:ind w:left="1134" w:hanging="283"/>
      </w:pPr>
      <w:rPr>
        <w:rFonts w:ascii="Courier New" w:hAnsi="Courier New" w:hint="default"/>
      </w:rPr>
    </w:lvl>
  </w:abstractNum>
  <w:abstractNum w:abstractNumId="6">
    <w:nsid w:val="FFFFFF83"/>
    <w:multiLevelType w:val="singleLevel"/>
    <w:tmpl w:val="38D823E6"/>
    <w:lvl w:ilvl="0">
      <w:start w:val="1"/>
      <w:numFmt w:val="bullet"/>
      <w:pStyle w:val="ListBullet2"/>
      <w:lvlText w:val="-"/>
      <w:lvlJc w:val="left"/>
      <w:pPr>
        <w:tabs>
          <w:tab w:val="num" w:pos="567"/>
        </w:tabs>
        <w:ind w:left="567" w:hanging="283"/>
      </w:pPr>
      <w:rPr>
        <w:rFonts w:ascii="Courier New" w:hAnsi="Courier New" w:hint="default"/>
      </w:rPr>
    </w:lvl>
  </w:abstractNum>
  <w:abstractNum w:abstractNumId="7">
    <w:nsid w:val="FFFFFF88"/>
    <w:multiLevelType w:val="singleLevel"/>
    <w:tmpl w:val="048A8562"/>
    <w:lvl w:ilvl="0">
      <w:start w:val="1"/>
      <w:numFmt w:val="decimal"/>
      <w:pStyle w:val="ListNumber"/>
      <w:lvlText w:val="%1."/>
      <w:lvlJc w:val="left"/>
      <w:pPr>
        <w:tabs>
          <w:tab w:val="num" w:pos="360"/>
        </w:tabs>
        <w:ind w:left="360" w:hanging="360"/>
      </w:pPr>
    </w:lvl>
  </w:abstractNum>
  <w:abstractNum w:abstractNumId="8">
    <w:nsid w:val="FFFFFF89"/>
    <w:multiLevelType w:val="singleLevel"/>
    <w:tmpl w:val="D19003F6"/>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20021"/>
    <w:multiLevelType w:val="hybridMultilevel"/>
    <w:tmpl w:val="53CAD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025C37FE"/>
    <w:multiLevelType w:val="hybridMultilevel"/>
    <w:tmpl w:val="074099F2"/>
    <w:lvl w:ilvl="0" w:tplc="8626C406">
      <w:start w:val="1"/>
      <w:numFmt w:val="bullet"/>
      <w:pStyle w:val="ListBullet3"/>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6410A45"/>
    <w:multiLevelType w:val="hybridMultilevel"/>
    <w:tmpl w:val="29FC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507989"/>
    <w:multiLevelType w:val="hybridMultilevel"/>
    <w:tmpl w:val="0A5840B2"/>
    <w:lvl w:ilvl="0" w:tplc="642ED876">
      <w:start w:val="1"/>
      <w:numFmt w:val="bullet"/>
      <w:pStyle w:val="Table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14663A4"/>
    <w:multiLevelType w:val="hybridMultilevel"/>
    <w:tmpl w:val="C6CAE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80B2316"/>
    <w:multiLevelType w:val="multilevel"/>
    <w:tmpl w:val="B2866D3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lvlRestart w:val="1"/>
      <w:pStyle w:val="QHeadingNo"/>
      <w:lvlText w:val="%1.%6"/>
      <w:lvlJc w:val="left"/>
      <w:pPr>
        <w:tabs>
          <w:tab w:val="num" w:pos="851"/>
        </w:tabs>
        <w:ind w:left="851" w:hanging="851"/>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15">
    <w:nsid w:val="19115B17"/>
    <w:multiLevelType w:val="hybridMultilevel"/>
    <w:tmpl w:val="9886D068"/>
    <w:lvl w:ilvl="0" w:tplc="5E3484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D370CFF"/>
    <w:multiLevelType w:val="multilevel"/>
    <w:tmpl w:val="0B40E9F4"/>
    <w:lvl w:ilvl="0">
      <w:start w:val="1"/>
      <w:numFmt w:val="upperRoman"/>
      <w:pStyle w:val="Appendix"/>
      <w:lvlText w:val="Appendix %1."/>
      <w:lvlJc w:val="left"/>
      <w:pPr>
        <w:tabs>
          <w:tab w:val="num" w:pos="1985"/>
        </w:tabs>
        <w:ind w:left="0" w:firstLine="0"/>
      </w:pPr>
      <w:rPr>
        <w:rFonts w:ascii="Arial" w:hAnsi="Arial" w:hint="default"/>
        <w:b w:val="0"/>
        <w:i w:val="0"/>
        <w:sz w:val="34"/>
      </w:rPr>
    </w:lvl>
    <w:lvl w:ilvl="1">
      <w:start w:val="1"/>
      <w:numFmt w:val="upperRoman"/>
      <w:pStyle w:val="Appx2"/>
      <w:lvlText w:val="Appendix %1.%2"/>
      <w:lvlJc w:val="left"/>
      <w:pPr>
        <w:tabs>
          <w:tab w:val="num" w:pos="1985"/>
        </w:tabs>
        <w:ind w:left="0" w:firstLine="0"/>
      </w:pPr>
      <w:rPr>
        <w:rFonts w:hint="default"/>
      </w:rPr>
    </w:lvl>
    <w:lvl w:ilvl="2">
      <w:start w:val="1"/>
      <w:numFmt w:val="upperRoman"/>
      <w:pStyle w:val="Appx3"/>
      <w:lvlText w:val="Appendix %1.%2.%3"/>
      <w:lvlJc w:val="left"/>
      <w:pPr>
        <w:tabs>
          <w:tab w:val="num" w:pos="1985"/>
        </w:tabs>
        <w:ind w:left="-32767" w:firstLine="32767"/>
      </w:pPr>
      <w:rPr>
        <w:rFonts w:hint="default"/>
      </w:rPr>
    </w:lvl>
    <w:lvl w:ilvl="3">
      <w:start w:val="1"/>
      <w:numFmt w:val="upperRoman"/>
      <w:lvlRestart w:val="0"/>
      <w:pStyle w:val="Appx4"/>
      <w:lvlText w:val="Appendix %1.%2.%3.%4"/>
      <w:lvlJc w:val="left"/>
      <w:pPr>
        <w:tabs>
          <w:tab w:val="num" w:pos="1985"/>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6"/>
      <w:lvlJc w:val="left"/>
      <w:pPr>
        <w:tabs>
          <w:tab w:val="num" w:pos="0"/>
        </w:tabs>
        <w:ind w:left="0" w:firstLine="0"/>
      </w:pPr>
      <w:rPr>
        <w:rFonts w:hint="default"/>
      </w:rPr>
    </w:lvl>
    <w:lvl w:ilvl="6">
      <w:start w:val="1"/>
      <w:numFmt w:val="none"/>
      <w:lvlText w:val=""/>
      <w:lvlJc w:val="righ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right"/>
      <w:pPr>
        <w:tabs>
          <w:tab w:val="num" w:pos="0"/>
        </w:tabs>
        <w:ind w:left="0" w:firstLine="0"/>
      </w:pPr>
      <w:rPr>
        <w:rFonts w:hint="default"/>
      </w:rPr>
    </w:lvl>
  </w:abstractNum>
  <w:abstractNum w:abstractNumId="17">
    <w:nsid w:val="20C27817"/>
    <w:multiLevelType w:val="hybridMultilevel"/>
    <w:tmpl w:val="5434D330"/>
    <w:lvl w:ilvl="0" w:tplc="872AE582">
      <w:start w:val="1"/>
      <w:numFmt w:val="bullet"/>
      <w:pStyle w:val="TableBullet2"/>
      <w:lvlText w:val="-"/>
      <w:lvlJc w:val="left"/>
      <w:pPr>
        <w:tabs>
          <w:tab w:val="num" w:pos="567"/>
        </w:tabs>
        <w:ind w:left="567" w:hanging="283"/>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1771849"/>
    <w:multiLevelType w:val="hybridMultilevel"/>
    <w:tmpl w:val="99CEF39E"/>
    <w:lvl w:ilvl="0" w:tplc="2728AF58">
      <w:start w:val="1"/>
      <w:numFmt w:val="bullet"/>
      <w:pStyle w:val="TableBullet3"/>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C376A3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376F4A82"/>
    <w:multiLevelType w:val="hybridMultilevel"/>
    <w:tmpl w:val="F728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0D2B9B"/>
    <w:multiLevelType w:val="hybridMultilevel"/>
    <w:tmpl w:val="3AF2C328"/>
    <w:lvl w:ilvl="0" w:tplc="4CB2AAD0">
      <w:start w:val="1"/>
      <w:numFmt w:val="bullet"/>
      <w:pStyle w:val="List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E3067EB"/>
    <w:multiLevelType w:val="hybridMultilevel"/>
    <w:tmpl w:val="38708780"/>
    <w:lvl w:ilvl="0" w:tplc="2390A786">
      <w:start w:val="1"/>
      <w:numFmt w:val="decimal"/>
      <w:pStyle w:val="QConsecutiveNo"/>
      <w:lvlText w:val="%1"/>
      <w:lvlJc w:val="left"/>
      <w:pPr>
        <w:tabs>
          <w:tab w:val="num" w:pos="851"/>
        </w:tabs>
        <w:ind w:left="851" w:hanging="851"/>
      </w:pPr>
      <w:rPr>
        <w:rFonts w:ascii="Arial" w:hAnsi="Arial" w:hint="default"/>
        <w:b/>
        <w:i w:val="0"/>
        <w:sz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3B35337"/>
    <w:multiLevelType w:val="hybridMultilevel"/>
    <w:tmpl w:val="EE003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AD3816"/>
    <w:multiLevelType w:val="hybridMultilevel"/>
    <w:tmpl w:val="C3A2A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08095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AF0105"/>
    <w:multiLevelType w:val="hybridMultilevel"/>
    <w:tmpl w:val="1612FBD4"/>
    <w:lvl w:ilvl="0" w:tplc="43ACB304">
      <w:start w:val="1"/>
      <w:numFmt w:val="bullet"/>
      <w:pStyle w:val="QBullet3"/>
      <w:lvlText w:val=""/>
      <w:lvlJc w:val="left"/>
      <w:pPr>
        <w:tabs>
          <w:tab w:val="num" w:pos="1702"/>
        </w:tabs>
        <w:ind w:left="1702"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FDD4BE0"/>
    <w:multiLevelType w:val="hybridMultilevel"/>
    <w:tmpl w:val="E968D63A"/>
    <w:lvl w:ilvl="0" w:tplc="050E6A9E">
      <w:start w:val="1"/>
      <w:numFmt w:val="bullet"/>
      <w:pStyle w:val="QBullet2"/>
      <w:lvlText w:val="-"/>
      <w:lvlJc w:val="left"/>
      <w:pPr>
        <w:tabs>
          <w:tab w:val="num" w:pos="1418"/>
        </w:tabs>
        <w:ind w:left="1418" w:hanging="284"/>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4CD3F0F"/>
    <w:multiLevelType w:val="hybridMultilevel"/>
    <w:tmpl w:val="0706BFC2"/>
    <w:lvl w:ilvl="0" w:tplc="1706B2EC">
      <w:start w:val="1"/>
      <w:numFmt w:val="bullet"/>
      <w:pStyle w:val="Q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8105FC4"/>
    <w:multiLevelType w:val="multilevel"/>
    <w:tmpl w:val="08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9"/>
  </w:num>
  <w:num w:numId="2">
    <w:abstractNumId w:val="25"/>
  </w:num>
  <w:num w:numId="3">
    <w:abstractNumId w:val="29"/>
  </w:num>
  <w:num w:numId="4">
    <w:abstractNumId w:val="6"/>
  </w:num>
  <w:num w:numId="5">
    <w:abstractNumId w:val="10"/>
  </w:num>
  <w:num w:numId="6">
    <w:abstractNumId w:val="5"/>
  </w:num>
  <w:num w:numId="7">
    <w:abstractNumId w:val="4"/>
  </w:num>
  <w:num w:numId="8">
    <w:abstractNumId w:val="21"/>
  </w:num>
  <w:num w:numId="9">
    <w:abstractNumId w:val="7"/>
  </w:num>
  <w:num w:numId="10">
    <w:abstractNumId w:val="3"/>
  </w:num>
  <w:num w:numId="11">
    <w:abstractNumId w:val="2"/>
  </w:num>
  <w:num w:numId="12">
    <w:abstractNumId w:val="1"/>
  </w:num>
  <w:num w:numId="13">
    <w:abstractNumId w:val="0"/>
  </w:num>
  <w:num w:numId="14">
    <w:abstractNumId w:val="14"/>
  </w:num>
  <w:num w:numId="15">
    <w:abstractNumId w:val="28"/>
  </w:num>
  <w:num w:numId="16">
    <w:abstractNumId w:val="27"/>
  </w:num>
  <w:num w:numId="17">
    <w:abstractNumId w:val="22"/>
  </w:num>
  <w:num w:numId="18">
    <w:abstractNumId w:val="12"/>
  </w:num>
  <w:num w:numId="19">
    <w:abstractNumId w:val="17"/>
  </w:num>
  <w:num w:numId="20">
    <w:abstractNumId w:val="18"/>
  </w:num>
  <w:num w:numId="21">
    <w:abstractNumId w:val="16"/>
  </w:num>
  <w:num w:numId="22">
    <w:abstractNumId w:val="26"/>
  </w:num>
  <w:num w:numId="23">
    <w:abstractNumId w:val="15"/>
  </w:num>
  <w:num w:numId="24">
    <w:abstractNumId w:val="24"/>
  </w:num>
  <w:num w:numId="25">
    <w:abstractNumId w:val="8"/>
  </w:num>
  <w:num w:numId="26">
    <w:abstractNumId w:val="13"/>
  </w:num>
  <w:num w:numId="27">
    <w:abstractNumId w:val="11"/>
  </w:num>
  <w:num w:numId="28">
    <w:abstractNumId w:val="21"/>
  </w:num>
  <w:num w:numId="29">
    <w:abstractNumId w:val="21"/>
  </w:num>
  <w:num w:numId="30">
    <w:abstractNumId w:val="9"/>
  </w:num>
  <w:num w:numId="31">
    <w:abstractNumId w:val="9"/>
  </w:num>
  <w:num w:numId="32">
    <w:abstractNumId w:val="23"/>
  </w:num>
  <w:num w:numId="3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10241" fill="f" fillcolor="white" stroke="f">
      <v:fill color="white" on="f"/>
      <v:stroke on="f"/>
      <o:colormru v:ext="edit" colors="#f89010,#b3c4b2,#005f2d,#057d87,#848e3a,#960000,#e8f0e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6D7"/>
    <w:rsid w:val="00002BCB"/>
    <w:rsid w:val="00007759"/>
    <w:rsid w:val="00051EE9"/>
    <w:rsid w:val="00054473"/>
    <w:rsid w:val="000564D2"/>
    <w:rsid w:val="00057F1B"/>
    <w:rsid w:val="0006482C"/>
    <w:rsid w:val="00071C12"/>
    <w:rsid w:val="000751D1"/>
    <w:rsid w:val="00083A5D"/>
    <w:rsid w:val="00096C42"/>
    <w:rsid w:val="000A2B92"/>
    <w:rsid w:val="000A6073"/>
    <w:rsid w:val="000A63A5"/>
    <w:rsid w:val="000B4173"/>
    <w:rsid w:val="000B5EDA"/>
    <w:rsid w:val="000B627C"/>
    <w:rsid w:val="000B643A"/>
    <w:rsid w:val="000B78D6"/>
    <w:rsid w:val="000C2240"/>
    <w:rsid w:val="000D5E61"/>
    <w:rsid w:val="000E34E6"/>
    <w:rsid w:val="000F7C0A"/>
    <w:rsid w:val="00100942"/>
    <w:rsid w:val="001013E2"/>
    <w:rsid w:val="00101D72"/>
    <w:rsid w:val="001052CE"/>
    <w:rsid w:val="00110F0B"/>
    <w:rsid w:val="001140A0"/>
    <w:rsid w:val="00114476"/>
    <w:rsid w:val="00123AD7"/>
    <w:rsid w:val="001273E1"/>
    <w:rsid w:val="0013286F"/>
    <w:rsid w:val="001406F4"/>
    <w:rsid w:val="00162C23"/>
    <w:rsid w:val="001648B8"/>
    <w:rsid w:val="00166A27"/>
    <w:rsid w:val="0017059D"/>
    <w:rsid w:val="00184291"/>
    <w:rsid w:val="001875ED"/>
    <w:rsid w:val="001947DA"/>
    <w:rsid w:val="00197435"/>
    <w:rsid w:val="00197664"/>
    <w:rsid w:val="001A43D0"/>
    <w:rsid w:val="001C218F"/>
    <w:rsid w:val="001D2280"/>
    <w:rsid w:val="001D243A"/>
    <w:rsid w:val="001D6B3D"/>
    <w:rsid w:val="001E0292"/>
    <w:rsid w:val="001E4DB7"/>
    <w:rsid w:val="001E5595"/>
    <w:rsid w:val="001E70D6"/>
    <w:rsid w:val="001F5404"/>
    <w:rsid w:val="00211CBB"/>
    <w:rsid w:val="00213F3E"/>
    <w:rsid w:val="002146CB"/>
    <w:rsid w:val="002152D5"/>
    <w:rsid w:val="00231979"/>
    <w:rsid w:val="00237987"/>
    <w:rsid w:val="00250E61"/>
    <w:rsid w:val="002619DE"/>
    <w:rsid w:val="002635F1"/>
    <w:rsid w:val="00267326"/>
    <w:rsid w:val="00271F43"/>
    <w:rsid w:val="00277B11"/>
    <w:rsid w:val="0028135D"/>
    <w:rsid w:val="00283EA9"/>
    <w:rsid w:val="00291FCF"/>
    <w:rsid w:val="002A62C3"/>
    <w:rsid w:val="002B02B7"/>
    <w:rsid w:val="002B02F2"/>
    <w:rsid w:val="002C065B"/>
    <w:rsid w:val="002C0DE3"/>
    <w:rsid w:val="002C2A03"/>
    <w:rsid w:val="002C5FB4"/>
    <w:rsid w:val="002D551C"/>
    <w:rsid w:val="002D592A"/>
    <w:rsid w:val="002F15DF"/>
    <w:rsid w:val="00303F37"/>
    <w:rsid w:val="00306164"/>
    <w:rsid w:val="00314286"/>
    <w:rsid w:val="00314E0E"/>
    <w:rsid w:val="00321A59"/>
    <w:rsid w:val="003267D8"/>
    <w:rsid w:val="003551FD"/>
    <w:rsid w:val="00356E2C"/>
    <w:rsid w:val="00363569"/>
    <w:rsid w:val="00363B9A"/>
    <w:rsid w:val="003706BA"/>
    <w:rsid w:val="00374F82"/>
    <w:rsid w:val="003807BB"/>
    <w:rsid w:val="0038619D"/>
    <w:rsid w:val="003924CB"/>
    <w:rsid w:val="00394896"/>
    <w:rsid w:val="003A08E5"/>
    <w:rsid w:val="003A4E93"/>
    <w:rsid w:val="003B239D"/>
    <w:rsid w:val="003B2950"/>
    <w:rsid w:val="003B5E1B"/>
    <w:rsid w:val="003C00C0"/>
    <w:rsid w:val="003C2360"/>
    <w:rsid w:val="003C3D23"/>
    <w:rsid w:val="003C4B67"/>
    <w:rsid w:val="003C6C6F"/>
    <w:rsid w:val="003C76BB"/>
    <w:rsid w:val="003D085B"/>
    <w:rsid w:val="003E369C"/>
    <w:rsid w:val="003E5D2E"/>
    <w:rsid w:val="003F68C2"/>
    <w:rsid w:val="00400135"/>
    <w:rsid w:val="0040483A"/>
    <w:rsid w:val="00416C85"/>
    <w:rsid w:val="00423215"/>
    <w:rsid w:val="00424BA3"/>
    <w:rsid w:val="00427C55"/>
    <w:rsid w:val="00445030"/>
    <w:rsid w:val="00455ADF"/>
    <w:rsid w:val="00455C5D"/>
    <w:rsid w:val="004638A9"/>
    <w:rsid w:val="004715C5"/>
    <w:rsid w:val="00473A31"/>
    <w:rsid w:val="00474513"/>
    <w:rsid w:val="00476BFB"/>
    <w:rsid w:val="00480DF3"/>
    <w:rsid w:val="004A7D4F"/>
    <w:rsid w:val="004C0C5D"/>
    <w:rsid w:val="004C0F57"/>
    <w:rsid w:val="004C104B"/>
    <w:rsid w:val="004D0DCB"/>
    <w:rsid w:val="004D44F4"/>
    <w:rsid w:val="004F0511"/>
    <w:rsid w:val="004F650C"/>
    <w:rsid w:val="005002F3"/>
    <w:rsid w:val="00500399"/>
    <w:rsid w:val="005066B1"/>
    <w:rsid w:val="005077D5"/>
    <w:rsid w:val="00512BC5"/>
    <w:rsid w:val="00516207"/>
    <w:rsid w:val="00522CF5"/>
    <w:rsid w:val="00533A80"/>
    <w:rsid w:val="005343EF"/>
    <w:rsid w:val="0055186E"/>
    <w:rsid w:val="005534D1"/>
    <w:rsid w:val="00555CD2"/>
    <w:rsid w:val="0056577B"/>
    <w:rsid w:val="00566787"/>
    <w:rsid w:val="005723CB"/>
    <w:rsid w:val="00572D24"/>
    <w:rsid w:val="00583B46"/>
    <w:rsid w:val="00586FC2"/>
    <w:rsid w:val="00591605"/>
    <w:rsid w:val="00592FDE"/>
    <w:rsid w:val="005A0CBF"/>
    <w:rsid w:val="005A50C1"/>
    <w:rsid w:val="005B1BC2"/>
    <w:rsid w:val="005B1E85"/>
    <w:rsid w:val="005B2FC1"/>
    <w:rsid w:val="005B3244"/>
    <w:rsid w:val="005C29BD"/>
    <w:rsid w:val="005C3F17"/>
    <w:rsid w:val="005C5FFB"/>
    <w:rsid w:val="005D2EB9"/>
    <w:rsid w:val="005D347F"/>
    <w:rsid w:val="005D3750"/>
    <w:rsid w:val="005D64D1"/>
    <w:rsid w:val="005E601B"/>
    <w:rsid w:val="005F090B"/>
    <w:rsid w:val="005F2F8E"/>
    <w:rsid w:val="00600B96"/>
    <w:rsid w:val="00600FC1"/>
    <w:rsid w:val="006069EC"/>
    <w:rsid w:val="006106B4"/>
    <w:rsid w:val="006157F1"/>
    <w:rsid w:val="00615AE0"/>
    <w:rsid w:val="00617CCD"/>
    <w:rsid w:val="006276D7"/>
    <w:rsid w:val="00652C02"/>
    <w:rsid w:val="00657F0A"/>
    <w:rsid w:val="00660992"/>
    <w:rsid w:val="00663FCE"/>
    <w:rsid w:val="006641C2"/>
    <w:rsid w:val="00676903"/>
    <w:rsid w:val="006801FF"/>
    <w:rsid w:val="00680F0E"/>
    <w:rsid w:val="00682C9B"/>
    <w:rsid w:val="00684C3C"/>
    <w:rsid w:val="00695E00"/>
    <w:rsid w:val="006A1F4A"/>
    <w:rsid w:val="006A317F"/>
    <w:rsid w:val="006A4052"/>
    <w:rsid w:val="006A46AA"/>
    <w:rsid w:val="006A54AC"/>
    <w:rsid w:val="006C172D"/>
    <w:rsid w:val="006D6A38"/>
    <w:rsid w:val="006D7DDE"/>
    <w:rsid w:val="006E02D9"/>
    <w:rsid w:val="006E14F4"/>
    <w:rsid w:val="006E1F40"/>
    <w:rsid w:val="00702529"/>
    <w:rsid w:val="00707BF9"/>
    <w:rsid w:val="007162D7"/>
    <w:rsid w:val="00720E85"/>
    <w:rsid w:val="00722F21"/>
    <w:rsid w:val="00722F72"/>
    <w:rsid w:val="00725A36"/>
    <w:rsid w:val="007313BD"/>
    <w:rsid w:val="00753DFC"/>
    <w:rsid w:val="007617ED"/>
    <w:rsid w:val="0076448E"/>
    <w:rsid w:val="00765686"/>
    <w:rsid w:val="00766108"/>
    <w:rsid w:val="00766685"/>
    <w:rsid w:val="00771C77"/>
    <w:rsid w:val="00772E65"/>
    <w:rsid w:val="0077318F"/>
    <w:rsid w:val="007749B0"/>
    <w:rsid w:val="00780324"/>
    <w:rsid w:val="00781508"/>
    <w:rsid w:val="00782D04"/>
    <w:rsid w:val="00786A41"/>
    <w:rsid w:val="00797C44"/>
    <w:rsid w:val="007B294D"/>
    <w:rsid w:val="007C06AB"/>
    <w:rsid w:val="007C16AC"/>
    <w:rsid w:val="007C430B"/>
    <w:rsid w:val="007E00F6"/>
    <w:rsid w:val="007E2C82"/>
    <w:rsid w:val="007F006E"/>
    <w:rsid w:val="007F09FE"/>
    <w:rsid w:val="007F58D9"/>
    <w:rsid w:val="00810D14"/>
    <w:rsid w:val="00813AF2"/>
    <w:rsid w:val="00815C38"/>
    <w:rsid w:val="00822B11"/>
    <w:rsid w:val="00822FF1"/>
    <w:rsid w:val="008255C7"/>
    <w:rsid w:val="00826857"/>
    <w:rsid w:val="00833CC9"/>
    <w:rsid w:val="0084019F"/>
    <w:rsid w:val="008431D0"/>
    <w:rsid w:val="00847AAE"/>
    <w:rsid w:val="0085625C"/>
    <w:rsid w:val="00860FF8"/>
    <w:rsid w:val="00866577"/>
    <w:rsid w:val="0087261F"/>
    <w:rsid w:val="00873935"/>
    <w:rsid w:val="008A7181"/>
    <w:rsid w:val="008B0176"/>
    <w:rsid w:val="008B07FB"/>
    <w:rsid w:val="008B4CE7"/>
    <w:rsid w:val="008B4D92"/>
    <w:rsid w:val="008B7696"/>
    <w:rsid w:val="008C11D5"/>
    <w:rsid w:val="008D0FE0"/>
    <w:rsid w:val="008D442E"/>
    <w:rsid w:val="008F0AF4"/>
    <w:rsid w:val="008F3CB6"/>
    <w:rsid w:val="00902828"/>
    <w:rsid w:val="0090547F"/>
    <w:rsid w:val="009065D7"/>
    <w:rsid w:val="00913A4B"/>
    <w:rsid w:val="00916239"/>
    <w:rsid w:val="009165D7"/>
    <w:rsid w:val="00917DB0"/>
    <w:rsid w:val="00920272"/>
    <w:rsid w:val="00920A02"/>
    <w:rsid w:val="00931824"/>
    <w:rsid w:val="009367D1"/>
    <w:rsid w:val="00947690"/>
    <w:rsid w:val="00951616"/>
    <w:rsid w:val="00956EC9"/>
    <w:rsid w:val="00962BA2"/>
    <w:rsid w:val="00973391"/>
    <w:rsid w:val="00980FBD"/>
    <w:rsid w:val="00984FB4"/>
    <w:rsid w:val="00986D88"/>
    <w:rsid w:val="00996D1B"/>
    <w:rsid w:val="009A0A8B"/>
    <w:rsid w:val="009A498F"/>
    <w:rsid w:val="009B0B62"/>
    <w:rsid w:val="009B5F36"/>
    <w:rsid w:val="009B7116"/>
    <w:rsid w:val="009C04AF"/>
    <w:rsid w:val="009C1662"/>
    <w:rsid w:val="009C1882"/>
    <w:rsid w:val="009C3295"/>
    <w:rsid w:val="009C7F1F"/>
    <w:rsid w:val="009D35AF"/>
    <w:rsid w:val="009D68DF"/>
    <w:rsid w:val="009E0800"/>
    <w:rsid w:val="009E472D"/>
    <w:rsid w:val="009E4AE6"/>
    <w:rsid w:val="009E6779"/>
    <w:rsid w:val="009F4567"/>
    <w:rsid w:val="00A00071"/>
    <w:rsid w:val="00A03488"/>
    <w:rsid w:val="00A06EF4"/>
    <w:rsid w:val="00A10048"/>
    <w:rsid w:val="00A10B72"/>
    <w:rsid w:val="00A17B09"/>
    <w:rsid w:val="00A30DEA"/>
    <w:rsid w:val="00A37D0F"/>
    <w:rsid w:val="00A4062D"/>
    <w:rsid w:val="00A52FDC"/>
    <w:rsid w:val="00A56CC9"/>
    <w:rsid w:val="00A6101D"/>
    <w:rsid w:val="00A71B95"/>
    <w:rsid w:val="00A9446A"/>
    <w:rsid w:val="00A95C55"/>
    <w:rsid w:val="00AA2F77"/>
    <w:rsid w:val="00AB5B99"/>
    <w:rsid w:val="00AB6B39"/>
    <w:rsid w:val="00AB764A"/>
    <w:rsid w:val="00AC123B"/>
    <w:rsid w:val="00AC58A0"/>
    <w:rsid w:val="00AD2D3E"/>
    <w:rsid w:val="00AE4D38"/>
    <w:rsid w:val="00AF3B60"/>
    <w:rsid w:val="00B007C2"/>
    <w:rsid w:val="00B1568B"/>
    <w:rsid w:val="00B16393"/>
    <w:rsid w:val="00B165CA"/>
    <w:rsid w:val="00B21E78"/>
    <w:rsid w:val="00B26B74"/>
    <w:rsid w:val="00B32131"/>
    <w:rsid w:val="00B3315C"/>
    <w:rsid w:val="00B413CF"/>
    <w:rsid w:val="00B47F98"/>
    <w:rsid w:val="00B66673"/>
    <w:rsid w:val="00B70FAA"/>
    <w:rsid w:val="00B761EC"/>
    <w:rsid w:val="00B87F78"/>
    <w:rsid w:val="00B96717"/>
    <w:rsid w:val="00B974BA"/>
    <w:rsid w:val="00BA261E"/>
    <w:rsid w:val="00BB2BF2"/>
    <w:rsid w:val="00BC2107"/>
    <w:rsid w:val="00BC49A9"/>
    <w:rsid w:val="00BC795A"/>
    <w:rsid w:val="00BD5BB2"/>
    <w:rsid w:val="00BD6957"/>
    <w:rsid w:val="00BE141E"/>
    <w:rsid w:val="00BE5BFA"/>
    <w:rsid w:val="00BE61DC"/>
    <w:rsid w:val="00BF4249"/>
    <w:rsid w:val="00BF465D"/>
    <w:rsid w:val="00BF5F52"/>
    <w:rsid w:val="00BF7CCC"/>
    <w:rsid w:val="00C0377E"/>
    <w:rsid w:val="00C14179"/>
    <w:rsid w:val="00C2175D"/>
    <w:rsid w:val="00C218E2"/>
    <w:rsid w:val="00C24AD1"/>
    <w:rsid w:val="00C3089C"/>
    <w:rsid w:val="00C37377"/>
    <w:rsid w:val="00C81836"/>
    <w:rsid w:val="00C83F2E"/>
    <w:rsid w:val="00C87B7F"/>
    <w:rsid w:val="00C945FF"/>
    <w:rsid w:val="00C9467D"/>
    <w:rsid w:val="00C94F97"/>
    <w:rsid w:val="00CA1AA9"/>
    <w:rsid w:val="00CA1D88"/>
    <w:rsid w:val="00CB5DD8"/>
    <w:rsid w:val="00CB7579"/>
    <w:rsid w:val="00CC178A"/>
    <w:rsid w:val="00CC774E"/>
    <w:rsid w:val="00CD2CDC"/>
    <w:rsid w:val="00CF6AC0"/>
    <w:rsid w:val="00D0039C"/>
    <w:rsid w:val="00D005BC"/>
    <w:rsid w:val="00D009E1"/>
    <w:rsid w:val="00D010D5"/>
    <w:rsid w:val="00D068DB"/>
    <w:rsid w:val="00D10F46"/>
    <w:rsid w:val="00D23421"/>
    <w:rsid w:val="00D23D98"/>
    <w:rsid w:val="00D24F91"/>
    <w:rsid w:val="00D3585C"/>
    <w:rsid w:val="00D46A63"/>
    <w:rsid w:val="00D47CE6"/>
    <w:rsid w:val="00D50C78"/>
    <w:rsid w:val="00D636C7"/>
    <w:rsid w:val="00D80C59"/>
    <w:rsid w:val="00D80CAD"/>
    <w:rsid w:val="00D814B4"/>
    <w:rsid w:val="00D8486E"/>
    <w:rsid w:val="00D84EA3"/>
    <w:rsid w:val="00D8522E"/>
    <w:rsid w:val="00D8763B"/>
    <w:rsid w:val="00D91C08"/>
    <w:rsid w:val="00D9531F"/>
    <w:rsid w:val="00DA0562"/>
    <w:rsid w:val="00DA3B43"/>
    <w:rsid w:val="00DC1513"/>
    <w:rsid w:val="00DC2CA8"/>
    <w:rsid w:val="00DC52FA"/>
    <w:rsid w:val="00DD1361"/>
    <w:rsid w:val="00DD58EC"/>
    <w:rsid w:val="00DE115E"/>
    <w:rsid w:val="00DF0422"/>
    <w:rsid w:val="00E00CC2"/>
    <w:rsid w:val="00E02AE4"/>
    <w:rsid w:val="00E11831"/>
    <w:rsid w:val="00E135FC"/>
    <w:rsid w:val="00E15518"/>
    <w:rsid w:val="00E432C5"/>
    <w:rsid w:val="00E43744"/>
    <w:rsid w:val="00E46497"/>
    <w:rsid w:val="00E63401"/>
    <w:rsid w:val="00E67316"/>
    <w:rsid w:val="00E73A36"/>
    <w:rsid w:val="00E77205"/>
    <w:rsid w:val="00E8018B"/>
    <w:rsid w:val="00E90BCD"/>
    <w:rsid w:val="00E922C4"/>
    <w:rsid w:val="00E9297A"/>
    <w:rsid w:val="00E96958"/>
    <w:rsid w:val="00E97293"/>
    <w:rsid w:val="00EA03DE"/>
    <w:rsid w:val="00EA0ACF"/>
    <w:rsid w:val="00EC58EE"/>
    <w:rsid w:val="00EC7E21"/>
    <w:rsid w:val="00ED3045"/>
    <w:rsid w:val="00ED6B8F"/>
    <w:rsid w:val="00ED797C"/>
    <w:rsid w:val="00EE1BAB"/>
    <w:rsid w:val="00EE27F1"/>
    <w:rsid w:val="00EF0A2A"/>
    <w:rsid w:val="00EF0C18"/>
    <w:rsid w:val="00F01AE8"/>
    <w:rsid w:val="00F021BA"/>
    <w:rsid w:val="00F02A66"/>
    <w:rsid w:val="00F03693"/>
    <w:rsid w:val="00F03D74"/>
    <w:rsid w:val="00F134CC"/>
    <w:rsid w:val="00F162DC"/>
    <w:rsid w:val="00F16A41"/>
    <w:rsid w:val="00F20E8C"/>
    <w:rsid w:val="00F2100B"/>
    <w:rsid w:val="00F21852"/>
    <w:rsid w:val="00F33619"/>
    <w:rsid w:val="00F36A63"/>
    <w:rsid w:val="00F40C29"/>
    <w:rsid w:val="00F4188B"/>
    <w:rsid w:val="00F466B5"/>
    <w:rsid w:val="00F46DB5"/>
    <w:rsid w:val="00F46F2D"/>
    <w:rsid w:val="00F51C77"/>
    <w:rsid w:val="00F56FED"/>
    <w:rsid w:val="00F602A0"/>
    <w:rsid w:val="00F80076"/>
    <w:rsid w:val="00F97186"/>
    <w:rsid w:val="00FB1C71"/>
    <w:rsid w:val="00FB71A8"/>
    <w:rsid w:val="00FB7A73"/>
    <w:rsid w:val="00FC3D3F"/>
    <w:rsid w:val="00FC4FE4"/>
    <w:rsid w:val="00FC66EA"/>
    <w:rsid w:val="00FD633F"/>
    <w:rsid w:val="00FE0768"/>
    <w:rsid w:val="00FE0DA0"/>
    <w:rsid w:val="00FE6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colormru v:ext="edit" colors="#f89010,#b3c4b2,#005f2d,#057d87,#848e3a,#960000,#e8f0e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heading 1" w:uiPriority="11" w:qFormat="1"/>
    <w:lsdException w:name="heading 2" w:uiPriority="11" w:qFormat="1"/>
    <w:lsdException w:name="heading 3" w:uiPriority="11" w:qFormat="1"/>
    <w:lsdException w:name="heading 4" w:uiPriority="11" w:qFormat="1"/>
    <w:lsdException w:name="index 1" w:uiPriority="49"/>
    <w:lsdException w:name="index 2" w:uiPriority="49"/>
    <w:lsdException w:name="index 3" w:uiPriority="49"/>
    <w:lsdException w:name="index 4" w:uiPriority="49"/>
    <w:lsdException w:name="index 5" w:uiPriority="49"/>
    <w:lsdException w:name="index 6" w:uiPriority="49"/>
    <w:lsdException w:name="index 7" w:uiPriority="49"/>
    <w:lsdException w:name="index 8" w:uiPriority="49"/>
    <w:lsdException w:name="index 9" w:uiPriority="49"/>
    <w:lsdException w:name="toc 1" w:uiPriority="39"/>
    <w:lsdException w:name="toc 4" w:uiPriority="49"/>
    <w:lsdException w:name="toc 5" w:uiPriority="49"/>
    <w:lsdException w:name="toc 6" w:uiPriority="49"/>
    <w:lsdException w:name="toc 7" w:uiPriority="49"/>
    <w:lsdException w:name="toc 8" w:uiPriority="49"/>
    <w:lsdException w:name="toc 9" w:uiPriority="49"/>
    <w:lsdException w:name="footnote text" w:uiPriority="99"/>
    <w:lsdException w:name="annotation text" w:uiPriority="99"/>
    <w:lsdException w:name="header" w:uiPriority="49"/>
    <w:lsdException w:name="index heading" w:uiPriority="49"/>
    <w:lsdException w:name="caption" w:semiHidden="1" w:uiPriority="49" w:unhideWhenUsed="1" w:qFormat="1"/>
    <w:lsdException w:name="table of figures" w:uiPriority="49"/>
    <w:lsdException w:name="footnote reference" w:uiPriority="99"/>
    <w:lsdException w:name="annotation reference" w:uiPriority="99"/>
    <w:lsdException w:name="endnote reference" w:uiPriority="49"/>
    <w:lsdException w:name="endnote text" w:uiPriority="49"/>
    <w:lsdException w:name="macro" w:uiPriority="49"/>
    <w:lsdException w:name="toa heading" w:uiPriority="49"/>
    <w:lsdException w:name="List Bullet" w:uiPriority="7" w:qFormat="1"/>
    <w:lsdException w:name="List Number" w:uiPriority="8" w:qFormat="1"/>
    <w:lsdException w:name="List Bullet 2" w:uiPriority="8" w:qFormat="1"/>
    <w:lsdException w:name="List Bullet 3" w:uiPriority="8" w:qFormat="1"/>
    <w:lsdException w:name="List Number 2" w:uiPriority="8" w:qFormat="1"/>
    <w:lsdException w:name="List Number 3" w:uiPriority="8" w:qFormat="1"/>
    <w:lsdException w:name="List Number 4" w:uiPriority="8" w:qFormat="1"/>
    <w:lsdException w:name="List Number 5" w:uiPriority="8" w:qFormat="1"/>
    <w:lsdException w:name="Body Text" w:uiPriority="6" w:qFormat="1"/>
    <w:lsdException w:name="List Continue" w:uiPriority="9" w:qFormat="1"/>
    <w:lsdException w:name="List Continue 2" w:uiPriority="9" w:qFormat="1"/>
    <w:lsdException w:name="List Continue 3" w:uiPriority="9" w:qFormat="1"/>
    <w:lsdException w:name="List Continue 4" w:uiPriority="9" w:qFormat="1"/>
    <w:lsdException w:name="List Continue 5" w:uiPriority="9" w:qFormat="1"/>
    <w:lsdException w:name="Hyperlink" w:uiPriority="99"/>
    <w:lsdException w:name="Document Map" w:uiPriority="49"/>
    <w:lsdException w:name="annotation subject" w:uiPriority="49"/>
    <w:lsdException w:name="Balloon Text" w:uiPriority="49"/>
    <w:lsdException w:name="Placeholder Text" w:semiHidden="1" w:uiPriority="99"/>
    <w:lsdException w:name="No Spacing"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49"/>
    <w:lsdException w:name="Intense Quote" w:uiPriority="4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49"/>
    <w:lsdException w:name="Intense Reference" w:uiPriority="49"/>
    <w:lsdException w:name="Book Title" w:uiPriority="49"/>
    <w:lsdException w:name="Bibliography" w:semiHidden="1" w:uiPriority="49" w:unhideWhenUsed="1"/>
    <w:lsdException w:name="TOC Heading" w:semiHidden="1" w:uiPriority="49" w:unhideWhenUsed="1" w:qFormat="1"/>
  </w:latentStyles>
  <w:style w:type="paragraph" w:default="1" w:styleId="Normal">
    <w:name w:val="Normal"/>
    <w:uiPriority w:val="49"/>
    <w:rsid w:val="00F021BA"/>
    <w:pPr>
      <w:spacing w:before="60" w:after="60"/>
    </w:pPr>
    <w:rPr>
      <w:rFonts w:ascii="Arial" w:hAnsi="Arial"/>
      <w:sz w:val="19"/>
      <w:lang w:eastAsia="ja-JP"/>
    </w:rPr>
  </w:style>
  <w:style w:type="paragraph" w:styleId="Heading1">
    <w:name w:val="heading 1"/>
    <w:aliases w:val="#H1"/>
    <w:next w:val="BodyText"/>
    <w:uiPriority w:val="11"/>
    <w:qFormat/>
    <w:rsid w:val="006C172D"/>
    <w:pPr>
      <w:keepNext/>
      <w:keepLines/>
      <w:pageBreakBefore/>
      <w:numPr>
        <w:numId w:val="14"/>
      </w:numPr>
      <w:spacing w:after="360" w:line="480" w:lineRule="atLeast"/>
      <w:outlineLvl w:val="0"/>
    </w:pPr>
    <w:rPr>
      <w:rFonts w:ascii="Arial" w:hAnsi="Arial" w:cs="Arial"/>
      <w:color w:val="045411"/>
      <w:kern w:val="32"/>
      <w:sz w:val="34"/>
      <w:szCs w:val="34"/>
      <w:lang w:eastAsia="ja-JP"/>
    </w:rPr>
  </w:style>
  <w:style w:type="paragraph" w:styleId="Heading2">
    <w:name w:val="heading 2"/>
    <w:aliases w:val="#H2"/>
    <w:next w:val="BodyText"/>
    <w:uiPriority w:val="19"/>
    <w:qFormat/>
    <w:rsid w:val="006C172D"/>
    <w:pPr>
      <w:keepNext/>
      <w:keepLines/>
      <w:numPr>
        <w:ilvl w:val="1"/>
        <w:numId w:val="14"/>
      </w:numPr>
      <w:spacing w:before="240" w:after="160" w:line="400" w:lineRule="atLeast"/>
      <w:outlineLvl w:val="1"/>
    </w:pPr>
    <w:rPr>
      <w:rFonts w:ascii="Arial" w:hAnsi="Arial" w:cs="Arial"/>
      <w:bCs/>
      <w:iCs/>
      <w:color w:val="005F2D"/>
      <w:sz w:val="30"/>
      <w:szCs w:val="28"/>
      <w:lang w:eastAsia="ja-JP"/>
    </w:rPr>
  </w:style>
  <w:style w:type="paragraph" w:styleId="Heading3">
    <w:name w:val="heading 3"/>
    <w:aliases w:val="#H3"/>
    <w:next w:val="BodyText"/>
    <w:uiPriority w:val="20"/>
    <w:qFormat/>
    <w:rsid w:val="006C172D"/>
    <w:pPr>
      <w:keepNext/>
      <w:keepLines/>
      <w:numPr>
        <w:ilvl w:val="2"/>
        <w:numId w:val="14"/>
      </w:numPr>
      <w:spacing w:before="240" w:after="150" w:line="300" w:lineRule="atLeast"/>
      <w:outlineLvl w:val="2"/>
    </w:pPr>
    <w:rPr>
      <w:rFonts w:ascii="Arial" w:hAnsi="Arial" w:cs="Arial"/>
      <w:color w:val="005F2D"/>
      <w:sz w:val="26"/>
      <w:szCs w:val="26"/>
      <w:lang w:eastAsia="ja-JP"/>
    </w:rPr>
  </w:style>
  <w:style w:type="paragraph" w:styleId="Heading4">
    <w:name w:val="heading 4"/>
    <w:aliases w:val="#H4"/>
    <w:next w:val="BodyText"/>
    <w:uiPriority w:val="21"/>
    <w:qFormat/>
    <w:rsid w:val="006C172D"/>
    <w:pPr>
      <w:keepNext/>
      <w:keepLines/>
      <w:numPr>
        <w:ilvl w:val="3"/>
        <w:numId w:val="14"/>
      </w:numPr>
      <w:spacing w:before="240" w:after="60" w:line="260" w:lineRule="atLeast"/>
      <w:outlineLvl w:val="3"/>
    </w:pPr>
    <w:rPr>
      <w:rFonts w:ascii="Arial" w:hAnsi="Arial" w:cs="Arial"/>
      <w:color w:val="005F2D"/>
      <w:sz w:val="19"/>
      <w:szCs w:val="19"/>
      <w:lang w:eastAsia="ja-JP"/>
    </w:rPr>
  </w:style>
  <w:style w:type="paragraph" w:styleId="Heading5">
    <w:name w:val="heading 5"/>
    <w:next w:val="Normal"/>
    <w:uiPriority w:val="49"/>
    <w:rsid w:val="001E0292"/>
    <w:pPr>
      <w:keepNext/>
      <w:keepLines/>
      <w:numPr>
        <w:ilvl w:val="4"/>
        <w:numId w:val="14"/>
      </w:numPr>
      <w:spacing w:before="240" w:after="60" w:line="260" w:lineRule="atLeast"/>
      <w:outlineLvl w:val="4"/>
    </w:pPr>
    <w:rPr>
      <w:rFonts w:ascii="Arial" w:hAnsi="Arial" w:cs="Arial"/>
      <w:i/>
      <w:iCs/>
      <w:color w:val="005F2D"/>
      <w:sz w:val="19"/>
      <w:szCs w:val="19"/>
      <w:lang w:eastAsia="ja-JP"/>
    </w:rPr>
  </w:style>
  <w:style w:type="paragraph" w:styleId="Heading6">
    <w:name w:val="heading 6"/>
    <w:next w:val="BodyText"/>
    <w:uiPriority w:val="49"/>
    <w:rsid w:val="001E0292"/>
    <w:pPr>
      <w:keepNext/>
      <w:keepLines/>
      <w:spacing w:before="240" w:after="60" w:line="260" w:lineRule="atLeast"/>
      <w:outlineLvl w:val="5"/>
    </w:pPr>
    <w:rPr>
      <w:rFonts w:ascii="Arial" w:hAnsi="Arial" w:cs="Arial"/>
      <w:b/>
      <w:bCs/>
      <w:sz w:val="19"/>
      <w:szCs w:val="19"/>
      <w:lang w:eastAsia="ja-JP"/>
    </w:rPr>
  </w:style>
  <w:style w:type="paragraph" w:styleId="Heading7">
    <w:name w:val="heading 7"/>
    <w:next w:val="Normal"/>
    <w:uiPriority w:val="49"/>
    <w:rsid w:val="001E0292"/>
    <w:pPr>
      <w:keepNext/>
      <w:keepLines/>
      <w:spacing w:before="240" w:after="60" w:line="260" w:lineRule="atLeast"/>
      <w:outlineLvl w:val="6"/>
    </w:pPr>
    <w:rPr>
      <w:rFonts w:ascii="Arial" w:hAnsi="Arial"/>
      <w:b/>
      <w:bCs/>
      <w:i/>
      <w:iCs/>
      <w:sz w:val="19"/>
      <w:szCs w:val="19"/>
      <w:lang w:eastAsia="ja-JP"/>
    </w:rPr>
  </w:style>
  <w:style w:type="paragraph" w:styleId="Heading8">
    <w:name w:val="heading 8"/>
    <w:next w:val="Normal"/>
    <w:uiPriority w:val="49"/>
    <w:rsid w:val="001E0292"/>
    <w:pPr>
      <w:keepNext/>
      <w:keepLines/>
      <w:spacing w:before="240" w:after="60" w:line="260" w:lineRule="atLeast"/>
      <w:outlineLvl w:val="7"/>
    </w:pPr>
    <w:rPr>
      <w:rFonts w:ascii="Arial" w:hAnsi="Arial" w:cs="Arial"/>
      <w:i/>
      <w:iCs/>
      <w:sz w:val="19"/>
      <w:szCs w:val="19"/>
      <w:lang w:eastAsia="ja-JP"/>
    </w:rPr>
  </w:style>
  <w:style w:type="paragraph" w:styleId="Heading9">
    <w:name w:val="heading 9"/>
    <w:basedOn w:val="Heading4NoNumbering"/>
    <w:next w:val="Normal"/>
    <w:uiPriority w:val="49"/>
    <w:rsid w:val="001E0292"/>
    <w:p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link w:val="ListBullet2Char"/>
    <w:uiPriority w:val="24"/>
    <w:qFormat/>
    <w:rsid w:val="006C172D"/>
    <w:pPr>
      <w:numPr>
        <w:numId w:val="4"/>
      </w:numPr>
      <w:spacing w:after="180" w:line="260" w:lineRule="atLeast"/>
    </w:pPr>
    <w:rPr>
      <w:rFonts w:ascii="Arial" w:hAnsi="Arial"/>
      <w:sz w:val="19"/>
      <w:lang w:eastAsia="ja-JP"/>
    </w:rPr>
  </w:style>
  <w:style w:type="paragraph" w:customStyle="1" w:styleId="ContactsTableHeading">
    <w:name w:val="Contacts Table Heading"/>
    <w:uiPriority w:val="35"/>
    <w:qFormat/>
    <w:rsid w:val="006C172D"/>
    <w:pPr>
      <w:keepNext/>
      <w:keepLines/>
      <w:spacing w:after="180" w:line="260" w:lineRule="atLeast"/>
    </w:pPr>
    <w:rPr>
      <w:rFonts w:ascii="Arial" w:hAnsi="Arial"/>
      <w:color w:val="045411"/>
      <w:sz w:val="19"/>
      <w:lang w:eastAsia="ja-JP"/>
    </w:rPr>
  </w:style>
  <w:style w:type="paragraph" w:styleId="ListBullet">
    <w:name w:val="List Bullet"/>
    <w:uiPriority w:val="7"/>
    <w:qFormat/>
    <w:rsid w:val="006C172D"/>
    <w:pPr>
      <w:numPr>
        <w:numId w:val="8"/>
      </w:numPr>
      <w:tabs>
        <w:tab w:val="left" w:pos="284"/>
      </w:tabs>
      <w:spacing w:after="180" w:line="260" w:lineRule="atLeast"/>
    </w:pPr>
    <w:rPr>
      <w:rFonts w:ascii="Arial" w:hAnsi="Arial"/>
      <w:sz w:val="19"/>
      <w:lang w:eastAsia="ja-JP"/>
    </w:rPr>
  </w:style>
  <w:style w:type="paragraph" w:styleId="ListBullet3">
    <w:name w:val="List Bullet 3"/>
    <w:link w:val="ListBullet3Char"/>
    <w:uiPriority w:val="25"/>
    <w:qFormat/>
    <w:rsid w:val="006C172D"/>
    <w:pPr>
      <w:numPr>
        <w:numId w:val="5"/>
      </w:numPr>
      <w:spacing w:after="180" w:line="260" w:lineRule="atLeast"/>
    </w:pPr>
    <w:rPr>
      <w:rFonts w:ascii="Arial" w:hAnsi="Arial"/>
      <w:sz w:val="19"/>
      <w:lang w:eastAsia="ja-JP"/>
    </w:rPr>
  </w:style>
  <w:style w:type="paragraph" w:styleId="ListBullet4">
    <w:name w:val="List Bullet 4"/>
    <w:uiPriority w:val="49"/>
    <w:semiHidden/>
    <w:rsid w:val="00E43744"/>
    <w:pPr>
      <w:numPr>
        <w:numId w:val="6"/>
      </w:numPr>
      <w:spacing w:after="180" w:line="260" w:lineRule="atLeast"/>
    </w:pPr>
    <w:rPr>
      <w:rFonts w:ascii="Arial" w:hAnsi="Arial"/>
      <w:sz w:val="19"/>
      <w:lang w:eastAsia="ja-JP"/>
    </w:rPr>
  </w:style>
  <w:style w:type="paragraph" w:styleId="ListBullet5">
    <w:name w:val="List Bullet 5"/>
    <w:uiPriority w:val="49"/>
    <w:semiHidden/>
    <w:rsid w:val="00E43744"/>
    <w:pPr>
      <w:numPr>
        <w:numId w:val="7"/>
      </w:numPr>
      <w:spacing w:after="180" w:line="260" w:lineRule="atLeast"/>
    </w:pPr>
    <w:rPr>
      <w:rFonts w:ascii="Arial" w:hAnsi="Arial"/>
      <w:sz w:val="19"/>
      <w:lang w:eastAsia="ja-JP"/>
    </w:rPr>
  </w:style>
  <w:style w:type="paragraph" w:styleId="ListContinue">
    <w:name w:val="List Continue"/>
    <w:aliases w:val="List Cont"/>
    <w:uiPriority w:val="30"/>
    <w:qFormat/>
    <w:rsid w:val="006C172D"/>
    <w:pPr>
      <w:spacing w:after="180" w:line="260" w:lineRule="atLeast"/>
      <w:ind w:left="284"/>
    </w:pPr>
    <w:rPr>
      <w:rFonts w:ascii="Arial" w:hAnsi="Arial"/>
      <w:sz w:val="19"/>
      <w:lang w:eastAsia="ja-JP"/>
    </w:rPr>
  </w:style>
  <w:style w:type="paragraph" w:styleId="ListContinue2">
    <w:name w:val="List Continue 2"/>
    <w:aliases w:val="List Cont 2"/>
    <w:basedOn w:val="Normal"/>
    <w:uiPriority w:val="31"/>
    <w:qFormat/>
    <w:rsid w:val="006C172D"/>
    <w:pPr>
      <w:spacing w:after="180"/>
      <w:ind w:left="567"/>
    </w:pPr>
  </w:style>
  <w:style w:type="paragraph" w:styleId="ListContinue3">
    <w:name w:val="List Continue 3"/>
    <w:aliases w:val="List Cont 3"/>
    <w:uiPriority w:val="32"/>
    <w:qFormat/>
    <w:rsid w:val="006C172D"/>
    <w:pPr>
      <w:spacing w:after="180" w:line="260" w:lineRule="atLeast"/>
      <w:ind w:left="851"/>
    </w:pPr>
    <w:rPr>
      <w:rFonts w:ascii="Arial" w:hAnsi="Arial"/>
      <w:sz w:val="19"/>
      <w:lang w:eastAsia="ja-JP"/>
    </w:rPr>
  </w:style>
  <w:style w:type="paragraph" w:styleId="ListContinue4">
    <w:name w:val="List Continue 4"/>
    <w:aliases w:val="List Cont 4"/>
    <w:uiPriority w:val="33"/>
    <w:qFormat/>
    <w:rsid w:val="006C172D"/>
    <w:pPr>
      <w:spacing w:after="180" w:line="260" w:lineRule="atLeast"/>
      <w:ind w:left="1134"/>
    </w:pPr>
    <w:rPr>
      <w:rFonts w:ascii="Arial" w:hAnsi="Arial"/>
      <w:sz w:val="19"/>
      <w:lang w:eastAsia="ja-JP"/>
    </w:rPr>
  </w:style>
  <w:style w:type="paragraph" w:styleId="ListContinue5">
    <w:name w:val="List Continue 5"/>
    <w:aliases w:val="List Cont 5"/>
    <w:uiPriority w:val="34"/>
    <w:qFormat/>
    <w:rsid w:val="006C172D"/>
    <w:pPr>
      <w:spacing w:after="180" w:line="260" w:lineRule="atLeast"/>
      <w:ind w:left="1418"/>
    </w:pPr>
    <w:rPr>
      <w:rFonts w:ascii="Arial" w:hAnsi="Arial"/>
      <w:sz w:val="19"/>
      <w:lang w:eastAsia="ja-JP"/>
    </w:rPr>
  </w:style>
  <w:style w:type="paragraph" w:customStyle="1" w:styleId="Question">
    <w:name w:val="Question"/>
    <w:next w:val="BodyText"/>
    <w:qFormat/>
    <w:rsid w:val="006C172D"/>
    <w:pPr>
      <w:spacing w:before="130" w:after="180" w:line="260" w:lineRule="atLeast"/>
    </w:pPr>
    <w:rPr>
      <w:rFonts w:ascii="Arial" w:hAnsi="Arial"/>
      <w:b/>
      <w:sz w:val="19"/>
      <w:lang w:eastAsia="ja-JP"/>
    </w:rPr>
  </w:style>
  <w:style w:type="paragraph" w:customStyle="1" w:styleId="QHeadingNo">
    <w:name w:val="Q Heading No"/>
    <w:next w:val="QBody"/>
    <w:uiPriority w:val="3"/>
    <w:qFormat/>
    <w:rsid w:val="006C172D"/>
    <w:pPr>
      <w:numPr>
        <w:ilvl w:val="5"/>
        <w:numId w:val="14"/>
      </w:numPr>
      <w:spacing w:before="130" w:after="180" w:line="260" w:lineRule="atLeast"/>
    </w:pPr>
    <w:rPr>
      <w:rFonts w:ascii="Arial" w:hAnsi="Arial"/>
      <w:b/>
      <w:sz w:val="19"/>
      <w:lang w:eastAsia="ja-JP"/>
    </w:rPr>
  </w:style>
  <w:style w:type="paragraph" w:customStyle="1" w:styleId="Heading1NoNumbering">
    <w:name w:val="Heading 1_No Numbering"/>
    <w:next w:val="BodyText"/>
    <w:uiPriority w:val="49"/>
    <w:semiHidden/>
    <w:rsid w:val="00E43744"/>
    <w:pPr>
      <w:keepNext/>
      <w:keepLines/>
      <w:pageBreakBefore/>
      <w:spacing w:after="360" w:line="480" w:lineRule="atLeast"/>
    </w:pPr>
    <w:rPr>
      <w:rFonts w:ascii="Arial" w:hAnsi="Arial" w:cs="Arial"/>
      <w:color w:val="045411"/>
      <w:kern w:val="32"/>
      <w:sz w:val="34"/>
      <w:szCs w:val="34"/>
      <w:lang w:eastAsia="ja-JP"/>
    </w:rPr>
  </w:style>
  <w:style w:type="paragraph" w:styleId="BodyText">
    <w:name w:val="Body Text"/>
    <w:link w:val="BodyTextChar"/>
    <w:uiPriority w:val="6"/>
    <w:qFormat/>
    <w:rsid w:val="006C172D"/>
    <w:pPr>
      <w:keepLines/>
      <w:spacing w:after="180" w:line="260" w:lineRule="atLeast"/>
    </w:pPr>
    <w:rPr>
      <w:rFonts w:ascii="Arial" w:hAnsi="Arial"/>
      <w:sz w:val="19"/>
      <w:lang w:eastAsia="ja-JP"/>
    </w:rPr>
  </w:style>
  <w:style w:type="paragraph" w:customStyle="1" w:styleId="Heading2NoNumbering">
    <w:name w:val="Heading 2_No Numbering"/>
    <w:next w:val="BodyText"/>
    <w:uiPriority w:val="49"/>
    <w:semiHidden/>
    <w:rsid w:val="00E43744"/>
    <w:pPr>
      <w:keepNext/>
      <w:keepLines/>
      <w:spacing w:before="240" w:after="160" w:line="400" w:lineRule="atLeast"/>
    </w:pPr>
    <w:rPr>
      <w:rFonts w:ascii="Arial" w:hAnsi="Arial" w:cs="Arial"/>
      <w:bCs/>
      <w:iCs/>
      <w:color w:val="045411"/>
      <w:sz w:val="30"/>
      <w:szCs w:val="28"/>
      <w:lang w:eastAsia="ja-JP"/>
    </w:rPr>
  </w:style>
  <w:style w:type="paragraph" w:customStyle="1" w:styleId="Heading3NoNumbering">
    <w:name w:val="Heading 3_No Numbering"/>
    <w:next w:val="BodyText"/>
    <w:uiPriority w:val="49"/>
    <w:semiHidden/>
    <w:rsid w:val="00E43744"/>
    <w:pPr>
      <w:keepNext/>
      <w:keepLines/>
      <w:spacing w:before="240" w:after="150" w:line="300" w:lineRule="atLeast"/>
    </w:pPr>
    <w:rPr>
      <w:rFonts w:ascii="Arial" w:hAnsi="Arial" w:cs="Arial"/>
      <w:color w:val="045411"/>
      <w:sz w:val="26"/>
      <w:szCs w:val="26"/>
      <w:lang w:eastAsia="ja-JP"/>
    </w:rPr>
  </w:style>
  <w:style w:type="paragraph" w:customStyle="1" w:styleId="Heading4NoNumbering">
    <w:name w:val="Heading 4_No Numbering"/>
    <w:next w:val="BodyText"/>
    <w:uiPriority w:val="49"/>
    <w:semiHidden/>
    <w:rsid w:val="00E43744"/>
    <w:pPr>
      <w:keepNext/>
      <w:keepLines/>
      <w:spacing w:before="240" w:after="60" w:line="260" w:lineRule="atLeast"/>
    </w:pPr>
    <w:rPr>
      <w:rFonts w:ascii="Arial" w:hAnsi="Arial" w:cs="Arial"/>
      <w:color w:val="045411"/>
      <w:sz w:val="19"/>
      <w:szCs w:val="19"/>
      <w:lang w:eastAsia="ja-JP"/>
    </w:rPr>
  </w:style>
  <w:style w:type="paragraph" w:customStyle="1" w:styleId="Heading5NoNumbering">
    <w:name w:val="Heading 5_No Numbering"/>
    <w:next w:val="Normal"/>
    <w:uiPriority w:val="49"/>
    <w:semiHidden/>
    <w:rsid w:val="00E43744"/>
    <w:pPr>
      <w:keepNext/>
      <w:keepLines/>
      <w:spacing w:before="240" w:after="60" w:line="260" w:lineRule="atLeast"/>
    </w:pPr>
    <w:rPr>
      <w:rFonts w:ascii="Arial" w:hAnsi="Arial" w:cs="Arial"/>
      <w:i/>
      <w:iCs/>
      <w:color w:val="045411"/>
      <w:sz w:val="19"/>
      <w:szCs w:val="19"/>
      <w:lang w:eastAsia="ja-JP"/>
    </w:rPr>
  </w:style>
  <w:style w:type="paragraph" w:customStyle="1" w:styleId="Source">
    <w:name w:val="Source"/>
    <w:next w:val="BodyText"/>
    <w:uiPriority w:val="8"/>
    <w:qFormat/>
    <w:rsid w:val="00E43744"/>
    <w:pPr>
      <w:spacing w:before="80" w:after="180" w:line="160" w:lineRule="atLeast"/>
      <w:contextualSpacing/>
    </w:pPr>
    <w:rPr>
      <w:rFonts w:ascii="Arial" w:hAnsi="Arial"/>
      <w:sz w:val="16"/>
      <w:lang w:eastAsia="ja-JP"/>
    </w:rPr>
  </w:style>
  <w:style w:type="paragraph" w:customStyle="1" w:styleId="Notes">
    <w:name w:val="Notes"/>
    <w:next w:val="Normal"/>
    <w:uiPriority w:val="49"/>
    <w:rsid w:val="00E43744"/>
    <w:pPr>
      <w:spacing w:after="120" w:line="264" w:lineRule="auto"/>
    </w:pPr>
    <w:rPr>
      <w:rFonts w:ascii="Arial" w:hAnsi="Arial"/>
      <w:sz w:val="18"/>
      <w:szCs w:val="18"/>
      <w:lang w:eastAsia="ja-JP"/>
    </w:rPr>
  </w:style>
  <w:style w:type="paragraph" w:styleId="Header">
    <w:name w:val="header"/>
    <w:basedOn w:val="Normal"/>
    <w:uiPriority w:val="49"/>
    <w:semiHidden/>
    <w:rsid w:val="00D009E1"/>
    <w:pPr>
      <w:tabs>
        <w:tab w:val="center" w:pos="4153"/>
        <w:tab w:val="right" w:pos="8306"/>
      </w:tabs>
      <w:spacing w:after="180" w:line="252" w:lineRule="auto"/>
    </w:pPr>
    <w:rPr>
      <w:caps/>
      <w:color w:val="045411"/>
      <w:sz w:val="16"/>
      <w:szCs w:val="16"/>
    </w:rPr>
  </w:style>
  <w:style w:type="paragraph" w:styleId="Footer">
    <w:name w:val="footer"/>
    <w:uiPriority w:val="49"/>
    <w:semiHidden/>
    <w:rsid w:val="00E43744"/>
    <w:pPr>
      <w:tabs>
        <w:tab w:val="center" w:pos="4153"/>
        <w:tab w:val="right" w:pos="8306"/>
      </w:tabs>
      <w:spacing w:before="240" w:line="260" w:lineRule="atLeast"/>
      <w:jc w:val="right"/>
    </w:pPr>
    <w:rPr>
      <w:rFonts w:ascii="Arial" w:hAnsi="Arial"/>
      <w:color w:val="045411"/>
      <w:sz w:val="14"/>
      <w:szCs w:val="14"/>
      <w:lang w:eastAsia="ja-JP"/>
    </w:rPr>
  </w:style>
  <w:style w:type="table" w:styleId="TableGrid">
    <w:name w:val="Table Grid"/>
    <w:basedOn w:val="TableNormal"/>
    <w:rsid w:val="00E43744"/>
    <w:rPr>
      <w:rFonts w:ascii="Arial" w:hAnsi="Arial"/>
      <w:sz w:val="18"/>
    </w:rPr>
    <w:tblPr/>
  </w:style>
  <w:style w:type="character" w:styleId="PageNumber">
    <w:name w:val="page number"/>
    <w:basedOn w:val="DefaultParagraphFont"/>
    <w:uiPriority w:val="49"/>
    <w:semiHidden/>
    <w:rsid w:val="00E43744"/>
  </w:style>
  <w:style w:type="paragraph" w:customStyle="1" w:styleId="CoverPageTitle">
    <w:name w:val="Cover Page Title"/>
    <w:next w:val="CoverPageSubtitle"/>
    <w:uiPriority w:val="49"/>
    <w:semiHidden/>
    <w:rsid w:val="00F021BA"/>
    <w:pPr>
      <w:spacing w:after="240"/>
      <w:ind w:left="-51" w:right="45"/>
    </w:pPr>
    <w:rPr>
      <w:rFonts w:ascii="Arial" w:hAnsi="Arial"/>
      <w:color w:val="045411"/>
      <w:sz w:val="32"/>
      <w:lang w:eastAsia="ja-JP"/>
    </w:rPr>
  </w:style>
  <w:style w:type="paragraph" w:customStyle="1" w:styleId="QBody">
    <w:name w:val="Q Body"/>
    <w:uiPriority w:val="4"/>
    <w:qFormat/>
    <w:rsid w:val="006C172D"/>
    <w:pPr>
      <w:spacing w:after="180" w:line="260" w:lineRule="atLeast"/>
      <w:ind w:left="851"/>
    </w:pPr>
    <w:rPr>
      <w:rFonts w:ascii="Arial" w:hAnsi="Arial"/>
      <w:sz w:val="19"/>
      <w:lang w:eastAsia="ja-JP"/>
    </w:rPr>
  </w:style>
  <w:style w:type="paragraph" w:customStyle="1" w:styleId="QBullet">
    <w:name w:val="Q Bullet"/>
    <w:uiPriority w:val="5"/>
    <w:qFormat/>
    <w:rsid w:val="006C172D"/>
    <w:pPr>
      <w:numPr>
        <w:numId w:val="15"/>
      </w:numPr>
      <w:spacing w:after="180" w:line="260" w:lineRule="atLeast"/>
    </w:pPr>
    <w:rPr>
      <w:rFonts w:ascii="Arial" w:hAnsi="Arial"/>
      <w:sz w:val="19"/>
      <w:lang w:val="fr-FR" w:eastAsia="ja-JP"/>
    </w:rPr>
  </w:style>
  <w:style w:type="paragraph" w:customStyle="1" w:styleId="CoverPageSubtitle">
    <w:name w:val="Cover Page Subtitle"/>
    <w:uiPriority w:val="49"/>
    <w:semiHidden/>
    <w:rsid w:val="00F021BA"/>
    <w:pPr>
      <w:spacing w:after="120" w:line="240" w:lineRule="atLeast"/>
      <w:ind w:left="-51" w:right="454"/>
    </w:pPr>
    <w:rPr>
      <w:rFonts w:ascii="Arial" w:hAnsi="Arial"/>
      <w:color w:val="045411"/>
      <w:sz w:val="24"/>
      <w:szCs w:val="24"/>
      <w:lang w:eastAsia="ja-JP"/>
    </w:rPr>
  </w:style>
  <w:style w:type="paragraph" w:customStyle="1" w:styleId="QBullet2">
    <w:name w:val="Q Bullet 2"/>
    <w:uiPriority w:val="22"/>
    <w:qFormat/>
    <w:rsid w:val="006C172D"/>
    <w:pPr>
      <w:numPr>
        <w:numId w:val="16"/>
      </w:numPr>
      <w:spacing w:after="180" w:line="260" w:lineRule="atLeast"/>
    </w:pPr>
    <w:rPr>
      <w:rFonts w:ascii="Arial" w:hAnsi="Arial"/>
      <w:sz w:val="19"/>
      <w:lang w:val="fr-FR" w:eastAsia="ja-JP"/>
    </w:rPr>
  </w:style>
  <w:style w:type="paragraph" w:customStyle="1" w:styleId="Createdby">
    <w:name w:val="Created by"/>
    <w:uiPriority w:val="49"/>
    <w:semiHidden/>
    <w:rsid w:val="00E43744"/>
    <w:rPr>
      <w:rFonts w:eastAsia="Times New Roman"/>
      <w:lang w:val="en-US"/>
    </w:rPr>
  </w:style>
  <w:style w:type="paragraph" w:customStyle="1" w:styleId="QConsecutiveNo">
    <w:name w:val="Q Consecutive No"/>
    <w:next w:val="QBody"/>
    <w:uiPriority w:val="2"/>
    <w:qFormat/>
    <w:rsid w:val="006C172D"/>
    <w:pPr>
      <w:numPr>
        <w:numId w:val="17"/>
      </w:numPr>
      <w:spacing w:before="130" w:after="180" w:line="260" w:lineRule="atLeast"/>
    </w:pPr>
    <w:rPr>
      <w:rFonts w:ascii="Arial" w:hAnsi="Arial"/>
      <w:b/>
      <w:sz w:val="19"/>
      <w:lang w:eastAsia="ja-JP"/>
    </w:rPr>
  </w:style>
  <w:style w:type="paragraph" w:styleId="TOC1">
    <w:name w:val="toc 1"/>
    <w:next w:val="BodyText"/>
    <w:autoRedefine/>
    <w:uiPriority w:val="39"/>
    <w:rsid w:val="006A317F"/>
    <w:pPr>
      <w:tabs>
        <w:tab w:val="left" w:pos="425"/>
        <w:tab w:val="right" w:pos="9072"/>
      </w:tabs>
      <w:spacing w:after="180" w:line="260" w:lineRule="atLeast"/>
    </w:pPr>
    <w:rPr>
      <w:rFonts w:ascii="Arial" w:hAnsi="Arial"/>
      <w:noProof/>
      <w:sz w:val="18"/>
      <w:lang w:eastAsia="ja-JP"/>
    </w:rPr>
  </w:style>
  <w:style w:type="paragraph" w:styleId="TOC2">
    <w:name w:val="toc 2"/>
    <w:basedOn w:val="TOC1"/>
    <w:next w:val="BodyText"/>
    <w:autoRedefine/>
    <w:uiPriority w:val="49"/>
    <w:semiHidden/>
    <w:rsid w:val="00E43744"/>
  </w:style>
  <w:style w:type="paragraph" w:styleId="TOC3">
    <w:name w:val="toc 3"/>
    <w:basedOn w:val="TOC2"/>
    <w:next w:val="BodyText"/>
    <w:autoRedefine/>
    <w:uiPriority w:val="49"/>
    <w:semiHidden/>
    <w:rsid w:val="00E43744"/>
  </w:style>
  <w:style w:type="character" w:styleId="Hyperlink">
    <w:name w:val="Hyperlink"/>
    <w:uiPriority w:val="99"/>
    <w:rsid w:val="00E43744"/>
    <w:rPr>
      <w:rFonts w:ascii="Arial" w:hAnsi="Arial"/>
      <w:color w:val="045411"/>
      <w:sz w:val="19"/>
      <w:u w:val="single"/>
    </w:rPr>
  </w:style>
  <w:style w:type="paragraph" w:customStyle="1" w:styleId="ContactsTableText">
    <w:name w:val="Contacts_Table Text"/>
    <w:uiPriority w:val="36"/>
    <w:qFormat/>
    <w:rsid w:val="006C172D"/>
    <w:pPr>
      <w:spacing w:after="180" w:line="260" w:lineRule="atLeast"/>
    </w:pPr>
    <w:rPr>
      <w:rFonts w:ascii="Arial" w:hAnsi="Arial"/>
      <w:sz w:val="19"/>
      <w:lang w:eastAsia="ja-JP"/>
    </w:rPr>
  </w:style>
  <w:style w:type="character" w:styleId="FollowedHyperlink">
    <w:name w:val="FollowedHyperlink"/>
    <w:uiPriority w:val="49"/>
    <w:semiHidden/>
    <w:rsid w:val="00E43744"/>
    <w:rPr>
      <w:color w:val="045411"/>
      <w:u w:val="single"/>
    </w:rPr>
  </w:style>
  <w:style w:type="paragraph" w:customStyle="1" w:styleId="TableText">
    <w:name w:val="Table Text"/>
    <w:uiPriority w:val="46"/>
    <w:qFormat/>
    <w:rsid w:val="006C172D"/>
    <w:pPr>
      <w:spacing w:before="60" w:after="60"/>
    </w:pPr>
    <w:rPr>
      <w:rFonts w:ascii="Arial" w:hAnsi="Arial"/>
      <w:sz w:val="19"/>
      <w:lang w:eastAsia="ja-JP"/>
    </w:rPr>
  </w:style>
  <w:style w:type="paragraph" w:customStyle="1" w:styleId="TableGraphic">
    <w:name w:val="Table Graphic"/>
    <w:uiPriority w:val="44"/>
    <w:qFormat/>
    <w:rsid w:val="006C172D"/>
    <w:pPr>
      <w:keepNext/>
      <w:keepLines/>
      <w:spacing w:before="120" w:after="120"/>
    </w:pPr>
    <w:rPr>
      <w:rFonts w:ascii="Arial" w:hAnsi="Arial"/>
      <w:sz w:val="18"/>
      <w:lang w:eastAsia="ja-JP"/>
    </w:rPr>
  </w:style>
  <w:style w:type="paragraph" w:customStyle="1" w:styleId="TableHeadingGreen">
    <w:name w:val="Table Heading_Green"/>
    <w:next w:val="TableText"/>
    <w:uiPriority w:val="49"/>
    <w:rsid w:val="00C87B7F"/>
    <w:pPr>
      <w:keepNext/>
      <w:keepLines/>
      <w:spacing w:before="60" w:after="60"/>
    </w:pPr>
    <w:rPr>
      <w:rFonts w:ascii="Arial" w:hAnsi="Arial"/>
      <w:color w:val="045411"/>
      <w:sz w:val="19"/>
      <w:lang w:eastAsia="ja-JP"/>
    </w:rPr>
  </w:style>
  <w:style w:type="paragraph" w:customStyle="1" w:styleId="TableBullet">
    <w:name w:val="Table Bullet"/>
    <w:uiPriority w:val="40"/>
    <w:qFormat/>
    <w:rsid w:val="006C172D"/>
    <w:pPr>
      <w:numPr>
        <w:numId w:val="18"/>
      </w:numPr>
      <w:spacing w:before="60" w:after="60"/>
    </w:pPr>
    <w:rPr>
      <w:rFonts w:ascii="Arial" w:hAnsi="Arial"/>
      <w:sz w:val="19"/>
      <w:lang w:eastAsia="ja-JP"/>
    </w:rPr>
  </w:style>
  <w:style w:type="paragraph" w:customStyle="1" w:styleId="TableBullet2">
    <w:name w:val="Table Bullet 2"/>
    <w:uiPriority w:val="41"/>
    <w:qFormat/>
    <w:rsid w:val="006C172D"/>
    <w:pPr>
      <w:numPr>
        <w:numId w:val="19"/>
      </w:numPr>
      <w:spacing w:before="60" w:after="60"/>
    </w:pPr>
    <w:rPr>
      <w:rFonts w:ascii="Arial" w:hAnsi="Arial"/>
      <w:sz w:val="19"/>
      <w:lang w:eastAsia="ja-JP"/>
    </w:rPr>
  </w:style>
  <w:style w:type="paragraph" w:customStyle="1" w:styleId="TableTitle">
    <w:name w:val="Table Title"/>
    <w:next w:val="BodyText"/>
    <w:uiPriority w:val="47"/>
    <w:qFormat/>
    <w:rsid w:val="006C172D"/>
    <w:pPr>
      <w:keepNext/>
      <w:keepLines/>
      <w:spacing w:before="240" w:after="60" w:line="260" w:lineRule="atLeast"/>
    </w:pPr>
    <w:rPr>
      <w:rFonts w:ascii="Arial" w:hAnsi="Arial"/>
      <w:color w:val="045411"/>
      <w:sz w:val="19"/>
      <w:lang w:eastAsia="ja-JP"/>
    </w:rPr>
  </w:style>
  <w:style w:type="paragraph" w:customStyle="1" w:styleId="TableBullet3">
    <w:name w:val="Table Bullet 3"/>
    <w:uiPriority w:val="42"/>
    <w:qFormat/>
    <w:rsid w:val="006C172D"/>
    <w:pPr>
      <w:numPr>
        <w:numId w:val="20"/>
      </w:numPr>
      <w:spacing w:before="60" w:after="60"/>
    </w:pPr>
    <w:rPr>
      <w:rFonts w:ascii="Arial" w:hAnsi="Arial"/>
      <w:sz w:val="19"/>
      <w:lang w:eastAsia="ja-JP"/>
    </w:rPr>
  </w:style>
  <w:style w:type="paragraph" w:customStyle="1" w:styleId="Appendix">
    <w:name w:val="Appendix"/>
    <w:aliases w:val="A1"/>
    <w:next w:val="BodyText"/>
    <w:uiPriority w:val="15"/>
    <w:qFormat/>
    <w:rsid w:val="006C172D"/>
    <w:pPr>
      <w:keepNext/>
      <w:keepLines/>
      <w:pageBreakBefore/>
      <w:numPr>
        <w:numId w:val="21"/>
      </w:numPr>
      <w:spacing w:after="360" w:line="480" w:lineRule="atLeast"/>
    </w:pPr>
    <w:rPr>
      <w:rFonts w:ascii="Arial" w:hAnsi="Arial" w:cs="Arial"/>
      <w:color w:val="045411"/>
      <w:kern w:val="32"/>
      <w:sz w:val="34"/>
      <w:szCs w:val="34"/>
      <w:lang w:eastAsia="ja-JP"/>
    </w:rPr>
  </w:style>
  <w:style w:type="paragraph" w:customStyle="1" w:styleId="CoverPageDate">
    <w:name w:val="Cover Page Date"/>
    <w:next w:val="BodyText"/>
    <w:uiPriority w:val="49"/>
    <w:semiHidden/>
    <w:rsid w:val="00F021BA"/>
    <w:pPr>
      <w:spacing w:after="120" w:line="240" w:lineRule="atLeast"/>
      <w:ind w:left="-51" w:right="45"/>
    </w:pPr>
    <w:rPr>
      <w:rFonts w:ascii="Arial" w:hAnsi="Arial"/>
      <w:color w:val="045411"/>
      <w:sz w:val="24"/>
      <w:szCs w:val="24"/>
      <w:lang w:eastAsia="ja-JP"/>
    </w:rPr>
  </w:style>
  <w:style w:type="paragraph" w:customStyle="1" w:styleId="BioName">
    <w:name w:val="Bio Name"/>
    <w:next w:val="BioTitle"/>
    <w:uiPriority w:val="37"/>
    <w:qFormat/>
    <w:rsid w:val="006C172D"/>
    <w:pPr>
      <w:keepNext/>
      <w:keepLines/>
      <w:spacing w:before="150"/>
    </w:pPr>
    <w:rPr>
      <w:rFonts w:ascii="Arial" w:hAnsi="Arial"/>
      <w:color w:val="045411"/>
      <w:sz w:val="18"/>
      <w:lang w:eastAsia="ja-JP"/>
    </w:rPr>
  </w:style>
  <w:style w:type="paragraph" w:customStyle="1" w:styleId="BioTitle">
    <w:name w:val="Bio Title"/>
    <w:next w:val="BioText"/>
    <w:uiPriority w:val="38"/>
    <w:qFormat/>
    <w:rsid w:val="006C172D"/>
    <w:pPr>
      <w:keepNext/>
      <w:keepLines/>
      <w:spacing w:after="240"/>
    </w:pPr>
    <w:rPr>
      <w:rFonts w:ascii="Arial" w:hAnsi="Arial"/>
      <w:color w:val="9BBBA0"/>
      <w:sz w:val="18"/>
      <w:lang w:eastAsia="ja-JP"/>
    </w:rPr>
  </w:style>
  <w:style w:type="paragraph" w:customStyle="1" w:styleId="BioText">
    <w:name w:val="Bio Text"/>
    <w:basedOn w:val="TableText"/>
    <w:uiPriority w:val="39"/>
    <w:qFormat/>
    <w:rsid w:val="006C172D"/>
    <w:pPr>
      <w:spacing w:before="0" w:after="150"/>
      <w:contextualSpacing/>
    </w:pPr>
  </w:style>
  <w:style w:type="paragraph" w:customStyle="1" w:styleId="Appx2">
    <w:name w:val="Appx 2"/>
    <w:aliases w:val="A2"/>
    <w:next w:val="BodyText"/>
    <w:uiPriority w:val="16"/>
    <w:qFormat/>
    <w:rsid w:val="006C172D"/>
    <w:pPr>
      <w:keepNext/>
      <w:keepLines/>
      <w:numPr>
        <w:ilvl w:val="1"/>
        <w:numId w:val="21"/>
      </w:numPr>
      <w:spacing w:before="240" w:after="160" w:line="400" w:lineRule="atLeast"/>
    </w:pPr>
    <w:rPr>
      <w:rFonts w:ascii="Arial" w:hAnsi="Arial" w:cs="Arial"/>
      <w:bCs/>
      <w:iCs/>
      <w:color w:val="045411"/>
      <w:sz w:val="30"/>
      <w:szCs w:val="28"/>
      <w:lang w:eastAsia="ja-JP"/>
    </w:rPr>
  </w:style>
  <w:style w:type="paragraph" w:customStyle="1" w:styleId="Appx4">
    <w:name w:val="Appx 4"/>
    <w:aliases w:val="A4"/>
    <w:next w:val="BodyText"/>
    <w:uiPriority w:val="18"/>
    <w:qFormat/>
    <w:rsid w:val="006C172D"/>
    <w:pPr>
      <w:keepNext/>
      <w:keepLines/>
      <w:numPr>
        <w:ilvl w:val="3"/>
        <w:numId w:val="21"/>
      </w:numPr>
      <w:spacing w:before="240" w:after="60" w:line="260" w:lineRule="atLeast"/>
    </w:pPr>
    <w:rPr>
      <w:rFonts w:ascii="Arial" w:hAnsi="Arial" w:cs="Arial"/>
      <w:color w:val="045411"/>
      <w:sz w:val="19"/>
      <w:szCs w:val="19"/>
      <w:lang w:eastAsia="ja-JP"/>
    </w:rPr>
  </w:style>
  <w:style w:type="paragraph" w:customStyle="1" w:styleId="Appx3">
    <w:name w:val="Appx 3"/>
    <w:aliases w:val="A3"/>
    <w:next w:val="BodyText"/>
    <w:uiPriority w:val="17"/>
    <w:qFormat/>
    <w:rsid w:val="006C172D"/>
    <w:pPr>
      <w:keepNext/>
      <w:keepLines/>
      <w:numPr>
        <w:ilvl w:val="2"/>
        <w:numId w:val="21"/>
      </w:numPr>
      <w:spacing w:before="240" w:after="150" w:line="300" w:lineRule="atLeast"/>
    </w:pPr>
    <w:rPr>
      <w:rFonts w:ascii="Arial" w:hAnsi="Arial" w:cs="Arial"/>
      <w:color w:val="045411"/>
      <w:sz w:val="26"/>
      <w:szCs w:val="26"/>
      <w:lang w:eastAsia="ja-JP"/>
    </w:rPr>
  </w:style>
  <w:style w:type="paragraph" w:styleId="ListNumber">
    <w:name w:val="List Number"/>
    <w:aliases w:val="List No."/>
    <w:uiPriority w:val="8"/>
    <w:qFormat/>
    <w:rsid w:val="00CB7579"/>
    <w:pPr>
      <w:numPr>
        <w:numId w:val="9"/>
      </w:numPr>
      <w:spacing w:after="180" w:line="260" w:lineRule="atLeast"/>
    </w:pPr>
    <w:rPr>
      <w:rFonts w:ascii="Arial" w:hAnsi="Arial"/>
      <w:sz w:val="19"/>
      <w:szCs w:val="19"/>
      <w:lang w:eastAsia="ja-JP"/>
    </w:rPr>
  </w:style>
  <w:style w:type="paragraph" w:styleId="ListNumber2">
    <w:name w:val="List Number 2"/>
    <w:aliases w:val="List No. 2"/>
    <w:uiPriority w:val="26"/>
    <w:qFormat/>
    <w:rsid w:val="006C172D"/>
    <w:pPr>
      <w:numPr>
        <w:numId w:val="10"/>
      </w:numPr>
      <w:spacing w:after="180" w:line="260" w:lineRule="atLeast"/>
    </w:pPr>
    <w:rPr>
      <w:rFonts w:ascii="Arial" w:hAnsi="Arial"/>
      <w:sz w:val="18"/>
      <w:lang w:eastAsia="ja-JP"/>
    </w:rPr>
  </w:style>
  <w:style w:type="numbering" w:styleId="111111">
    <w:name w:val="Outline List 2"/>
    <w:basedOn w:val="NoList"/>
    <w:semiHidden/>
    <w:rsid w:val="00E43744"/>
    <w:pPr>
      <w:numPr>
        <w:numId w:val="1"/>
      </w:numPr>
    </w:pPr>
  </w:style>
  <w:style w:type="numbering" w:styleId="1ai">
    <w:name w:val="Outline List 1"/>
    <w:basedOn w:val="NoList"/>
    <w:semiHidden/>
    <w:rsid w:val="00E43744"/>
    <w:pPr>
      <w:numPr>
        <w:numId w:val="2"/>
      </w:numPr>
    </w:pPr>
  </w:style>
  <w:style w:type="numbering" w:styleId="ArticleSection">
    <w:name w:val="Outline List 3"/>
    <w:basedOn w:val="NoList"/>
    <w:semiHidden/>
    <w:rsid w:val="00E43744"/>
    <w:pPr>
      <w:numPr>
        <w:numId w:val="3"/>
      </w:numPr>
    </w:pPr>
  </w:style>
  <w:style w:type="paragraph" w:styleId="BlockText">
    <w:name w:val="Block Text"/>
    <w:basedOn w:val="Normal"/>
    <w:uiPriority w:val="49"/>
    <w:semiHidden/>
    <w:rsid w:val="00E43744"/>
    <w:pPr>
      <w:spacing w:after="120"/>
      <w:ind w:left="1440" w:right="1440"/>
    </w:pPr>
  </w:style>
  <w:style w:type="paragraph" w:styleId="BodyText2">
    <w:name w:val="Body Text 2"/>
    <w:basedOn w:val="Normal"/>
    <w:uiPriority w:val="49"/>
    <w:semiHidden/>
    <w:rsid w:val="00E43744"/>
    <w:pPr>
      <w:spacing w:after="120" w:line="480" w:lineRule="auto"/>
    </w:pPr>
  </w:style>
  <w:style w:type="paragraph" w:styleId="BodyText3">
    <w:name w:val="Body Text 3"/>
    <w:basedOn w:val="Normal"/>
    <w:uiPriority w:val="49"/>
    <w:semiHidden/>
    <w:rsid w:val="00E43744"/>
    <w:pPr>
      <w:spacing w:after="120"/>
    </w:pPr>
    <w:rPr>
      <w:sz w:val="16"/>
      <w:szCs w:val="16"/>
    </w:rPr>
  </w:style>
  <w:style w:type="paragraph" w:styleId="BodyTextFirstIndent">
    <w:name w:val="Body Text First Indent"/>
    <w:basedOn w:val="BodyText"/>
    <w:uiPriority w:val="49"/>
    <w:semiHidden/>
    <w:rsid w:val="00E43744"/>
    <w:pPr>
      <w:spacing w:before="60" w:after="120" w:line="240" w:lineRule="auto"/>
      <w:ind w:firstLine="210"/>
    </w:pPr>
  </w:style>
  <w:style w:type="paragraph" w:styleId="BodyTextIndent">
    <w:name w:val="Body Text Indent"/>
    <w:basedOn w:val="Normal"/>
    <w:uiPriority w:val="49"/>
    <w:semiHidden/>
    <w:rsid w:val="00E43744"/>
    <w:pPr>
      <w:spacing w:after="120"/>
      <w:ind w:left="283"/>
    </w:pPr>
  </w:style>
  <w:style w:type="paragraph" w:styleId="BodyTextFirstIndent2">
    <w:name w:val="Body Text First Indent 2"/>
    <w:basedOn w:val="BodyTextIndent"/>
    <w:uiPriority w:val="49"/>
    <w:semiHidden/>
    <w:rsid w:val="00E43744"/>
    <w:pPr>
      <w:ind w:firstLine="210"/>
    </w:pPr>
  </w:style>
  <w:style w:type="paragraph" w:styleId="BodyTextIndent2">
    <w:name w:val="Body Text Indent 2"/>
    <w:basedOn w:val="Normal"/>
    <w:uiPriority w:val="49"/>
    <w:semiHidden/>
    <w:rsid w:val="00E43744"/>
    <w:pPr>
      <w:spacing w:after="120" w:line="480" w:lineRule="auto"/>
      <w:ind w:left="283"/>
    </w:pPr>
  </w:style>
  <w:style w:type="paragraph" w:styleId="BodyTextIndent3">
    <w:name w:val="Body Text Indent 3"/>
    <w:basedOn w:val="Normal"/>
    <w:uiPriority w:val="49"/>
    <w:semiHidden/>
    <w:rsid w:val="00E43744"/>
    <w:pPr>
      <w:spacing w:after="120"/>
      <w:ind w:left="283"/>
    </w:pPr>
    <w:rPr>
      <w:sz w:val="16"/>
      <w:szCs w:val="16"/>
    </w:rPr>
  </w:style>
  <w:style w:type="paragraph" w:styleId="Closing">
    <w:name w:val="Closing"/>
    <w:basedOn w:val="Normal"/>
    <w:uiPriority w:val="49"/>
    <w:semiHidden/>
    <w:rsid w:val="00E43744"/>
    <w:pPr>
      <w:ind w:left="4252"/>
    </w:pPr>
  </w:style>
  <w:style w:type="paragraph" w:styleId="Date">
    <w:name w:val="Date"/>
    <w:basedOn w:val="Normal"/>
    <w:next w:val="Normal"/>
    <w:uiPriority w:val="49"/>
    <w:semiHidden/>
    <w:rsid w:val="00E43744"/>
  </w:style>
  <w:style w:type="paragraph" w:styleId="E-mailSignature">
    <w:name w:val="E-mail Signature"/>
    <w:basedOn w:val="Normal"/>
    <w:uiPriority w:val="49"/>
    <w:semiHidden/>
    <w:rsid w:val="00E43744"/>
  </w:style>
  <w:style w:type="character" w:styleId="Emphasis">
    <w:name w:val="Emphasis"/>
    <w:uiPriority w:val="49"/>
    <w:rsid w:val="001E0292"/>
    <w:rPr>
      <w:i/>
      <w:iCs/>
    </w:rPr>
  </w:style>
  <w:style w:type="paragraph" w:styleId="EnvelopeAddress">
    <w:name w:val="envelope address"/>
    <w:basedOn w:val="Normal"/>
    <w:uiPriority w:val="49"/>
    <w:semiHidden/>
    <w:rsid w:val="00E43744"/>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E43744"/>
    <w:rPr>
      <w:sz w:val="20"/>
    </w:rPr>
  </w:style>
  <w:style w:type="character" w:styleId="HTMLAcronym">
    <w:name w:val="HTML Acronym"/>
    <w:basedOn w:val="DefaultParagraphFont"/>
    <w:uiPriority w:val="49"/>
    <w:semiHidden/>
    <w:rsid w:val="00E43744"/>
  </w:style>
  <w:style w:type="paragraph" w:styleId="HTMLAddress">
    <w:name w:val="HTML Address"/>
    <w:basedOn w:val="Normal"/>
    <w:uiPriority w:val="49"/>
    <w:semiHidden/>
    <w:rsid w:val="00E43744"/>
    <w:rPr>
      <w:i/>
      <w:iCs/>
    </w:rPr>
  </w:style>
  <w:style w:type="character" w:styleId="HTMLCite">
    <w:name w:val="HTML Cite"/>
    <w:uiPriority w:val="49"/>
    <w:semiHidden/>
    <w:rsid w:val="00E43744"/>
    <w:rPr>
      <w:i/>
      <w:iCs/>
    </w:rPr>
  </w:style>
  <w:style w:type="character" w:styleId="HTMLCode">
    <w:name w:val="HTML Code"/>
    <w:uiPriority w:val="49"/>
    <w:semiHidden/>
    <w:rsid w:val="00E43744"/>
    <w:rPr>
      <w:rFonts w:ascii="Courier New" w:hAnsi="Courier New"/>
      <w:sz w:val="20"/>
      <w:szCs w:val="20"/>
    </w:rPr>
  </w:style>
  <w:style w:type="character" w:styleId="HTMLDefinition">
    <w:name w:val="HTML Definition"/>
    <w:uiPriority w:val="49"/>
    <w:semiHidden/>
    <w:rsid w:val="00E43744"/>
    <w:rPr>
      <w:i/>
      <w:iCs/>
    </w:rPr>
  </w:style>
  <w:style w:type="character" w:styleId="HTMLKeyboard">
    <w:name w:val="HTML Keyboard"/>
    <w:uiPriority w:val="49"/>
    <w:semiHidden/>
    <w:rsid w:val="00E43744"/>
    <w:rPr>
      <w:rFonts w:ascii="Courier New" w:hAnsi="Courier New"/>
      <w:sz w:val="20"/>
      <w:szCs w:val="20"/>
    </w:rPr>
  </w:style>
  <w:style w:type="paragraph" w:styleId="HTMLPreformatted">
    <w:name w:val="HTML Preformatted"/>
    <w:basedOn w:val="Normal"/>
    <w:uiPriority w:val="49"/>
    <w:semiHidden/>
    <w:rsid w:val="00E43744"/>
    <w:rPr>
      <w:rFonts w:ascii="Courier New" w:hAnsi="Courier New"/>
      <w:sz w:val="20"/>
    </w:rPr>
  </w:style>
  <w:style w:type="character" w:styleId="HTMLSample">
    <w:name w:val="HTML Sample"/>
    <w:uiPriority w:val="49"/>
    <w:semiHidden/>
    <w:rsid w:val="00E43744"/>
    <w:rPr>
      <w:rFonts w:ascii="Courier New" w:hAnsi="Courier New"/>
    </w:rPr>
  </w:style>
  <w:style w:type="character" w:styleId="HTMLTypewriter">
    <w:name w:val="HTML Typewriter"/>
    <w:uiPriority w:val="49"/>
    <w:semiHidden/>
    <w:rsid w:val="00E43744"/>
    <w:rPr>
      <w:rFonts w:ascii="Courier New" w:hAnsi="Courier New"/>
      <w:sz w:val="20"/>
      <w:szCs w:val="20"/>
    </w:rPr>
  </w:style>
  <w:style w:type="character" w:styleId="HTMLVariable">
    <w:name w:val="HTML Variable"/>
    <w:uiPriority w:val="49"/>
    <w:semiHidden/>
    <w:rsid w:val="00E43744"/>
    <w:rPr>
      <w:i/>
      <w:iCs/>
    </w:rPr>
  </w:style>
  <w:style w:type="character" w:styleId="LineNumber">
    <w:name w:val="line number"/>
    <w:basedOn w:val="DefaultParagraphFont"/>
    <w:uiPriority w:val="49"/>
    <w:semiHidden/>
    <w:rsid w:val="00E43744"/>
  </w:style>
  <w:style w:type="paragraph" w:styleId="List">
    <w:name w:val="List"/>
    <w:basedOn w:val="Normal"/>
    <w:uiPriority w:val="49"/>
    <w:semiHidden/>
    <w:rsid w:val="00E43744"/>
    <w:pPr>
      <w:ind w:left="283" w:hanging="283"/>
    </w:pPr>
  </w:style>
  <w:style w:type="paragraph" w:styleId="List2">
    <w:name w:val="List 2"/>
    <w:basedOn w:val="Normal"/>
    <w:uiPriority w:val="49"/>
    <w:semiHidden/>
    <w:rsid w:val="00E43744"/>
    <w:pPr>
      <w:ind w:left="566" w:hanging="283"/>
    </w:pPr>
  </w:style>
  <w:style w:type="paragraph" w:styleId="List3">
    <w:name w:val="List 3"/>
    <w:basedOn w:val="Normal"/>
    <w:uiPriority w:val="49"/>
    <w:semiHidden/>
    <w:rsid w:val="00E43744"/>
    <w:pPr>
      <w:ind w:left="849" w:hanging="283"/>
    </w:pPr>
  </w:style>
  <w:style w:type="paragraph" w:styleId="List4">
    <w:name w:val="List 4"/>
    <w:basedOn w:val="Normal"/>
    <w:uiPriority w:val="49"/>
    <w:semiHidden/>
    <w:rsid w:val="00E43744"/>
    <w:pPr>
      <w:ind w:left="1132" w:hanging="283"/>
    </w:pPr>
  </w:style>
  <w:style w:type="paragraph" w:styleId="List5">
    <w:name w:val="List 5"/>
    <w:basedOn w:val="Normal"/>
    <w:uiPriority w:val="49"/>
    <w:semiHidden/>
    <w:rsid w:val="00E43744"/>
    <w:pPr>
      <w:ind w:left="1415" w:hanging="283"/>
    </w:pPr>
  </w:style>
  <w:style w:type="paragraph" w:styleId="ListNumber4">
    <w:name w:val="List Number 4"/>
    <w:aliases w:val="List No. 4"/>
    <w:uiPriority w:val="28"/>
    <w:qFormat/>
    <w:rsid w:val="006C172D"/>
    <w:pPr>
      <w:numPr>
        <w:numId w:val="12"/>
      </w:numPr>
      <w:spacing w:after="180" w:line="260" w:lineRule="atLeast"/>
    </w:pPr>
    <w:rPr>
      <w:rFonts w:ascii="Arial" w:hAnsi="Arial"/>
      <w:sz w:val="18"/>
      <w:lang w:eastAsia="ja-JP"/>
    </w:rPr>
  </w:style>
  <w:style w:type="paragraph" w:styleId="ListNumber5">
    <w:name w:val="List Number 5"/>
    <w:aliases w:val="List No. 5"/>
    <w:uiPriority w:val="29"/>
    <w:qFormat/>
    <w:rsid w:val="006C172D"/>
    <w:pPr>
      <w:numPr>
        <w:numId w:val="13"/>
      </w:numPr>
      <w:spacing w:after="180" w:line="260" w:lineRule="atLeast"/>
    </w:pPr>
    <w:rPr>
      <w:rFonts w:ascii="Arial" w:hAnsi="Arial"/>
      <w:sz w:val="18"/>
      <w:lang w:eastAsia="ja-JP"/>
    </w:rPr>
  </w:style>
  <w:style w:type="paragraph" w:styleId="MessageHeader">
    <w:name w:val="Message Header"/>
    <w:basedOn w:val="Normal"/>
    <w:uiPriority w:val="49"/>
    <w:semiHidden/>
    <w:rsid w:val="00E4374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E43744"/>
    <w:rPr>
      <w:rFonts w:ascii="Times New Roman" w:hAnsi="Times New Roman"/>
      <w:sz w:val="24"/>
      <w:szCs w:val="24"/>
    </w:rPr>
  </w:style>
  <w:style w:type="paragraph" w:styleId="NormalIndent">
    <w:name w:val="Normal Indent"/>
    <w:basedOn w:val="Normal"/>
    <w:uiPriority w:val="49"/>
    <w:semiHidden/>
    <w:rsid w:val="00E43744"/>
    <w:pPr>
      <w:ind w:left="851"/>
    </w:pPr>
  </w:style>
  <w:style w:type="paragraph" w:styleId="PlainText">
    <w:name w:val="Plain Text"/>
    <w:basedOn w:val="Normal"/>
    <w:uiPriority w:val="49"/>
    <w:semiHidden/>
    <w:rsid w:val="00E43744"/>
    <w:rPr>
      <w:rFonts w:ascii="Courier New" w:hAnsi="Courier New"/>
      <w:sz w:val="20"/>
    </w:rPr>
  </w:style>
  <w:style w:type="paragraph" w:styleId="Salutation">
    <w:name w:val="Salutation"/>
    <w:basedOn w:val="Normal"/>
    <w:next w:val="Normal"/>
    <w:uiPriority w:val="49"/>
    <w:semiHidden/>
    <w:rsid w:val="00E43744"/>
  </w:style>
  <w:style w:type="paragraph" w:styleId="Signature">
    <w:name w:val="Signature"/>
    <w:basedOn w:val="Normal"/>
    <w:uiPriority w:val="49"/>
    <w:semiHidden/>
    <w:rsid w:val="00E43744"/>
    <w:pPr>
      <w:ind w:left="4252"/>
    </w:pPr>
  </w:style>
  <w:style w:type="character" w:styleId="Strong">
    <w:name w:val="Strong"/>
    <w:uiPriority w:val="49"/>
    <w:rsid w:val="001E0292"/>
    <w:rPr>
      <w:b/>
      <w:bCs/>
    </w:rPr>
  </w:style>
  <w:style w:type="paragraph" w:styleId="Subtitle">
    <w:name w:val="Subtitle"/>
    <w:basedOn w:val="Normal"/>
    <w:uiPriority w:val="49"/>
    <w:rsid w:val="001E0292"/>
    <w:pPr>
      <w:jc w:val="center"/>
      <w:outlineLvl w:val="1"/>
    </w:pPr>
    <w:rPr>
      <w:sz w:val="24"/>
      <w:szCs w:val="24"/>
    </w:rPr>
  </w:style>
  <w:style w:type="table" w:styleId="Table3Deffects1">
    <w:name w:val="Table 3D effects 1"/>
    <w:basedOn w:val="TableNormal"/>
    <w:semiHidden/>
    <w:rsid w:val="00E43744"/>
    <w:pPr>
      <w:spacing w:before="60" w:after="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43744"/>
    <w:pPr>
      <w:spacing w:before="60" w:after="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43744"/>
    <w:pPr>
      <w:spacing w:before="60" w:after="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43744"/>
    <w:pPr>
      <w:spacing w:before="60"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43744"/>
    <w:pPr>
      <w:spacing w:before="60" w:after="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43744"/>
    <w:pPr>
      <w:spacing w:before="60" w:after="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43744"/>
    <w:pPr>
      <w:spacing w:before="60" w:after="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43744"/>
    <w:pPr>
      <w:spacing w:before="60" w:after="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43744"/>
    <w:pPr>
      <w:spacing w:before="60" w:after="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43744"/>
    <w:pPr>
      <w:spacing w:before="60" w:after="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43744"/>
    <w:pPr>
      <w:spacing w:before="60" w:after="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43744"/>
    <w:pPr>
      <w:spacing w:before="60" w:after="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43744"/>
    <w:pPr>
      <w:spacing w:before="60" w:after="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43744"/>
    <w:pPr>
      <w:spacing w:before="60" w:after="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43744"/>
    <w:pPr>
      <w:spacing w:before="60" w:after="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43744"/>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43744"/>
    <w:pPr>
      <w:spacing w:before="6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43744"/>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43744"/>
    <w:pPr>
      <w:spacing w:before="60" w:after="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43744"/>
    <w:pPr>
      <w:spacing w:before="60" w:after="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43744"/>
    <w:pPr>
      <w:spacing w:before="60" w:after="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43744"/>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43744"/>
    <w:pPr>
      <w:spacing w:before="60" w:after="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43744"/>
    <w:pPr>
      <w:spacing w:before="60" w:after="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43744"/>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43744"/>
    <w:pPr>
      <w:spacing w:before="60" w:after="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43744"/>
    <w:pPr>
      <w:spacing w:before="60" w:after="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43744"/>
    <w:pPr>
      <w:spacing w:before="60" w:after="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43744"/>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43744"/>
    <w:pPr>
      <w:spacing w:before="60" w:after="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43744"/>
    <w:pPr>
      <w:spacing w:before="60" w:after="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43744"/>
    <w:pPr>
      <w:spacing w:before="60" w:after="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43744"/>
    <w:pPr>
      <w:spacing w:before="60" w:after="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43744"/>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43744"/>
    <w:pPr>
      <w:spacing w:before="60" w:after="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43744"/>
    <w:pPr>
      <w:spacing w:before="60" w:after="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43744"/>
    <w:pPr>
      <w:spacing w:before="60" w:after="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43744"/>
    <w:pPr>
      <w:spacing w:before="60" w:after="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43744"/>
    <w:pPr>
      <w:spacing w:before="60" w:after="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43744"/>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43744"/>
    <w:pPr>
      <w:spacing w:before="60" w:after="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43744"/>
    <w:pPr>
      <w:spacing w:before="60" w:after="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43744"/>
    <w:pPr>
      <w:spacing w:before="60" w:after="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3">
    <w:name w:val="List Number 3"/>
    <w:aliases w:val="List No. 3"/>
    <w:uiPriority w:val="27"/>
    <w:qFormat/>
    <w:rsid w:val="006C172D"/>
    <w:pPr>
      <w:numPr>
        <w:numId w:val="11"/>
      </w:numPr>
      <w:spacing w:after="180" w:line="260" w:lineRule="atLeast"/>
    </w:pPr>
    <w:rPr>
      <w:rFonts w:ascii="Arial" w:hAnsi="Arial"/>
      <w:sz w:val="18"/>
      <w:lang w:eastAsia="ja-JP"/>
    </w:rPr>
  </w:style>
  <w:style w:type="paragraph" w:customStyle="1" w:styleId="QManualNo">
    <w:name w:val="Q Manual No"/>
    <w:next w:val="BodyText"/>
    <w:uiPriority w:val="1"/>
    <w:qFormat/>
    <w:rsid w:val="006C172D"/>
    <w:pPr>
      <w:tabs>
        <w:tab w:val="left" w:pos="851"/>
      </w:tabs>
      <w:spacing w:before="130" w:after="180" w:line="260" w:lineRule="atLeast"/>
      <w:ind w:left="851" w:hanging="851"/>
    </w:pPr>
    <w:rPr>
      <w:rFonts w:ascii="Arial" w:hAnsi="Arial"/>
      <w:b/>
      <w:sz w:val="19"/>
      <w:lang w:val="fr-FR" w:eastAsia="ja-JP"/>
    </w:rPr>
  </w:style>
  <w:style w:type="paragraph" w:customStyle="1" w:styleId="QBullet3">
    <w:name w:val="Q Bullet 3"/>
    <w:uiPriority w:val="23"/>
    <w:qFormat/>
    <w:rsid w:val="006C172D"/>
    <w:pPr>
      <w:numPr>
        <w:numId w:val="22"/>
      </w:numPr>
      <w:spacing w:after="180" w:line="260" w:lineRule="atLeast"/>
    </w:pPr>
    <w:rPr>
      <w:rFonts w:ascii="Arial" w:hAnsi="Arial"/>
      <w:sz w:val="19"/>
      <w:lang w:val="fr-FR" w:eastAsia="ja-JP"/>
    </w:rPr>
  </w:style>
  <w:style w:type="paragraph" w:customStyle="1" w:styleId="BiographyPhoto">
    <w:name w:val="Biography_Photo"/>
    <w:uiPriority w:val="49"/>
    <w:rsid w:val="00E43744"/>
    <w:pPr>
      <w:keepLines/>
      <w:spacing w:before="150"/>
    </w:pPr>
    <w:rPr>
      <w:rFonts w:ascii="Arial" w:hAnsi="Arial"/>
      <w:color w:val="045411"/>
      <w:sz w:val="18"/>
      <w:lang w:eastAsia="ja-JP"/>
    </w:rPr>
  </w:style>
  <w:style w:type="paragraph" w:customStyle="1" w:styleId="TableHeadingCentreGreen">
    <w:name w:val="Table Heading Centre_Green"/>
    <w:basedOn w:val="TableHeadingGreen"/>
    <w:uiPriority w:val="49"/>
    <w:rsid w:val="00C87B7F"/>
    <w:pPr>
      <w:jc w:val="center"/>
    </w:pPr>
  </w:style>
  <w:style w:type="paragraph" w:customStyle="1" w:styleId="THWhite">
    <w:name w:val="TH White"/>
    <w:uiPriority w:val="48"/>
    <w:qFormat/>
    <w:rsid w:val="006C172D"/>
    <w:pPr>
      <w:spacing w:before="60" w:after="60"/>
    </w:pPr>
    <w:rPr>
      <w:rFonts w:ascii="Arial" w:hAnsi="Arial"/>
      <w:color w:val="FFFFFF"/>
      <w:sz w:val="19"/>
      <w:lang w:val="sv-SE" w:eastAsia="ja-JP"/>
    </w:rPr>
  </w:style>
  <w:style w:type="paragraph" w:customStyle="1" w:styleId="TableFig">
    <w:name w:val="Table Fig"/>
    <w:uiPriority w:val="43"/>
    <w:qFormat/>
    <w:rsid w:val="006C172D"/>
    <w:pPr>
      <w:spacing w:before="60" w:after="60"/>
      <w:jc w:val="center"/>
    </w:pPr>
    <w:rPr>
      <w:rFonts w:ascii="Arial" w:hAnsi="Arial"/>
      <w:sz w:val="19"/>
      <w:lang w:val="sv-SE" w:eastAsia="ja-JP"/>
    </w:rPr>
  </w:style>
  <w:style w:type="paragraph" w:customStyle="1" w:styleId="TableHeadingCentreWhite">
    <w:name w:val="Table Heading Centre_White"/>
    <w:basedOn w:val="THWhite"/>
    <w:uiPriority w:val="49"/>
    <w:rsid w:val="00C87B7F"/>
    <w:pPr>
      <w:jc w:val="center"/>
    </w:pPr>
  </w:style>
  <w:style w:type="paragraph" w:styleId="Title">
    <w:name w:val="Title"/>
    <w:basedOn w:val="Normal"/>
    <w:uiPriority w:val="49"/>
    <w:rsid w:val="001E0292"/>
    <w:pPr>
      <w:spacing w:before="240"/>
      <w:jc w:val="center"/>
      <w:outlineLvl w:val="0"/>
    </w:pPr>
    <w:rPr>
      <w:b/>
      <w:bCs/>
      <w:kern w:val="28"/>
      <w:sz w:val="32"/>
      <w:szCs w:val="32"/>
    </w:rPr>
  </w:style>
  <w:style w:type="paragraph" w:styleId="NoteHeading">
    <w:name w:val="Note Heading"/>
    <w:basedOn w:val="Normal"/>
    <w:next w:val="Normal"/>
    <w:uiPriority w:val="49"/>
    <w:semiHidden/>
    <w:rsid w:val="00E43744"/>
  </w:style>
  <w:style w:type="paragraph" w:customStyle="1" w:styleId="TableHeading">
    <w:name w:val="Table Heading"/>
    <w:next w:val="TableText"/>
    <w:uiPriority w:val="45"/>
    <w:qFormat/>
    <w:rsid w:val="006C172D"/>
    <w:pPr>
      <w:keepNext/>
      <w:keepLines/>
      <w:spacing w:before="60" w:after="60"/>
    </w:pPr>
    <w:rPr>
      <w:rFonts w:ascii="Arial" w:hAnsi="Arial"/>
      <w:color w:val="045411"/>
      <w:sz w:val="19"/>
      <w:lang w:eastAsia="ja-JP"/>
    </w:rPr>
  </w:style>
  <w:style w:type="paragraph" w:customStyle="1" w:styleId="NotesPage">
    <w:name w:val="Notes Page"/>
    <w:uiPriority w:val="49"/>
    <w:rsid w:val="00E43744"/>
    <w:pPr>
      <w:keepNext/>
      <w:keepLines/>
      <w:pageBreakBefore/>
      <w:spacing w:after="360" w:line="480" w:lineRule="atLeast"/>
    </w:pPr>
    <w:rPr>
      <w:rFonts w:ascii="Arial" w:hAnsi="Arial" w:cs="Arial"/>
      <w:color w:val="045411"/>
      <w:kern w:val="32"/>
      <w:sz w:val="34"/>
      <w:szCs w:val="34"/>
      <w:lang w:eastAsia="ja-JP"/>
    </w:rPr>
  </w:style>
  <w:style w:type="paragraph" w:styleId="TableofAuthorities">
    <w:name w:val="table of authorities"/>
    <w:basedOn w:val="Normal"/>
    <w:next w:val="Normal"/>
    <w:uiPriority w:val="49"/>
    <w:semiHidden/>
    <w:rsid w:val="00E43744"/>
    <w:pPr>
      <w:ind w:left="180" w:hanging="180"/>
    </w:pPr>
  </w:style>
  <w:style w:type="paragraph" w:customStyle="1" w:styleId="TOC-Heading1NoNumbering">
    <w:name w:val="TOC - Heading 1_No Numbering"/>
    <w:basedOn w:val="Heading1NoNumbering"/>
    <w:uiPriority w:val="49"/>
    <w:rsid w:val="00D068DB"/>
  </w:style>
  <w:style w:type="paragraph" w:customStyle="1" w:styleId="H1">
    <w:name w:val="H1"/>
    <w:basedOn w:val="Heading1"/>
    <w:uiPriority w:val="10"/>
    <w:qFormat/>
    <w:rsid w:val="006C172D"/>
    <w:pPr>
      <w:numPr>
        <w:numId w:val="0"/>
      </w:numPr>
    </w:pPr>
  </w:style>
  <w:style w:type="paragraph" w:customStyle="1" w:styleId="BNYMellonLogo">
    <w:name w:val="BNY Mellon Logo"/>
    <w:next w:val="BodyText"/>
    <w:uiPriority w:val="49"/>
    <w:semiHidden/>
    <w:rsid w:val="00E43744"/>
    <w:pPr>
      <w:spacing w:before="3500"/>
    </w:pPr>
    <w:rPr>
      <w:rFonts w:ascii="Arial" w:hAnsi="Arial"/>
      <w:sz w:val="18"/>
      <w:lang w:eastAsia="ja-JP"/>
    </w:rPr>
  </w:style>
  <w:style w:type="paragraph" w:customStyle="1" w:styleId="H2">
    <w:name w:val="H2"/>
    <w:basedOn w:val="Heading2"/>
    <w:uiPriority w:val="12"/>
    <w:qFormat/>
    <w:rsid w:val="006C172D"/>
    <w:pPr>
      <w:numPr>
        <w:ilvl w:val="0"/>
        <w:numId w:val="0"/>
      </w:numPr>
    </w:pPr>
  </w:style>
  <w:style w:type="paragraph" w:customStyle="1" w:styleId="Heading3-NoNumber">
    <w:name w:val="Heading 3 - No Number"/>
    <w:aliases w:val="H3"/>
    <w:basedOn w:val="Heading3"/>
    <w:uiPriority w:val="13"/>
    <w:qFormat/>
    <w:rsid w:val="006C172D"/>
    <w:pPr>
      <w:numPr>
        <w:ilvl w:val="0"/>
        <w:numId w:val="0"/>
      </w:numPr>
    </w:pPr>
  </w:style>
  <w:style w:type="paragraph" w:customStyle="1" w:styleId="Heading4-NoNumbering">
    <w:name w:val="Heading 4 - No Numbering"/>
    <w:aliases w:val="H4"/>
    <w:basedOn w:val="Heading4"/>
    <w:link w:val="Heading4-NoNumberingChar"/>
    <w:uiPriority w:val="14"/>
    <w:qFormat/>
    <w:rsid w:val="006C172D"/>
    <w:pPr>
      <w:numPr>
        <w:ilvl w:val="0"/>
        <w:numId w:val="0"/>
      </w:numPr>
    </w:pPr>
  </w:style>
  <w:style w:type="character" w:customStyle="1" w:styleId="Heading4-NoNumberingChar">
    <w:name w:val="Heading 4 - No Numbering Char"/>
    <w:aliases w:val="H4 Char"/>
    <w:link w:val="Heading4-NoNumbering"/>
    <w:uiPriority w:val="14"/>
    <w:rsid w:val="00CC774E"/>
    <w:rPr>
      <w:rFonts w:ascii="Arial" w:hAnsi="Arial" w:cs="Arial"/>
      <w:color w:val="005F2D"/>
      <w:sz w:val="19"/>
      <w:szCs w:val="19"/>
      <w:lang w:eastAsia="ja-JP"/>
    </w:rPr>
  </w:style>
  <w:style w:type="character" w:customStyle="1" w:styleId="ListBullet2Char">
    <w:name w:val="List Bullet 2 Char"/>
    <w:link w:val="ListBullet2"/>
    <w:uiPriority w:val="24"/>
    <w:rsid w:val="009B5F36"/>
    <w:rPr>
      <w:rFonts w:ascii="Arial" w:hAnsi="Arial"/>
      <w:sz w:val="19"/>
      <w:lang w:eastAsia="ja-JP"/>
    </w:rPr>
  </w:style>
  <w:style w:type="character" w:customStyle="1" w:styleId="ListBullet3Char">
    <w:name w:val="List Bullet 3 Char"/>
    <w:link w:val="ListBullet3"/>
    <w:uiPriority w:val="25"/>
    <w:rsid w:val="00CC774E"/>
    <w:rPr>
      <w:rFonts w:ascii="Arial" w:hAnsi="Arial"/>
      <w:sz w:val="19"/>
      <w:lang w:eastAsia="ja-JP"/>
    </w:rPr>
  </w:style>
  <w:style w:type="paragraph" w:customStyle="1" w:styleId="Coverpagedisclaimer">
    <w:name w:val="Cover page disclaimer"/>
    <w:basedOn w:val="Heading4-NoNumbering"/>
    <w:uiPriority w:val="49"/>
    <w:rsid w:val="00D8522E"/>
    <w:pPr>
      <w:keepNext w:val="0"/>
      <w:keepLines w:val="0"/>
      <w:spacing w:after="240" w:line="240" w:lineRule="auto"/>
      <w:ind w:left="-51" w:right="-51"/>
    </w:pPr>
    <w:rPr>
      <w:sz w:val="16"/>
      <w:szCs w:val="18"/>
    </w:rPr>
  </w:style>
  <w:style w:type="paragraph" w:customStyle="1" w:styleId="PageHeading">
    <w:name w:val="Page Heading"/>
    <w:basedOn w:val="Normal"/>
    <w:uiPriority w:val="22"/>
    <w:qFormat/>
    <w:rsid w:val="003E369C"/>
    <w:pPr>
      <w:pageBreakBefore/>
      <w:spacing w:before="0" w:after="360" w:line="480" w:lineRule="atLeast"/>
    </w:pPr>
    <w:rPr>
      <w:color w:val="045411"/>
      <w:sz w:val="34"/>
    </w:rPr>
  </w:style>
  <w:style w:type="paragraph" w:styleId="FootnoteText">
    <w:name w:val="footnote text"/>
    <w:basedOn w:val="Normal"/>
    <w:link w:val="FootnoteTextChar"/>
    <w:uiPriority w:val="99"/>
    <w:rsid w:val="00F021BA"/>
    <w:rPr>
      <w:sz w:val="20"/>
    </w:rPr>
  </w:style>
  <w:style w:type="character" w:customStyle="1" w:styleId="FootnoteTextChar">
    <w:name w:val="Footnote Text Char"/>
    <w:link w:val="FootnoteText"/>
    <w:uiPriority w:val="99"/>
    <w:rsid w:val="00F021BA"/>
    <w:rPr>
      <w:rFonts w:ascii="Arial" w:hAnsi="Arial"/>
      <w:lang w:eastAsia="ja-JP"/>
    </w:rPr>
  </w:style>
  <w:style w:type="character" w:styleId="FootnoteReference">
    <w:name w:val="footnote reference"/>
    <w:uiPriority w:val="99"/>
    <w:rsid w:val="00F021BA"/>
    <w:rPr>
      <w:vertAlign w:val="superscript"/>
    </w:rPr>
  </w:style>
  <w:style w:type="character" w:customStyle="1" w:styleId="BodyTextChar">
    <w:name w:val="Body Text Char"/>
    <w:link w:val="BodyText"/>
    <w:uiPriority w:val="6"/>
    <w:rsid w:val="00C3089C"/>
    <w:rPr>
      <w:rFonts w:ascii="Arial" w:hAnsi="Arial"/>
      <w:sz w:val="19"/>
      <w:lang w:eastAsia="ja-JP"/>
    </w:rPr>
  </w:style>
  <w:style w:type="paragraph" w:styleId="BalloonText">
    <w:name w:val="Balloon Text"/>
    <w:basedOn w:val="Normal"/>
    <w:link w:val="BalloonTextChar"/>
    <w:uiPriority w:val="49"/>
    <w:rsid w:val="00657F0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49"/>
    <w:rsid w:val="00657F0A"/>
    <w:rPr>
      <w:rFonts w:ascii="Tahoma" w:hAnsi="Tahoma" w:cs="Tahoma"/>
      <w:sz w:val="16"/>
      <w:szCs w:val="16"/>
      <w:lang w:eastAsia="ja-JP"/>
    </w:rPr>
  </w:style>
  <w:style w:type="paragraph" w:customStyle="1" w:styleId="Coverdisclaimer">
    <w:name w:val="Cover disclaimer"/>
    <w:basedOn w:val="Normal"/>
    <w:link w:val="CoverdisclaimerChar"/>
    <w:rsid w:val="00D3585C"/>
    <w:pPr>
      <w:framePr w:w="9072" w:hSpace="181" w:wrap="around" w:vAnchor="page" w:hAnchor="page" w:x="1878" w:y="517" w:anchorLock="1"/>
      <w:spacing w:before="0" w:after="0"/>
      <w:jc w:val="right"/>
    </w:pPr>
    <w:rPr>
      <w:rFonts w:cs="Arial"/>
      <w:color w:val="045411"/>
      <w:sz w:val="16"/>
      <w:szCs w:val="18"/>
    </w:rPr>
  </w:style>
  <w:style w:type="character" w:customStyle="1" w:styleId="CoverdisclaimerChar">
    <w:name w:val="Cover disclaimer Char"/>
    <w:link w:val="Coverdisclaimer"/>
    <w:rsid w:val="00D3585C"/>
    <w:rPr>
      <w:rFonts w:ascii="Arial" w:hAnsi="Arial" w:cs="Arial"/>
      <w:color w:val="045411"/>
      <w:sz w:val="16"/>
      <w:szCs w:val="18"/>
      <w:lang w:eastAsia="ja-JP"/>
    </w:rPr>
  </w:style>
  <w:style w:type="paragraph" w:styleId="CommentText">
    <w:name w:val="annotation text"/>
    <w:basedOn w:val="Normal"/>
    <w:link w:val="CommentTextChar"/>
    <w:uiPriority w:val="99"/>
    <w:rsid w:val="006276D7"/>
    <w:pPr>
      <w:spacing w:before="0" w:after="130" w:line="260" w:lineRule="atLeast"/>
    </w:pPr>
    <w:rPr>
      <w:rFonts w:eastAsia="Times New Roman"/>
      <w:sz w:val="20"/>
      <w:lang w:eastAsia="en-US"/>
    </w:rPr>
  </w:style>
  <w:style w:type="character" w:customStyle="1" w:styleId="CommentTextChar">
    <w:name w:val="Comment Text Char"/>
    <w:basedOn w:val="DefaultParagraphFont"/>
    <w:link w:val="CommentText"/>
    <w:uiPriority w:val="99"/>
    <w:rsid w:val="006276D7"/>
    <w:rPr>
      <w:rFonts w:ascii="Arial" w:eastAsia="Times New Roman" w:hAnsi="Arial"/>
      <w:lang w:eastAsia="en-US"/>
    </w:rPr>
  </w:style>
  <w:style w:type="paragraph" w:styleId="ListParagraph">
    <w:name w:val="List Paragraph"/>
    <w:basedOn w:val="Normal"/>
    <w:uiPriority w:val="99"/>
    <w:qFormat/>
    <w:rsid w:val="006276D7"/>
    <w:pPr>
      <w:spacing w:before="0" w:after="130" w:line="260" w:lineRule="atLeast"/>
      <w:ind w:left="720"/>
      <w:contextualSpacing/>
    </w:pPr>
    <w:rPr>
      <w:rFonts w:eastAsia="Times New Roman"/>
      <w:sz w:val="20"/>
      <w:lang w:eastAsia="en-US"/>
    </w:rPr>
  </w:style>
  <w:style w:type="paragraph" w:customStyle="1" w:styleId="Default">
    <w:name w:val="Default"/>
    <w:rsid w:val="006276D7"/>
    <w:pPr>
      <w:autoSpaceDE w:val="0"/>
      <w:autoSpaceDN w:val="0"/>
      <w:adjustRightInd w:val="0"/>
    </w:pPr>
    <w:rPr>
      <w:rFonts w:ascii="Calibri" w:eastAsiaTheme="minorHAnsi" w:hAnsi="Calibri" w:cs="Calibri"/>
      <w:color w:val="000000"/>
      <w:sz w:val="24"/>
      <w:szCs w:val="24"/>
      <w:lang w:eastAsia="en-US"/>
    </w:rPr>
  </w:style>
  <w:style w:type="character" w:styleId="CommentReference">
    <w:name w:val="annotation reference"/>
    <w:basedOn w:val="DefaultParagraphFont"/>
    <w:uiPriority w:val="99"/>
    <w:unhideWhenUsed/>
    <w:rsid w:val="006276D7"/>
    <w:rPr>
      <w:sz w:val="16"/>
      <w:szCs w:val="16"/>
    </w:rPr>
  </w:style>
  <w:style w:type="paragraph" w:styleId="CommentSubject">
    <w:name w:val="annotation subject"/>
    <w:basedOn w:val="CommentText"/>
    <w:next w:val="CommentText"/>
    <w:link w:val="CommentSubjectChar"/>
    <w:uiPriority w:val="49"/>
    <w:rsid w:val="006276D7"/>
    <w:pPr>
      <w:spacing w:before="60" w:after="60" w:line="240" w:lineRule="auto"/>
    </w:pPr>
    <w:rPr>
      <w:rFonts w:eastAsia="MS Mincho"/>
      <w:b/>
      <w:bCs/>
      <w:lang w:eastAsia="ja-JP"/>
    </w:rPr>
  </w:style>
  <w:style w:type="character" w:customStyle="1" w:styleId="CommentSubjectChar">
    <w:name w:val="Comment Subject Char"/>
    <w:basedOn w:val="CommentTextChar"/>
    <w:link w:val="CommentSubject"/>
    <w:uiPriority w:val="49"/>
    <w:rsid w:val="006276D7"/>
    <w:rPr>
      <w:rFonts w:ascii="Arial" w:eastAsia="Times New Roman" w:hAnsi="Arial"/>
      <w:b/>
      <w:bCs/>
      <w:lang w:eastAsia="ja-JP"/>
    </w:rPr>
  </w:style>
  <w:style w:type="paragraph" w:styleId="Revision">
    <w:name w:val="Revision"/>
    <w:hidden/>
    <w:uiPriority w:val="99"/>
    <w:semiHidden/>
    <w:rsid w:val="006E1F40"/>
    <w:rPr>
      <w:rFonts w:ascii="Arial" w:hAnsi="Arial"/>
      <w:sz w:val="19"/>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heading 1" w:uiPriority="11" w:qFormat="1"/>
    <w:lsdException w:name="heading 2" w:uiPriority="11" w:qFormat="1"/>
    <w:lsdException w:name="heading 3" w:uiPriority="11" w:qFormat="1"/>
    <w:lsdException w:name="heading 4" w:uiPriority="11" w:qFormat="1"/>
    <w:lsdException w:name="index 1" w:uiPriority="49"/>
    <w:lsdException w:name="index 2" w:uiPriority="49"/>
    <w:lsdException w:name="index 3" w:uiPriority="49"/>
    <w:lsdException w:name="index 4" w:uiPriority="49"/>
    <w:lsdException w:name="index 5" w:uiPriority="49"/>
    <w:lsdException w:name="index 6" w:uiPriority="49"/>
    <w:lsdException w:name="index 7" w:uiPriority="49"/>
    <w:lsdException w:name="index 8" w:uiPriority="49"/>
    <w:lsdException w:name="index 9" w:uiPriority="49"/>
    <w:lsdException w:name="toc 1" w:uiPriority="39"/>
    <w:lsdException w:name="toc 4" w:uiPriority="49"/>
    <w:lsdException w:name="toc 5" w:uiPriority="49"/>
    <w:lsdException w:name="toc 6" w:uiPriority="49"/>
    <w:lsdException w:name="toc 7" w:uiPriority="49"/>
    <w:lsdException w:name="toc 8" w:uiPriority="49"/>
    <w:lsdException w:name="toc 9" w:uiPriority="49"/>
    <w:lsdException w:name="footnote text" w:uiPriority="99"/>
    <w:lsdException w:name="annotation text" w:uiPriority="99"/>
    <w:lsdException w:name="header" w:uiPriority="49"/>
    <w:lsdException w:name="index heading" w:uiPriority="49"/>
    <w:lsdException w:name="caption" w:semiHidden="1" w:uiPriority="49" w:unhideWhenUsed="1" w:qFormat="1"/>
    <w:lsdException w:name="table of figures" w:uiPriority="49"/>
    <w:lsdException w:name="footnote reference" w:uiPriority="99"/>
    <w:lsdException w:name="annotation reference" w:uiPriority="99"/>
    <w:lsdException w:name="endnote reference" w:uiPriority="49"/>
    <w:lsdException w:name="endnote text" w:uiPriority="49"/>
    <w:lsdException w:name="macro" w:uiPriority="49"/>
    <w:lsdException w:name="toa heading" w:uiPriority="49"/>
    <w:lsdException w:name="List Bullet" w:uiPriority="7" w:qFormat="1"/>
    <w:lsdException w:name="List Number" w:uiPriority="8" w:qFormat="1"/>
    <w:lsdException w:name="List Bullet 2" w:uiPriority="8" w:qFormat="1"/>
    <w:lsdException w:name="List Bullet 3" w:uiPriority="8" w:qFormat="1"/>
    <w:lsdException w:name="List Number 2" w:uiPriority="8" w:qFormat="1"/>
    <w:lsdException w:name="List Number 3" w:uiPriority="8" w:qFormat="1"/>
    <w:lsdException w:name="List Number 4" w:uiPriority="8" w:qFormat="1"/>
    <w:lsdException w:name="List Number 5" w:uiPriority="8" w:qFormat="1"/>
    <w:lsdException w:name="Body Text" w:uiPriority="6" w:qFormat="1"/>
    <w:lsdException w:name="List Continue" w:uiPriority="9" w:qFormat="1"/>
    <w:lsdException w:name="List Continue 2" w:uiPriority="9" w:qFormat="1"/>
    <w:lsdException w:name="List Continue 3" w:uiPriority="9" w:qFormat="1"/>
    <w:lsdException w:name="List Continue 4" w:uiPriority="9" w:qFormat="1"/>
    <w:lsdException w:name="List Continue 5" w:uiPriority="9" w:qFormat="1"/>
    <w:lsdException w:name="Hyperlink" w:uiPriority="99"/>
    <w:lsdException w:name="Document Map" w:uiPriority="49"/>
    <w:lsdException w:name="annotation subject" w:uiPriority="49"/>
    <w:lsdException w:name="Balloon Text" w:uiPriority="49"/>
    <w:lsdException w:name="Placeholder Text" w:semiHidden="1" w:uiPriority="99"/>
    <w:lsdException w:name="No Spacing"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49"/>
    <w:lsdException w:name="Intense Quote" w:uiPriority="4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49"/>
    <w:lsdException w:name="Intense Reference" w:uiPriority="49"/>
    <w:lsdException w:name="Book Title" w:uiPriority="49"/>
    <w:lsdException w:name="Bibliography" w:semiHidden="1" w:uiPriority="49" w:unhideWhenUsed="1"/>
    <w:lsdException w:name="TOC Heading" w:semiHidden="1" w:uiPriority="49" w:unhideWhenUsed="1" w:qFormat="1"/>
  </w:latentStyles>
  <w:style w:type="paragraph" w:default="1" w:styleId="Normal">
    <w:name w:val="Normal"/>
    <w:uiPriority w:val="49"/>
    <w:rsid w:val="00F021BA"/>
    <w:pPr>
      <w:spacing w:before="60" w:after="60"/>
    </w:pPr>
    <w:rPr>
      <w:rFonts w:ascii="Arial" w:hAnsi="Arial"/>
      <w:sz w:val="19"/>
      <w:lang w:eastAsia="ja-JP"/>
    </w:rPr>
  </w:style>
  <w:style w:type="paragraph" w:styleId="Heading1">
    <w:name w:val="heading 1"/>
    <w:aliases w:val="#H1"/>
    <w:next w:val="BodyText"/>
    <w:uiPriority w:val="11"/>
    <w:qFormat/>
    <w:rsid w:val="006C172D"/>
    <w:pPr>
      <w:keepNext/>
      <w:keepLines/>
      <w:pageBreakBefore/>
      <w:numPr>
        <w:numId w:val="14"/>
      </w:numPr>
      <w:spacing w:after="360" w:line="480" w:lineRule="atLeast"/>
      <w:outlineLvl w:val="0"/>
    </w:pPr>
    <w:rPr>
      <w:rFonts w:ascii="Arial" w:hAnsi="Arial" w:cs="Arial"/>
      <w:color w:val="045411"/>
      <w:kern w:val="32"/>
      <w:sz w:val="34"/>
      <w:szCs w:val="34"/>
      <w:lang w:eastAsia="ja-JP"/>
    </w:rPr>
  </w:style>
  <w:style w:type="paragraph" w:styleId="Heading2">
    <w:name w:val="heading 2"/>
    <w:aliases w:val="#H2"/>
    <w:next w:val="BodyText"/>
    <w:uiPriority w:val="19"/>
    <w:qFormat/>
    <w:rsid w:val="006C172D"/>
    <w:pPr>
      <w:keepNext/>
      <w:keepLines/>
      <w:numPr>
        <w:ilvl w:val="1"/>
        <w:numId w:val="14"/>
      </w:numPr>
      <w:spacing w:before="240" w:after="160" w:line="400" w:lineRule="atLeast"/>
      <w:outlineLvl w:val="1"/>
    </w:pPr>
    <w:rPr>
      <w:rFonts w:ascii="Arial" w:hAnsi="Arial" w:cs="Arial"/>
      <w:bCs/>
      <w:iCs/>
      <w:color w:val="005F2D"/>
      <w:sz w:val="30"/>
      <w:szCs w:val="28"/>
      <w:lang w:eastAsia="ja-JP"/>
    </w:rPr>
  </w:style>
  <w:style w:type="paragraph" w:styleId="Heading3">
    <w:name w:val="heading 3"/>
    <w:aliases w:val="#H3"/>
    <w:next w:val="BodyText"/>
    <w:uiPriority w:val="20"/>
    <w:qFormat/>
    <w:rsid w:val="006C172D"/>
    <w:pPr>
      <w:keepNext/>
      <w:keepLines/>
      <w:numPr>
        <w:ilvl w:val="2"/>
        <w:numId w:val="14"/>
      </w:numPr>
      <w:spacing w:before="240" w:after="150" w:line="300" w:lineRule="atLeast"/>
      <w:outlineLvl w:val="2"/>
    </w:pPr>
    <w:rPr>
      <w:rFonts w:ascii="Arial" w:hAnsi="Arial" w:cs="Arial"/>
      <w:color w:val="005F2D"/>
      <w:sz w:val="26"/>
      <w:szCs w:val="26"/>
      <w:lang w:eastAsia="ja-JP"/>
    </w:rPr>
  </w:style>
  <w:style w:type="paragraph" w:styleId="Heading4">
    <w:name w:val="heading 4"/>
    <w:aliases w:val="#H4"/>
    <w:next w:val="BodyText"/>
    <w:uiPriority w:val="21"/>
    <w:qFormat/>
    <w:rsid w:val="006C172D"/>
    <w:pPr>
      <w:keepNext/>
      <w:keepLines/>
      <w:numPr>
        <w:ilvl w:val="3"/>
        <w:numId w:val="14"/>
      </w:numPr>
      <w:spacing w:before="240" w:after="60" w:line="260" w:lineRule="atLeast"/>
      <w:outlineLvl w:val="3"/>
    </w:pPr>
    <w:rPr>
      <w:rFonts w:ascii="Arial" w:hAnsi="Arial" w:cs="Arial"/>
      <w:color w:val="005F2D"/>
      <w:sz w:val="19"/>
      <w:szCs w:val="19"/>
      <w:lang w:eastAsia="ja-JP"/>
    </w:rPr>
  </w:style>
  <w:style w:type="paragraph" w:styleId="Heading5">
    <w:name w:val="heading 5"/>
    <w:next w:val="Normal"/>
    <w:uiPriority w:val="49"/>
    <w:rsid w:val="001E0292"/>
    <w:pPr>
      <w:keepNext/>
      <w:keepLines/>
      <w:numPr>
        <w:ilvl w:val="4"/>
        <w:numId w:val="14"/>
      </w:numPr>
      <w:spacing w:before="240" w:after="60" w:line="260" w:lineRule="atLeast"/>
      <w:outlineLvl w:val="4"/>
    </w:pPr>
    <w:rPr>
      <w:rFonts w:ascii="Arial" w:hAnsi="Arial" w:cs="Arial"/>
      <w:i/>
      <w:iCs/>
      <w:color w:val="005F2D"/>
      <w:sz w:val="19"/>
      <w:szCs w:val="19"/>
      <w:lang w:eastAsia="ja-JP"/>
    </w:rPr>
  </w:style>
  <w:style w:type="paragraph" w:styleId="Heading6">
    <w:name w:val="heading 6"/>
    <w:next w:val="BodyText"/>
    <w:uiPriority w:val="49"/>
    <w:rsid w:val="001E0292"/>
    <w:pPr>
      <w:keepNext/>
      <w:keepLines/>
      <w:spacing w:before="240" w:after="60" w:line="260" w:lineRule="atLeast"/>
      <w:outlineLvl w:val="5"/>
    </w:pPr>
    <w:rPr>
      <w:rFonts w:ascii="Arial" w:hAnsi="Arial" w:cs="Arial"/>
      <w:b/>
      <w:bCs/>
      <w:sz w:val="19"/>
      <w:szCs w:val="19"/>
      <w:lang w:eastAsia="ja-JP"/>
    </w:rPr>
  </w:style>
  <w:style w:type="paragraph" w:styleId="Heading7">
    <w:name w:val="heading 7"/>
    <w:next w:val="Normal"/>
    <w:uiPriority w:val="49"/>
    <w:rsid w:val="001E0292"/>
    <w:pPr>
      <w:keepNext/>
      <w:keepLines/>
      <w:spacing w:before="240" w:after="60" w:line="260" w:lineRule="atLeast"/>
      <w:outlineLvl w:val="6"/>
    </w:pPr>
    <w:rPr>
      <w:rFonts w:ascii="Arial" w:hAnsi="Arial"/>
      <w:b/>
      <w:bCs/>
      <w:i/>
      <w:iCs/>
      <w:sz w:val="19"/>
      <w:szCs w:val="19"/>
      <w:lang w:eastAsia="ja-JP"/>
    </w:rPr>
  </w:style>
  <w:style w:type="paragraph" w:styleId="Heading8">
    <w:name w:val="heading 8"/>
    <w:next w:val="Normal"/>
    <w:uiPriority w:val="49"/>
    <w:rsid w:val="001E0292"/>
    <w:pPr>
      <w:keepNext/>
      <w:keepLines/>
      <w:spacing w:before="240" w:after="60" w:line="260" w:lineRule="atLeast"/>
      <w:outlineLvl w:val="7"/>
    </w:pPr>
    <w:rPr>
      <w:rFonts w:ascii="Arial" w:hAnsi="Arial" w:cs="Arial"/>
      <w:i/>
      <w:iCs/>
      <w:sz w:val="19"/>
      <w:szCs w:val="19"/>
      <w:lang w:eastAsia="ja-JP"/>
    </w:rPr>
  </w:style>
  <w:style w:type="paragraph" w:styleId="Heading9">
    <w:name w:val="heading 9"/>
    <w:basedOn w:val="Heading4NoNumbering"/>
    <w:next w:val="Normal"/>
    <w:uiPriority w:val="49"/>
    <w:rsid w:val="001E0292"/>
    <w:p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link w:val="ListBullet2Char"/>
    <w:uiPriority w:val="24"/>
    <w:qFormat/>
    <w:rsid w:val="006C172D"/>
    <w:pPr>
      <w:numPr>
        <w:numId w:val="4"/>
      </w:numPr>
      <w:spacing w:after="180" w:line="260" w:lineRule="atLeast"/>
    </w:pPr>
    <w:rPr>
      <w:rFonts w:ascii="Arial" w:hAnsi="Arial"/>
      <w:sz w:val="19"/>
      <w:lang w:eastAsia="ja-JP"/>
    </w:rPr>
  </w:style>
  <w:style w:type="paragraph" w:customStyle="1" w:styleId="ContactsTableHeading">
    <w:name w:val="Contacts Table Heading"/>
    <w:uiPriority w:val="35"/>
    <w:qFormat/>
    <w:rsid w:val="006C172D"/>
    <w:pPr>
      <w:keepNext/>
      <w:keepLines/>
      <w:spacing w:after="180" w:line="260" w:lineRule="atLeast"/>
    </w:pPr>
    <w:rPr>
      <w:rFonts w:ascii="Arial" w:hAnsi="Arial"/>
      <w:color w:val="045411"/>
      <w:sz w:val="19"/>
      <w:lang w:eastAsia="ja-JP"/>
    </w:rPr>
  </w:style>
  <w:style w:type="paragraph" w:styleId="ListBullet">
    <w:name w:val="List Bullet"/>
    <w:uiPriority w:val="7"/>
    <w:qFormat/>
    <w:rsid w:val="006C172D"/>
    <w:pPr>
      <w:numPr>
        <w:numId w:val="8"/>
      </w:numPr>
      <w:tabs>
        <w:tab w:val="left" w:pos="284"/>
      </w:tabs>
      <w:spacing w:after="180" w:line="260" w:lineRule="atLeast"/>
    </w:pPr>
    <w:rPr>
      <w:rFonts w:ascii="Arial" w:hAnsi="Arial"/>
      <w:sz w:val="19"/>
      <w:lang w:eastAsia="ja-JP"/>
    </w:rPr>
  </w:style>
  <w:style w:type="paragraph" w:styleId="ListBullet3">
    <w:name w:val="List Bullet 3"/>
    <w:link w:val="ListBullet3Char"/>
    <w:uiPriority w:val="25"/>
    <w:qFormat/>
    <w:rsid w:val="006C172D"/>
    <w:pPr>
      <w:numPr>
        <w:numId w:val="5"/>
      </w:numPr>
      <w:spacing w:after="180" w:line="260" w:lineRule="atLeast"/>
    </w:pPr>
    <w:rPr>
      <w:rFonts w:ascii="Arial" w:hAnsi="Arial"/>
      <w:sz w:val="19"/>
      <w:lang w:eastAsia="ja-JP"/>
    </w:rPr>
  </w:style>
  <w:style w:type="paragraph" w:styleId="ListBullet4">
    <w:name w:val="List Bullet 4"/>
    <w:uiPriority w:val="49"/>
    <w:semiHidden/>
    <w:rsid w:val="00E43744"/>
    <w:pPr>
      <w:numPr>
        <w:numId w:val="6"/>
      </w:numPr>
      <w:spacing w:after="180" w:line="260" w:lineRule="atLeast"/>
    </w:pPr>
    <w:rPr>
      <w:rFonts w:ascii="Arial" w:hAnsi="Arial"/>
      <w:sz w:val="19"/>
      <w:lang w:eastAsia="ja-JP"/>
    </w:rPr>
  </w:style>
  <w:style w:type="paragraph" w:styleId="ListBullet5">
    <w:name w:val="List Bullet 5"/>
    <w:uiPriority w:val="49"/>
    <w:semiHidden/>
    <w:rsid w:val="00E43744"/>
    <w:pPr>
      <w:numPr>
        <w:numId w:val="7"/>
      </w:numPr>
      <w:spacing w:after="180" w:line="260" w:lineRule="atLeast"/>
    </w:pPr>
    <w:rPr>
      <w:rFonts w:ascii="Arial" w:hAnsi="Arial"/>
      <w:sz w:val="19"/>
      <w:lang w:eastAsia="ja-JP"/>
    </w:rPr>
  </w:style>
  <w:style w:type="paragraph" w:styleId="ListContinue">
    <w:name w:val="List Continue"/>
    <w:aliases w:val="List Cont"/>
    <w:uiPriority w:val="30"/>
    <w:qFormat/>
    <w:rsid w:val="006C172D"/>
    <w:pPr>
      <w:spacing w:after="180" w:line="260" w:lineRule="atLeast"/>
      <w:ind w:left="284"/>
    </w:pPr>
    <w:rPr>
      <w:rFonts w:ascii="Arial" w:hAnsi="Arial"/>
      <w:sz w:val="19"/>
      <w:lang w:eastAsia="ja-JP"/>
    </w:rPr>
  </w:style>
  <w:style w:type="paragraph" w:styleId="ListContinue2">
    <w:name w:val="List Continue 2"/>
    <w:aliases w:val="List Cont 2"/>
    <w:basedOn w:val="Normal"/>
    <w:uiPriority w:val="31"/>
    <w:qFormat/>
    <w:rsid w:val="006C172D"/>
    <w:pPr>
      <w:spacing w:after="180"/>
      <w:ind w:left="567"/>
    </w:pPr>
  </w:style>
  <w:style w:type="paragraph" w:styleId="ListContinue3">
    <w:name w:val="List Continue 3"/>
    <w:aliases w:val="List Cont 3"/>
    <w:uiPriority w:val="32"/>
    <w:qFormat/>
    <w:rsid w:val="006C172D"/>
    <w:pPr>
      <w:spacing w:after="180" w:line="260" w:lineRule="atLeast"/>
      <w:ind w:left="851"/>
    </w:pPr>
    <w:rPr>
      <w:rFonts w:ascii="Arial" w:hAnsi="Arial"/>
      <w:sz w:val="19"/>
      <w:lang w:eastAsia="ja-JP"/>
    </w:rPr>
  </w:style>
  <w:style w:type="paragraph" w:styleId="ListContinue4">
    <w:name w:val="List Continue 4"/>
    <w:aliases w:val="List Cont 4"/>
    <w:uiPriority w:val="33"/>
    <w:qFormat/>
    <w:rsid w:val="006C172D"/>
    <w:pPr>
      <w:spacing w:after="180" w:line="260" w:lineRule="atLeast"/>
      <w:ind w:left="1134"/>
    </w:pPr>
    <w:rPr>
      <w:rFonts w:ascii="Arial" w:hAnsi="Arial"/>
      <w:sz w:val="19"/>
      <w:lang w:eastAsia="ja-JP"/>
    </w:rPr>
  </w:style>
  <w:style w:type="paragraph" w:styleId="ListContinue5">
    <w:name w:val="List Continue 5"/>
    <w:aliases w:val="List Cont 5"/>
    <w:uiPriority w:val="34"/>
    <w:qFormat/>
    <w:rsid w:val="006C172D"/>
    <w:pPr>
      <w:spacing w:after="180" w:line="260" w:lineRule="atLeast"/>
      <w:ind w:left="1418"/>
    </w:pPr>
    <w:rPr>
      <w:rFonts w:ascii="Arial" w:hAnsi="Arial"/>
      <w:sz w:val="19"/>
      <w:lang w:eastAsia="ja-JP"/>
    </w:rPr>
  </w:style>
  <w:style w:type="paragraph" w:customStyle="1" w:styleId="Question">
    <w:name w:val="Question"/>
    <w:next w:val="BodyText"/>
    <w:qFormat/>
    <w:rsid w:val="006C172D"/>
    <w:pPr>
      <w:spacing w:before="130" w:after="180" w:line="260" w:lineRule="atLeast"/>
    </w:pPr>
    <w:rPr>
      <w:rFonts w:ascii="Arial" w:hAnsi="Arial"/>
      <w:b/>
      <w:sz w:val="19"/>
      <w:lang w:eastAsia="ja-JP"/>
    </w:rPr>
  </w:style>
  <w:style w:type="paragraph" w:customStyle="1" w:styleId="QHeadingNo">
    <w:name w:val="Q Heading No"/>
    <w:next w:val="QBody"/>
    <w:uiPriority w:val="3"/>
    <w:qFormat/>
    <w:rsid w:val="006C172D"/>
    <w:pPr>
      <w:numPr>
        <w:ilvl w:val="5"/>
        <w:numId w:val="14"/>
      </w:numPr>
      <w:spacing w:before="130" w:after="180" w:line="260" w:lineRule="atLeast"/>
    </w:pPr>
    <w:rPr>
      <w:rFonts w:ascii="Arial" w:hAnsi="Arial"/>
      <w:b/>
      <w:sz w:val="19"/>
      <w:lang w:eastAsia="ja-JP"/>
    </w:rPr>
  </w:style>
  <w:style w:type="paragraph" w:customStyle="1" w:styleId="Heading1NoNumbering">
    <w:name w:val="Heading 1_No Numbering"/>
    <w:next w:val="BodyText"/>
    <w:uiPriority w:val="49"/>
    <w:semiHidden/>
    <w:rsid w:val="00E43744"/>
    <w:pPr>
      <w:keepNext/>
      <w:keepLines/>
      <w:pageBreakBefore/>
      <w:spacing w:after="360" w:line="480" w:lineRule="atLeast"/>
    </w:pPr>
    <w:rPr>
      <w:rFonts w:ascii="Arial" w:hAnsi="Arial" w:cs="Arial"/>
      <w:color w:val="045411"/>
      <w:kern w:val="32"/>
      <w:sz w:val="34"/>
      <w:szCs w:val="34"/>
      <w:lang w:eastAsia="ja-JP"/>
    </w:rPr>
  </w:style>
  <w:style w:type="paragraph" w:styleId="BodyText">
    <w:name w:val="Body Text"/>
    <w:link w:val="BodyTextChar"/>
    <w:uiPriority w:val="6"/>
    <w:qFormat/>
    <w:rsid w:val="006C172D"/>
    <w:pPr>
      <w:keepLines/>
      <w:spacing w:after="180" w:line="260" w:lineRule="atLeast"/>
    </w:pPr>
    <w:rPr>
      <w:rFonts w:ascii="Arial" w:hAnsi="Arial"/>
      <w:sz w:val="19"/>
      <w:lang w:eastAsia="ja-JP"/>
    </w:rPr>
  </w:style>
  <w:style w:type="paragraph" w:customStyle="1" w:styleId="Heading2NoNumbering">
    <w:name w:val="Heading 2_No Numbering"/>
    <w:next w:val="BodyText"/>
    <w:uiPriority w:val="49"/>
    <w:semiHidden/>
    <w:rsid w:val="00E43744"/>
    <w:pPr>
      <w:keepNext/>
      <w:keepLines/>
      <w:spacing w:before="240" w:after="160" w:line="400" w:lineRule="atLeast"/>
    </w:pPr>
    <w:rPr>
      <w:rFonts w:ascii="Arial" w:hAnsi="Arial" w:cs="Arial"/>
      <w:bCs/>
      <w:iCs/>
      <w:color w:val="045411"/>
      <w:sz w:val="30"/>
      <w:szCs w:val="28"/>
      <w:lang w:eastAsia="ja-JP"/>
    </w:rPr>
  </w:style>
  <w:style w:type="paragraph" w:customStyle="1" w:styleId="Heading3NoNumbering">
    <w:name w:val="Heading 3_No Numbering"/>
    <w:next w:val="BodyText"/>
    <w:uiPriority w:val="49"/>
    <w:semiHidden/>
    <w:rsid w:val="00E43744"/>
    <w:pPr>
      <w:keepNext/>
      <w:keepLines/>
      <w:spacing w:before="240" w:after="150" w:line="300" w:lineRule="atLeast"/>
    </w:pPr>
    <w:rPr>
      <w:rFonts w:ascii="Arial" w:hAnsi="Arial" w:cs="Arial"/>
      <w:color w:val="045411"/>
      <w:sz w:val="26"/>
      <w:szCs w:val="26"/>
      <w:lang w:eastAsia="ja-JP"/>
    </w:rPr>
  </w:style>
  <w:style w:type="paragraph" w:customStyle="1" w:styleId="Heading4NoNumbering">
    <w:name w:val="Heading 4_No Numbering"/>
    <w:next w:val="BodyText"/>
    <w:uiPriority w:val="49"/>
    <w:semiHidden/>
    <w:rsid w:val="00E43744"/>
    <w:pPr>
      <w:keepNext/>
      <w:keepLines/>
      <w:spacing w:before="240" w:after="60" w:line="260" w:lineRule="atLeast"/>
    </w:pPr>
    <w:rPr>
      <w:rFonts w:ascii="Arial" w:hAnsi="Arial" w:cs="Arial"/>
      <w:color w:val="045411"/>
      <w:sz w:val="19"/>
      <w:szCs w:val="19"/>
      <w:lang w:eastAsia="ja-JP"/>
    </w:rPr>
  </w:style>
  <w:style w:type="paragraph" w:customStyle="1" w:styleId="Heading5NoNumbering">
    <w:name w:val="Heading 5_No Numbering"/>
    <w:next w:val="Normal"/>
    <w:uiPriority w:val="49"/>
    <w:semiHidden/>
    <w:rsid w:val="00E43744"/>
    <w:pPr>
      <w:keepNext/>
      <w:keepLines/>
      <w:spacing w:before="240" w:after="60" w:line="260" w:lineRule="atLeast"/>
    </w:pPr>
    <w:rPr>
      <w:rFonts w:ascii="Arial" w:hAnsi="Arial" w:cs="Arial"/>
      <w:i/>
      <w:iCs/>
      <w:color w:val="045411"/>
      <w:sz w:val="19"/>
      <w:szCs w:val="19"/>
      <w:lang w:eastAsia="ja-JP"/>
    </w:rPr>
  </w:style>
  <w:style w:type="paragraph" w:customStyle="1" w:styleId="Source">
    <w:name w:val="Source"/>
    <w:next w:val="BodyText"/>
    <w:uiPriority w:val="8"/>
    <w:qFormat/>
    <w:rsid w:val="00E43744"/>
    <w:pPr>
      <w:spacing w:before="80" w:after="180" w:line="160" w:lineRule="atLeast"/>
      <w:contextualSpacing/>
    </w:pPr>
    <w:rPr>
      <w:rFonts w:ascii="Arial" w:hAnsi="Arial"/>
      <w:sz w:val="16"/>
      <w:lang w:eastAsia="ja-JP"/>
    </w:rPr>
  </w:style>
  <w:style w:type="paragraph" w:customStyle="1" w:styleId="Notes">
    <w:name w:val="Notes"/>
    <w:next w:val="Normal"/>
    <w:uiPriority w:val="49"/>
    <w:rsid w:val="00E43744"/>
    <w:pPr>
      <w:spacing w:after="120" w:line="264" w:lineRule="auto"/>
    </w:pPr>
    <w:rPr>
      <w:rFonts w:ascii="Arial" w:hAnsi="Arial"/>
      <w:sz w:val="18"/>
      <w:szCs w:val="18"/>
      <w:lang w:eastAsia="ja-JP"/>
    </w:rPr>
  </w:style>
  <w:style w:type="paragraph" w:styleId="Header">
    <w:name w:val="header"/>
    <w:basedOn w:val="Normal"/>
    <w:uiPriority w:val="49"/>
    <w:semiHidden/>
    <w:rsid w:val="00D009E1"/>
    <w:pPr>
      <w:tabs>
        <w:tab w:val="center" w:pos="4153"/>
        <w:tab w:val="right" w:pos="8306"/>
      </w:tabs>
      <w:spacing w:after="180" w:line="252" w:lineRule="auto"/>
    </w:pPr>
    <w:rPr>
      <w:caps/>
      <w:color w:val="045411"/>
      <w:sz w:val="16"/>
      <w:szCs w:val="16"/>
    </w:rPr>
  </w:style>
  <w:style w:type="paragraph" w:styleId="Footer">
    <w:name w:val="footer"/>
    <w:uiPriority w:val="49"/>
    <w:semiHidden/>
    <w:rsid w:val="00E43744"/>
    <w:pPr>
      <w:tabs>
        <w:tab w:val="center" w:pos="4153"/>
        <w:tab w:val="right" w:pos="8306"/>
      </w:tabs>
      <w:spacing w:before="240" w:line="260" w:lineRule="atLeast"/>
      <w:jc w:val="right"/>
    </w:pPr>
    <w:rPr>
      <w:rFonts w:ascii="Arial" w:hAnsi="Arial"/>
      <w:color w:val="045411"/>
      <w:sz w:val="14"/>
      <w:szCs w:val="14"/>
      <w:lang w:eastAsia="ja-JP"/>
    </w:rPr>
  </w:style>
  <w:style w:type="table" w:styleId="TableGrid">
    <w:name w:val="Table Grid"/>
    <w:basedOn w:val="TableNormal"/>
    <w:rsid w:val="00E43744"/>
    <w:rPr>
      <w:rFonts w:ascii="Arial" w:hAnsi="Arial"/>
      <w:sz w:val="18"/>
    </w:rPr>
    <w:tblPr/>
  </w:style>
  <w:style w:type="character" w:styleId="PageNumber">
    <w:name w:val="page number"/>
    <w:basedOn w:val="DefaultParagraphFont"/>
    <w:uiPriority w:val="49"/>
    <w:semiHidden/>
    <w:rsid w:val="00E43744"/>
  </w:style>
  <w:style w:type="paragraph" w:customStyle="1" w:styleId="CoverPageTitle">
    <w:name w:val="Cover Page Title"/>
    <w:next w:val="CoverPageSubtitle"/>
    <w:uiPriority w:val="49"/>
    <w:semiHidden/>
    <w:rsid w:val="00F021BA"/>
    <w:pPr>
      <w:spacing w:after="240"/>
      <w:ind w:left="-51" w:right="45"/>
    </w:pPr>
    <w:rPr>
      <w:rFonts w:ascii="Arial" w:hAnsi="Arial"/>
      <w:color w:val="045411"/>
      <w:sz w:val="32"/>
      <w:lang w:eastAsia="ja-JP"/>
    </w:rPr>
  </w:style>
  <w:style w:type="paragraph" w:customStyle="1" w:styleId="QBody">
    <w:name w:val="Q Body"/>
    <w:uiPriority w:val="4"/>
    <w:qFormat/>
    <w:rsid w:val="006C172D"/>
    <w:pPr>
      <w:spacing w:after="180" w:line="260" w:lineRule="atLeast"/>
      <w:ind w:left="851"/>
    </w:pPr>
    <w:rPr>
      <w:rFonts w:ascii="Arial" w:hAnsi="Arial"/>
      <w:sz w:val="19"/>
      <w:lang w:eastAsia="ja-JP"/>
    </w:rPr>
  </w:style>
  <w:style w:type="paragraph" w:customStyle="1" w:styleId="QBullet">
    <w:name w:val="Q Bullet"/>
    <w:uiPriority w:val="5"/>
    <w:qFormat/>
    <w:rsid w:val="006C172D"/>
    <w:pPr>
      <w:numPr>
        <w:numId w:val="15"/>
      </w:numPr>
      <w:spacing w:after="180" w:line="260" w:lineRule="atLeast"/>
    </w:pPr>
    <w:rPr>
      <w:rFonts w:ascii="Arial" w:hAnsi="Arial"/>
      <w:sz w:val="19"/>
      <w:lang w:val="fr-FR" w:eastAsia="ja-JP"/>
    </w:rPr>
  </w:style>
  <w:style w:type="paragraph" w:customStyle="1" w:styleId="CoverPageSubtitle">
    <w:name w:val="Cover Page Subtitle"/>
    <w:uiPriority w:val="49"/>
    <w:semiHidden/>
    <w:rsid w:val="00F021BA"/>
    <w:pPr>
      <w:spacing w:after="120" w:line="240" w:lineRule="atLeast"/>
      <w:ind w:left="-51" w:right="454"/>
    </w:pPr>
    <w:rPr>
      <w:rFonts w:ascii="Arial" w:hAnsi="Arial"/>
      <w:color w:val="045411"/>
      <w:sz w:val="24"/>
      <w:szCs w:val="24"/>
      <w:lang w:eastAsia="ja-JP"/>
    </w:rPr>
  </w:style>
  <w:style w:type="paragraph" w:customStyle="1" w:styleId="QBullet2">
    <w:name w:val="Q Bullet 2"/>
    <w:uiPriority w:val="22"/>
    <w:qFormat/>
    <w:rsid w:val="006C172D"/>
    <w:pPr>
      <w:numPr>
        <w:numId w:val="16"/>
      </w:numPr>
      <w:spacing w:after="180" w:line="260" w:lineRule="atLeast"/>
    </w:pPr>
    <w:rPr>
      <w:rFonts w:ascii="Arial" w:hAnsi="Arial"/>
      <w:sz w:val="19"/>
      <w:lang w:val="fr-FR" w:eastAsia="ja-JP"/>
    </w:rPr>
  </w:style>
  <w:style w:type="paragraph" w:customStyle="1" w:styleId="Createdby">
    <w:name w:val="Created by"/>
    <w:uiPriority w:val="49"/>
    <w:semiHidden/>
    <w:rsid w:val="00E43744"/>
    <w:rPr>
      <w:rFonts w:eastAsia="Times New Roman"/>
      <w:lang w:val="en-US"/>
    </w:rPr>
  </w:style>
  <w:style w:type="paragraph" w:customStyle="1" w:styleId="QConsecutiveNo">
    <w:name w:val="Q Consecutive No"/>
    <w:next w:val="QBody"/>
    <w:uiPriority w:val="2"/>
    <w:qFormat/>
    <w:rsid w:val="006C172D"/>
    <w:pPr>
      <w:numPr>
        <w:numId w:val="17"/>
      </w:numPr>
      <w:spacing w:before="130" w:after="180" w:line="260" w:lineRule="atLeast"/>
    </w:pPr>
    <w:rPr>
      <w:rFonts w:ascii="Arial" w:hAnsi="Arial"/>
      <w:b/>
      <w:sz w:val="19"/>
      <w:lang w:eastAsia="ja-JP"/>
    </w:rPr>
  </w:style>
  <w:style w:type="paragraph" w:styleId="TOC1">
    <w:name w:val="toc 1"/>
    <w:next w:val="BodyText"/>
    <w:autoRedefine/>
    <w:uiPriority w:val="39"/>
    <w:rsid w:val="006A317F"/>
    <w:pPr>
      <w:tabs>
        <w:tab w:val="left" w:pos="425"/>
        <w:tab w:val="right" w:pos="9072"/>
      </w:tabs>
      <w:spacing w:after="180" w:line="260" w:lineRule="atLeast"/>
    </w:pPr>
    <w:rPr>
      <w:rFonts w:ascii="Arial" w:hAnsi="Arial"/>
      <w:noProof/>
      <w:sz w:val="18"/>
      <w:lang w:eastAsia="ja-JP"/>
    </w:rPr>
  </w:style>
  <w:style w:type="paragraph" w:styleId="TOC2">
    <w:name w:val="toc 2"/>
    <w:basedOn w:val="TOC1"/>
    <w:next w:val="BodyText"/>
    <w:autoRedefine/>
    <w:uiPriority w:val="49"/>
    <w:semiHidden/>
    <w:rsid w:val="00E43744"/>
  </w:style>
  <w:style w:type="paragraph" w:styleId="TOC3">
    <w:name w:val="toc 3"/>
    <w:basedOn w:val="TOC2"/>
    <w:next w:val="BodyText"/>
    <w:autoRedefine/>
    <w:uiPriority w:val="49"/>
    <w:semiHidden/>
    <w:rsid w:val="00E43744"/>
  </w:style>
  <w:style w:type="character" w:styleId="Hyperlink">
    <w:name w:val="Hyperlink"/>
    <w:uiPriority w:val="99"/>
    <w:rsid w:val="00E43744"/>
    <w:rPr>
      <w:rFonts w:ascii="Arial" w:hAnsi="Arial"/>
      <w:color w:val="045411"/>
      <w:sz w:val="19"/>
      <w:u w:val="single"/>
    </w:rPr>
  </w:style>
  <w:style w:type="paragraph" w:customStyle="1" w:styleId="ContactsTableText">
    <w:name w:val="Contacts_Table Text"/>
    <w:uiPriority w:val="36"/>
    <w:qFormat/>
    <w:rsid w:val="006C172D"/>
    <w:pPr>
      <w:spacing w:after="180" w:line="260" w:lineRule="atLeast"/>
    </w:pPr>
    <w:rPr>
      <w:rFonts w:ascii="Arial" w:hAnsi="Arial"/>
      <w:sz w:val="19"/>
      <w:lang w:eastAsia="ja-JP"/>
    </w:rPr>
  </w:style>
  <w:style w:type="character" w:styleId="FollowedHyperlink">
    <w:name w:val="FollowedHyperlink"/>
    <w:uiPriority w:val="49"/>
    <w:semiHidden/>
    <w:rsid w:val="00E43744"/>
    <w:rPr>
      <w:color w:val="045411"/>
      <w:u w:val="single"/>
    </w:rPr>
  </w:style>
  <w:style w:type="paragraph" w:customStyle="1" w:styleId="TableText">
    <w:name w:val="Table Text"/>
    <w:uiPriority w:val="46"/>
    <w:qFormat/>
    <w:rsid w:val="006C172D"/>
    <w:pPr>
      <w:spacing w:before="60" w:after="60"/>
    </w:pPr>
    <w:rPr>
      <w:rFonts w:ascii="Arial" w:hAnsi="Arial"/>
      <w:sz w:val="19"/>
      <w:lang w:eastAsia="ja-JP"/>
    </w:rPr>
  </w:style>
  <w:style w:type="paragraph" w:customStyle="1" w:styleId="TableGraphic">
    <w:name w:val="Table Graphic"/>
    <w:uiPriority w:val="44"/>
    <w:qFormat/>
    <w:rsid w:val="006C172D"/>
    <w:pPr>
      <w:keepNext/>
      <w:keepLines/>
      <w:spacing w:before="120" w:after="120"/>
    </w:pPr>
    <w:rPr>
      <w:rFonts w:ascii="Arial" w:hAnsi="Arial"/>
      <w:sz w:val="18"/>
      <w:lang w:eastAsia="ja-JP"/>
    </w:rPr>
  </w:style>
  <w:style w:type="paragraph" w:customStyle="1" w:styleId="TableHeadingGreen">
    <w:name w:val="Table Heading_Green"/>
    <w:next w:val="TableText"/>
    <w:uiPriority w:val="49"/>
    <w:rsid w:val="00C87B7F"/>
    <w:pPr>
      <w:keepNext/>
      <w:keepLines/>
      <w:spacing w:before="60" w:after="60"/>
    </w:pPr>
    <w:rPr>
      <w:rFonts w:ascii="Arial" w:hAnsi="Arial"/>
      <w:color w:val="045411"/>
      <w:sz w:val="19"/>
      <w:lang w:eastAsia="ja-JP"/>
    </w:rPr>
  </w:style>
  <w:style w:type="paragraph" w:customStyle="1" w:styleId="TableBullet">
    <w:name w:val="Table Bullet"/>
    <w:uiPriority w:val="40"/>
    <w:qFormat/>
    <w:rsid w:val="006C172D"/>
    <w:pPr>
      <w:numPr>
        <w:numId w:val="18"/>
      </w:numPr>
      <w:spacing w:before="60" w:after="60"/>
    </w:pPr>
    <w:rPr>
      <w:rFonts w:ascii="Arial" w:hAnsi="Arial"/>
      <w:sz w:val="19"/>
      <w:lang w:eastAsia="ja-JP"/>
    </w:rPr>
  </w:style>
  <w:style w:type="paragraph" w:customStyle="1" w:styleId="TableBullet2">
    <w:name w:val="Table Bullet 2"/>
    <w:uiPriority w:val="41"/>
    <w:qFormat/>
    <w:rsid w:val="006C172D"/>
    <w:pPr>
      <w:numPr>
        <w:numId w:val="19"/>
      </w:numPr>
      <w:spacing w:before="60" w:after="60"/>
    </w:pPr>
    <w:rPr>
      <w:rFonts w:ascii="Arial" w:hAnsi="Arial"/>
      <w:sz w:val="19"/>
      <w:lang w:eastAsia="ja-JP"/>
    </w:rPr>
  </w:style>
  <w:style w:type="paragraph" w:customStyle="1" w:styleId="TableTitle">
    <w:name w:val="Table Title"/>
    <w:next w:val="BodyText"/>
    <w:uiPriority w:val="47"/>
    <w:qFormat/>
    <w:rsid w:val="006C172D"/>
    <w:pPr>
      <w:keepNext/>
      <w:keepLines/>
      <w:spacing w:before="240" w:after="60" w:line="260" w:lineRule="atLeast"/>
    </w:pPr>
    <w:rPr>
      <w:rFonts w:ascii="Arial" w:hAnsi="Arial"/>
      <w:color w:val="045411"/>
      <w:sz w:val="19"/>
      <w:lang w:eastAsia="ja-JP"/>
    </w:rPr>
  </w:style>
  <w:style w:type="paragraph" w:customStyle="1" w:styleId="TableBullet3">
    <w:name w:val="Table Bullet 3"/>
    <w:uiPriority w:val="42"/>
    <w:qFormat/>
    <w:rsid w:val="006C172D"/>
    <w:pPr>
      <w:numPr>
        <w:numId w:val="20"/>
      </w:numPr>
      <w:spacing w:before="60" w:after="60"/>
    </w:pPr>
    <w:rPr>
      <w:rFonts w:ascii="Arial" w:hAnsi="Arial"/>
      <w:sz w:val="19"/>
      <w:lang w:eastAsia="ja-JP"/>
    </w:rPr>
  </w:style>
  <w:style w:type="paragraph" w:customStyle="1" w:styleId="Appendix">
    <w:name w:val="Appendix"/>
    <w:aliases w:val="A1"/>
    <w:next w:val="BodyText"/>
    <w:uiPriority w:val="15"/>
    <w:qFormat/>
    <w:rsid w:val="006C172D"/>
    <w:pPr>
      <w:keepNext/>
      <w:keepLines/>
      <w:pageBreakBefore/>
      <w:numPr>
        <w:numId w:val="21"/>
      </w:numPr>
      <w:spacing w:after="360" w:line="480" w:lineRule="atLeast"/>
    </w:pPr>
    <w:rPr>
      <w:rFonts w:ascii="Arial" w:hAnsi="Arial" w:cs="Arial"/>
      <w:color w:val="045411"/>
      <w:kern w:val="32"/>
      <w:sz w:val="34"/>
      <w:szCs w:val="34"/>
      <w:lang w:eastAsia="ja-JP"/>
    </w:rPr>
  </w:style>
  <w:style w:type="paragraph" w:customStyle="1" w:styleId="CoverPageDate">
    <w:name w:val="Cover Page Date"/>
    <w:next w:val="BodyText"/>
    <w:uiPriority w:val="49"/>
    <w:semiHidden/>
    <w:rsid w:val="00F021BA"/>
    <w:pPr>
      <w:spacing w:after="120" w:line="240" w:lineRule="atLeast"/>
      <w:ind w:left="-51" w:right="45"/>
    </w:pPr>
    <w:rPr>
      <w:rFonts w:ascii="Arial" w:hAnsi="Arial"/>
      <w:color w:val="045411"/>
      <w:sz w:val="24"/>
      <w:szCs w:val="24"/>
      <w:lang w:eastAsia="ja-JP"/>
    </w:rPr>
  </w:style>
  <w:style w:type="paragraph" w:customStyle="1" w:styleId="BioName">
    <w:name w:val="Bio Name"/>
    <w:next w:val="BioTitle"/>
    <w:uiPriority w:val="37"/>
    <w:qFormat/>
    <w:rsid w:val="006C172D"/>
    <w:pPr>
      <w:keepNext/>
      <w:keepLines/>
      <w:spacing w:before="150"/>
    </w:pPr>
    <w:rPr>
      <w:rFonts w:ascii="Arial" w:hAnsi="Arial"/>
      <w:color w:val="045411"/>
      <w:sz w:val="18"/>
      <w:lang w:eastAsia="ja-JP"/>
    </w:rPr>
  </w:style>
  <w:style w:type="paragraph" w:customStyle="1" w:styleId="BioTitle">
    <w:name w:val="Bio Title"/>
    <w:next w:val="BioText"/>
    <w:uiPriority w:val="38"/>
    <w:qFormat/>
    <w:rsid w:val="006C172D"/>
    <w:pPr>
      <w:keepNext/>
      <w:keepLines/>
      <w:spacing w:after="240"/>
    </w:pPr>
    <w:rPr>
      <w:rFonts w:ascii="Arial" w:hAnsi="Arial"/>
      <w:color w:val="9BBBA0"/>
      <w:sz w:val="18"/>
      <w:lang w:eastAsia="ja-JP"/>
    </w:rPr>
  </w:style>
  <w:style w:type="paragraph" w:customStyle="1" w:styleId="BioText">
    <w:name w:val="Bio Text"/>
    <w:basedOn w:val="TableText"/>
    <w:uiPriority w:val="39"/>
    <w:qFormat/>
    <w:rsid w:val="006C172D"/>
    <w:pPr>
      <w:spacing w:before="0" w:after="150"/>
      <w:contextualSpacing/>
    </w:pPr>
  </w:style>
  <w:style w:type="paragraph" w:customStyle="1" w:styleId="Appx2">
    <w:name w:val="Appx 2"/>
    <w:aliases w:val="A2"/>
    <w:next w:val="BodyText"/>
    <w:uiPriority w:val="16"/>
    <w:qFormat/>
    <w:rsid w:val="006C172D"/>
    <w:pPr>
      <w:keepNext/>
      <w:keepLines/>
      <w:numPr>
        <w:ilvl w:val="1"/>
        <w:numId w:val="21"/>
      </w:numPr>
      <w:spacing w:before="240" w:after="160" w:line="400" w:lineRule="atLeast"/>
    </w:pPr>
    <w:rPr>
      <w:rFonts w:ascii="Arial" w:hAnsi="Arial" w:cs="Arial"/>
      <w:bCs/>
      <w:iCs/>
      <w:color w:val="045411"/>
      <w:sz w:val="30"/>
      <w:szCs w:val="28"/>
      <w:lang w:eastAsia="ja-JP"/>
    </w:rPr>
  </w:style>
  <w:style w:type="paragraph" w:customStyle="1" w:styleId="Appx4">
    <w:name w:val="Appx 4"/>
    <w:aliases w:val="A4"/>
    <w:next w:val="BodyText"/>
    <w:uiPriority w:val="18"/>
    <w:qFormat/>
    <w:rsid w:val="006C172D"/>
    <w:pPr>
      <w:keepNext/>
      <w:keepLines/>
      <w:numPr>
        <w:ilvl w:val="3"/>
        <w:numId w:val="21"/>
      </w:numPr>
      <w:spacing w:before="240" w:after="60" w:line="260" w:lineRule="atLeast"/>
    </w:pPr>
    <w:rPr>
      <w:rFonts w:ascii="Arial" w:hAnsi="Arial" w:cs="Arial"/>
      <w:color w:val="045411"/>
      <w:sz w:val="19"/>
      <w:szCs w:val="19"/>
      <w:lang w:eastAsia="ja-JP"/>
    </w:rPr>
  </w:style>
  <w:style w:type="paragraph" w:customStyle="1" w:styleId="Appx3">
    <w:name w:val="Appx 3"/>
    <w:aliases w:val="A3"/>
    <w:next w:val="BodyText"/>
    <w:uiPriority w:val="17"/>
    <w:qFormat/>
    <w:rsid w:val="006C172D"/>
    <w:pPr>
      <w:keepNext/>
      <w:keepLines/>
      <w:numPr>
        <w:ilvl w:val="2"/>
        <w:numId w:val="21"/>
      </w:numPr>
      <w:spacing w:before="240" w:after="150" w:line="300" w:lineRule="atLeast"/>
    </w:pPr>
    <w:rPr>
      <w:rFonts w:ascii="Arial" w:hAnsi="Arial" w:cs="Arial"/>
      <w:color w:val="045411"/>
      <w:sz w:val="26"/>
      <w:szCs w:val="26"/>
      <w:lang w:eastAsia="ja-JP"/>
    </w:rPr>
  </w:style>
  <w:style w:type="paragraph" w:styleId="ListNumber">
    <w:name w:val="List Number"/>
    <w:aliases w:val="List No."/>
    <w:uiPriority w:val="8"/>
    <w:qFormat/>
    <w:rsid w:val="00CB7579"/>
    <w:pPr>
      <w:numPr>
        <w:numId w:val="9"/>
      </w:numPr>
      <w:spacing w:after="180" w:line="260" w:lineRule="atLeast"/>
    </w:pPr>
    <w:rPr>
      <w:rFonts w:ascii="Arial" w:hAnsi="Arial"/>
      <w:sz w:val="19"/>
      <w:szCs w:val="19"/>
      <w:lang w:eastAsia="ja-JP"/>
    </w:rPr>
  </w:style>
  <w:style w:type="paragraph" w:styleId="ListNumber2">
    <w:name w:val="List Number 2"/>
    <w:aliases w:val="List No. 2"/>
    <w:uiPriority w:val="26"/>
    <w:qFormat/>
    <w:rsid w:val="006C172D"/>
    <w:pPr>
      <w:numPr>
        <w:numId w:val="10"/>
      </w:numPr>
      <w:spacing w:after="180" w:line="260" w:lineRule="atLeast"/>
    </w:pPr>
    <w:rPr>
      <w:rFonts w:ascii="Arial" w:hAnsi="Arial"/>
      <w:sz w:val="18"/>
      <w:lang w:eastAsia="ja-JP"/>
    </w:rPr>
  </w:style>
  <w:style w:type="numbering" w:styleId="111111">
    <w:name w:val="Outline List 2"/>
    <w:basedOn w:val="NoList"/>
    <w:semiHidden/>
    <w:rsid w:val="00E43744"/>
    <w:pPr>
      <w:numPr>
        <w:numId w:val="1"/>
      </w:numPr>
    </w:pPr>
  </w:style>
  <w:style w:type="numbering" w:styleId="1ai">
    <w:name w:val="Outline List 1"/>
    <w:basedOn w:val="NoList"/>
    <w:semiHidden/>
    <w:rsid w:val="00E43744"/>
    <w:pPr>
      <w:numPr>
        <w:numId w:val="2"/>
      </w:numPr>
    </w:pPr>
  </w:style>
  <w:style w:type="numbering" w:styleId="ArticleSection">
    <w:name w:val="Outline List 3"/>
    <w:basedOn w:val="NoList"/>
    <w:semiHidden/>
    <w:rsid w:val="00E43744"/>
    <w:pPr>
      <w:numPr>
        <w:numId w:val="3"/>
      </w:numPr>
    </w:pPr>
  </w:style>
  <w:style w:type="paragraph" w:styleId="BlockText">
    <w:name w:val="Block Text"/>
    <w:basedOn w:val="Normal"/>
    <w:uiPriority w:val="49"/>
    <w:semiHidden/>
    <w:rsid w:val="00E43744"/>
    <w:pPr>
      <w:spacing w:after="120"/>
      <w:ind w:left="1440" w:right="1440"/>
    </w:pPr>
  </w:style>
  <w:style w:type="paragraph" w:styleId="BodyText2">
    <w:name w:val="Body Text 2"/>
    <w:basedOn w:val="Normal"/>
    <w:uiPriority w:val="49"/>
    <w:semiHidden/>
    <w:rsid w:val="00E43744"/>
    <w:pPr>
      <w:spacing w:after="120" w:line="480" w:lineRule="auto"/>
    </w:pPr>
  </w:style>
  <w:style w:type="paragraph" w:styleId="BodyText3">
    <w:name w:val="Body Text 3"/>
    <w:basedOn w:val="Normal"/>
    <w:uiPriority w:val="49"/>
    <w:semiHidden/>
    <w:rsid w:val="00E43744"/>
    <w:pPr>
      <w:spacing w:after="120"/>
    </w:pPr>
    <w:rPr>
      <w:sz w:val="16"/>
      <w:szCs w:val="16"/>
    </w:rPr>
  </w:style>
  <w:style w:type="paragraph" w:styleId="BodyTextFirstIndent">
    <w:name w:val="Body Text First Indent"/>
    <w:basedOn w:val="BodyText"/>
    <w:uiPriority w:val="49"/>
    <w:semiHidden/>
    <w:rsid w:val="00E43744"/>
    <w:pPr>
      <w:spacing w:before="60" w:after="120" w:line="240" w:lineRule="auto"/>
      <w:ind w:firstLine="210"/>
    </w:pPr>
  </w:style>
  <w:style w:type="paragraph" w:styleId="BodyTextIndent">
    <w:name w:val="Body Text Indent"/>
    <w:basedOn w:val="Normal"/>
    <w:uiPriority w:val="49"/>
    <w:semiHidden/>
    <w:rsid w:val="00E43744"/>
    <w:pPr>
      <w:spacing w:after="120"/>
      <w:ind w:left="283"/>
    </w:pPr>
  </w:style>
  <w:style w:type="paragraph" w:styleId="BodyTextFirstIndent2">
    <w:name w:val="Body Text First Indent 2"/>
    <w:basedOn w:val="BodyTextIndent"/>
    <w:uiPriority w:val="49"/>
    <w:semiHidden/>
    <w:rsid w:val="00E43744"/>
    <w:pPr>
      <w:ind w:firstLine="210"/>
    </w:pPr>
  </w:style>
  <w:style w:type="paragraph" w:styleId="BodyTextIndent2">
    <w:name w:val="Body Text Indent 2"/>
    <w:basedOn w:val="Normal"/>
    <w:uiPriority w:val="49"/>
    <w:semiHidden/>
    <w:rsid w:val="00E43744"/>
    <w:pPr>
      <w:spacing w:after="120" w:line="480" w:lineRule="auto"/>
      <w:ind w:left="283"/>
    </w:pPr>
  </w:style>
  <w:style w:type="paragraph" w:styleId="BodyTextIndent3">
    <w:name w:val="Body Text Indent 3"/>
    <w:basedOn w:val="Normal"/>
    <w:uiPriority w:val="49"/>
    <w:semiHidden/>
    <w:rsid w:val="00E43744"/>
    <w:pPr>
      <w:spacing w:after="120"/>
      <w:ind w:left="283"/>
    </w:pPr>
    <w:rPr>
      <w:sz w:val="16"/>
      <w:szCs w:val="16"/>
    </w:rPr>
  </w:style>
  <w:style w:type="paragraph" w:styleId="Closing">
    <w:name w:val="Closing"/>
    <w:basedOn w:val="Normal"/>
    <w:uiPriority w:val="49"/>
    <w:semiHidden/>
    <w:rsid w:val="00E43744"/>
    <w:pPr>
      <w:ind w:left="4252"/>
    </w:pPr>
  </w:style>
  <w:style w:type="paragraph" w:styleId="Date">
    <w:name w:val="Date"/>
    <w:basedOn w:val="Normal"/>
    <w:next w:val="Normal"/>
    <w:uiPriority w:val="49"/>
    <w:semiHidden/>
    <w:rsid w:val="00E43744"/>
  </w:style>
  <w:style w:type="paragraph" w:styleId="E-mailSignature">
    <w:name w:val="E-mail Signature"/>
    <w:basedOn w:val="Normal"/>
    <w:uiPriority w:val="49"/>
    <w:semiHidden/>
    <w:rsid w:val="00E43744"/>
  </w:style>
  <w:style w:type="character" w:styleId="Emphasis">
    <w:name w:val="Emphasis"/>
    <w:uiPriority w:val="49"/>
    <w:rsid w:val="001E0292"/>
    <w:rPr>
      <w:i/>
      <w:iCs/>
    </w:rPr>
  </w:style>
  <w:style w:type="paragraph" w:styleId="EnvelopeAddress">
    <w:name w:val="envelope address"/>
    <w:basedOn w:val="Normal"/>
    <w:uiPriority w:val="49"/>
    <w:semiHidden/>
    <w:rsid w:val="00E43744"/>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E43744"/>
    <w:rPr>
      <w:sz w:val="20"/>
    </w:rPr>
  </w:style>
  <w:style w:type="character" w:styleId="HTMLAcronym">
    <w:name w:val="HTML Acronym"/>
    <w:basedOn w:val="DefaultParagraphFont"/>
    <w:uiPriority w:val="49"/>
    <w:semiHidden/>
    <w:rsid w:val="00E43744"/>
  </w:style>
  <w:style w:type="paragraph" w:styleId="HTMLAddress">
    <w:name w:val="HTML Address"/>
    <w:basedOn w:val="Normal"/>
    <w:uiPriority w:val="49"/>
    <w:semiHidden/>
    <w:rsid w:val="00E43744"/>
    <w:rPr>
      <w:i/>
      <w:iCs/>
    </w:rPr>
  </w:style>
  <w:style w:type="character" w:styleId="HTMLCite">
    <w:name w:val="HTML Cite"/>
    <w:uiPriority w:val="49"/>
    <w:semiHidden/>
    <w:rsid w:val="00E43744"/>
    <w:rPr>
      <w:i/>
      <w:iCs/>
    </w:rPr>
  </w:style>
  <w:style w:type="character" w:styleId="HTMLCode">
    <w:name w:val="HTML Code"/>
    <w:uiPriority w:val="49"/>
    <w:semiHidden/>
    <w:rsid w:val="00E43744"/>
    <w:rPr>
      <w:rFonts w:ascii="Courier New" w:hAnsi="Courier New"/>
      <w:sz w:val="20"/>
      <w:szCs w:val="20"/>
    </w:rPr>
  </w:style>
  <w:style w:type="character" w:styleId="HTMLDefinition">
    <w:name w:val="HTML Definition"/>
    <w:uiPriority w:val="49"/>
    <w:semiHidden/>
    <w:rsid w:val="00E43744"/>
    <w:rPr>
      <w:i/>
      <w:iCs/>
    </w:rPr>
  </w:style>
  <w:style w:type="character" w:styleId="HTMLKeyboard">
    <w:name w:val="HTML Keyboard"/>
    <w:uiPriority w:val="49"/>
    <w:semiHidden/>
    <w:rsid w:val="00E43744"/>
    <w:rPr>
      <w:rFonts w:ascii="Courier New" w:hAnsi="Courier New"/>
      <w:sz w:val="20"/>
      <w:szCs w:val="20"/>
    </w:rPr>
  </w:style>
  <w:style w:type="paragraph" w:styleId="HTMLPreformatted">
    <w:name w:val="HTML Preformatted"/>
    <w:basedOn w:val="Normal"/>
    <w:uiPriority w:val="49"/>
    <w:semiHidden/>
    <w:rsid w:val="00E43744"/>
    <w:rPr>
      <w:rFonts w:ascii="Courier New" w:hAnsi="Courier New"/>
      <w:sz w:val="20"/>
    </w:rPr>
  </w:style>
  <w:style w:type="character" w:styleId="HTMLSample">
    <w:name w:val="HTML Sample"/>
    <w:uiPriority w:val="49"/>
    <w:semiHidden/>
    <w:rsid w:val="00E43744"/>
    <w:rPr>
      <w:rFonts w:ascii="Courier New" w:hAnsi="Courier New"/>
    </w:rPr>
  </w:style>
  <w:style w:type="character" w:styleId="HTMLTypewriter">
    <w:name w:val="HTML Typewriter"/>
    <w:uiPriority w:val="49"/>
    <w:semiHidden/>
    <w:rsid w:val="00E43744"/>
    <w:rPr>
      <w:rFonts w:ascii="Courier New" w:hAnsi="Courier New"/>
      <w:sz w:val="20"/>
      <w:szCs w:val="20"/>
    </w:rPr>
  </w:style>
  <w:style w:type="character" w:styleId="HTMLVariable">
    <w:name w:val="HTML Variable"/>
    <w:uiPriority w:val="49"/>
    <w:semiHidden/>
    <w:rsid w:val="00E43744"/>
    <w:rPr>
      <w:i/>
      <w:iCs/>
    </w:rPr>
  </w:style>
  <w:style w:type="character" w:styleId="LineNumber">
    <w:name w:val="line number"/>
    <w:basedOn w:val="DefaultParagraphFont"/>
    <w:uiPriority w:val="49"/>
    <w:semiHidden/>
    <w:rsid w:val="00E43744"/>
  </w:style>
  <w:style w:type="paragraph" w:styleId="List">
    <w:name w:val="List"/>
    <w:basedOn w:val="Normal"/>
    <w:uiPriority w:val="49"/>
    <w:semiHidden/>
    <w:rsid w:val="00E43744"/>
    <w:pPr>
      <w:ind w:left="283" w:hanging="283"/>
    </w:pPr>
  </w:style>
  <w:style w:type="paragraph" w:styleId="List2">
    <w:name w:val="List 2"/>
    <w:basedOn w:val="Normal"/>
    <w:uiPriority w:val="49"/>
    <w:semiHidden/>
    <w:rsid w:val="00E43744"/>
    <w:pPr>
      <w:ind w:left="566" w:hanging="283"/>
    </w:pPr>
  </w:style>
  <w:style w:type="paragraph" w:styleId="List3">
    <w:name w:val="List 3"/>
    <w:basedOn w:val="Normal"/>
    <w:uiPriority w:val="49"/>
    <w:semiHidden/>
    <w:rsid w:val="00E43744"/>
    <w:pPr>
      <w:ind w:left="849" w:hanging="283"/>
    </w:pPr>
  </w:style>
  <w:style w:type="paragraph" w:styleId="List4">
    <w:name w:val="List 4"/>
    <w:basedOn w:val="Normal"/>
    <w:uiPriority w:val="49"/>
    <w:semiHidden/>
    <w:rsid w:val="00E43744"/>
    <w:pPr>
      <w:ind w:left="1132" w:hanging="283"/>
    </w:pPr>
  </w:style>
  <w:style w:type="paragraph" w:styleId="List5">
    <w:name w:val="List 5"/>
    <w:basedOn w:val="Normal"/>
    <w:uiPriority w:val="49"/>
    <w:semiHidden/>
    <w:rsid w:val="00E43744"/>
    <w:pPr>
      <w:ind w:left="1415" w:hanging="283"/>
    </w:pPr>
  </w:style>
  <w:style w:type="paragraph" w:styleId="ListNumber4">
    <w:name w:val="List Number 4"/>
    <w:aliases w:val="List No. 4"/>
    <w:uiPriority w:val="28"/>
    <w:qFormat/>
    <w:rsid w:val="006C172D"/>
    <w:pPr>
      <w:numPr>
        <w:numId w:val="12"/>
      </w:numPr>
      <w:spacing w:after="180" w:line="260" w:lineRule="atLeast"/>
    </w:pPr>
    <w:rPr>
      <w:rFonts w:ascii="Arial" w:hAnsi="Arial"/>
      <w:sz w:val="18"/>
      <w:lang w:eastAsia="ja-JP"/>
    </w:rPr>
  </w:style>
  <w:style w:type="paragraph" w:styleId="ListNumber5">
    <w:name w:val="List Number 5"/>
    <w:aliases w:val="List No. 5"/>
    <w:uiPriority w:val="29"/>
    <w:qFormat/>
    <w:rsid w:val="006C172D"/>
    <w:pPr>
      <w:numPr>
        <w:numId w:val="13"/>
      </w:numPr>
      <w:spacing w:after="180" w:line="260" w:lineRule="atLeast"/>
    </w:pPr>
    <w:rPr>
      <w:rFonts w:ascii="Arial" w:hAnsi="Arial"/>
      <w:sz w:val="18"/>
      <w:lang w:eastAsia="ja-JP"/>
    </w:rPr>
  </w:style>
  <w:style w:type="paragraph" w:styleId="MessageHeader">
    <w:name w:val="Message Header"/>
    <w:basedOn w:val="Normal"/>
    <w:uiPriority w:val="49"/>
    <w:semiHidden/>
    <w:rsid w:val="00E4374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E43744"/>
    <w:rPr>
      <w:rFonts w:ascii="Times New Roman" w:hAnsi="Times New Roman"/>
      <w:sz w:val="24"/>
      <w:szCs w:val="24"/>
    </w:rPr>
  </w:style>
  <w:style w:type="paragraph" w:styleId="NormalIndent">
    <w:name w:val="Normal Indent"/>
    <w:basedOn w:val="Normal"/>
    <w:uiPriority w:val="49"/>
    <w:semiHidden/>
    <w:rsid w:val="00E43744"/>
    <w:pPr>
      <w:ind w:left="851"/>
    </w:pPr>
  </w:style>
  <w:style w:type="paragraph" w:styleId="PlainText">
    <w:name w:val="Plain Text"/>
    <w:basedOn w:val="Normal"/>
    <w:uiPriority w:val="49"/>
    <w:semiHidden/>
    <w:rsid w:val="00E43744"/>
    <w:rPr>
      <w:rFonts w:ascii="Courier New" w:hAnsi="Courier New"/>
      <w:sz w:val="20"/>
    </w:rPr>
  </w:style>
  <w:style w:type="paragraph" w:styleId="Salutation">
    <w:name w:val="Salutation"/>
    <w:basedOn w:val="Normal"/>
    <w:next w:val="Normal"/>
    <w:uiPriority w:val="49"/>
    <w:semiHidden/>
    <w:rsid w:val="00E43744"/>
  </w:style>
  <w:style w:type="paragraph" w:styleId="Signature">
    <w:name w:val="Signature"/>
    <w:basedOn w:val="Normal"/>
    <w:uiPriority w:val="49"/>
    <w:semiHidden/>
    <w:rsid w:val="00E43744"/>
    <w:pPr>
      <w:ind w:left="4252"/>
    </w:pPr>
  </w:style>
  <w:style w:type="character" w:styleId="Strong">
    <w:name w:val="Strong"/>
    <w:uiPriority w:val="49"/>
    <w:rsid w:val="001E0292"/>
    <w:rPr>
      <w:b/>
      <w:bCs/>
    </w:rPr>
  </w:style>
  <w:style w:type="paragraph" w:styleId="Subtitle">
    <w:name w:val="Subtitle"/>
    <w:basedOn w:val="Normal"/>
    <w:uiPriority w:val="49"/>
    <w:rsid w:val="001E0292"/>
    <w:pPr>
      <w:jc w:val="center"/>
      <w:outlineLvl w:val="1"/>
    </w:pPr>
    <w:rPr>
      <w:sz w:val="24"/>
      <w:szCs w:val="24"/>
    </w:rPr>
  </w:style>
  <w:style w:type="table" w:styleId="Table3Deffects1">
    <w:name w:val="Table 3D effects 1"/>
    <w:basedOn w:val="TableNormal"/>
    <w:semiHidden/>
    <w:rsid w:val="00E43744"/>
    <w:pPr>
      <w:spacing w:before="60" w:after="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43744"/>
    <w:pPr>
      <w:spacing w:before="60" w:after="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43744"/>
    <w:pPr>
      <w:spacing w:before="60" w:after="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43744"/>
    <w:pPr>
      <w:spacing w:before="60"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43744"/>
    <w:pPr>
      <w:spacing w:before="60" w:after="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43744"/>
    <w:pPr>
      <w:spacing w:before="60" w:after="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43744"/>
    <w:pPr>
      <w:spacing w:before="60" w:after="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43744"/>
    <w:pPr>
      <w:spacing w:before="60" w:after="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43744"/>
    <w:pPr>
      <w:spacing w:before="60" w:after="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43744"/>
    <w:pPr>
      <w:spacing w:before="60" w:after="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43744"/>
    <w:pPr>
      <w:spacing w:before="60" w:after="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43744"/>
    <w:pPr>
      <w:spacing w:before="60" w:after="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43744"/>
    <w:pPr>
      <w:spacing w:before="60" w:after="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43744"/>
    <w:pPr>
      <w:spacing w:before="60" w:after="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43744"/>
    <w:pPr>
      <w:spacing w:before="60" w:after="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43744"/>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43744"/>
    <w:pPr>
      <w:spacing w:before="6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43744"/>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43744"/>
    <w:pPr>
      <w:spacing w:before="60" w:after="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43744"/>
    <w:pPr>
      <w:spacing w:before="60" w:after="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43744"/>
    <w:pPr>
      <w:spacing w:before="60" w:after="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43744"/>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43744"/>
    <w:pPr>
      <w:spacing w:before="60" w:after="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43744"/>
    <w:pPr>
      <w:spacing w:before="60" w:after="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43744"/>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43744"/>
    <w:pPr>
      <w:spacing w:before="60" w:after="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43744"/>
    <w:pPr>
      <w:spacing w:before="60" w:after="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43744"/>
    <w:pPr>
      <w:spacing w:before="60" w:after="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43744"/>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43744"/>
    <w:pPr>
      <w:spacing w:before="60" w:after="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43744"/>
    <w:pPr>
      <w:spacing w:before="60" w:after="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43744"/>
    <w:pPr>
      <w:spacing w:before="60" w:after="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43744"/>
    <w:pPr>
      <w:spacing w:before="60" w:after="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43744"/>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43744"/>
    <w:pPr>
      <w:spacing w:before="60" w:after="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43744"/>
    <w:pPr>
      <w:spacing w:before="60" w:after="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43744"/>
    <w:pPr>
      <w:spacing w:before="60" w:after="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43744"/>
    <w:pPr>
      <w:spacing w:before="60" w:after="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43744"/>
    <w:pPr>
      <w:spacing w:before="60" w:after="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43744"/>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43744"/>
    <w:pPr>
      <w:spacing w:before="60" w:after="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43744"/>
    <w:pPr>
      <w:spacing w:before="60" w:after="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43744"/>
    <w:pPr>
      <w:spacing w:before="60" w:after="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3">
    <w:name w:val="List Number 3"/>
    <w:aliases w:val="List No. 3"/>
    <w:uiPriority w:val="27"/>
    <w:qFormat/>
    <w:rsid w:val="006C172D"/>
    <w:pPr>
      <w:numPr>
        <w:numId w:val="11"/>
      </w:numPr>
      <w:spacing w:after="180" w:line="260" w:lineRule="atLeast"/>
    </w:pPr>
    <w:rPr>
      <w:rFonts w:ascii="Arial" w:hAnsi="Arial"/>
      <w:sz w:val="18"/>
      <w:lang w:eastAsia="ja-JP"/>
    </w:rPr>
  </w:style>
  <w:style w:type="paragraph" w:customStyle="1" w:styleId="QManualNo">
    <w:name w:val="Q Manual No"/>
    <w:next w:val="BodyText"/>
    <w:uiPriority w:val="1"/>
    <w:qFormat/>
    <w:rsid w:val="006C172D"/>
    <w:pPr>
      <w:tabs>
        <w:tab w:val="left" w:pos="851"/>
      </w:tabs>
      <w:spacing w:before="130" w:after="180" w:line="260" w:lineRule="atLeast"/>
      <w:ind w:left="851" w:hanging="851"/>
    </w:pPr>
    <w:rPr>
      <w:rFonts w:ascii="Arial" w:hAnsi="Arial"/>
      <w:b/>
      <w:sz w:val="19"/>
      <w:lang w:val="fr-FR" w:eastAsia="ja-JP"/>
    </w:rPr>
  </w:style>
  <w:style w:type="paragraph" w:customStyle="1" w:styleId="QBullet3">
    <w:name w:val="Q Bullet 3"/>
    <w:uiPriority w:val="23"/>
    <w:qFormat/>
    <w:rsid w:val="006C172D"/>
    <w:pPr>
      <w:numPr>
        <w:numId w:val="22"/>
      </w:numPr>
      <w:spacing w:after="180" w:line="260" w:lineRule="atLeast"/>
    </w:pPr>
    <w:rPr>
      <w:rFonts w:ascii="Arial" w:hAnsi="Arial"/>
      <w:sz w:val="19"/>
      <w:lang w:val="fr-FR" w:eastAsia="ja-JP"/>
    </w:rPr>
  </w:style>
  <w:style w:type="paragraph" w:customStyle="1" w:styleId="BiographyPhoto">
    <w:name w:val="Biography_Photo"/>
    <w:uiPriority w:val="49"/>
    <w:rsid w:val="00E43744"/>
    <w:pPr>
      <w:keepLines/>
      <w:spacing w:before="150"/>
    </w:pPr>
    <w:rPr>
      <w:rFonts w:ascii="Arial" w:hAnsi="Arial"/>
      <w:color w:val="045411"/>
      <w:sz w:val="18"/>
      <w:lang w:eastAsia="ja-JP"/>
    </w:rPr>
  </w:style>
  <w:style w:type="paragraph" w:customStyle="1" w:styleId="TableHeadingCentreGreen">
    <w:name w:val="Table Heading Centre_Green"/>
    <w:basedOn w:val="TableHeadingGreen"/>
    <w:uiPriority w:val="49"/>
    <w:rsid w:val="00C87B7F"/>
    <w:pPr>
      <w:jc w:val="center"/>
    </w:pPr>
  </w:style>
  <w:style w:type="paragraph" w:customStyle="1" w:styleId="THWhite">
    <w:name w:val="TH White"/>
    <w:uiPriority w:val="48"/>
    <w:qFormat/>
    <w:rsid w:val="006C172D"/>
    <w:pPr>
      <w:spacing w:before="60" w:after="60"/>
    </w:pPr>
    <w:rPr>
      <w:rFonts w:ascii="Arial" w:hAnsi="Arial"/>
      <w:color w:val="FFFFFF"/>
      <w:sz w:val="19"/>
      <w:lang w:val="sv-SE" w:eastAsia="ja-JP"/>
    </w:rPr>
  </w:style>
  <w:style w:type="paragraph" w:customStyle="1" w:styleId="TableFig">
    <w:name w:val="Table Fig"/>
    <w:uiPriority w:val="43"/>
    <w:qFormat/>
    <w:rsid w:val="006C172D"/>
    <w:pPr>
      <w:spacing w:before="60" w:after="60"/>
      <w:jc w:val="center"/>
    </w:pPr>
    <w:rPr>
      <w:rFonts w:ascii="Arial" w:hAnsi="Arial"/>
      <w:sz w:val="19"/>
      <w:lang w:val="sv-SE" w:eastAsia="ja-JP"/>
    </w:rPr>
  </w:style>
  <w:style w:type="paragraph" w:customStyle="1" w:styleId="TableHeadingCentreWhite">
    <w:name w:val="Table Heading Centre_White"/>
    <w:basedOn w:val="THWhite"/>
    <w:uiPriority w:val="49"/>
    <w:rsid w:val="00C87B7F"/>
    <w:pPr>
      <w:jc w:val="center"/>
    </w:pPr>
  </w:style>
  <w:style w:type="paragraph" w:styleId="Title">
    <w:name w:val="Title"/>
    <w:basedOn w:val="Normal"/>
    <w:uiPriority w:val="49"/>
    <w:rsid w:val="001E0292"/>
    <w:pPr>
      <w:spacing w:before="240"/>
      <w:jc w:val="center"/>
      <w:outlineLvl w:val="0"/>
    </w:pPr>
    <w:rPr>
      <w:b/>
      <w:bCs/>
      <w:kern w:val="28"/>
      <w:sz w:val="32"/>
      <w:szCs w:val="32"/>
    </w:rPr>
  </w:style>
  <w:style w:type="paragraph" w:styleId="NoteHeading">
    <w:name w:val="Note Heading"/>
    <w:basedOn w:val="Normal"/>
    <w:next w:val="Normal"/>
    <w:uiPriority w:val="49"/>
    <w:semiHidden/>
    <w:rsid w:val="00E43744"/>
  </w:style>
  <w:style w:type="paragraph" w:customStyle="1" w:styleId="TableHeading">
    <w:name w:val="Table Heading"/>
    <w:next w:val="TableText"/>
    <w:uiPriority w:val="45"/>
    <w:qFormat/>
    <w:rsid w:val="006C172D"/>
    <w:pPr>
      <w:keepNext/>
      <w:keepLines/>
      <w:spacing w:before="60" w:after="60"/>
    </w:pPr>
    <w:rPr>
      <w:rFonts w:ascii="Arial" w:hAnsi="Arial"/>
      <w:color w:val="045411"/>
      <w:sz w:val="19"/>
      <w:lang w:eastAsia="ja-JP"/>
    </w:rPr>
  </w:style>
  <w:style w:type="paragraph" w:customStyle="1" w:styleId="NotesPage">
    <w:name w:val="Notes Page"/>
    <w:uiPriority w:val="49"/>
    <w:rsid w:val="00E43744"/>
    <w:pPr>
      <w:keepNext/>
      <w:keepLines/>
      <w:pageBreakBefore/>
      <w:spacing w:after="360" w:line="480" w:lineRule="atLeast"/>
    </w:pPr>
    <w:rPr>
      <w:rFonts w:ascii="Arial" w:hAnsi="Arial" w:cs="Arial"/>
      <w:color w:val="045411"/>
      <w:kern w:val="32"/>
      <w:sz w:val="34"/>
      <w:szCs w:val="34"/>
      <w:lang w:eastAsia="ja-JP"/>
    </w:rPr>
  </w:style>
  <w:style w:type="paragraph" w:styleId="TableofAuthorities">
    <w:name w:val="table of authorities"/>
    <w:basedOn w:val="Normal"/>
    <w:next w:val="Normal"/>
    <w:uiPriority w:val="49"/>
    <w:semiHidden/>
    <w:rsid w:val="00E43744"/>
    <w:pPr>
      <w:ind w:left="180" w:hanging="180"/>
    </w:pPr>
  </w:style>
  <w:style w:type="paragraph" w:customStyle="1" w:styleId="TOC-Heading1NoNumbering">
    <w:name w:val="TOC - Heading 1_No Numbering"/>
    <w:basedOn w:val="Heading1NoNumbering"/>
    <w:uiPriority w:val="49"/>
    <w:rsid w:val="00D068DB"/>
  </w:style>
  <w:style w:type="paragraph" w:customStyle="1" w:styleId="H1">
    <w:name w:val="H1"/>
    <w:basedOn w:val="Heading1"/>
    <w:uiPriority w:val="10"/>
    <w:qFormat/>
    <w:rsid w:val="006C172D"/>
    <w:pPr>
      <w:numPr>
        <w:numId w:val="0"/>
      </w:numPr>
    </w:pPr>
  </w:style>
  <w:style w:type="paragraph" w:customStyle="1" w:styleId="BNYMellonLogo">
    <w:name w:val="BNY Mellon Logo"/>
    <w:next w:val="BodyText"/>
    <w:uiPriority w:val="49"/>
    <w:semiHidden/>
    <w:rsid w:val="00E43744"/>
    <w:pPr>
      <w:spacing w:before="3500"/>
    </w:pPr>
    <w:rPr>
      <w:rFonts w:ascii="Arial" w:hAnsi="Arial"/>
      <w:sz w:val="18"/>
      <w:lang w:eastAsia="ja-JP"/>
    </w:rPr>
  </w:style>
  <w:style w:type="paragraph" w:customStyle="1" w:styleId="H2">
    <w:name w:val="H2"/>
    <w:basedOn w:val="Heading2"/>
    <w:uiPriority w:val="12"/>
    <w:qFormat/>
    <w:rsid w:val="006C172D"/>
    <w:pPr>
      <w:numPr>
        <w:ilvl w:val="0"/>
        <w:numId w:val="0"/>
      </w:numPr>
    </w:pPr>
  </w:style>
  <w:style w:type="paragraph" w:customStyle="1" w:styleId="Heading3-NoNumber">
    <w:name w:val="Heading 3 - No Number"/>
    <w:aliases w:val="H3"/>
    <w:basedOn w:val="Heading3"/>
    <w:uiPriority w:val="13"/>
    <w:qFormat/>
    <w:rsid w:val="006C172D"/>
    <w:pPr>
      <w:numPr>
        <w:ilvl w:val="0"/>
        <w:numId w:val="0"/>
      </w:numPr>
    </w:pPr>
  </w:style>
  <w:style w:type="paragraph" w:customStyle="1" w:styleId="Heading4-NoNumbering">
    <w:name w:val="Heading 4 - No Numbering"/>
    <w:aliases w:val="H4"/>
    <w:basedOn w:val="Heading4"/>
    <w:link w:val="Heading4-NoNumberingChar"/>
    <w:uiPriority w:val="14"/>
    <w:qFormat/>
    <w:rsid w:val="006C172D"/>
    <w:pPr>
      <w:numPr>
        <w:ilvl w:val="0"/>
        <w:numId w:val="0"/>
      </w:numPr>
    </w:pPr>
  </w:style>
  <w:style w:type="character" w:customStyle="1" w:styleId="Heading4-NoNumberingChar">
    <w:name w:val="Heading 4 - No Numbering Char"/>
    <w:aliases w:val="H4 Char"/>
    <w:link w:val="Heading4-NoNumbering"/>
    <w:uiPriority w:val="14"/>
    <w:rsid w:val="00CC774E"/>
    <w:rPr>
      <w:rFonts w:ascii="Arial" w:hAnsi="Arial" w:cs="Arial"/>
      <w:color w:val="005F2D"/>
      <w:sz w:val="19"/>
      <w:szCs w:val="19"/>
      <w:lang w:eastAsia="ja-JP"/>
    </w:rPr>
  </w:style>
  <w:style w:type="character" w:customStyle="1" w:styleId="ListBullet2Char">
    <w:name w:val="List Bullet 2 Char"/>
    <w:link w:val="ListBullet2"/>
    <w:uiPriority w:val="24"/>
    <w:rsid w:val="009B5F36"/>
    <w:rPr>
      <w:rFonts w:ascii="Arial" w:hAnsi="Arial"/>
      <w:sz w:val="19"/>
      <w:lang w:eastAsia="ja-JP"/>
    </w:rPr>
  </w:style>
  <w:style w:type="character" w:customStyle="1" w:styleId="ListBullet3Char">
    <w:name w:val="List Bullet 3 Char"/>
    <w:link w:val="ListBullet3"/>
    <w:uiPriority w:val="25"/>
    <w:rsid w:val="00CC774E"/>
    <w:rPr>
      <w:rFonts w:ascii="Arial" w:hAnsi="Arial"/>
      <w:sz w:val="19"/>
      <w:lang w:eastAsia="ja-JP"/>
    </w:rPr>
  </w:style>
  <w:style w:type="paragraph" w:customStyle="1" w:styleId="Coverpagedisclaimer">
    <w:name w:val="Cover page disclaimer"/>
    <w:basedOn w:val="Heading4-NoNumbering"/>
    <w:uiPriority w:val="49"/>
    <w:rsid w:val="00D8522E"/>
    <w:pPr>
      <w:keepNext w:val="0"/>
      <w:keepLines w:val="0"/>
      <w:spacing w:after="240" w:line="240" w:lineRule="auto"/>
      <w:ind w:left="-51" w:right="-51"/>
    </w:pPr>
    <w:rPr>
      <w:sz w:val="16"/>
      <w:szCs w:val="18"/>
    </w:rPr>
  </w:style>
  <w:style w:type="paragraph" w:customStyle="1" w:styleId="PageHeading">
    <w:name w:val="Page Heading"/>
    <w:basedOn w:val="Normal"/>
    <w:uiPriority w:val="22"/>
    <w:qFormat/>
    <w:rsid w:val="003E369C"/>
    <w:pPr>
      <w:pageBreakBefore/>
      <w:spacing w:before="0" w:after="360" w:line="480" w:lineRule="atLeast"/>
    </w:pPr>
    <w:rPr>
      <w:color w:val="045411"/>
      <w:sz w:val="34"/>
    </w:rPr>
  </w:style>
  <w:style w:type="paragraph" w:styleId="FootnoteText">
    <w:name w:val="footnote text"/>
    <w:basedOn w:val="Normal"/>
    <w:link w:val="FootnoteTextChar"/>
    <w:uiPriority w:val="99"/>
    <w:rsid w:val="00F021BA"/>
    <w:rPr>
      <w:sz w:val="20"/>
    </w:rPr>
  </w:style>
  <w:style w:type="character" w:customStyle="1" w:styleId="FootnoteTextChar">
    <w:name w:val="Footnote Text Char"/>
    <w:link w:val="FootnoteText"/>
    <w:uiPriority w:val="99"/>
    <w:rsid w:val="00F021BA"/>
    <w:rPr>
      <w:rFonts w:ascii="Arial" w:hAnsi="Arial"/>
      <w:lang w:eastAsia="ja-JP"/>
    </w:rPr>
  </w:style>
  <w:style w:type="character" w:styleId="FootnoteReference">
    <w:name w:val="footnote reference"/>
    <w:uiPriority w:val="99"/>
    <w:rsid w:val="00F021BA"/>
    <w:rPr>
      <w:vertAlign w:val="superscript"/>
    </w:rPr>
  </w:style>
  <w:style w:type="character" w:customStyle="1" w:styleId="BodyTextChar">
    <w:name w:val="Body Text Char"/>
    <w:link w:val="BodyText"/>
    <w:uiPriority w:val="6"/>
    <w:rsid w:val="00C3089C"/>
    <w:rPr>
      <w:rFonts w:ascii="Arial" w:hAnsi="Arial"/>
      <w:sz w:val="19"/>
      <w:lang w:eastAsia="ja-JP"/>
    </w:rPr>
  </w:style>
  <w:style w:type="paragraph" w:styleId="BalloonText">
    <w:name w:val="Balloon Text"/>
    <w:basedOn w:val="Normal"/>
    <w:link w:val="BalloonTextChar"/>
    <w:uiPriority w:val="49"/>
    <w:rsid w:val="00657F0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49"/>
    <w:rsid w:val="00657F0A"/>
    <w:rPr>
      <w:rFonts w:ascii="Tahoma" w:hAnsi="Tahoma" w:cs="Tahoma"/>
      <w:sz w:val="16"/>
      <w:szCs w:val="16"/>
      <w:lang w:eastAsia="ja-JP"/>
    </w:rPr>
  </w:style>
  <w:style w:type="paragraph" w:customStyle="1" w:styleId="Coverdisclaimer">
    <w:name w:val="Cover disclaimer"/>
    <w:basedOn w:val="Normal"/>
    <w:link w:val="CoverdisclaimerChar"/>
    <w:rsid w:val="00D3585C"/>
    <w:pPr>
      <w:framePr w:w="9072" w:hSpace="181" w:wrap="around" w:vAnchor="page" w:hAnchor="page" w:x="1878" w:y="517" w:anchorLock="1"/>
      <w:spacing w:before="0" w:after="0"/>
      <w:jc w:val="right"/>
    </w:pPr>
    <w:rPr>
      <w:rFonts w:cs="Arial"/>
      <w:color w:val="045411"/>
      <w:sz w:val="16"/>
      <w:szCs w:val="18"/>
    </w:rPr>
  </w:style>
  <w:style w:type="character" w:customStyle="1" w:styleId="CoverdisclaimerChar">
    <w:name w:val="Cover disclaimer Char"/>
    <w:link w:val="Coverdisclaimer"/>
    <w:rsid w:val="00D3585C"/>
    <w:rPr>
      <w:rFonts w:ascii="Arial" w:hAnsi="Arial" w:cs="Arial"/>
      <w:color w:val="045411"/>
      <w:sz w:val="16"/>
      <w:szCs w:val="18"/>
      <w:lang w:eastAsia="ja-JP"/>
    </w:rPr>
  </w:style>
  <w:style w:type="paragraph" w:styleId="CommentText">
    <w:name w:val="annotation text"/>
    <w:basedOn w:val="Normal"/>
    <w:link w:val="CommentTextChar"/>
    <w:uiPriority w:val="99"/>
    <w:rsid w:val="006276D7"/>
    <w:pPr>
      <w:spacing w:before="0" w:after="130" w:line="260" w:lineRule="atLeast"/>
    </w:pPr>
    <w:rPr>
      <w:rFonts w:eastAsia="Times New Roman"/>
      <w:sz w:val="20"/>
      <w:lang w:eastAsia="en-US"/>
    </w:rPr>
  </w:style>
  <w:style w:type="character" w:customStyle="1" w:styleId="CommentTextChar">
    <w:name w:val="Comment Text Char"/>
    <w:basedOn w:val="DefaultParagraphFont"/>
    <w:link w:val="CommentText"/>
    <w:uiPriority w:val="99"/>
    <w:rsid w:val="006276D7"/>
    <w:rPr>
      <w:rFonts w:ascii="Arial" w:eastAsia="Times New Roman" w:hAnsi="Arial"/>
      <w:lang w:eastAsia="en-US"/>
    </w:rPr>
  </w:style>
  <w:style w:type="paragraph" w:styleId="ListParagraph">
    <w:name w:val="List Paragraph"/>
    <w:basedOn w:val="Normal"/>
    <w:uiPriority w:val="99"/>
    <w:qFormat/>
    <w:rsid w:val="006276D7"/>
    <w:pPr>
      <w:spacing w:before="0" w:after="130" w:line="260" w:lineRule="atLeast"/>
      <w:ind w:left="720"/>
      <w:contextualSpacing/>
    </w:pPr>
    <w:rPr>
      <w:rFonts w:eastAsia="Times New Roman"/>
      <w:sz w:val="20"/>
      <w:lang w:eastAsia="en-US"/>
    </w:rPr>
  </w:style>
  <w:style w:type="paragraph" w:customStyle="1" w:styleId="Default">
    <w:name w:val="Default"/>
    <w:rsid w:val="006276D7"/>
    <w:pPr>
      <w:autoSpaceDE w:val="0"/>
      <w:autoSpaceDN w:val="0"/>
      <w:adjustRightInd w:val="0"/>
    </w:pPr>
    <w:rPr>
      <w:rFonts w:ascii="Calibri" w:eastAsiaTheme="minorHAnsi" w:hAnsi="Calibri" w:cs="Calibri"/>
      <w:color w:val="000000"/>
      <w:sz w:val="24"/>
      <w:szCs w:val="24"/>
      <w:lang w:eastAsia="en-US"/>
    </w:rPr>
  </w:style>
  <w:style w:type="character" w:styleId="CommentReference">
    <w:name w:val="annotation reference"/>
    <w:basedOn w:val="DefaultParagraphFont"/>
    <w:uiPriority w:val="99"/>
    <w:unhideWhenUsed/>
    <w:rsid w:val="006276D7"/>
    <w:rPr>
      <w:sz w:val="16"/>
      <w:szCs w:val="16"/>
    </w:rPr>
  </w:style>
  <w:style w:type="paragraph" w:styleId="CommentSubject">
    <w:name w:val="annotation subject"/>
    <w:basedOn w:val="CommentText"/>
    <w:next w:val="CommentText"/>
    <w:link w:val="CommentSubjectChar"/>
    <w:uiPriority w:val="49"/>
    <w:rsid w:val="006276D7"/>
    <w:pPr>
      <w:spacing w:before="60" w:after="60" w:line="240" w:lineRule="auto"/>
    </w:pPr>
    <w:rPr>
      <w:rFonts w:eastAsia="MS Mincho"/>
      <w:b/>
      <w:bCs/>
      <w:lang w:eastAsia="ja-JP"/>
    </w:rPr>
  </w:style>
  <w:style w:type="character" w:customStyle="1" w:styleId="CommentSubjectChar">
    <w:name w:val="Comment Subject Char"/>
    <w:basedOn w:val="CommentTextChar"/>
    <w:link w:val="CommentSubject"/>
    <w:uiPriority w:val="49"/>
    <w:rsid w:val="006276D7"/>
    <w:rPr>
      <w:rFonts w:ascii="Arial" w:eastAsia="Times New Roman" w:hAnsi="Arial"/>
      <w:b/>
      <w:bCs/>
      <w:lang w:eastAsia="ja-JP"/>
    </w:rPr>
  </w:style>
  <w:style w:type="paragraph" w:styleId="Revision">
    <w:name w:val="Revision"/>
    <w:hidden/>
    <w:uiPriority w:val="99"/>
    <w:semiHidden/>
    <w:rsid w:val="006E1F40"/>
    <w:rPr>
      <w:rFonts w:ascii="Arial" w:hAnsi="Arial"/>
      <w:sz w:val="19"/>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16991">
      <w:bodyDiv w:val="1"/>
      <w:marLeft w:val="0"/>
      <w:marRight w:val="0"/>
      <w:marTop w:val="0"/>
      <w:marBottom w:val="0"/>
      <w:divBdr>
        <w:top w:val="none" w:sz="0" w:space="0" w:color="auto"/>
        <w:left w:val="none" w:sz="0" w:space="0" w:color="auto"/>
        <w:bottom w:val="none" w:sz="0" w:space="0" w:color="auto"/>
        <w:right w:val="none" w:sz="0" w:space="0" w:color="auto"/>
      </w:divBdr>
    </w:div>
    <w:div w:id="103666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sightinvestment.com/"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Apps\Programs\Templates\2010\Templates\Insight%20Investment%20RFP%20template%2020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DAC9F-3E05-46E6-873E-28A52CAE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Insight Investment RFP template 2015.dotm</Template>
  <TotalTime>4</TotalTime>
  <Pages>8</Pages>
  <Words>3365</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Normal</vt:lpstr>
    </vt:vector>
  </TitlesOfParts>
  <Company>Insight Investment</Company>
  <LinksUpToDate>false</LinksUpToDate>
  <CharactersWithSpaces>21768</CharactersWithSpaces>
  <SharedDoc>false</SharedDoc>
  <HLinks>
    <vt:vector size="36" baseType="variant">
      <vt:variant>
        <vt:i4>4325393</vt:i4>
      </vt:variant>
      <vt:variant>
        <vt:i4>30</vt:i4>
      </vt:variant>
      <vt:variant>
        <vt:i4>0</vt:i4>
      </vt:variant>
      <vt:variant>
        <vt:i4>5</vt:i4>
      </vt:variant>
      <vt:variant>
        <vt:lpwstr>http://www.insightinvestment.com/</vt:lpwstr>
      </vt:variant>
      <vt:variant>
        <vt:lpwstr/>
      </vt:variant>
      <vt:variant>
        <vt:i4>7864348</vt:i4>
      </vt:variant>
      <vt:variant>
        <vt:i4>27</vt:i4>
      </vt:variant>
      <vt:variant>
        <vt:i4>0</vt:i4>
      </vt:variant>
      <vt:variant>
        <vt:i4>5</vt:i4>
      </vt:variant>
      <vt:variant>
        <vt:lpwstr>mailto:contact.name@insightinvestment.com</vt:lpwstr>
      </vt:variant>
      <vt:variant>
        <vt:lpwstr/>
      </vt:variant>
      <vt:variant>
        <vt:i4>1507376</vt:i4>
      </vt:variant>
      <vt:variant>
        <vt:i4>20</vt:i4>
      </vt:variant>
      <vt:variant>
        <vt:i4>0</vt:i4>
      </vt:variant>
      <vt:variant>
        <vt:i4>5</vt:i4>
      </vt:variant>
      <vt:variant>
        <vt:lpwstr/>
      </vt:variant>
      <vt:variant>
        <vt:lpwstr>_Toc302655437</vt:lpwstr>
      </vt:variant>
      <vt:variant>
        <vt:i4>1507376</vt:i4>
      </vt:variant>
      <vt:variant>
        <vt:i4>14</vt:i4>
      </vt:variant>
      <vt:variant>
        <vt:i4>0</vt:i4>
      </vt:variant>
      <vt:variant>
        <vt:i4>5</vt:i4>
      </vt:variant>
      <vt:variant>
        <vt:lpwstr/>
      </vt:variant>
      <vt:variant>
        <vt:lpwstr>_Toc302655436</vt:lpwstr>
      </vt:variant>
      <vt:variant>
        <vt:i4>1507376</vt:i4>
      </vt:variant>
      <vt:variant>
        <vt:i4>8</vt:i4>
      </vt:variant>
      <vt:variant>
        <vt:i4>0</vt:i4>
      </vt:variant>
      <vt:variant>
        <vt:i4>5</vt:i4>
      </vt:variant>
      <vt:variant>
        <vt:lpwstr/>
      </vt:variant>
      <vt:variant>
        <vt:lpwstr>_Toc302655435</vt:lpwstr>
      </vt:variant>
      <vt:variant>
        <vt:i4>1507376</vt:i4>
      </vt:variant>
      <vt:variant>
        <vt:i4>2</vt:i4>
      </vt:variant>
      <vt:variant>
        <vt:i4>0</vt:i4>
      </vt:variant>
      <vt:variant>
        <vt:i4>5</vt:i4>
      </vt:variant>
      <vt:variant>
        <vt:lpwstr/>
      </vt:variant>
      <vt:variant>
        <vt:lpwstr>_Toc302655434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creator>Phil Craig</dc:creator>
  <cp:lastModifiedBy>Indra, Vanaja (Insight Investment)</cp:lastModifiedBy>
  <cp:revision>3</cp:revision>
  <cp:lastPrinted>2012-12-28T13:49:00Z</cp:lastPrinted>
  <dcterms:created xsi:type="dcterms:W3CDTF">2015-07-09T15:53:00Z</dcterms:created>
  <dcterms:modified xsi:type="dcterms:W3CDTF">2015-07-09T15:58:00Z</dcterms:modified>
</cp:coreProperties>
</file>