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10EC" w:rsidRDefault="004510EC" w:rsidP="00745306">
      <w:pPr>
        <w:jc w:val="both"/>
        <w:rPr>
          <w:b/>
          <w:lang w:val="en-GB"/>
        </w:rPr>
      </w:pPr>
      <w:bookmarkStart w:id="0" w:name="_GoBack"/>
      <w:bookmarkEnd w:id="0"/>
      <w:r>
        <w:rPr>
          <w:b/>
          <w:lang w:val="en-GB"/>
        </w:rPr>
        <w:t>Appendix A</w:t>
      </w:r>
      <w:r w:rsidR="009A2F88">
        <w:rPr>
          <w:b/>
          <w:lang w:val="en-GB"/>
        </w:rPr>
        <w:t>: Practica</w:t>
      </w:r>
      <w:r w:rsidR="0077420F">
        <w:rPr>
          <w:b/>
          <w:lang w:val="en-GB"/>
        </w:rPr>
        <w:t>l</w:t>
      </w:r>
      <w:r w:rsidR="009A2F88">
        <w:rPr>
          <w:b/>
          <w:lang w:val="en-GB"/>
        </w:rPr>
        <w:t xml:space="preserve"> implications of certain elements of the EBA</w:t>
      </w:r>
      <w:r w:rsidR="005F16D2">
        <w:rPr>
          <w:b/>
          <w:lang w:val="en-GB"/>
        </w:rPr>
        <w:t>’s</w:t>
      </w:r>
      <w:r w:rsidR="009A2F88">
        <w:rPr>
          <w:b/>
          <w:lang w:val="en-GB"/>
        </w:rPr>
        <w:t xml:space="preserve"> approach</w:t>
      </w:r>
    </w:p>
    <w:p w:rsidR="004510EC" w:rsidRPr="0077420F" w:rsidRDefault="004510EC" w:rsidP="00745306">
      <w:pPr>
        <w:jc w:val="both"/>
        <w:rPr>
          <w:lang w:val="en-GB"/>
        </w:rPr>
      </w:pPr>
      <w:r w:rsidRPr="0077420F">
        <w:rPr>
          <w:lang w:val="en-GB"/>
        </w:rPr>
        <w:t xml:space="preserve">While we strongly </w:t>
      </w:r>
      <w:r w:rsidR="00481C8C" w:rsidRPr="00481C8C">
        <w:rPr>
          <w:lang w:val="en-GB"/>
        </w:rPr>
        <w:t>believe</w:t>
      </w:r>
      <w:r w:rsidRPr="0077420F">
        <w:rPr>
          <w:lang w:val="en-GB"/>
        </w:rPr>
        <w:t xml:space="preserve"> </w:t>
      </w:r>
      <w:r>
        <w:rPr>
          <w:lang w:val="en-GB"/>
        </w:rPr>
        <w:t xml:space="preserve">that </w:t>
      </w:r>
      <w:r w:rsidRPr="0077420F">
        <w:rPr>
          <w:lang w:val="en-GB"/>
        </w:rPr>
        <w:t>private equity funds are not shadow banking entities and should not be caught by the EBA</w:t>
      </w:r>
      <w:r w:rsidR="005F16D2">
        <w:rPr>
          <w:lang w:val="en-GB"/>
        </w:rPr>
        <w:t>’s</w:t>
      </w:r>
      <w:r w:rsidRPr="0077420F">
        <w:rPr>
          <w:lang w:val="en-GB"/>
        </w:rPr>
        <w:t xml:space="preserve"> definition</w:t>
      </w:r>
      <w:r w:rsidR="000B149C">
        <w:rPr>
          <w:lang w:val="en-GB"/>
        </w:rPr>
        <w:t xml:space="preserve"> and the EBA Guidelines</w:t>
      </w:r>
      <w:r w:rsidR="00481C8C">
        <w:rPr>
          <w:lang w:val="en-GB"/>
        </w:rPr>
        <w:t>,</w:t>
      </w:r>
      <w:r w:rsidRPr="0077420F">
        <w:rPr>
          <w:lang w:val="en-GB"/>
        </w:rPr>
        <w:t xml:space="preserve"> we </w:t>
      </w:r>
      <w:r w:rsidR="0077420F">
        <w:rPr>
          <w:lang w:val="en-GB"/>
        </w:rPr>
        <w:t>nonetheless</w:t>
      </w:r>
      <w:r w:rsidR="00481C8C">
        <w:rPr>
          <w:lang w:val="en-GB"/>
        </w:rPr>
        <w:t xml:space="preserve"> </w:t>
      </w:r>
      <w:r w:rsidR="00403BB0">
        <w:rPr>
          <w:lang w:val="en-GB"/>
        </w:rPr>
        <w:t xml:space="preserve">encourage the EBA to consider the practical difficulties of </w:t>
      </w:r>
      <w:r w:rsidR="00481C8C">
        <w:rPr>
          <w:lang w:val="en-GB"/>
        </w:rPr>
        <w:t xml:space="preserve">certain elements of </w:t>
      </w:r>
      <w:r w:rsidR="00403BB0">
        <w:rPr>
          <w:lang w:val="en-GB"/>
        </w:rPr>
        <w:t>the approach</w:t>
      </w:r>
      <w:r w:rsidR="00896BD7">
        <w:rPr>
          <w:lang w:val="en-GB"/>
        </w:rPr>
        <w:t xml:space="preserve"> suggested in the consultation paper</w:t>
      </w:r>
      <w:r w:rsidR="00481C8C">
        <w:rPr>
          <w:lang w:val="en-GB"/>
        </w:rPr>
        <w:t xml:space="preserve">. </w:t>
      </w:r>
    </w:p>
    <w:p w:rsidR="004510EC" w:rsidRDefault="004510EC" w:rsidP="0077420F">
      <w:pPr>
        <w:pStyle w:val="ListParagraph"/>
        <w:numPr>
          <w:ilvl w:val="0"/>
          <w:numId w:val="16"/>
        </w:numPr>
        <w:ind w:left="284" w:hanging="295"/>
        <w:jc w:val="both"/>
        <w:rPr>
          <w:b/>
          <w:lang w:val="en-GB"/>
        </w:rPr>
      </w:pPr>
      <w:r>
        <w:rPr>
          <w:b/>
          <w:lang w:val="en-GB"/>
        </w:rPr>
        <w:t>Inclusion of a "no fire-sale" provision</w:t>
      </w:r>
    </w:p>
    <w:p w:rsidR="004510EC" w:rsidRDefault="004510EC" w:rsidP="004510EC">
      <w:pPr>
        <w:ind w:left="-11"/>
        <w:jc w:val="both"/>
        <w:rPr>
          <w:lang w:val="en-GB"/>
        </w:rPr>
      </w:pPr>
      <w:r>
        <w:rPr>
          <w:lang w:val="en-GB"/>
        </w:rPr>
        <w:t xml:space="preserve">We note that in the EBA's discussion of the principal and </w:t>
      </w:r>
      <w:proofErr w:type="spellStart"/>
      <w:r>
        <w:rPr>
          <w:lang w:val="en-GB"/>
        </w:rPr>
        <w:t>fallback</w:t>
      </w:r>
      <w:proofErr w:type="spellEnd"/>
      <w:r>
        <w:rPr>
          <w:lang w:val="en-GB"/>
        </w:rPr>
        <w:t xml:space="preserve"> approaches in the Guidelines, the EBA states that the "</w:t>
      </w:r>
      <w:r w:rsidRPr="00C23AA2">
        <w:rPr>
          <w:lang w:val="en-GB"/>
        </w:rPr>
        <w:t>portfolio [of the relevant institution] must be adjusted</w:t>
      </w:r>
      <w:r>
        <w:rPr>
          <w:lang w:val="en-GB"/>
        </w:rPr>
        <w:t xml:space="preserve">" if the exposure limits that must be applied by the institution are lower than its current exposures.  This implies that institutions may need to sell or transfer assets, or otherwise abruptly adjust their exposures, in order to comply with the relevant limits with the Guidelines enter into effect. </w:t>
      </w:r>
    </w:p>
    <w:p w:rsidR="004510EC" w:rsidRDefault="004510EC" w:rsidP="004510EC">
      <w:pPr>
        <w:ind w:left="-11"/>
        <w:jc w:val="both"/>
        <w:rPr>
          <w:lang w:val="en-GB"/>
        </w:rPr>
      </w:pPr>
      <w:r>
        <w:rPr>
          <w:lang w:val="en-GB"/>
        </w:rPr>
        <w:t>We are concerned that this could lead to "fire-sales" of assets and/or sudden reductions in exposures to clients or counterparties which could cause significant market disruption.  We would suggest that the EBA should include a "no fire-sale" provision in the Guidelines which is based on a similar provision included in Recital 69 and Article 54 the Alternative Fund Managers Directive Level 2 Regulation (Commission Delegated Regulation (EU) No. 231/2013) in connection with securitisation retention requirements.  Our suggested drafting for such a provision is as follows:</w:t>
      </w:r>
    </w:p>
    <w:p w:rsidR="004510EC" w:rsidRPr="005B14A0" w:rsidRDefault="004510EC" w:rsidP="004510EC">
      <w:pPr>
        <w:ind w:left="-11"/>
        <w:jc w:val="both"/>
        <w:rPr>
          <w:i/>
          <w:lang w:val="en-GB"/>
        </w:rPr>
      </w:pPr>
      <w:r>
        <w:rPr>
          <w:lang w:val="en-GB"/>
        </w:rPr>
        <w:t>"</w:t>
      </w:r>
      <w:r>
        <w:rPr>
          <w:i/>
          <w:lang w:val="en-GB"/>
        </w:rPr>
        <w:t xml:space="preserve">Where the exposures of an institution exceed any applicable limit on exposures to shadow banking entities that result from the application of either the principal or </w:t>
      </w:r>
      <w:proofErr w:type="spellStart"/>
      <w:r>
        <w:rPr>
          <w:i/>
          <w:lang w:val="en-GB"/>
        </w:rPr>
        <w:t>fallback</w:t>
      </w:r>
      <w:proofErr w:type="spellEnd"/>
      <w:r>
        <w:rPr>
          <w:i/>
          <w:lang w:val="en-GB"/>
        </w:rPr>
        <w:t xml:space="preserve"> approaches, the institution shall take such corrective action as may be in its best interests.  This corrective action should not involve any direct obligation to reduce the exposure immediately after the breach of the limit has become apparent, thereby avoiding a "fire-sale" of an asset or significant disruption to the relevant client or counterparty.  The institution should take the breach into account when considering whether to incur any future exposure." </w:t>
      </w:r>
    </w:p>
    <w:p w:rsidR="004510EC" w:rsidRDefault="004510EC" w:rsidP="0077420F">
      <w:pPr>
        <w:pStyle w:val="ListParagraph"/>
        <w:numPr>
          <w:ilvl w:val="0"/>
          <w:numId w:val="16"/>
        </w:numPr>
        <w:ind w:left="426" w:hanging="437"/>
        <w:jc w:val="both"/>
        <w:rPr>
          <w:b/>
          <w:lang w:val="en-GB"/>
        </w:rPr>
      </w:pPr>
      <w:r>
        <w:rPr>
          <w:b/>
          <w:lang w:val="en-GB"/>
        </w:rPr>
        <w:t>Requirements for disclosure of information by shadow banking entities</w:t>
      </w:r>
    </w:p>
    <w:p w:rsidR="004510EC" w:rsidRDefault="004510EC" w:rsidP="004510EC">
      <w:pPr>
        <w:pStyle w:val="ListParagraph"/>
        <w:ind w:left="708"/>
        <w:jc w:val="both"/>
        <w:rPr>
          <w:b/>
          <w:lang w:val="en-GB"/>
        </w:rPr>
      </w:pPr>
    </w:p>
    <w:p w:rsidR="004510EC" w:rsidRDefault="004510EC" w:rsidP="004510EC">
      <w:pPr>
        <w:pStyle w:val="ListParagraph"/>
        <w:ind w:left="0"/>
        <w:jc w:val="both"/>
        <w:rPr>
          <w:lang w:val="en-GB"/>
        </w:rPr>
      </w:pPr>
      <w:r>
        <w:rPr>
          <w:lang w:val="en-GB"/>
        </w:rPr>
        <w:t xml:space="preserve">The Guidelines impose a number of obligations on </w:t>
      </w:r>
      <w:proofErr w:type="gramStart"/>
      <w:r>
        <w:rPr>
          <w:lang w:val="en-GB"/>
        </w:rPr>
        <w:t>institutions which</w:t>
      </w:r>
      <w:proofErr w:type="gramEnd"/>
      <w:r>
        <w:rPr>
          <w:lang w:val="en-GB"/>
        </w:rPr>
        <w:t xml:space="preserve"> are likely to require them to obtain very detailed information from shadow banking entities to whom they have exposures.  These include:</w:t>
      </w:r>
    </w:p>
    <w:p w:rsidR="004510EC" w:rsidRDefault="004510EC" w:rsidP="004510EC">
      <w:pPr>
        <w:pStyle w:val="ListParagraph"/>
        <w:ind w:left="0"/>
        <w:jc w:val="both"/>
        <w:rPr>
          <w:lang w:val="en-GB"/>
        </w:rPr>
      </w:pPr>
    </w:p>
    <w:p w:rsidR="004510EC" w:rsidRDefault="004510EC" w:rsidP="004510EC">
      <w:pPr>
        <w:pStyle w:val="ListParagraph"/>
        <w:numPr>
          <w:ilvl w:val="0"/>
          <w:numId w:val="15"/>
        </w:numPr>
        <w:jc w:val="both"/>
        <w:rPr>
          <w:lang w:val="en-GB"/>
        </w:rPr>
      </w:pPr>
      <w:r>
        <w:rPr>
          <w:lang w:val="en-GB"/>
        </w:rPr>
        <w:t>The identification of all potential risks resulting from individual exposures to shadow banking entities;</w:t>
      </w:r>
    </w:p>
    <w:p w:rsidR="004510EC" w:rsidRDefault="004510EC" w:rsidP="004510EC">
      <w:pPr>
        <w:pStyle w:val="ListParagraph"/>
        <w:numPr>
          <w:ilvl w:val="0"/>
          <w:numId w:val="15"/>
        </w:numPr>
        <w:jc w:val="both"/>
        <w:rPr>
          <w:lang w:val="en-GB"/>
        </w:rPr>
      </w:pPr>
      <w:r>
        <w:rPr>
          <w:lang w:val="en-GB"/>
        </w:rPr>
        <w:t>The application of the institution's internal risk management framework, with analyses of the business of the shadow banking entity performed by risk officers;</w:t>
      </w:r>
    </w:p>
    <w:p w:rsidR="004510EC" w:rsidRDefault="004510EC" w:rsidP="004510EC">
      <w:pPr>
        <w:pStyle w:val="ListParagraph"/>
        <w:numPr>
          <w:ilvl w:val="0"/>
          <w:numId w:val="15"/>
        </w:numPr>
        <w:jc w:val="both"/>
        <w:rPr>
          <w:lang w:val="en-GB"/>
        </w:rPr>
      </w:pPr>
      <w:r>
        <w:rPr>
          <w:lang w:val="en-GB"/>
        </w:rPr>
        <w:t>The identification of the risks arising from exposures to shadow banking entities in the institution's ICAAP and capital planning;</w:t>
      </w:r>
    </w:p>
    <w:p w:rsidR="004510EC" w:rsidRDefault="004510EC" w:rsidP="004510EC">
      <w:pPr>
        <w:pStyle w:val="ListParagraph"/>
        <w:numPr>
          <w:ilvl w:val="0"/>
          <w:numId w:val="15"/>
        </w:numPr>
        <w:jc w:val="both"/>
        <w:rPr>
          <w:lang w:val="en-GB"/>
        </w:rPr>
      </w:pPr>
      <w:r>
        <w:rPr>
          <w:lang w:val="en-GB"/>
        </w:rPr>
        <w:t>The identification of interconnectedness between shadow banking entities themselves and between shadow banking entities and the institution, using a "robust process"; and</w:t>
      </w:r>
    </w:p>
    <w:p w:rsidR="004510EC" w:rsidRDefault="004510EC" w:rsidP="004510EC">
      <w:pPr>
        <w:pStyle w:val="ListParagraph"/>
        <w:numPr>
          <w:ilvl w:val="0"/>
          <w:numId w:val="15"/>
        </w:numPr>
        <w:jc w:val="both"/>
        <w:rPr>
          <w:lang w:val="en-GB"/>
        </w:rPr>
      </w:pPr>
      <w:r>
        <w:rPr>
          <w:lang w:val="en-GB"/>
        </w:rPr>
        <w:t>The need to use a wide range of information about the shadow banking entity in order to qualify for the more flexible principal approach.</w:t>
      </w:r>
    </w:p>
    <w:p w:rsidR="004510EC" w:rsidRDefault="004510EC" w:rsidP="004510EC">
      <w:pPr>
        <w:jc w:val="both"/>
        <w:rPr>
          <w:lang w:val="en-GB"/>
        </w:rPr>
      </w:pPr>
      <w:r>
        <w:rPr>
          <w:lang w:val="en-GB"/>
        </w:rPr>
        <w:lastRenderedPageBreak/>
        <w:t xml:space="preserve">We are concerned that it is likely to be impractical to require the disclosure by the shadow banking entity of information at this level detail.  Much of this information may be proprietary in nature and there is a possibility that the institution and the relevant shadow banking entity may be competitors in other contexts, meaning that disclosure may be harmful to the business of the shadow banking entity.  Even if there is no direct risk of competition, many shadow banking entities would still have legitimate concerns about sharing highly sensitive and confidential information with counterparties or investors who are institutions subject to the Guidelines and in certain cases, there may be legal restrictions on doing so.  </w:t>
      </w:r>
    </w:p>
    <w:p w:rsidR="004510EC" w:rsidRPr="0077420F" w:rsidRDefault="004510EC" w:rsidP="00745306">
      <w:pPr>
        <w:jc w:val="both"/>
        <w:rPr>
          <w:lang w:val="en-GB"/>
        </w:rPr>
      </w:pPr>
      <w:r>
        <w:rPr>
          <w:lang w:val="en-GB"/>
        </w:rPr>
        <w:t xml:space="preserve">To the extent that the Guidelines require institutions to use information relating to shadow banking entities as part of the risk analysis or the application of the principal or </w:t>
      </w:r>
      <w:proofErr w:type="spellStart"/>
      <w:r>
        <w:rPr>
          <w:lang w:val="en-GB"/>
        </w:rPr>
        <w:t>fallback</w:t>
      </w:r>
      <w:proofErr w:type="spellEnd"/>
      <w:r>
        <w:rPr>
          <w:lang w:val="en-GB"/>
        </w:rPr>
        <w:t xml:space="preserve"> approaches, such a requirement must be applied in a proportionate manner, taking into account the practical, legal and commercial limitations on the nature of information that can be shared between entities.  </w:t>
      </w:r>
    </w:p>
    <w:p w:rsidR="004510EC" w:rsidRPr="0035669C" w:rsidRDefault="004510EC" w:rsidP="00745306">
      <w:pPr>
        <w:jc w:val="both"/>
        <w:rPr>
          <w:b/>
          <w:lang w:val="en-GB"/>
        </w:rPr>
      </w:pPr>
    </w:p>
    <w:p w:rsidR="0013247E" w:rsidRPr="0035669C" w:rsidRDefault="0013247E" w:rsidP="00745306">
      <w:pPr>
        <w:jc w:val="both"/>
        <w:rPr>
          <w:b/>
          <w:lang w:val="en-GB"/>
        </w:rPr>
        <w:sectPr w:rsidR="0013247E" w:rsidRPr="0035669C" w:rsidSect="0013247E">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pPr>
    </w:p>
    <w:p w:rsidR="0013247E" w:rsidRPr="0035669C" w:rsidRDefault="0013247E" w:rsidP="0013247E">
      <w:pPr>
        <w:jc w:val="both"/>
        <w:rPr>
          <w:b/>
          <w:lang w:val="en-GB"/>
        </w:rPr>
      </w:pPr>
      <w:r w:rsidRPr="0035669C">
        <w:rPr>
          <w:b/>
          <w:lang w:val="en-GB"/>
        </w:rPr>
        <w:lastRenderedPageBreak/>
        <w:t>Appendix</w:t>
      </w:r>
      <w:r w:rsidR="004510EC">
        <w:rPr>
          <w:b/>
          <w:lang w:val="en-GB"/>
        </w:rPr>
        <w:t xml:space="preserve"> B</w:t>
      </w:r>
      <w:r w:rsidRPr="0035669C">
        <w:rPr>
          <w:b/>
          <w:lang w:val="en-GB"/>
        </w:rPr>
        <w:t xml:space="preserve">: </w:t>
      </w:r>
      <w:r w:rsidRPr="0035669C">
        <w:rPr>
          <w:rFonts w:cstheme="minorHAnsi"/>
          <w:b/>
          <w:lang w:val="en-GB"/>
        </w:rPr>
        <w:t>UCITS / AIFMD Overview Table</w:t>
      </w:r>
    </w:p>
    <w:tbl>
      <w:tblPr>
        <w:tblStyle w:val="TableGrid"/>
        <w:tblpPr w:leftFromText="141" w:rightFromText="141" w:vertAnchor="text" w:tblpY="1"/>
        <w:tblOverlap w:val="never"/>
        <w:tblW w:w="0" w:type="auto"/>
        <w:tblLook w:val="04A0" w:firstRow="1" w:lastRow="0" w:firstColumn="1" w:lastColumn="0" w:noHBand="0" w:noVBand="1"/>
      </w:tblPr>
      <w:tblGrid>
        <w:gridCol w:w="2234"/>
        <w:gridCol w:w="9071"/>
        <w:gridCol w:w="2913"/>
      </w:tblGrid>
      <w:tr w:rsidR="0013247E" w:rsidRPr="0035669C" w:rsidTr="0013247E">
        <w:trPr>
          <w:cantSplit/>
          <w:trHeight w:val="278"/>
          <w:tblHeader/>
        </w:trPr>
        <w:tc>
          <w:tcPr>
            <w:tcW w:w="2235"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13247E" w:rsidRPr="0035669C" w:rsidRDefault="0013247E">
            <w:pPr>
              <w:jc w:val="center"/>
              <w:rPr>
                <w:rFonts w:cstheme="minorHAnsi"/>
                <w:b/>
                <w:sz w:val="18"/>
                <w:szCs w:val="18"/>
                <w:lang w:val="en-GB"/>
              </w:rPr>
            </w:pPr>
            <w:r w:rsidRPr="0035669C">
              <w:rPr>
                <w:rFonts w:cstheme="minorHAnsi"/>
                <w:b/>
                <w:sz w:val="18"/>
                <w:szCs w:val="18"/>
                <w:lang w:val="en-GB"/>
              </w:rPr>
              <w:t>Directive 2009/65</w:t>
            </w:r>
          </w:p>
        </w:tc>
        <w:tc>
          <w:tcPr>
            <w:tcW w:w="9072" w:type="dxa"/>
            <w:tcBorders>
              <w:top w:val="single" w:sz="4" w:space="0" w:color="auto"/>
              <w:left w:val="single" w:sz="4" w:space="0" w:color="auto"/>
              <w:bottom w:val="single" w:sz="4" w:space="0" w:color="auto"/>
              <w:right w:val="double" w:sz="4" w:space="0" w:color="auto"/>
            </w:tcBorders>
            <w:shd w:val="clear" w:color="auto" w:fill="EEECE1" w:themeFill="background2"/>
            <w:hideMark/>
          </w:tcPr>
          <w:p w:rsidR="0013247E" w:rsidRPr="0035669C" w:rsidRDefault="0013247E">
            <w:pPr>
              <w:jc w:val="center"/>
              <w:rPr>
                <w:rFonts w:cstheme="minorHAnsi"/>
                <w:b/>
                <w:sz w:val="18"/>
                <w:szCs w:val="18"/>
                <w:lang w:val="en-GB"/>
              </w:rPr>
            </w:pPr>
            <w:r w:rsidRPr="0035669C">
              <w:rPr>
                <w:rFonts w:cstheme="minorHAnsi"/>
                <w:b/>
                <w:sz w:val="18"/>
                <w:szCs w:val="18"/>
                <w:lang w:val="en-GB"/>
              </w:rPr>
              <w:t xml:space="preserve">Requirements applicable at </w:t>
            </w:r>
            <w:r w:rsidRPr="0035669C">
              <w:rPr>
                <w:rFonts w:cstheme="minorHAnsi"/>
                <w:b/>
                <w:sz w:val="18"/>
                <w:szCs w:val="18"/>
                <w:u w:val="single"/>
                <w:lang w:val="en-GB"/>
              </w:rPr>
              <w:t>fund level</w:t>
            </w:r>
          </w:p>
        </w:tc>
        <w:tc>
          <w:tcPr>
            <w:tcW w:w="2913" w:type="dxa"/>
            <w:tcBorders>
              <w:top w:val="single" w:sz="4" w:space="0" w:color="auto"/>
              <w:left w:val="double" w:sz="4" w:space="0" w:color="auto"/>
              <w:bottom w:val="single" w:sz="4" w:space="0" w:color="auto"/>
              <w:right w:val="single" w:sz="4" w:space="0" w:color="auto"/>
            </w:tcBorders>
            <w:shd w:val="clear" w:color="auto" w:fill="EEECE1" w:themeFill="background2"/>
            <w:hideMark/>
          </w:tcPr>
          <w:p w:rsidR="0013247E" w:rsidRPr="0035669C" w:rsidRDefault="0013247E">
            <w:pPr>
              <w:jc w:val="center"/>
              <w:rPr>
                <w:rFonts w:cstheme="minorHAnsi"/>
                <w:b/>
                <w:sz w:val="18"/>
                <w:szCs w:val="18"/>
                <w:lang w:val="en-GB"/>
              </w:rPr>
            </w:pPr>
            <w:r w:rsidRPr="0035669C">
              <w:rPr>
                <w:rFonts w:cstheme="minorHAnsi"/>
                <w:b/>
                <w:sz w:val="18"/>
                <w:szCs w:val="18"/>
                <w:lang w:val="en-GB"/>
              </w:rPr>
              <w:t>Directive 2011/61</w:t>
            </w:r>
          </w:p>
        </w:tc>
      </w:tr>
      <w:tr w:rsidR="0013247E" w:rsidRPr="0035669C" w:rsidTr="0013247E">
        <w:trPr>
          <w:trHeight w:val="290"/>
        </w:trPr>
        <w:tc>
          <w:tcPr>
            <w:tcW w:w="2235" w:type="dxa"/>
            <w:tcBorders>
              <w:top w:val="single" w:sz="4" w:space="0" w:color="auto"/>
              <w:left w:val="single" w:sz="4" w:space="0" w:color="auto"/>
              <w:bottom w:val="single" w:sz="4" w:space="0" w:color="auto"/>
              <w:right w:val="single" w:sz="4" w:space="0" w:color="auto"/>
            </w:tcBorders>
            <w:hideMark/>
          </w:tcPr>
          <w:p w:rsidR="0013247E" w:rsidRPr="000E5C42" w:rsidRDefault="0013247E">
            <w:pPr>
              <w:jc w:val="center"/>
              <w:rPr>
                <w:rFonts w:cstheme="minorHAnsi"/>
                <w:sz w:val="18"/>
                <w:szCs w:val="18"/>
                <w:lang w:val="en-GB"/>
              </w:rPr>
            </w:pPr>
            <w:r w:rsidRPr="000E5C42">
              <w:rPr>
                <w:rFonts w:cstheme="minorHAnsi"/>
                <w:sz w:val="18"/>
                <w:szCs w:val="18"/>
                <w:lang w:val="en-GB"/>
              </w:rPr>
              <w:t>Articles 5 and 27</w:t>
            </w:r>
          </w:p>
        </w:tc>
        <w:tc>
          <w:tcPr>
            <w:tcW w:w="9072" w:type="dxa"/>
            <w:tcBorders>
              <w:top w:val="single" w:sz="4" w:space="0" w:color="auto"/>
              <w:left w:val="single" w:sz="4" w:space="0" w:color="auto"/>
              <w:bottom w:val="single" w:sz="4" w:space="0" w:color="auto"/>
              <w:right w:val="double" w:sz="4" w:space="0" w:color="auto"/>
            </w:tcBorders>
            <w:hideMark/>
          </w:tcPr>
          <w:p w:rsidR="0013247E" w:rsidRPr="0035669C" w:rsidRDefault="0013247E">
            <w:pPr>
              <w:jc w:val="both"/>
              <w:rPr>
                <w:rFonts w:cstheme="minorHAnsi"/>
                <w:sz w:val="18"/>
                <w:szCs w:val="18"/>
                <w:lang w:val="en-GB"/>
              </w:rPr>
            </w:pPr>
            <w:r w:rsidRPr="0035669C">
              <w:rPr>
                <w:rFonts w:cstheme="minorHAnsi"/>
                <w:sz w:val="18"/>
                <w:szCs w:val="18"/>
                <w:lang w:val="en-GB"/>
              </w:rPr>
              <w:t xml:space="preserve">Prior authorisation of the UCITS is required. / Prior authorisation of the AIF internally managed required.  </w:t>
            </w:r>
          </w:p>
        </w:tc>
        <w:tc>
          <w:tcPr>
            <w:tcW w:w="2913" w:type="dxa"/>
            <w:tcBorders>
              <w:top w:val="single" w:sz="4" w:space="0" w:color="auto"/>
              <w:left w:val="double" w:sz="4" w:space="0" w:color="auto"/>
              <w:bottom w:val="single" w:sz="4" w:space="0" w:color="auto"/>
              <w:right w:val="single" w:sz="4" w:space="0" w:color="auto"/>
            </w:tcBorders>
            <w:hideMark/>
          </w:tcPr>
          <w:p w:rsidR="0013247E" w:rsidRPr="0035669C" w:rsidRDefault="0013247E">
            <w:pPr>
              <w:jc w:val="center"/>
              <w:rPr>
                <w:rFonts w:cstheme="minorHAnsi"/>
                <w:sz w:val="18"/>
                <w:szCs w:val="18"/>
                <w:lang w:val="en-GB"/>
              </w:rPr>
            </w:pPr>
            <w:r w:rsidRPr="0035669C">
              <w:rPr>
                <w:rFonts w:cstheme="minorHAnsi"/>
                <w:sz w:val="18"/>
                <w:szCs w:val="18"/>
                <w:lang w:val="en-GB"/>
              </w:rPr>
              <w:t>Article 5</w:t>
            </w:r>
          </w:p>
        </w:tc>
      </w:tr>
      <w:tr w:rsidR="0013247E" w:rsidRPr="0035669C" w:rsidTr="0013247E">
        <w:trPr>
          <w:trHeight w:val="290"/>
        </w:trPr>
        <w:tc>
          <w:tcPr>
            <w:tcW w:w="2235" w:type="dxa"/>
            <w:tcBorders>
              <w:top w:val="single" w:sz="4" w:space="0" w:color="auto"/>
              <w:left w:val="single" w:sz="4" w:space="0" w:color="auto"/>
              <w:bottom w:val="single" w:sz="4" w:space="0" w:color="auto"/>
              <w:right w:val="single" w:sz="4" w:space="0" w:color="auto"/>
            </w:tcBorders>
            <w:hideMark/>
          </w:tcPr>
          <w:p w:rsidR="0013247E" w:rsidRPr="000E5C42" w:rsidRDefault="0013247E">
            <w:pPr>
              <w:tabs>
                <w:tab w:val="center" w:pos="1080"/>
                <w:tab w:val="right" w:pos="2160"/>
              </w:tabs>
              <w:jc w:val="center"/>
              <w:rPr>
                <w:rFonts w:cstheme="minorHAnsi"/>
                <w:sz w:val="18"/>
                <w:szCs w:val="18"/>
                <w:lang w:val="en-GB"/>
              </w:rPr>
            </w:pPr>
            <w:r w:rsidRPr="000E5C42">
              <w:rPr>
                <w:rFonts w:cstheme="minorHAnsi"/>
                <w:sz w:val="18"/>
                <w:szCs w:val="18"/>
                <w:lang w:val="en-GB"/>
              </w:rPr>
              <w:t xml:space="preserve">Article 14 b </w:t>
            </w:r>
            <w:proofErr w:type="spellStart"/>
            <w:r w:rsidRPr="000E5C42">
              <w:rPr>
                <w:rFonts w:cstheme="minorHAnsi"/>
                <w:sz w:val="18"/>
                <w:szCs w:val="18"/>
                <w:lang w:val="en-GB"/>
              </w:rPr>
              <w:t>para</w:t>
            </w:r>
            <w:proofErr w:type="spellEnd"/>
            <w:r w:rsidRPr="000E5C42">
              <w:rPr>
                <w:rFonts w:cstheme="minorHAnsi"/>
                <w:sz w:val="18"/>
                <w:szCs w:val="18"/>
                <w:lang w:val="en-GB"/>
              </w:rPr>
              <w:t>. 3</w:t>
            </w:r>
          </w:p>
        </w:tc>
        <w:tc>
          <w:tcPr>
            <w:tcW w:w="9072" w:type="dxa"/>
            <w:tcBorders>
              <w:top w:val="single" w:sz="4" w:space="0" w:color="auto"/>
              <w:left w:val="single" w:sz="4" w:space="0" w:color="auto"/>
              <w:bottom w:val="single" w:sz="4" w:space="0" w:color="auto"/>
              <w:right w:val="double" w:sz="4" w:space="0" w:color="auto"/>
            </w:tcBorders>
            <w:hideMark/>
          </w:tcPr>
          <w:p w:rsidR="0013247E" w:rsidRPr="0035669C" w:rsidRDefault="0013247E">
            <w:pPr>
              <w:pStyle w:val="CM4"/>
              <w:spacing w:before="60" w:after="60"/>
              <w:jc w:val="both"/>
              <w:rPr>
                <w:rFonts w:asciiTheme="minorHAnsi" w:hAnsiTheme="minorHAnsi" w:cstheme="minorHAnsi"/>
                <w:sz w:val="18"/>
                <w:szCs w:val="18"/>
                <w:lang w:val="en-GB"/>
              </w:rPr>
            </w:pPr>
            <w:r w:rsidRPr="0035669C">
              <w:rPr>
                <w:rFonts w:asciiTheme="minorHAnsi" w:hAnsiTheme="minorHAnsi" w:cstheme="minorHAnsi"/>
                <w:sz w:val="18"/>
                <w:szCs w:val="18"/>
                <w:lang w:val="en-GB"/>
              </w:rPr>
              <w:t xml:space="preserve">Remuneration policy principles apply at fund level. </w:t>
            </w:r>
          </w:p>
        </w:tc>
        <w:tc>
          <w:tcPr>
            <w:tcW w:w="2913" w:type="dxa"/>
            <w:tcBorders>
              <w:top w:val="single" w:sz="4" w:space="0" w:color="auto"/>
              <w:left w:val="double" w:sz="4" w:space="0" w:color="auto"/>
              <w:bottom w:val="single" w:sz="4" w:space="0" w:color="auto"/>
              <w:right w:val="single" w:sz="4" w:space="0" w:color="auto"/>
            </w:tcBorders>
            <w:hideMark/>
          </w:tcPr>
          <w:p w:rsidR="0013247E" w:rsidRPr="0035669C" w:rsidRDefault="0013247E">
            <w:pPr>
              <w:jc w:val="center"/>
              <w:rPr>
                <w:rFonts w:cstheme="minorHAnsi"/>
                <w:sz w:val="18"/>
                <w:szCs w:val="18"/>
                <w:lang w:val="en-GB"/>
              </w:rPr>
            </w:pPr>
            <w:r w:rsidRPr="0035669C">
              <w:rPr>
                <w:rFonts w:cstheme="minorHAnsi"/>
                <w:sz w:val="18"/>
                <w:szCs w:val="18"/>
                <w:lang w:val="en-GB"/>
              </w:rPr>
              <w:t>Article 13</w:t>
            </w:r>
          </w:p>
        </w:tc>
      </w:tr>
      <w:tr w:rsidR="0013247E" w:rsidRPr="00254E73" w:rsidTr="0013247E">
        <w:trPr>
          <w:trHeight w:val="290"/>
        </w:trPr>
        <w:tc>
          <w:tcPr>
            <w:tcW w:w="2235" w:type="dxa"/>
            <w:tcBorders>
              <w:top w:val="single" w:sz="4" w:space="0" w:color="auto"/>
              <w:left w:val="single" w:sz="4" w:space="0" w:color="auto"/>
              <w:bottom w:val="single" w:sz="4" w:space="0" w:color="auto"/>
              <w:right w:val="single" w:sz="4" w:space="0" w:color="auto"/>
            </w:tcBorders>
            <w:hideMark/>
          </w:tcPr>
          <w:p w:rsidR="0013247E" w:rsidRPr="000E5C42" w:rsidRDefault="0013247E">
            <w:pPr>
              <w:tabs>
                <w:tab w:val="center" w:pos="1080"/>
                <w:tab w:val="right" w:pos="2160"/>
              </w:tabs>
              <w:jc w:val="center"/>
              <w:rPr>
                <w:rFonts w:cstheme="minorHAnsi"/>
                <w:sz w:val="18"/>
                <w:szCs w:val="18"/>
                <w:lang w:val="en-GB"/>
              </w:rPr>
            </w:pPr>
            <w:r w:rsidRPr="000E5C42">
              <w:rPr>
                <w:rFonts w:cstheme="minorHAnsi"/>
                <w:sz w:val="18"/>
                <w:szCs w:val="18"/>
                <w:lang w:val="en-GB"/>
              </w:rPr>
              <w:t>Article 15</w:t>
            </w:r>
          </w:p>
        </w:tc>
        <w:tc>
          <w:tcPr>
            <w:tcW w:w="9072" w:type="dxa"/>
            <w:tcBorders>
              <w:top w:val="single" w:sz="4" w:space="0" w:color="auto"/>
              <w:left w:val="single" w:sz="4" w:space="0" w:color="auto"/>
              <w:bottom w:val="single" w:sz="4" w:space="0" w:color="auto"/>
              <w:right w:val="double" w:sz="4" w:space="0" w:color="auto"/>
            </w:tcBorders>
            <w:hideMark/>
          </w:tcPr>
          <w:p w:rsidR="0013247E" w:rsidRPr="0035669C" w:rsidRDefault="0013247E">
            <w:pPr>
              <w:pStyle w:val="CM4"/>
              <w:spacing w:before="60" w:after="60"/>
              <w:jc w:val="both"/>
              <w:rPr>
                <w:rFonts w:asciiTheme="minorHAnsi" w:hAnsiTheme="minorHAnsi" w:cstheme="minorHAnsi"/>
                <w:i/>
                <w:sz w:val="18"/>
                <w:szCs w:val="18"/>
                <w:lang w:val="en-GB"/>
              </w:rPr>
            </w:pPr>
            <w:r w:rsidRPr="0035669C">
              <w:rPr>
                <w:rFonts w:asciiTheme="minorHAnsi" w:hAnsiTheme="minorHAnsi" w:cstheme="minorHAnsi"/>
                <w:sz w:val="18"/>
                <w:szCs w:val="18"/>
                <w:lang w:val="en-GB"/>
              </w:rPr>
              <w:t>Investment companies must have appropriate procedures in place to deal properly with investor complaints.</w:t>
            </w:r>
          </w:p>
        </w:tc>
        <w:tc>
          <w:tcPr>
            <w:tcW w:w="2913" w:type="dxa"/>
            <w:tcBorders>
              <w:top w:val="single" w:sz="4" w:space="0" w:color="auto"/>
              <w:left w:val="double" w:sz="4" w:space="0" w:color="auto"/>
              <w:bottom w:val="single" w:sz="4" w:space="0" w:color="auto"/>
              <w:right w:val="single" w:sz="4" w:space="0" w:color="auto"/>
            </w:tcBorders>
            <w:hideMark/>
          </w:tcPr>
          <w:p w:rsidR="0013247E" w:rsidRPr="0035669C" w:rsidRDefault="0013247E">
            <w:pPr>
              <w:jc w:val="center"/>
              <w:rPr>
                <w:rFonts w:cstheme="minorHAnsi"/>
                <w:sz w:val="18"/>
                <w:szCs w:val="18"/>
                <w:lang w:val="en-GB"/>
              </w:rPr>
            </w:pPr>
            <w:r w:rsidRPr="00FF623F">
              <w:rPr>
                <w:rFonts w:cstheme="minorHAnsi"/>
                <w:sz w:val="18"/>
                <w:szCs w:val="18"/>
                <w:lang w:val="en-GB"/>
              </w:rPr>
              <w:t>(professional investors - not retail, Article 43)</w:t>
            </w:r>
          </w:p>
        </w:tc>
      </w:tr>
      <w:tr w:rsidR="0013247E" w:rsidRPr="0035669C" w:rsidTr="0013247E">
        <w:trPr>
          <w:trHeight w:val="290"/>
        </w:trPr>
        <w:tc>
          <w:tcPr>
            <w:tcW w:w="2235" w:type="dxa"/>
            <w:tcBorders>
              <w:top w:val="single" w:sz="4" w:space="0" w:color="auto"/>
              <w:left w:val="single" w:sz="4" w:space="0" w:color="auto"/>
              <w:bottom w:val="single" w:sz="4" w:space="0" w:color="auto"/>
              <w:right w:val="single" w:sz="4" w:space="0" w:color="auto"/>
            </w:tcBorders>
            <w:hideMark/>
          </w:tcPr>
          <w:p w:rsidR="0013247E" w:rsidRPr="000E5C42" w:rsidRDefault="0013247E">
            <w:pPr>
              <w:jc w:val="center"/>
              <w:rPr>
                <w:rFonts w:cstheme="minorHAnsi"/>
                <w:sz w:val="18"/>
                <w:szCs w:val="18"/>
                <w:lang w:val="en-GB"/>
              </w:rPr>
            </w:pPr>
            <w:r w:rsidRPr="000E5C42">
              <w:rPr>
                <w:rFonts w:cstheme="minorHAnsi"/>
                <w:sz w:val="18"/>
                <w:szCs w:val="18"/>
                <w:lang w:val="en-GB"/>
              </w:rPr>
              <w:t>Article 22</w:t>
            </w:r>
          </w:p>
        </w:tc>
        <w:tc>
          <w:tcPr>
            <w:tcW w:w="9072" w:type="dxa"/>
            <w:tcBorders>
              <w:top w:val="single" w:sz="4" w:space="0" w:color="auto"/>
              <w:left w:val="single" w:sz="4" w:space="0" w:color="auto"/>
              <w:bottom w:val="single" w:sz="4" w:space="0" w:color="auto"/>
              <w:right w:val="double" w:sz="4" w:space="0" w:color="auto"/>
            </w:tcBorders>
            <w:hideMark/>
          </w:tcPr>
          <w:p w:rsidR="0013247E" w:rsidRPr="0035669C" w:rsidRDefault="0013247E">
            <w:pPr>
              <w:autoSpaceDE w:val="0"/>
              <w:autoSpaceDN w:val="0"/>
              <w:adjustRightInd w:val="0"/>
              <w:spacing w:before="60" w:after="60"/>
              <w:jc w:val="both"/>
              <w:rPr>
                <w:rFonts w:cstheme="minorHAnsi"/>
                <w:sz w:val="18"/>
                <w:szCs w:val="18"/>
                <w:lang w:val="en-GB"/>
              </w:rPr>
            </w:pPr>
            <w:r w:rsidRPr="0035669C">
              <w:rPr>
                <w:rFonts w:cstheme="minorHAnsi"/>
                <w:sz w:val="18"/>
                <w:szCs w:val="18"/>
                <w:lang w:val="en-GB"/>
              </w:rPr>
              <w:t>Appointment of a single depositary by the fund is mandatory.</w:t>
            </w:r>
          </w:p>
        </w:tc>
        <w:tc>
          <w:tcPr>
            <w:tcW w:w="2913" w:type="dxa"/>
            <w:tcBorders>
              <w:top w:val="single" w:sz="4" w:space="0" w:color="auto"/>
              <w:left w:val="double" w:sz="4" w:space="0" w:color="auto"/>
              <w:bottom w:val="single" w:sz="4" w:space="0" w:color="auto"/>
              <w:right w:val="single" w:sz="4" w:space="0" w:color="auto"/>
            </w:tcBorders>
            <w:hideMark/>
          </w:tcPr>
          <w:p w:rsidR="0013247E" w:rsidRPr="0035669C" w:rsidRDefault="0013247E">
            <w:pPr>
              <w:jc w:val="center"/>
              <w:rPr>
                <w:rFonts w:cstheme="minorHAnsi"/>
                <w:sz w:val="18"/>
                <w:szCs w:val="18"/>
                <w:lang w:val="en-GB"/>
              </w:rPr>
            </w:pPr>
            <w:r w:rsidRPr="0035669C">
              <w:rPr>
                <w:rFonts w:cstheme="minorHAnsi"/>
                <w:sz w:val="18"/>
                <w:szCs w:val="18"/>
                <w:lang w:val="en-GB"/>
              </w:rPr>
              <w:t>Article 21</w:t>
            </w:r>
          </w:p>
        </w:tc>
      </w:tr>
      <w:tr w:rsidR="0013247E" w:rsidRPr="0035669C" w:rsidTr="0013247E">
        <w:trPr>
          <w:trHeight w:val="290"/>
        </w:trPr>
        <w:tc>
          <w:tcPr>
            <w:tcW w:w="2235" w:type="dxa"/>
            <w:tcBorders>
              <w:top w:val="single" w:sz="4" w:space="0" w:color="auto"/>
              <w:left w:val="single" w:sz="4" w:space="0" w:color="auto"/>
              <w:bottom w:val="single" w:sz="4" w:space="0" w:color="auto"/>
              <w:right w:val="single" w:sz="4" w:space="0" w:color="auto"/>
            </w:tcBorders>
            <w:hideMark/>
          </w:tcPr>
          <w:p w:rsidR="0013247E" w:rsidRPr="000E5C42" w:rsidRDefault="0013247E">
            <w:pPr>
              <w:jc w:val="center"/>
              <w:rPr>
                <w:rFonts w:cstheme="minorHAnsi"/>
                <w:sz w:val="18"/>
                <w:szCs w:val="18"/>
                <w:lang w:val="en-GB"/>
              </w:rPr>
            </w:pPr>
            <w:r w:rsidRPr="000E5C42">
              <w:rPr>
                <w:rFonts w:cstheme="minorHAnsi"/>
                <w:sz w:val="18"/>
                <w:szCs w:val="18"/>
                <w:lang w:val="en-GB"/>
              </w:rPr>
              <w:t xml:space="preserve">Article 25 </w:t>
            </w:r>
            <w:proofErr w:type="spellStart"/>
            <w:r w:rsidRPr="000E5C42">
              <w:rPr>
                <w:rFonts w:cstheme="minorHAnsi"/>
                <w:sz w:val="18"/>
                <w:szCs w:val="18"/>
                <w:lang w:val="en-GB"/>
              </w:rPr>
              <w:t>para</w:t>
            </w:r>
            <w:proofErr w:type="spellEnd"/>
            <w:r w:rsidRPr="000E5C42">
              <w:rPr>
                <w:rFonts w:cstheme="minorHAnsi"/>
                <w:sz w:val="18"/>
                <w:szCs w:val="18"/>
                <w:lang w:val="en-GB"/>
              </w:rPr>
              <w:t xml:space="preserve"> 2</w:t>
            </w:r>
          </w:p>
        </w:tc>
        <w:tc>
          <w:tcPr>
            <w:tcW w:w="9072" w:type="dxa"/>
            <w:tcBorders>
              <w:top w:val="single" w:sz="4" w:space="0" w:color="auto"/>
              <w:left w:val="single" w:sz="4" w:space="0" w:color="auto"/>
              <w:bottom w:val="single" w:sz="4" w:space="0" w:color="auto"/>
              <w:right w:val="double" w:sz="4" w:space="0" w:color="auto"/>
            </w:tcBorders>
            <w:hideMark/>
          </w:tcPr>
          <w:p w:rsidR="0013247E" w:rsidRPr="0035669C" w:rsidRDefault="0013247E">
            <w:pPr>
              <w:autoSpaceDE w:val="0"/>
              <w:autoSpaceDN w:val="0"/>
              <w:adjustRightInd w:val="0"/>
              <w:spacing w:before="60" w:after="60"/>
              <w:jc w:val="both"/>
              <w:rPr>
                <w:rFonts w:cstheme="minorHAnsi"/>
                <w:color w:val="000000"/>
                <w:sz w:val="18"/>
                <w:szCs w:val="18"/>
                <w:lang w:val="en-GB"/>
              </w:rPr>
            </w:pPr>
            <w:r w:rsidRPr="0035669C">
              <w:rPr>
                <w:rFonts w:cstheme="minorHAnsi"/>
                <w:sz w:val="18"/>
                <w:szCs w:val="18"/>
                <w:lang w:val="en-GB"/>
              </w:rPr>
              <w:t>In carrying out their functions, the fund and the depositary must act fairly and solely in the interest of the UCITS.</w:t>
            </w:r>
          </w:p>
        </w:tc>
        <w:tc>
          <w:tcPr>
            <w:tcW w:w="2913" w:type="dxa"/>
            <w:tcBorders>
              <w:top w:val="single" w:sz="4" w:space="0" w:color="auto"/>
              <w:left w:val="double" w:sz="4" w:space="0" w:color="auto"/>
              <w:bottom w:val="single" w:sz="4" w:space="0" w:color="auto"/>
              <w:right w:val="single" w:sz="4" w:space="0" w:color="auto"/>
            </w:tcBorders>
            <w:hideMark/>
          </w:tcPr>
          <w:p w:rsidR="0013247E" w:rsidRPr="0035669C" w:rsidRDefault="0013247E">
            <w:pPr>
              <w:jc w:val="center"/>
              <w:rPr>
                <w:rFonts w:cstheme="minorHAnsi"/>
                <w:sz w:val="18"/>
                <w:szCs w:val="18"/>
                <w:lang w:val="en-GB"/>
              </w:rPr>
            </w:pPr>
            <w:r w:rsidRPr="0035669C">
              <w:rPr>
                <w:rFonts w:cstheme="minorHAnsi"/>
                <w:sz w:val="18"/>
                <w:szCs w:val="18"/>
                <w:lang w:val="en-GB"/>
              </w:rPr>
              <w:t>Article 21</w:t>
            </w:r>
          </w:p>
        </w:tc>
      </w:tr>
      <w:tr w:rsidR="0013247E" w:rsidRPr="0035669C" w:rsidTr="0013247E">
        <w:trPr>
          <w:trHeight w:val="290"/>
        </w:trPr>
        <w:tc>
          <w:tcPr>
            <w:tcW w:w="2235" w:type="dxa"/>
            <w:tcBorders>
              <w:top w:val="single" w:sz="4" w:space="0" w:color="auto"/>
              <w:left w:val="single" w:sz="4" w:space="0" w:color="auto"/>
              <w:bottom w:val="single" w:sz="4" w:space="0" w:color="auto"/>
              <w:right w:val="single" w:sz="4" w:space="0" w:color="auto"/>
            </w:tcBorders>
            <w:hideMark/>
          </w:tcPr>
          <w:p w:rsidR="0013247E" w:rsidRPr="000E5C42" w:rsidRDefault="0013247E">
            <w:pPr>
              <w:jc w:val="center"/>
              <w:rPr>
                <w:rFonts w:cstheme="minorHAnsi"/>
                <w:sz w:val="18"/>
                <w:szCs w:val="18"/>
                <w:lang w:val="en-GB"/>
              </w:rPr>
            </w:pPr>
            <w:r w:rsidRPr="000E5C42">
              <w:rPr>
                <w:rFonts w:cstheme="minorHAnsi"/>
                <w:sz w:val="18"/>
                <w:szCs w:val="18"/>
                <w:lang w:val="en-GB"/>
              </w:rPr>
              <w:t xml:space="preserve">Article 29 </w:t>
            </w:r>
            <w:proofErr w:type="spellStart"/>
            <w:r w:rsidRPr="000E5C42">
              <w:rPr>
                <w:rFonts w:cstheme="minorHAnsi"/>
                <w:sz w:val="18"/>
                <w:szCs w:val="18"/>
                <w:lang w:val="en-GB"/>
              </w:rPr>
              <w:t>para</w:t>
            </w:r>
            <w:proofErr w:type="spellEnd"/>
            <w:r w:rsidRPr="000E5C42">
              <w:rPr>
                <w:rFonts w:cstheme="minorHAnsi"/>
                <w:sz w:val="18"/>
                <w:szCs w:val="18"/>
                <w:lang w:val="en-GB"/>
              </w:rPr>
              <w:t xml:space="preserve"> 1</w:t>
            </w:r>
          </w:p>
        </w:tc>
        <w:tc>
          <w:tcPr>
            <w:tcW w:w="9072" w:type="dxa"/>
            <w:tcBorders>
              <w:top w:val="single" w:sz="4" w:space="0" w:color="auto"/>
              <w:left w:val="single" w:sz="4" w:space="0" w:color="auto"/>
              <w:bottom w:val="single" w:sz="4" w:space="0" w:color="auto"/>
              <w:right w:val="double" w:sz="4" w:space="0" w:color="auto"/>
            </w:tcBorders>
            <w:hideMark/>
          </w:tcPr>
          <w:p w:rsidR="0013247E" w:rsidRPr="0035669C" w:rsidRDefault="0013247E">
            <w:pPr>
              <w:pStyle w:val="CM4"/>
              <w:spacing w:before="60" w:after="60"/>
              <w:jc w:val="both"/>
              <w:rPr>
                <w:rFonts w:cstheme="minorHAnsi"/>
                <w:sz w:val="18"/>
                <w:szCs w:val="18"/>
                <w:lang w:val="en-GB"/>
              </w:rPr>
            </w:pPr>
            <w:r w:rsidRPr="0035669C">
              <w:rPr>
                <w:rFonts w:asciiTheme="minorHAnsi" w:hAnsiTheme="minorHAnsi" w:cstheme="minorHAnsi"/>
                <w:sz w:val="18"/>
                <w:szCs w:val="18"/>
                <w:lang w:val="en-GB"/>
              </w:rPr>
              <w:t xml:space="preserve">A UCITS without management company must hold higher initial capital, and respect additional rules (disclosure of information, rules on conflict of interest). / An internally managed AIF must hold higher initial capital.   </w:t>
            </w:r>
          </w:p>
        </w:tc>
        <w:tc>
          <w:tcPr>
            <w:tcW w:w="2913" w:type="dxa"/>
            <w:tcBorders>
              <w:top w:val="single" w:sz="4" w:space="0" w:color="auto"/>
              <w:left w:val="double" w:sz="4" w:space="0" w:color="auto"/>
              <w:bottom w:val="single" w:sz="4" w:space="0" w:color="auto"/>
              <w:right w:val="single" w:sz="4" w:space="0" w:color="auto"/>
            </w:tcBorders>
            <w:hideMark/>
          </w:tcPr>
          <w:p w:rsidR="0013247E" w:rsidRPr="0035669C" w:rsidRDefault="0013247E">
            <w:pPr>
              <w:jc w:val="center"/>
              <w:rPr>
                <w:rFonts w:cstheme="minorHAnsi"/>
                <w:sz w:val="18"/>
                <w:szCs w:val="18"/>
                <w:lang w:val="en-GB"/>
              </w:rPr>
            </w:pPr>
            <w:r w:rsidRPr="0035669C">
              <w:rPr>
                <w:rFonts w:cstheme="minorHAnsi"/>
                <w:sz w:val="18"/>
                <w:szCs w:val="18"/>
                <w:lang w:val="en-GB"/>
              </w:rPr>
              <w:t>Article 9</w:t>
            </w:r>
          </w:p>
        </w:tc>
      </w:tr>
      <w:tr w:rsidR="0013247E" w:rsidRPr="0035669C" w:rsidTr="0013247E">
        <w:trPr>
          <w:trHeight w:val="290"/>
        </w:trPr>
        <w:tc>
          <w:tcPr>
            <w:tcW w:w="2235" w:type="dxa"/>
            <w:tcBorders>
              <w:top w:val="single" w:sz="4" w:space="0" w:color="auto"/>
              <w:left w:val="single" w:sz="4" w:space="0" w:color="auto"/>
              <w:bottom w:val="single" w:sz="4" w:space="0" w:color="auto"/>
              <w:right w:val="single" w:sz="4" w:space="0" w:color="auto"/>
            </w:tcBorders>
            <w:hideMark/>
          </w:tcPr>
          <w:p w:rsidR="0013247E" w:rsidRPr="000E5C42" w:rsidRDefault="0013247E">
            <w:pPr>
              <w:jc w:val="center"/>
              <w:rPr>
                <w:rFonts w:cstheme="minorHAnsi"/>
                <w:sz w:val="18"/>
                <w:szCs w:val="18"/>
                <w:lang w:val="en-GB"/>
              </w:rPr>
            </w:pPr>
            <w:r w:rsidRPr="000E5C42">
              <w:rPr>
                <w:rFonts w:cstheme="minorHAnsi"/>
                <w:sz w:val="18"/>
                <w:szCs w:val="18"/>
                <w:lang w:val="en-GB"/>
              </w:rPr>
              <w:t>Article 30</w:t>
            </w:r>
          </w:p>
        </w:tc>
        <w:tc>
          <w:tcPr>
            <w:tcW w:w="9072" w:type="dxa"/>
            <w:tcBorders>
              <w:top w:val="single" w:sz="4" w:space="0" w:color="auto"/>
              <w:left w:val="single" w:sz="4" w:space="0" w:color="auto"/>
              <w:bottom w:val="single" w:sz="4" w:space="0" w:color="auto"/>
              <w:right w:val="double" w:sz="4" w:space="0" w:color="auto"/>
            </w:tcBorders>
            <w:hideMark/>
          </w:tcPr>
          <w:p w:rsidR="0013247E" w:rsidRPr="0035669C" w:rsidRDefault="0013247E">
            <w:pPr>
              <w:pStyle w:val="CM4"/>
              <w:tabs>
                <w:tab w:val="left" w:pos="1522"/>
              </w:tabs>
              <w:spacing w:before="60" w:after="60"/>
              <w:jc w:val="both"/>
              <w:rPr>
                <w:rFonts w:asciiTheme="minorHAnsi" w:hAnsiTheme="minorHAnsi" w:cstheme="minorHAnsi"/>
                <w:i/>
                <w:sz w:val="18"/>
                <w:szCs w:val="18"/>
                <w:lang w:val="en-GB"/>
              </w:rPr>
            </w:pPr>
            <w:r w:rsidRPr="0035669C">
              <w:rPr>
                <w:rFonts w:asciiTheme="minorHAnsi" w:hAnsiTheme="minorHAnsi" w:cstheme="minorHAnsi"/>
                <w:sz w:val="18"/>
                <w:szCs w:val="18"/>
                <w:lang w:val="en-GB"/>
              </w:rPr>
              <w:t>Requirements applicable to the managing companies will apply to the UCITS if it has not designated a managing company. UCITS may only manage assets of their own portfolio.</w:t>
            </w:r>
          </w:p>
        </w:tc>
        <w:tc>
          <w:tcPr>
            <w:tcW w:w="2913" w:type="dxa"/>
            <w:tcBorders>
              <w:top w:val="single" w:sz="4" w:space="0" w:color="auto"/>
              <w:left w:val="double" w:sz="4" w:space="0" w:color="auto"/>
              <w:bottom w:val="single" w:sz="4" w:space="0" w:color="auto"/>
              <w:right w:val="single" w:sz="4" w:space="0" w:color="auto"/>
            </w:tcBorders>
            <w:hideMark/>
          </w:tcPr>
          <w:p w:rsidR="0013247E" w:rsidRPr="0035669C" w:rsidRDefault="0013247E">
            <w:pPr>
              <w:jc w:val="center"/>
              <w:rPr>
                <w:rFonts w:cstheme="minorHAnsi"/>
                <w:sz w:val="18"/>
                <w:szCs w:val="18"/>
                <w:lang w:val="en-GB"/>
              </w:rPr>
            </w:pPr>
            <w:r w:rsidRPr="0035669C">
              <w:rPr>
                <w:rFonts w:cstheme="minorHAnsi"/>
                <w:sz w:val="18"/>
                <w:szCs w:val="18"/>
                <w:lang w:val="en-GB"/>
              </w:rPr>
              <w:t>-</w:t>
            </w:r>
          </w:p>
        </w:tc>
      </w:tr>
      <w:tr w:rsidR="0013247E" w:rsidRPr="0035669C" w:rsidTr="0013247E">
        <w:trPr>
          <w:trHeight w:val="290"/>
        </w:trPr>
        <w:tc>
          <w:tcPr>
            <w:tcW w:w="2235" w:type="dxa"/>
            <w:tcBorders>
              <w:top w:val="single" w:sz="4" w:space="0" w:color="auto"/>
              <w:left w:val="single" w:sz="4" w:space="0" w:color="auto"/>
              <w:bottom w:val="single" w:sz="4" w:space="0" w:color="auto"/>
              <w:right w:val="single" w:sz="4" w:space="0" w:color="auto"/>
            </w:tcBorders>
            <w:hideMark/>
          </w:tcPr>
          <w:p w:rsidR="0013247E" w:rsidRPr="0035669C" w:rsidRDefault="0013247E">
            <w:pPr>
              <w:jc w:val="center"/>
              <w:rPr>
                <w:rFonts w:cstheme="minorHAnsi"/>
                <w:sz w:val="18"/>
                <w:szCs w:val="18"/>
                <w:lang w:val="en-GB"/>
              </w:rPr>
            </w:pPr>
            <w:r w:rsidRPr="0035669C">
              <w:rPr>
                <w:rFonts w:cstheme="minorHAnsi"/>
                <w:sz w:val="18"/>
                <w:szCs w:val="18"/>
                <w:lang w:val="en-GB"/>
              </w:rPr>
              <w:t>-</w:t>
            </w:r>
          </w:p>
        </w:tc>
        <w:tc>
          <w:tcPr>
            <w:tcW w:w="9072" w:type="dxa"/>
            <w:tcBorders>
              <w:top w:val="single" w:sz="4" w:space="0" w:color="auto"/>
              <w:left w:val="single" w:sz="4" w:space="0" w:color="auto"/>
              <w:bottom w:val="single" w:sz="4" w:space="0" w:color="auto"/>
              <w:right w:val="double" w:sz="4" w:space="0" w:color="auto"/>
            </w:tcBorders>
            <w:hideMark/>
          </w:tcPr>
          <w:p w:rsidR="0013247E" w:rsidRPr="0035669C" w:rsidRDefault="0013247E">
            <w:pPr>
              <w:pStyle w:val="CM4"/>
              <w:tabs>
                <w:tab w:val="left" w:pos="1522"/>
              </w:tabs>
              <w:spacing w:before="60" w:after="60"/>
              <w:jc w:val="both"/>
              <w:rPr>
                <w:rFonts w:asciiTheme="minorHAnsi" w:hAnsiTheme="minorHAnsi" w:cstheme="minorHAnsi"/>
                <w:sz w:val="18"/>
                <w:szCs w:val="18"/>
                <w:lang w:val="en-GB"/>
              </w:rPr>
            </w:pPr>
            <w:r w:rsidRPr="0035669C">
              <w:rPr>
                <w:rFonts w:asciiTheme="minorHAnsi" w:hAnsiTheme="minorHAnsi" w:cstheme="minorHAnsi"/>
                <w:sz w:val="18"/>
                <w:szCs w:val="18"/>
                <w:lang w:val="en-GB"/>
              </w:rPr>
              <w:t>In cases of failure of an AIFM to ensure compliance with the applicable requirements of an AIF, the competent authorities can require the AIFM to resign as manager of that AIF.</w:t>
            </w:r>
          </w:p>
        </w:tc>
        <w:tc>
          <w:tcPr>
            <w:tcW w:w="2913" w:type="dxa"/>
            <w:tcBorders>
              <w:top w:val="single" w:sz="4" w:space="0" w:color="auto"/>
              <w:left w:val="double" w:sz="4" w:space="0" w:color="auto"/>
              <w:bottom w:val="single" w:sz="4" w:space="0" w:color="auto"/>
              <w:right w:val="single" w:sz="4" w:space="0" w:color="auto"/>
            </w:tcBorders>
            <w:hideMark/>
          </w:tcPr>
          <w:p w:rsidR="0013247E" w:rsidRPr="0035669C" w:rsidRDefault="0013247E">
            <w:pPr>
              <w:jc w:val="center"/>
              <w:rPr>
                <w:rFonts w:cstheme="minorHAnsi"/>
                <w:sz w:val="18"/>
                <w:szCs w:val="18"/>
                <w:lang w:val="en-GB"/>
              </w:rPr>
            </w:pPr>
            <w:r w:rsidRPr="00FF623F">
              <w:rPr>
                <w:rFonts w:cstheme="minorHAnsi"/>
                <w:sz w:val="18"/>
                <w:szCs w:val="18"/>
                <w:lang w:val="en-GB"/>
              </w:rPr>
              <w:t>Recital 11 and Article 5(3)</w:t>
            </w:r>
          </w:p>
        </w:tc>
      </w:tr>
      <w:tr w:rsidR="0013247E" w:rsidRPr="0035669C" w:rsidTr="0013247E">
        <w:trPr>
          <w:trHeight w:val="290"/>
        </w:trPr>
        <w:tc>
          <w:tcPr>
            <w:tcW w:w="2235" w:type="dxa"/>
            <w:tcBorders>
              <w:top w:val="single" w:sz="4" w:space="0" w:color="auto"/>
              <w:left w:val="single" w:sz="4" w:space="0" w:color="auto"/>
              <w:bottom w:val="single" w:sz="4" w:space="0" w:color="auto"/>
              <w:right w:val="single" w:sz="4" w:space="0" w:color="auto"/>
            </w:tcBorders>
            <w:hideMark/>
          </w:tcPr>
          <w:p w:rsidR="0013247E" w:rsidRPr="0035669C" w:rsidRDefault="0013247E">
            <w:pPr>
              <w:jc w:val="center"/>
              <w:rPr>
                <w:rFonts w:cstheme="minorHAnsi"/>
                <w:sz w:val="18"/>
                <w:szCs w:val="18"/>
                <w:lang w:val="en-GB"/>
              </w:rPr>
            </w:pPr>
            <w:r w:rsidRPr="0035669C">
              <w:rPr>
                <w:rFonts w:cstheme="minorHAnsi"/>
                <w:sz w:val="18"/>
                <w:szCs w:val="18"/>
                <w:lang w:val="en-GB"/>
              </w:rPr>
              <w:t xml:space="preserve">Article 51 </w:t>
            </w:r>
            <w:proofErr w:type="spellStart"/>
            <w:r w:rsidRPr="0035669C">
              <w:rPr>
                <w:rFonts w:cstheme="minorHAnsi"/>
                <w:sz w:val="18"/>
                <w:szCs w:val="18"/>
                <w:lang w:val="en-GB"/>
              </w:rPr>
              <w:t>para</w:t>
            </w:r>
            <w:proofErr w:type="spellEnd"/>
            <w:r w:rsidRPr="0035669C">
              <w:rPr>
                <w:rFonts w:cstheme="minorHAnsi"/>
                <w:sz w:val="18"/>
                <w:szCs w:val="18"/>
                <w:lang w:val="en-GB"/>
              </w:rPr>
              <w:t xml:space="preserve"> 1</w:t>
            </w:r>
          </w:p>
        </w:tc>
        <w:tc>
          <w:tcPr>
            <w:tcW w:w="9072" w:type="dxa"/>
            <w:tcBorders>
              <w:top w:val="single" w:sz="4" w:space="0" w:color="auto"/>
              <w:left w:val="single" w:sz="4" w:space="0" w:color="auto"/>
              <w:bottom w:val="single" w:sz="4" w:space="0" w:color="auto"/>
              <w:right w:val="double" w:sz="4" w:space="0" w:color="auto"/>
            </w:tcBorders>
            <w:hideMark/>
          </w:tcPr>
          <w:p w:rsidR="0013247E" w:rsidRPr="0035669C" w:rsidRDefault="0013247E">
            <w:pPr>
              <w:autoSpaceDE w:val="0"/>
              <w:autoSpaceDN w:val="0"/>
              <w:adjustRightInd w:val="0"/>
              <w:spacing w:before="60" w:after="60"/>
              <w:jc w:val="both"/>
              <w:rPr>
                <w:rFonts w:cstheme="minorHAnsi"/>
                <w:sz w:val="18"/>
                <w:szCs w:val="18"/>
                <w:lang w:val="en-GB"/>
              </w:rPr>
            </w:pPr>
            <w:r w:rsidRPr="0035669C">
              <w:rPr>
                <w:rFonts w:cstheme="minorHAnsi"/>
                <w:sz w:val="18"/>
                <w:szCs w:val="18"/>
                <w:lang w:val="en-GB"/>
              </w:rPr>
              <w:t xml:space="preserve">Risk management processes must be in place, including risk limits for AIFs.  </w:t>
            </w:r>
          </w:p>
        </w:tc>
        <w:tc>
          <w:tcPr>
            <w:tcW w:w="2913" w:type="dxa"/>
            <w:tcBorders>
              <w:top w:val="single" w:sz="4" w:space="0" w:color="auto"/>
              <w:left w:val="double" w:sz="4" w:space="0" w:color="auto"/>
              <w:bottom w:val="single" w:sz="4" w:space="0" w:color="auto"/>
              <w:right w:val="single" w:sz="4" w:space="0" w:color="auto"/>
            </w:tcBorders>
            <w:hideMark/>
          </w:tcPr>
          <w:p w:rsidR="0013247E" w:rsidRPr="0035669C" w:rsidRDefault="0013247E">
            <w:pPr>
              <w:jc w:val="center"/>
              <w:rPr>
                <w:rFonts w:cstheme="minorHAnsi"/>
                <w:sz w:val="18"/>
                <w:szCs w:val="18"/>
                <w:lang w:val="en-GB"/>
              </w:rPr>
            </w:pPr>
            <w:r w:rsidRPr="0035669C">
              <w:rPr>
                <w:rFonts w:cstheme="minorHAnsi"/>
                <w:sz w:val="18"/>
                <w:szCs w:val="18"/>
                <w:lang w:val="en-GB"/>
              </w:rPr>
              <w:t>Article 15</w:t>
            </w:r>
          </w:p>
        </w:tc>
      </w:tr>
      <w:tr w:rsidR="0013247E" w:rsidRPr="0035669C" w:rsidTr="0013247E">
        <w:trPr>
          <w:trHeight w:val="290"/>
        </w:trPr>
        <w:tc>
          <w:tcPr>
            <w:tcW w:w="2235" w:type="dxa"/>
            <w:tcBorders>
              <w:top w:val="single" w:sz="4" w:space="0" w:color="auto"/>
              <w:left w:val="single" w:sz="4" w:space="0" w:color="auto"/>
              <w:bottom w:val="single" w:sz="4" w:space="0" w:color="auto"/>
              <w:right w:val="single" w:sz="4" w:space="0" w:color="auto"/>
            </w:tcBorders>
            <w:hideMark/>
          </w:tcPr>
          <w:p w:rsidR="0013247E" w:rsidRPr="0035669C" w:rsidRDefault="0013247E">
            <w:pPr>
              <w:jc w:val="center"/>
              <w:rPr>
                <w:rFonts w:cstheme="minorHAnsi"/>
                <w:sz w:val="18"/>
                <w:szCs w:val="18"/>
                <w:lang w:val="en-GB"/>
              </w:rPr>
            </w:pPr>
            <w:r w:rsidRPr="00FF623F">
              <w:rPr>
                <w:rFonts w:cstheme="minorHAnsi"/>
                <w:sz w:val="18"/>
                <w:szCs w:val="18"/>
                <w:lang w:val="en-GB"/>
              </w:rPr>
              <w:t>Articles 52 et s.</w:t>
            </w:r>
          </w:p>
        </w:tc>
        <w:tc>
          <w:tcPr>
            <w:tcW w:w="9072" w:type="dxa"/>
            <w:tcBorders>
              <w:top w:val="single" w:sz="4" w:space="0" w:color="auto"/>
              <w:left w:val="single" w:sz="4" w:space="0" w:color="auto"/>
              <w:bottom w:val="single" w:sz="4" w:space="0" w:color="auto"/>
              <w:right w:val="double" w:sz="4" w:space="0" w:color="auto"/>
            </w:tcBorders>
            <w:hideMark/>
          </w:tcPr>
          <w:p w:rsidR="0013247E" w:rsidRPr="0035669C" w:rsidRDefault="0013247E">
            <w:pPr>
              <w:pStyle w:val="CM4"/>
              <w:spacing w:before="60" w:after="60"/>
              <w:jc w:val="both"/>
              <w:rPr>
                <w:rFonts w:cstheme="minorHAnsi"/>
                <w:sz w:val="18"/>
                <w:szCs w:val="18"/>
                <w:lang w:val="en-GB"/>
              </w:rPr>
            </w:pPr>
            <w:r w:rsidRPr="0035669C">
              <w:rPr>
                <w:rFonts w:asciiTheme="minorHAnsi" w:hAnsiTheme="minorHAnsi" w:cstheme="minorHAnsi"/>
                <w:sz w:val="18"/>
                <w:szCs w:val="18"/>
                <w:lang w:val="en-GB"/>
              </w:rPr>
              <w:t>Requirements on diversification of assets, concentration of exposure, and limits on acquisition of voting rights apply.</w:t>
            </w:r>
          </w:p>
        </w:tc>
        <w:tc>
          <w:tcPr>
            <w:tcW w:w="2913" w:type="dxa"/>
            <w:tcBorders>
              <w:top w:val="single" w:sz="4" w:space="0" w:color="auto"/>
              <w:left w:val="double" w:sz="4" w:space="0" w:color="auto"/>
              <w:bottom w:val="single" w:sz="4" w:space="0" w:color="auto"/>
              <w:right w:val="single" w:sz="4" w:space="0" w:color="auto"/>
            </w:tcBorders>
            <w:hideMark/>
          </w:tcPr>
          <w:p w:rsidR="0013247E" w:rsidRPr="0035669C" w:rsidRDefault="0013247E">
            <w:pPr>
              <w:jc w:val="center"/>
              <w:rPr>
                <w:rFonts w:cstheme="minorHAnsi"/>
                <w:sz w:val="18"/>
                <w:szCs w:val="18"/>
                <w:lang w:val="en-GB"/>
              </w:rPr>
            </w:pPr>
            <w:r w:rsidRPr="0035669C">
              <w:rPr>
                <w:rFonts w:cstheme="minorHAnsi"/>
                <w:sz w:val="18"/>
                <w:szCs w:val="18"/>
                <w:lang w:val="en-GB"/>
              </w:rPr>
              <w:t>-</w:t>
            </w:r>
          </w:p>
        </w:tc>
      </w:tr>
      <w:tr w:rsidR="0013247E" w:rsidRPr="0035669C" w:rsidTr="0013247E">
        <w:trPr>
          <w:trHeight w:val="290"/>
        </w:trPr>
        <w:tc>
          <w:tcPr>
            <w:tcW w:w="2235" w:type="dxa"/>
            <w:tcBorders>
              <w:top w:val="single" w:sz="4" w:space="0" w:color="auto"/>
              <w:left w:val="single" w:sz="4" w:space="0" w:color="auto"/>
              <w:bottom w:val="single" w:sz="4" w:space="0" w:color="auto"/>
              <w:right w:val="single" w:sz="4" w:space="0" w:color="auto"/>
            </w:tcBorders>
            <w:hideMark/>
          </w:tcPr>
          <w:p w:rsidR="0013247E" w:rsidRPr="0035669C" w:rsidRDefault="0013247E">
            <w:pPr>
              <w:jc w:val="center"/>
              <w:rPr>
                <w:rFonts w:cstheme="minorHAnsi"/>
                <w:sz w:val="18"/>
                <w:szCs w:val="18"/>
                <w:lang w:val="en-GB"/>
              </w:rPr>
            </w:pPr>
            <w:r w:rsidRPr="0035669C">
              <w:rPr>
                <w:rFonts w:cstheme="minorHAnsi"/>
                <w:sz w:val="18"/>
                <w:szCs w:val="18"/>
                <w:lang w:val="en-GB"/>
              </w:rPr>
              <w:t>-</w:t>
            </w:r>
          </w:p>
        </w:tc>
        <w:tc>
          <w:tcPr>
            <w:tcW w:w="9072" w:type="dxa"/>
            <w:tcBorders>
              <w:top w:val="single" w:sz="4" w:space="0" w:color="auto"/>
              <w:left w:val="single" w:sz="4" w:space="0" w:color="auto"/>
              <w:bottom w:val="single" w:sz="4" w:space="0" w:color="auto"/>
              <w:right w:val="double" w:sz="4" w:space="0" w:color="auto"/>
            </w:tcBorders>
            <w:hideMark/>
          </w:tcPr>
          <w:p w:rsidR="0013247E" w:rsidRPr="0035669C" w:rsidRDefault="0013247E">
            <w:pPr>
              <w:pStyle w:val="CM4"/>
              <w:spacing w:before="60" w:after="60"/>
              <w:jc w:val="both"/>
              <w:rPr>
                <w:rFonts w:asciiTheme="minorHAnsi" w:hAnsiTheme="minorHAnsi" w:cstheme="minorHAnsi"/>
                <w:sz w:val="18"/>
                <w:szCs w:val="18"/>
                <w:lang w:val="en-GB"/>
              </w:rPr>
            </w:pPr>
            <w:r w:rsidRPr="0035669C">
              <w:rPr>
                <w:rFonts w:asciiTheme="minorHAnsi" w:hAnsiTheme="minorHAnsi" w:cstheme="minorHAnsi"/>
                <w:sz w:val="18"/>
                <w:szCs w:val="18"/>
                <w:lang w:val="en-GB"/>
              </w:rPr>
              <w:t xml:space="preserve">Liquidity management systems must be in place. </w:t>
            </w:r>
          </w:p>
        </w:tc>
        <w:tc>
          <w:tcPr>
            <w:tcW w:w="2913" w:type="dxa"/>
            <w:tcBorders>
              <w:top w:val="single" w:sz="4" w:space="0" w:color="auto"/>
              <w:left w:val="double" w:sz="4" w:space="0" w:color="auto"/>
              <w:bottom w:val="single" w:sz="4" w:space="0" w:color="auto"/>
              <w:right w:val="single" w:sz="4" w:space="0" w:color="auto"/>
            </w:tcBorders>
            <w:hideMark/>
          </w:tcPr>
          <w:p w:rsidR="0013247E" w:rsidRPr="0035669C" w:rsidRDefault="0013247E">
            <w:pPr>
              <w:jc w:val="center"/>
              <w:rPr>
                <w:rFonts w:cstheme="minorHAnsi"/>
                <w:sz w:val="18"/>
                <w:szCs w:val="18"/>
                <w:lang w:val="en-GB"/>
              </w:rPr>
            </w:pPr>
            <w:r w:rsidRPr="00FF623F">
              <w:rPr>
                <w:rFonts w:cstheme="minorHAnsi"/>
                <w:sz w:val="18"/>
                <w:szCs w:val="18"/>
                <w:lang w:val="en-GB"/>
              </w:rPr>
              <w:t>Article 16</w:t>
            </w:r>
          </w:p>
        </w:tc>
      </w:tr>
      <w:tr w:rsidR="0013247E" w:rsidRPr="0035669C" w:rsidTr="0013247E">
        <w:trPr>
          <w:trHeight w:val="290"/>
        </w:trPr>
        <w:tc>
          <w:tcPr>
            <w:tcW w:w="2235" w:type="dxa"/>
            <w:tcBorders>
              <w:top w:val="single" w:sz="4" w:space="0" w:color="auto"/>
              <w:left w:val="single" w:sz="4" w:space="0" w:color="auto"/>
              <w:bottom w:val="single" w:sz="4" w:space="0" w:color="auto"/>
              <w:right w:val="single" w:sz="4" w:space="0" w:color="auto"/>
            </w:tcBorders>
            <w:hideMark/>
          </w:tcPr>
          <w:p w:rsidR="0013247E" w:rsidRPr="0035669C" w:rsidRDefault="0013247E">
            <w:pPr>
              <w:jc w:val="center"/>
              <w:rPr>
                <w:rFonts w:cstheme="minorHAnsi"/>
                <w:sz w:val="18"/>
                <w:szCs w:val="18"/>
                <w:lang w:val="en-GB"/>
              </w:rPr>
            </w:pPr>
            <w:r w:rsidRPr="0035669C">
              <w:rPr>
                <w:rFonts w:cstheme="minorHAnsi"/>
                <w:sz w:val="18"/>
                <w:szCs w:val="18"/>
                <w:lang w:val="en-GB"/>
              </w:rPr>
              <w:t>-</w:t>
            </w:r>
          </w:p>
        </w:tc>
        <w:tc>
          <w:tcPr>
            <w:tcW w:w="9072" w:type="dxa"/>
            <w:tcBorders>
              <w:top w:val="single" w:sz="4" w:space="0" w:color="auto"/>
              <w:left w:val="single" w:sz="4" w:space="0" w:color="auto"/>
              <w:bottom w:val="single" w:sz="4" w:space="0" w:color="auto"/>
              <w:right w:val="double" w:sz="4" w:space="0" w:color="auto"/>
            </w:tcBorders>
            <w:hideMark/>
          </w:tcPr>
          <w:p w:rsidR="0013247E" w:rsidRPr="0035669C" w:rsidRDefault="0013247E">
            <w:pPr>
              <w:pStyle w:val="CM4"/>
              <w:spacing w:before="60" w:after="60"/>
              <w:jc w:val="both"/>
              <w:rPr>
                <w:rFonts w:asciiTheme="minorHAnsi" w:hAnsiTheme="minorHAnsi" w:cstheme="minorHAnsi"/>
                <w:sz w:val="18"/>
                <w:szCs w:val="18"/>
                <w:lang w:val="en-GB"/>
              </w:rPr>
            </w:pPr>
            <w:r w:rsidRPr="0035669C">
              <w:rPr>
                <w:rFonts w:asciiTheme="minorHAnsi" w:hAnsiTheme="minorHAnsi" w:cstheme="minorHAnsi"/>
                <w:sz w:val="18"/>
                <w:szCs w:val="18"/>
                <w:lang w:val="en-GB"/>
              </w:rPr>
              <w:t xml:space="preserve">Securitisation requirements apply. </w:t>
            </w:r>
          </w:p>
        </w:tc>
        <w:tc>
          <w:tcPr>
            <w:tcW w:w="2913" w:type="dxa"/>
            <w:tcBorders>
              <w:top w:val="single" w:sz="4" w:space="0" w:color="auto"/>
              <w:left w:val="double" w:sz="4" w:space="0" w:color="auto"/>
              <w:bottom w:val="single" w:sz="4" w:space="0" w:color="auto"/>
              <w:right w:val="single" w:sz="4" w:space="0" w:color="auto"/>
            </w:tcBorders>
            <w:hideMark/>
          </w:tcPr>
          <w:p w:rsidR="0013247E" w:rsidRPr="0035669C" w:rsidRDefault="0013247E">
            <w:pPr>
              <w:jc w:val="center"/>
              <w:rPr>
                <w:rFonts w:cstheme="minorHAnsi"/>
                <w:sz w:val="18"/>
                <w:szCs w:val="18"/>
                <w:lang w:val="en-GB"/>
              </w:rPr>
            </w:pPr>
            <w:r w:rsidRPr="00FF623F">
              <w:rPr>
                <w:rFonts w:cstheme="minorHAnsi"/>
                <w:sz w:val="18"/>
                <w:szCs w:val="18"/>
                <w:lang w:val="en-GB"/>
              </w:rPr>
              <w:t>Article 17</w:t>
            </w:r>
          </w:p>
        </w:tc>
      </w:tr>
      <w:tr w:rsidR="0013247E" w:rsidRPr="0035669C" w:rsidTr="0013247E">
        <w:trPr>
          <w:trHeight w:val="290"/>
        </w:trPr>
        <w:tc>
          <w:tcPr>
            <w:tcW w:w="2235" w:type="dxa"/>
            <w:tcBorders>
              <w:top w:val="single" w:sz="4" w:space="0" w:color="auto"/>
              <w:left w:val="single" w:sz="4" w:space="0" w:color="auto"/>
              <w:bottom w:val="single" w:sz="4" w:space="0" w:color="auto"/>
              <w:right w:val="single" w:sz="4" w:space="0" w:color="auto"/>
            </w:tcBorders>
            <w:hideMark/>
          </w:tcPr>
          <w:p w:rsidR="0013247E" w:rsidRPr="0035669C" w:rsidRDefault="0013247E">
            <w:pPr>
              <w:jc w:val="center"/>
              <w:rPr>
                <w:rFonts w:cstheme="minorHAnsi"/>
                <w:sz w:val="18"/>
                <w:szCs w:val="18"/>
                <w:highlight w:val="yellow"/>
                <w:lang w:val="en-GB"/>
              </w:rPr>
            </w:pPr>
            <w:r w:rsidRPr="0035669C">
              <w:rPr>
                <w:rFonts w:cstheme="minorHAnsi"/>
                <w:sz w:val="18"/>
                <w:szCs w:val="18"/>
                <w:lang w:val="en-GB"/>
              </w:rPr>
              <w:t>Articles 68 et s.</w:t>
            </w:r>
          </w:p>
        </w:tc>
        <w:tc>
          <w:tcPr>
            <w:tcW w:w="9072" w:type="dxa"/>
            <w:tcBorders>
              <w:top w:val="single" w:sz="4" w:space="0" w:color="auto"/>
              <w:left w:val="single" w:sz="4" w:space="0" w:color="auto"/>
              <w:bottom w:val="single" w:sz="4" w:space="0" w:color="auto"/>
              <w:right w:val="double" w:sz="4" w:space="0" w:color="auto"/>
            </w:tcBorders>
            <w:hideMark/>
          </w:tcPr>
          <w:p w:rsidR="0013247E" w:rsidRPr="0035669C" w:rsidRDefault="0013247E">
            <w:pPr>
              <w:autoSpaceDE w:val="0"/>
              <w:autoSpaceDN w:val="0"/>
              <w:adjustRightInd w:val="0"/>
              <w:spacing w:before="60" w:after="60"/>
              <w:jc w:val="both"/>
              <w:rPr>
                <w:rFonts w:cstheme="minorHAnsi"/>
                <w:sz w:val="18"/>
                <w:szCs w:val="18"/>
                <w:lang w:val="en-GB"/>
              </w:rPr>
            </w:pPr>
            <w:r w:rsidRPr="0035669C">
              <w:rPr>
                <w:rFonts w:cstheme="minorHAnsi"/>
                <w:sz w:val="18"/>
                <w:szCs w:val="18"/>
                <w:lang w:val="en-GB"/>
              </w:rPr>
              <w:t xml:space="preserve">Disclosure requirements apply. </w:t>
            </w:r>
          </w:p>
        </w:tc>
        <w:tc>
          <w:tcPr>
            <w:tcW w:w="2913" w:type="dxa"/>
            <w:tcBorders>
              <w:top w:val="single" w:sz="4" w:space="0" w:color="auto"/>
              <w:left w:val="double" w:sz="4" w:space="0" w:color="auto"/>
              <w:bottom w:val="single" w:sz="4" w:space="0" w:color="auto"/>
              <w:right w:val="single" w:sz="4" w:space="0" w:color="auto"/>
            </w:tcBorders>
            <w:hideMark/>
          </w:tcPr>
          <w:p w:rsidR="0013247E" w:rsidRPr="0035669C" w:rsidRDefault="0013247E">
            <w:pPr>
              <w:jc w:val="center"/>
              <w:rPr>
                <w:rFonts w:cstheme="minorHAnsi"/>
                <w:sz w:val="18"/>
                <w:szCs w:val="18"/>
                <w:lang w:val="en-GB"/>
              </w:rPr>
            </w:pPr>
            <w:r w:rsidRPr="0035669C">
              <w:rPr>
                <w:rFonts w:cstheme="minorHAnsi"/>
                <w:sz w:val="18"/>
                <w:szCs w:val="18"/>
                <w:lang w:val="en-GB"/>
              </w:rPr>
              <w:t>Articles 22 and 23</w:t>
            </w:r>
          </w:p>
        </w:tc>
      </w:tr>
      <w:tr w:rsidR="0013247E" w:rsidRPr="0035669C" w:rsidTr="0013247E">
        <w:trPr>
          <w:trHeight w:val="290"/>
        </w:trPr>
        <w:tc>
          <w:tcPr>
            <w:tcW w:w="2235" w:type="dxa"/>
            <w:tcBorders>
              <w:top w:val="single" w:sz="4" w:space="0" w:color="auto"/>
              <w:left w:val="single" w:sz="4" w:space="0" w:color="auto"/>
              <w:bottom w:val="single" w:sz="4" w:space="0" w:color="auto"/>
              <w:right w:val="single" w:sz="4" w:space="0" w:color="auto"/>
            </w:tcBorders>
            <w:hideMark/>
          </w:tcPr>
          <w:p w:rsidR="0013247E" w:rsidRPr="0035669C" w:rsidRDefault="0013247E">
            <w:pPr>
              <w:jc w:val="center"/>
              <w:rPr>
                <w:rFonts w:cstheme="minorHAnsi"/>
                <w:sz w:val="18"/>
                <w:szCs w:val="18"/>
                <w:lang w:val="en-GB"/>
              </w:rPr>
            </w:pPr>
            <w:r w:rsidRPr="0035669C">
              <w:rPr>
                <w:rFonts w:cstheme="minorHAnsi"/>
                <w:sz w:val="18"/>
                <w:szCs w:val="18"/>
                <w:lang w:val="en-GB"/>
              </w:rPr>
              <w:t>Article 76</w:t>
            </w:r>
          </w:p>
        </w:tc>
        <w:tc>
          <w:tcPr>
            <w:tcW w:w="9072" w:type="dxa"/>
            <w:tcBorders>
              <w:top w:val="single" w:sz="4" w:space="0" w:color="auto"/>
              <w:left w:val="single" w:sz="4" w:space="0" w:color="auto"/>
              <w:bottom w:val="single" w:sz="4" w:space="0" w:color="auto"/>
              <w:right w:val="double" w:sz="4" w:space="0" w:color="auto"/>
            </w:tcBorders>
            <w:hideMark/>
          </w:tcPr>
          <w:p w:rsidR="0013247E" w:rsidRPr="0035669C" w:rsidRDefault="0013247E">
            <w:pPr>
              <w:pStyle w:val="CM4"/>
              <w:spacing w:before="60" w:after="60"/>
              <w:jc w:val="both"/>
              <w:rPr>
                <w:rFonts w:asciiTheme="minorHAnsi" w:hAnsiTheme="minorHAnsi" w:cstheme="minorHAnsi"/>
                <w:color w:val="000000"/>
                <w:sz w:val="18"/>
                <w:szCs w:val="18"/>
                <w:lang w:val="en-GB"/>
              </w:rPr>
            </w:pPr>
            <w:r w:rsidRPr="0035669C">
              <w:rPr>
                <w:rFonts w:asciiTheme="minorHAnsi" w:hAnsiTheme="minorHAnsi" w:cstheme="minorHAnsi"/>
                <w:sz w:val="18"/>
                <w:szCs w:val="18"/>
                <w:lang w:val="en-GB"/>
              </w:rPr>
              <w:t xml:space="preserve">Regular reports must be published regarding the issue, sale, repurchase or redemption price of the UCITS’ units. / Valuation requirements apply for each AIF managed by an AIFM. </w:t>
            </w:r>
          </w:p>
        </w:tc>
        <w:tc>
          <w:tcPr>
            <w:tcW w:w="2913" w:type="dxa"/>
            <w:tcBorders>
              <w:top w:val="single" w:sz="4" w:space="0" w:color="auto"/>
              <w:left w:val="double" w:sz="4" w:space="0" w:color="auto"/>
              <w:bottom w:val="single" w:sz="4" w:space="0" w:color="auto"/>
              <w:right w:val="single" w:sz="4" w:space="0" w:color="auto"/>
            </w:tcBorders>
            <w:hideMark/>
          </w:tcPr>
          <w:p w:rsidR="0013247E" w:rsidRPr="0035669C" w:rsidRDefault="0013247E">
            <w:pPr>
              <w:jc w:val="center"/>
              <w:rPr>
                <w:rFonts w:cstheme="minorHAnsi"/>
                <w:sz w:val="18"/>
                <w:szCs w:val="18"/>
                <w:lang w:val="en-GB"/>
              </w:rPr>
            </w:pPr>
            <w:r w:rsidRPr="0035669C">
              <w:rPr>
                <w:rFonts w:cstheme="minorHAnsi"/>
                <w:sz w:val="18"/>
                <w:szCs w:val="18"/>
                <w:lang w:val="en-GB"/>
              </w:rPr>
              <w:t>Article 19</w:t>
            </w:r>
          </w:p>
        </w:tc>
      </w:tr>
      <w:tr w:rsidR="0013247E" w:rsidRPr="0035669C" w:rsidTr="0013247E">
        <w:trPr>
          <w:trHeight w:val="290"/>
        </w:trPr>
        <w:tc>
          <w:tcPr>
            <w:tcW w:w="2235" w:type="dxa"/>
            <w:tcBorders>
              <w:top w:val="single" w:sz="4" w:space="0" w:color="auto"/>
              <w:left w:val="single" w:sz="4" w:space="0" w:color="auto"/>
              <w:bottom w:val="single" w:sz="4" w:space="0" w:color="auto"/>
              <w:right w:val="single" w:sz="4" w:space="0" w:color="auto"/>
            </w:tcBorders>
            <w:hideMark/>
          </w:tcPr>
          <w:p w:rsidR="0013247E" w:rsidRPr="0035669C" w:rsidRDefault="0013247E">
            <w:pPr>
              <w:jc w:val="center"/>
              <w:rPr>
                <w:rFonts w:cstheme="minorHAnsi"/>
                <w:sz w:val="18"/>
                <w:szCs w:val="18"/>
                <w:lang w:val="en-GB"/>
              </w:rPr>
            </w:pPr>
            <w:r w:rsidRPr="0035669C">
              <w:rPr>
                <w:rFonts w:cstheme="minorHAnsi"/>
                <w:sz w:val="18"/>
                <w:szCs w:val="18"/>
                <w:lang w:val="en-GB"/>
              </w:rPr>
              <w:t>Article 83</w:t>
            </w:r>
          </w:p>
        </w:tc>
        <w:tc>
          <w:tcPr>
            <w:tcW w:w="9072" w:type="dxa"/>
            <w:tcBorders>
              <w:top w:val="single" w:sz="4" w:space="0" w:color="auto"/>
              <w:left w:val="single" w:sz="4" w:space="0" w:color="auto"/>
              <w:bottom w:val="single" w:sz="4" w:space="0" w:color="auto"/>
              <w:right w:val="double" w:sz="4" w:space="0" w:color="auto"/>
            </w:tcBorders>
            <w:hideMark/>
          </w:tcPr>
          <w:p w:rsidR="0013247E" w:rsidRPr="0035669C" w:rsidRDefault="0013247E">
            <w:pPr>
              <w:pStyle w:val="CM4"/>
              <w:spacing w:before="60" w:after="60"/>
              <w:jc w:val="both"/>
              <w:rPr>
                <w:rFonts w:asciiTheme="minorHAnsi" w:hAnsiTheme="minorHAnsi" w:cstheme="minorHAnsi"/>
                <w:sz w:val="18"/>
                <w:szCs w:val="18"/>
                <w:lang w:val="en-GB"/>
              </w:rPr>
            </w:pPr>
            <w:r w:rsidRPr="0035669C">
              <w:rPr>
                <w:rFonts w:asciiTheme="minorHAnsi" w:hAnsiTheme="minorHAnsi" w:cstheme="minorHAnsi"/>
                <w:sz w:val="18"/>
                <w:szCs w:val="18"/>
                <w:lang w:val="en-GB"/>
              </w:rPr>
              <w:t xml:space="preserve">Prohibition of borrowing. There may be temporary exceptions to that principle. / Limits on leverage used by the AIFM are supervised by the competent authority. </w:t>
            </w:r>
          </w:p>
        </w:tc>
        <w:tc>
          <w:tcPr>
            <w:tcW w:w="2913" w:type="dxa"/>
            <w:tcBorders>
              <w:top w:val="single" w:sz="4" w:space="0" w:color="auto"/>
              <w:left w:val="double" w:sz="4" w:space="0" w:color="auto"/>
              <w:bottom w:val="single" w:sz="4" w:space="0" w:color="auto"/>
              <w:right w:val="single" w:sz="4" w:space="0" w:color="auto"/>
            </w:tcBorders>
            <w:hideMark/>
          </w:tcPr>
          <w:p w:rsidR="0013247E" w:rsidRPr="0035669C" w:rsidRDefault="0013247E">
            <w:pPr>
              <w:jc w:val="center"/>
              <w:rPr>
                <w:rFonts w:cstheme="minorHAnsi"/>
                <w:sz w:val="18"/>
                <w:szCs w:val="18"/>
                <w:lang w:val="en-GB"/>
              </w:rPr>
            </w:pPr>
            <w:r w:rsidRPr="0035669C">
              <w:rPr>
                <w:rFonts w:cstheme="minorHAnsi"/>
                <w:sz w:val="18"/>
                <w:szCs w:val="18"/>
                <w:lang w:val="en-GB"/>
              </w:rPr>
              <w:t>Article 25</w:t>
            </w:r>
          </w:p>
        </w:tc>
      </w:tr>
      <w:tr w:rsidR="0013247E" w:rsidRPr="0035669C" w:rsidTr="0013247E">
        <w:trPr>
          <w:trHeight w:val="290"/>
        </w:trPr>
        <w:tc>
          <w:tcPr>
            <w:tcW w:w="2235" w:type="dxa"/>
            <w:tcBorders>
              <w:top w:val="single" w:sz="4" w:space="0" w:color="auto"/>
              <w:left w:val="single" w:sz="4" w:space="0" w:color="auto"/>
              <w:bottom w:val="single" w:sz="4" w:space="0" w:color="auto"/>
              <w:right w:val="single" w:sz="4" w:space="0" w:color="auto"/>
            </w:tcBorders>
            <w:hideMark/>
          </w:tcPr>
          <w:p w:rsidR="0013247E" w:rsidRPr="0035669C" w:rsidRDefault="0013247E">
            <w:pPr>
              <w:jc w:val="center"/>
              <w:rPr>
                <w:rFonts w:cstheme="minorHAnsi"/>
                <w:sz w:val="18"/>
                <w:szCs w:val="18"/>
                <w:lang w:val="en-GB"/>
              </w:rPr>
            </w:pPr>
            <w:r w:rsidRPr="0035669C">
              <w:rPr>
                <w:rFonts w:cstheme="minorHAnsi"/>
                <w:sz w:val="18"/>
                <w:szCs w:val="18"/>
                <w:lang w:val="en-GB"/>
              </w:rPr>
              <w:t>Article 84</w:t>
            </w:r>
          </w:p>
        </w:tc>
        <w:tc>
          <w:tcPr>
            <w:tcW w:w="9072" w:type="dxa"/>
            <w:tcBorders>
              <w:top w:val="single" w:sz="4" w:space="0" w:color="auto"/>
              <w:left w:val="single" w:sz="4" w:space="0" w:color="auto"/>
              <w:bottom w:val="single" w:sz="4" w:space="0" w:color="auto"/>
              <w:right w:val="double" w:sz="4" w:space="0" w:color="auto"/>
            </w:tcBorders>
            <w:hideMark/>
          </w:tcPr>
          <w:p w:rsidR="0013247E" w:rsidRPr="0035669C" w:rsidRDefault="0013247E">
            <w:pPr>
              <w:pStyle w:val="CM4"/>
              <w:spacing w:before="60" w:after="60"/>
              <w:jc w:val="both"/>
              <w:rPr>
                <w:rFonts w:asciiTheme="minorHAnsi" w:hAnsiTheme="minorHAnsi" w:cstheme="minorHAnsi"/>
                <w:color w:val="000000"/>
                <w:sz w:val="18"/>
                <w:szCs w:val="18"/>
                <w:lang w:val="en-GB"/>
              </w:rPr>
            </w:pPr>
            <w:r w:rsidRPr="0035669C">
              <w:rPr>
                <w:rFonts w:asciiTheme="minorHAnsi" w:hAnsiTheme="minorHAnsi" w:cstheme="minorHAnsi"/>
                <w:sz w:val="18"/>
                <w:szCs w:val="18"/>
                <w:lang w:val="en-GB"/>
              </w:rPr>
              <w:t xml:space="preserve">UCITS are open-ended: they must repurchase or redeem its units at the request of any unit-holder. / AIFs may be open-ended or closed-ended.   </w:t>
            </w:r>
          </w:p>
        </w:tc>
        <w:tc>
          <w:tcPr>
            <w:tcW w:w="2913" w:type="dxa"/>
            <w:tcBorders>
              <w:top w:val="single" w:sz="4" w:space="0" w:color="auto"/>
              <w:left w:val="double" w:sz="4" w:space="0" w:color="auto"/>
              <w:bottom w:val="single" w:sz="4" w:space="0" w:color="auto"/>
              <w:right w:val="single" w:sz="4" w:space="0" w:color="auto"/>
            </w:tcBorders>
            <w:hideMark/>
          </w:tcPr>
          <w:p w:rsidR="0013247E" w:rsidRPr="0035669C" w:rsidRDefault="0013247E">
            <w:pPr>
              <w:jc w:val="center"/>
              <w:rPr>
                <w:rFonts w:cstheme="minorHAnsi"/>
                <w:sz w:val="18"/>
                <w:szCs w:val="18"/>
                <w:lang w:val="en-GB"/>
              </w:rPr>
            </w:pPr>
            <w:r w:rsidRPr="0035669C">
              <w:rPr>
                <w:rFonts w:cstheme="minorHAnsi"/>
                <w:sz w:val="18"/>
                <w:szCs w:val="18"/>
                <w:lang w:val="en-GB"/>
              </w:rPr>
              <w:t>Article 2 (2) (a)</w:t>
            </w:r>
          </w:p>
        </w:tc>
      </w:tr>
      <w:tr w:rsidR="0013247E" w:rsidRPr="0035669C" w:rsidTr="0013247E">
        <w:trPr>
          <w:trHeight w:val="290"/>
        </w:trPr>
        <w:tc>
          <w:tcPr>
            <w:tcW w:w="2235" w:type="dxa"/>
            <w:tcBorders>
              <w:top w:val="single" w:sz="4" w:space="0" w:color="auto"/>
              <w:left w:val="single" w:sz="4" w:space="0" w:color="auto"/>
              <w:bottom w:val="single" w:sz="4" w:space="0" w:color="auto"/>
              <w:right w:val="single" w:sz="4" w:space="0" w:color="auto"/>
            </w:tcBorders>
            <w:hideMark/>
          </w:tcPr>
          <w:p w:rsidR="0013247E" w:rsidRPr="0035669C" w:rsidRDefault="0013247E">
            <w:pPr>
              <w:jc w:val="center"/>
              <w:rPr>
                <w:rFonts w:cstheme="minorHAnsi"/>
                <w:sz w:val="18"/>
                <w:szCs w:val="18"/>
                <w:lang w:val="en-GB"/>
              </w:rPr>
            </w:pPr>
            <w:r w:rsidRPr="00FF623F">
              <w:rPr>
                <w:rFonts w:cstheme="minorHAnsi"/>
                <w:sz w:val="18"/>
                <w:szCs w:val="18"/>
                <w:lang w:val="en-GB"/>
              </w:rPr>
              <w:t>Article 88</w:t>
            </w:r>
          </w:p>
        </w:tc>
        <w:tc>
          <w:tcPr>
            <w:tcW w:w="9072" w:type="dxa"/>
            <w:tcBorders>
              <w:top w:val="single" w:sz="4" w:space="0" w:color="auto"/>
              <w:left w:val="single" w:sz="4" w:space="0" w:color="auto"/>
              <w:bottom w:val="single" w:sz="4" w:space="0" w:color="auto"/>
              <w:right w:val="double" w:sz="4" w:space="0" w:color="auto"/>
            </w:tcBorders>
            <w:hideMark/>
          </w:tcPr>
          <w:p w:rsidR="0013247E" w:rsidRPr="0035669C" w:rsidRDefault="0013247E">
            <w:pPr>
              <w:pStyle w:val="CM4"/>
              <w:spacing w:before="60" w:after="60"/>
              <w:jc w:val="both"/>
              <w:rPr>
                <w:rFonts w:asciiTheme="minorHAnsi" w:hAnsiTheme="minorHAnsi" w:cstheme="minorHAnsi"/>
                <w:sz w:val="18"/>
                <w:szCs w:val="18"/>
                <w:lang w:val="en-GB"/>
              </w:rPr>
            </w:pPr>
            <w:r w:rsidRPr="0035669C">
              <w:rPr>
                <w:rFonts w:asciiTheme="minorHAnsi" w:hAnsiTheme="minorHAnsi" w:cstheme="minorHAnsi"/>
                <w:sz w:val="18"/>
                <w:szCs w:val="18"/>
                <w:lang w:val="en-GB"/>
              </w:rPr>
              <w:t xml:space="preserve">UCITS shall not grant loans or act as a guarantor on behalf of third parties. </w:t>
            </w:r>
          </w:p>
        </w:tc>
        <w:tc>
          <w:tcPr>
            <w:tcW w:w="2913" w:type="dxa"/>
            <w:tcBorders>
              <w:top w:val="single" w:sz="4" w:space="0" w:color="auto"/>
              <w:left w:val="double" w:sz="4" w:space="0" w:color="auto"/>
              <w:bottom w:val="single" w:sz="4" w:space="0" w:color="auto"/>
              <w:right w:val="single" w:sz="4" w:space="0" w:color="auto"/>
            </w:tcBorders>
            <w:hideMark/>
          </w:tcPr>
          <w:p w:rsidR="0013247E" w:rsidRPr="0035669C" w:rsidRDefault="0013247E">
            <w:pPr>
              <w:jc w:val="center"/>
              <w:rPr>
                <w:rFonts w:cstheme="minorHAnsi"/>
                <w:sz w:val="18"/>
                <w:szCs w:val="18"/>
                <w:lang w:val="en-GB"/>
              </w:rPr>
            </w:pPr>
            <w:r w:rsidRPr="0035669C">
              <w:rPr>
                <w:rFonts w:cstheme="minorHAnsi"/>
                <w:color w:val="92D050"/>
                <w:sz w:val="18"/>
                <w:szCs w:val="18"/>
                <w:lang w:val="en-GB"/>
              </w:rPr>
              <w:t>-</w:t>
            </w:r>
          </w:p>
        </w:tc>
      </w:tr>
    </w:tbl>
    <w:p w:rsidR="0013247E" w:rsidRPr="0035669C" w:rsidRDefault="0013247E" w:rsidP="00745306">
      <w:pPr>
        <w:jc w:val="both"/>
        <w:rPr>
          <w:b/>
          <w:lang w:val="en-GB"/>
        </w:rPr>
      </w:pPr>
    </w:p>
    <w:p w:rsidR="0013247E" w:rsidRPr="0035669C" w:rsidRDefault="0013247E" w:rsidP="00745306">
      <w:pPr>
        <w:jc w:val="both"/>
        <w:rPr>
          <w:b/>
          <w:lang w:val="en-GB"/>
        </w:rPr>
      </w:pPr>
    </w:p>
    <w:tbl>
      <w:tblPr>
        <w:tblStyle w:val="TableGrid"/>
        <w:tblW w:w="0" w:type="auto"/>
        <w:tblLook w:val="04A0" w:firstRow="1" w:lastRow="0" w:firstColumn="1" w:lastColumn="0" w:noHBand="0" w:noVBand="1"/>
      </w:tblPr>
      <w:tblGrid>
        <w:gridCol w:w="2234"/>
        <w:gridCol w:w="9071"/>
        <w:gridCol w:w="2913"/>
      </w:tblGrid>
      <w:tr w:rsidR="008B1484" w:rsidRPr="0035669C" w:rsidTr="008B1484">
        <w:trPr>
          <w:trHeight w:val="287"/>
          <w:tblHeader/>
        </w:trPr>
        <w:tc>
          <w:tcPr>
            <w:tcW w:w="2235"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8B1484" w:rsidRPr="0035669C" w:rsidRDefault="008B1484">
            <w:pPr>
              <w:jc w:val="center"/>
              <w:rPr>
                <w:rFonts w:cstheme="minorHAnsi"/>
                <w:b/>
                <w:sz w:val="18"/>
                <w:szCs w:val="18"/>
                <w:lang w:val="en-GB"/>
              </w:rPr>
            </w:pPr>
            <w:r w:rsidRPr="0035669C">
              <w:rPr>
                <w:rFonts w:cstheme="minorHAnsi"/>
                <w:b/>
                <w:sz w:val="18"/>
                <w:szCs w:val="18"/>
                <w:lang w:val="en-GB"/>
              </w:rPr>
              <w:lastRenderedPageBreak/>
              <w:t>Directive 2009/65</w:t>
            </w:r>
          </w:p>
        </w:tc>
        <w:tc>
          <w:tcPr>
            <w:tcW w:w="9072" w:type="dxa"/>
            <w:tcBorders>
              <w:top w:val="single" w:sz="4" w:space="0" w:color="auto"/>
              <w:left w:val="single" w:sz="4" w:space="0" w:color="auto"/>
              <w:bottom w:val="single" w:sz="4" w:space="0" w:color="auto"/>
              <w:right w:val="double" w:sz="4" w:space="0" w:color="auto"/>
            </w:tcBorders>
            <w:shd w:val="clear" w:color="auto" w:fill="EEECE1" w:themeFill="background2"/>
            <w:hideMark/>
          </w:tcPr>
          <w:p w:rsidR="008B1484" w:rsidRPr="0035669C" w:rsidRDefault="008B1484">
            <w:pPr>
              <w:jc w:val="center"/>
              <w:rPr>
                <w:rFonts w:cstheme="minorHAnsi"/>
                <w:b/>
                <w:sz w:val="18"/>
                <w:szCs w:val="18"/>
                <w:lang w:val="en-GB"/>
              </w:rPr>
            </w:pPr>
            <w:r w:rsidRPr="0035669C">
              <w:rPr>
                <w:rFonts w:cstheme="minorHAnsi"/>
                <w:b/>
                <w:sz w:val="18"/>
                <w:szCs w:val="18"/>
                <w:lang w:val="en-GB"/>
              </w:rPr>
              <w:t xml:space="preserve">Requirements applicable at </w:t>
            </w:r>
            <w:r w:rsidRPr="0035669C">
              <w:rPr>
                <w:rFonts w:cstheme="minorHAnsi"/>
                <w:b/>
                <w:sz w:val="18"/>
                <w:szCs w:val="18"/>
                <w:u w:val="single"/>
                <w:lang w:val="en-GB"/>
              </w:rPr>
              <w:t>manager level</w:t>
            </w:r>
          </w:p>
        </w:tc>
        <w:tc>
          <w:tcPr>
            <w:tcW w:w="2913" w:type="dxa"/>
            <w:tcBorders>
              <w:top w:val="single" w:sz="4" w:space="0" w:color="auto"/>
              <w:left w:val="double" w:sz="4" w:space="0" w:color="auto"/>
              <w:bottom w:val="single" w:sz="4" w:space="0" w:color="auto"/>
              <w:right w:val="single" w:sz="4" w:space="0" w:color="auto"/>
            </w:tcBorders>
            <w:shd w:val="clear" w:color="auto" w:fill="EEECE1" w:themeFill="background2"/>
            <w:hideMark/>
          </w:tcPr>
          <w:p w:rsidR="008B1484" w:rsidRPr="0035669C" w:rsidRDefault="008B1484">
            <w:pPr>
              <w:jc w:val="center"/>
              <w:rPr>
                <w:rFonts w:cstheme="minorHAnsi"/>
                <w:b/>
                <w:sz w:val="18"/>
                <w:szCs w:val="18"/>
                <w:lang w:val="en-GB"/>
              </w:rPr>
            </w:pPr>
            <w:r w:rsidRPr="0035669C">
              <w:rPr>
                <w:rFonts w:cstheme="minorHAnsi"/>
                <w:b/>
                <w:sz w:val="18"/>
                <w:szCs w:val="18"/>
                <w:lang w:val="en-GB"/>
              </w:rPr>
              <w:t>Directive 2011/61</w:t>
            </w:r>
          </w:p>
        </w:tc>
      </w:tr>
      <w:tr w:rsidR="008B1484" w:rsidRPr="0035669C" w:rsidTr="008B1484">
        <w:trPr>
          <w:trHeight w:val="287"/>
        </w:trPr>
        <w:tc>
          <w:tcPr>
            <w:tcW w:w="2235" w:type="dxa"/>
            <w:tcBorders>
              <w:top w:val="single" w:sz="4" w:space="0" w:color="auto"/>
              <w:left w:val="single" w:sz="4" w:space="0" w:color="auto"/>
              <w:bottom w:val="single" w:sz="4" w:space="0" w:color="auto"/>
              <w:right w:val="single" w:sz="4" w:space="0" w:color="auto"/>
            </w:tcBorders>
            <w:hideMark/>
          </w:tcPr>
          <w:p w:rsidR="008B1484" w:rsidRPr="0035669C" w:rsidRDefault="008B1484">
            <w:pPr>
              <w:jc w:val="both"/>
              <w:rPr>
                <w:rFonts w:cstheme="minorHAnsi"/>
                <w:sz w:val="18"/>
                <w:szCs w:val="18"/>
                <w:lang w:val="en-GB"/>
              </w:rPr>
            </w:pPr>
            <w:r w:rsidRPr="0035669C">
              <w:rPr>
                <w:rFonts w:cstheme="minorHAnsi"/>
                <w:sz w:val="18"/>
                <w:szCs w:val="18"/>
                <w:lang w:val="en-GB"/>
              </w:rPr>
              <w:t xml:space="preserve">Article 6 </w:t>
            </w:r>
            <w:proofErr w:type="spellStart"/>
            <w:r w:rsidRPr="0035669C">
              <w:rPr>
                <w:rFonts w:cstheme="minorHAnsi"/>
                <w:sz w:val="18"/>
                <w:szCs w:val="18"/>
                <w:lang w:val="en-GB"/>
              </w:rPr>
              <w:t>para</w:t>
            </w:r>
            <w:proofErr w:type="spellEnd"/>
            <w:r w:rsidRPr="0035669C">
              <w:rPr>
                <w:rFonts w:cstheme="minorHAnsi"/>
                <w:sz w:val="18"/>
                <w:szCs w:val="18"/>
                <w:lang w:val="en-GB"/>
              </w:rPr>
              <w:t xml:space="preserve"> 1</w:t>
            </w:r>
          </w:p>
        </w:tc>
        <w:tc>
          <w:tcPr>
            <w:tcW w:w="9072" w:type="dxa"/>
            <w:tcBorders>
              <w:top w:val="single" w:sz="4" w:space="0" w:color="auto"/>
              <w:left w:val="single" w:sz="4" w:space="0" w:color="auto"/>
              <w:bottom w:val="single" w:sz="4" w:space="0" w:color="auto"/>
              <w:right w:val="double" w:sz="4" w:space="0" w:color="auto"/>
            </w:tcBorders>
            <w:hideMark/>
          </w:tcPr>
          <w:p w:rsidR="008B1484" w:rsidRPr="0035669C" w:rsidRDefault="008B1484">
            <w:pPr>
              <w:pStyle w:val="CM4"/>
              <w:spacing w:before="60" w:after="60"/>
              <w:jc w:val="both"/>
              <w:rPr>
                <w:rFonts w:cstheme="minorHAnsi"/>
                <w:sz w:val="18"/>
                <w:szCs w:val="18"/>
                <w:lang w:val="en-GB"/>
              </w:rPr>
            </w:pPr>
            <w:r w:rsidRPr="0035669C">
              <w:rPr>
                <w:rFonts w:asciiTheme="minorHAnsi" w:hAnsiTheme="minorHAnsi" w:cstheme="minorHAnsi"/>
                <w:sz w:val="18"/>
                <w:szCs w:val="18"/>
                <w:lang w:val="en-GB"/>
              </w:rPr>
              <w:t>MCs/AIFMs must obtain prior authorisation from national authorities to acquire their “passport”.</w:t>
            </w:r>
          </w:p>
        </w:tc>
        <w:tc>
          <w:tcPr>
            <w:tcW w:w="2913" w:type="dxa"/>
            <w:tcBorders>
              <w:top w:val="single" w:sz="4" w:space="0" w:color="auto"/>
              <w:left w:val="double" w:sz="4" w:space="0" w:color="auto"/>
              <w:bottom w:val="single" w:sz="4" w:space="0" w:color="auto"/>
              <w:right w:val="single" w:sz="4" w:space="0" w:color="auto"/>
            </w:tcBorders>
            <w:hideMark/>
          </w:tcPr>
          <w:p w:rsidR="008B1484" w:rsidRPr="0035669C" w:rsidRDefault="008B1484">
            <w:pPr>
              <w:jc w:val="center"/>
              <w:rPr>
                <w:rFonts w:cstheme="minorHAnsi"/>
                <w:sz w:val="18"/>
                <w:szCs w:val="18"/>
                <w:lang w:val="en-GB"/>
              </w:rPr>
            </w:pPr>
            <w:r w:rsidRPr="0035669C">
              <w:rPr>
                <w:rFonts w:cstheme="minorHAnsi"/>
                <w:sz w:val="18"/>
                <w:szCs w:val="18"/>
                <w:lang w:val="en-GB"/>
              </w:rPr>
              <w:t>Articles 6(1) and 7</w:t>
            </w:r>
          </w:p>
        </w:tc>
      </w:tr>
      <w:tr w:rsidR="008B1484" w:rsidRPr="0035669C" w:rsidTr="008B1484">
        <w:trPr>
          <w:trHeight w:val="287"/>
        </w:trPr>
        <w:tc>
          <w:tcPr>
            <w:tcW w:w="2235" w:type="dxa"/>
            <w:tcBorders>
              <w:top w:val="single" w:sz="4" w:space="0" w:color="auto"/>
              <w:left w:val="single" w:sz="4" w:space="0" w:color="auto"/>
              <w:bottom w:val="single" w:sz="4" w:space="0" w:color="auto"/>
              <w:right w:val="single" w:sz="4" w:space="0" w:color="auto"/>
            </w:tcBorders>
            <w:hideMark/>
          </w:tcPr>
          <w:p w:rsidR="008B1484" w:rsidRPr="0035669C" w:rsidRDefault="008B1484">
            <w:pPr>
              <w:jc w:val="both"/>
              <w:rPr>
                <w:rFonts w:cstheme="minorHAnsi"/>
                <w:sz w:val="18"/>
                <w:szCs w:val="18"/>
                <w:lang w:val="en-GB"/>
              </w:rPr>
            </w:pPr>
            <w:r w:rsidRPr="0035669C">
              <w:rPr>
                <w:rFonts w:cstheme="minorHAnsi"/>
                <w:sz w:val="18"/>
                <w:szCs w:val="18"/>
                <w:lang w:val="en-GB"/>
              </w:rPr>
              <w:t xml:space="preserve">Article 6 </w:t>
            </w:r>
            <w:proofErr w:type="spellStart"/>
            <w:r w:rsidRPr="0035669C">
              <w:rPr>
                <w:rFonts w:cstheme="minorHAnsi"/>
                <w:sz w:val="18"/>
                <w:szCs w:val="18"/>
                <w:lang w:val="en-GB"/>
              </w:rPr>
              <w:t>para</w:t>
            </w:r>
            <w:proofErr w:type="spellEnd"/>
            <w:r w:rsidRPr="0035669C">
              <w:rPr>
                <w:rFonts w:cstheme="minorHAnsi"/>
                <w:sz w:val="18"/>
                <w:szCs w:val="18"/>
                <w:lang w:val="en-GB"/>
              </w:rPr>
              <w:t xml:space="preserve"> 2</w:t>
            </w:r>
          </w:p>
        </w:tc>
        <w:tc>
          <w:tcPr>
            <w:tcW w:w="9072" w:type="dxa"/>
            <w:tcBorders>
              <w:top w:val="single" w:sz="4" w:space="0" w:color="auto"/>
              <w:left w:val="single" w:sz="4" w:space="0" w:color="auto"/>
              <w:bottom w:val="single" w:sz="4" w:space="0" w:color="auto"/>
              <w:right w:val="double" w:sz="4" w:space="0" w:color="auto"/>
            </w:tcBorders>
            <w:hideMark/>
          </w:tcPr>
          <w:p w:rsidR="008B1484" w:rsidRPr="0035669C" w:rsidRDefault="008B1484">
            <w:pPr>
              <w:jc w:val="both"/>
              <w:rPr>
                <w:rFonts w:cstheme="minorHAnsi"/>
                <w:sz w:val="18"/>
                <w:szCs w:val="18"/>
                <w:lang w:val="en-GB"/>
              </w:rPr>
            </w:pPr>
            <w:r w:rsidRPr="0035669C">
              <w:rPr>
                <w:rFonts w:cstheme="minorHAnsi"/>
                <w:sz w:val="18"/>
                <w:szCs w:val="18"/>
                <w:lang w:val="en-GB"/>
              </w:rPr>
              <w:t xml:space="preserve">MCs/AIFMs may engage in investment management, administration and marketing activities. Exceptionally, they may undertake discretionary portfolio management service. </w:t>
            </w:r>
          </w:p>
        </w:tc>
        <w:tc>
          <w:tcPr>
            <w:tcW w:w="2913" w:type="dxa"/>
            <w:tcBorders>
              <w:top w:val="single" w:sz="4" w:space="0" w:color="auto"/>
              <w:left w:val="double" w:sz="4" w:space="0" w:color="auto"/>
              <w:bottom w:val="single" w:sz="4" w:space="0" w:color="auto"/>
              <w:right w:val="single" w:sz="4" w:space="0" w:color="auto"/>
            </w:tcBorders>
            <w:hideMark/>
          </w:tcPr>
          <w:p w:rsidR="008B1484" w:rsidRPr="0035669C" w:rsidRDefault="008B1484">
            <w:pPr>
              <w:jc w:val="center"/>
              <w:rPr>
                <w:rFonts w:cstheme="minorHAnsi"/>
                <w:sz w:val="18"/>
                <w:szCs w:val="18"/>
                <w:lang w:val="en-GB"/>
              </w:rPr>
            </w:pPr>
            <w:r w:rsidRPr="0035669C">
              <w:rPr>
                <w:rFonts w:cstheme="minorHAnsi"/>
                <w:sz w:val="18"/>
                <w:szCs w:val="18"/>
                <w:lang w:val="en-GB"/>
              </w:rPr>
              <w:t>Article 6(2) to (4)</w:t>
            </w:r>
          </w:p>
        </w:tc>
      </w:tr>
      <w:tr w:rsidR="008B1484" w:rsidRPr="0035669C" w:rsidTr="008B1484">
        <w:trPr>
          <w:trHeight w:val="300"/>
        </w:trPr>
        <w:tc>
          <w:tcPr>
            <w:tcW w:w="2235" w:type="dxa"/>
            <w:tcBorders>
              <w:top w:val="single" w:sz="4" w:space="0" w:color="auto"/>
              <w:left w:val="single" w:sz="4" w:space="0" w:color="auto"/>
              <w:bottom w:val="single" w:sz="4" w:space="0" w:color="auto"/>
              <w:right w:val="single" w:sz="4" w:space="0" w:color="auto"/>
            </w:tcBorders>
            <w:hideMark/>
          </w:tcPr>
          <w:p w:rsidR="008B1484" w:rsidRPr="0035669C" w:rsidRDefault="008B1484">
            <w:pPr>
              <w:jc w:val="both"/>
              <w:rPr>
                <w:rFonts w:cstheme="minorHAnsi"/>
                <w:sz w:val="18"/>
                <w:szCs w:val="18"/>
                <w:lang w:val="en-GB"/>
              </w:rPr>
            </w:pPr>
            <w:r w:rsidRPr="0035669C">
              <w:rPr>
                <w:rFonts w:cstheme="minorHAnsi"/>
                <w:sz w:val="18"/>
                <w:szCs w:val="18"/>
                <w:lang w:val="en-GB"/>
              </w:rPr>
              <w:t xml:space="preserve">Article 7 </w:t>
            </w:r>
            <w:proofErr w:type="spellStart"/>
            <w:r w:rsidRPr="0035669C">
              <w:rPr>
                <w:rFonts w:cstheme="minorHAnsi"/>
                <w:sz w:val="18"/>
                <w:szCs w:val="18"/>
                <w:lang w:val="en-GB"/>
              </w:rPr>
              <w:t>para</w:t>
            </w:r>
            <w:proofErr w:type="spellEnd"/>
            <w:r w:rsidRPr="0035669C">
              <w:rPr>
                <w:rFonts w:cstheme="minorHAnsi"/>
                <w:sz w:val="18"/>
                <w:szCs w:val="18"/>
                <w:lang w:val="en-GB"/>
              </w:rPr>
              <w:t xml:space="preserve"> 1</w:t>
            </w:r>
          </w:p>
        </w:tc>
        <w:tc>
          <w:tcPr>
            <w:tcW w:w="9072" w:type="dxa"/>
            <w:tcBorders>
              <w:top w:val="single" w:sz="4" w:space="0" w:color="auto"/>
              <w:left w:val="single" w:sz="4" w:space="0" w:color="auto"/>
              <w:bottom w:val="single" w:sz="4" w:space="0" w:color="auto"/>
              <w:right w:val="double" w:sz="4" w:space="0" w:color="auto"/>
            </w:tcBorders>
            <w:hideMark/>
          </w:tcPr>
          <w:p w:rsidR="008B1484" w:rsidRPr="0035669C" w:rsidRDefault="008B1484">
            <w:pPr>
              <w:pStyle w:val="CM4"/>
              <w:spacing w:before="60" w:after="60"/>
              <w:jc w:val="both"/>
              <w:rPr>
                <w:rFonts w:asciiTheme="minorHAnsi" w:hAnsiTheme="minorHAnsi" w:cstheme="minorHAnsi"/>
                <w:sz w:val="18"/>
                <w:szCs w:val="18"/>
                <w:lang w:val="en-GB"/>
              </w:rPr>
            </w:pPr>
            <w:r w:rsidRPr="0035669C">
              <w:rPr>
                <w:rFonts w:asciiTheme="minorHAnsi" w:hAnsiTheme="minorHAnsi" w:cstheme="minorHAnsi"/>
                <w:sz w:val="18"/>
                <w:szCs w:val="18"/>
                <w:lang w:val="en-GB"/>
              </w:rPr>
              <w:t>MCs/AIFMs must have initial capital, and additional own funds depending on portfolio value.</w:t>
            </w:r>
          </w:p>
        </w:tc>
        <w:tc>
          <w:tcPr>
            <w:tcW w:w="2913" w:type="dxa"/>
            <w:tcBorders>
              <w:top w:val="single" w:sz="4" w:space="0" w:color="auto"/>
              <w:left w:val="double" w:sz="4" w:space="0" w:color="auto"/>
              <w:bottom w:val="single" w:sz="4" w:space="0" w:color="auto"/>
              <w:right w:val="single" w:sz="4" w:space="0" w:color="auto"/>
            </w:tcBorders>
            <w:hideMark/>
          </w:tcPr>
          <w:p w:rsidR="008B1484" w:rsidRPr="0035669C" w:rsidRDefault="008B1484">
            <w:pPr>
              <w:jc w:val="center"/>
              <w:rPr>
                <w:rFonts w:cstheme="minorHAnsi"/>
                <w:sz w:val="18"/>
                <w:szCs w:val="18"/>
                <w:lang w:val="en-GB"/>
              </w:rPr>
            </w:pPr>
            <w:r w:rsidRPr="0035669C">
              <w:rPr>
                <w:rFonts w:cstheme="minorHAnsi"/>
                <w:sz w:val="18"/>
                <w:szCs w:val="18"/>
                <w:lang w:val="en-GB"/>
              </w:rPr>
              <w:t>Article 9</w:t>
            </w:r>
          </w:p>
        </w:tc>
      </w:tr>
      <w:tr w:rsidR="008B1484" w:rsidRPr="0035669C" w:rsidTr="008B1484">
        <w:trPr>
          <w:trHeight w:val="300"/>
        </w:trPr>
        <w:tc>
          <w:tcPr>
            <w:tcW w:w="2235" w:type="dxa"/>
            <w:tcBorders>
              <w:top w:val="single" w:sz="4" w:space="0" w:color="auto"/>
              <w:left w:val="single" w:sz="4" w:space="0" w:color="auto"/>
              <w:bottom w:val="single" w:sz="4" w:space="0" w:color="auto"/>
              <w:right w:val="single" w:sz="4" w:space="0" w:color="auto"/>
            </w:tcBorders>
            <w:hideMark/>
          </w:tcPr>
          <w:p w:rsidR="008B1484" w:rsidRPr="0035669C" w:rsidRDefault="008B1484">
            <w:pPr>
              <w:jc w:val="both"/>
              <w:rPr>
                <w:rFonts w:cstheme="minorHAnsi"/>
                <w:sz w:val="18"/>
                <w:szCs w:val="18"/>
                <w:lang w:val="en-GB"/>
              </w:rPr>
            </w:pPr>
            <w:r w:rsidRPr="0035669C">
              <w:rPr>
                <w:rFonts w:cstheme="minorHAnsi"/>
                <w:sz w:val="18"/>
                <w:szCs w:val="18"/>
                <w:lang w:val="en-GB"/>
              </w:rPr>
              <w:t xml:space="preserve">Articles 7 and 12, </w:t>
            </w:r>
            <w:proofErr w:type="spellStart"/>
            <w:r w:rsidRPr="0035669C">
              <w:rPr>
                <w:rFonts w:cstheme="minorHAnsi"/>
                <w:sz w:val="18"/>
                <w:szCs w:val="18"/>
                <w:lang w:val="en-GB"/>
              </w:rPr>
              <w:t>para</w:t>
            </w:r>
            <w:proofErr w:type="spellEnd"/>
            <w:r w:rsidRPr="0035669C">
              <w:rPr>
                <w:rFonts w:cstheme="minorHAnsi"/>
                <w:sz w:val="18"/>
                <w:szCs w:val="18"/>
                <w:lang w:val="en-GB"/>
              </w:rPr>
              <w:t xml:space="preserve"> 1</w:t>
            </w:r>
          </w:p>
        </w:tc>
        <w:tc>
          <w:tcPr>
            <w:tcW w:w="9072" w:type="dxa"/>
            <w:tcBorders>
              <w:top w:val="single" w:sz="4" w:space="0" w:color="auto"/>
              <w:left w:val="single" w:sz="4" w:space="0" w:color="auto"/>
              <w:bottom w:val="single" w:sz="4" w:space="0" w:color="auto"/>
              <w:right w:val="double" w:sz="4" w:space="0" w:color="auto"/>
            </w:tcBorders>
            <w:hideMark/>
          </w:tcPr>
          <w:p w:rsidR="008B1484" w:rsidRPr="0035669C" w:rsidRDefault="008B1484">
            <w:pPr>
              <w:jc w:val="both"/>
              <w:rPr>
                <w:rFonts w:cstheme="minorHAnsi"/>
                <w:sz w:val="18"/>
                <w:szCs w:val="18"/>
                <w:lang w:val="en-GB"/>
              </w:rPr>
            </w:pPr>
            <w:r w:rsidRPr="0035669C">
              <w:rPr>
                <w:rFonts w:cstheme="minorHAnsi"/>
                <w:sz w:val="18"/>
                <w:szCs w:val="18"/>
                <w:lang w:val="en-GB"/>
              </w:rPr>
              <w:t>MCs/AIFMs must respect rules regarding conflict of interests.</w:t>
            </w:r>
          </w:p>
        </w:tc>
        <w:tc>
          <w:tcPr>
            <w:tcW w:w="2913" w:type="dxa"/>
            <w:tcBorders>
              <w:top w:val="single" w:sz="4" w:space="0" w:color="auto"/>
              <w:left w:val="double" w:sz="4" w:space="0" w:color="auto"/>
              <w:bottom w:val="single" w:sz="4" w:space="0" w:color="auto"/>
              <w:right w:val="single" w:sz="4" w:space="0" w:color="auto"/>
            </w:tcBorders>
            <w:hideMark/>
          </w:tcPr>
          <w:p w:rsidR="008B1484" w:rsidRPr="0035669C" w:rsidRDefault="008B1484">
            <w:pPr>
              <w:jc w:val="center"/>
              <w:rPr>
                <w:rFonts w:cstheme="minorHAnsi"/>
                <w:sz w:val="18"/>
                <w:szCs w:val="18"/>
                <w:lang w:val="en-GB"/>
              </w:rPr>
            </w:pPr>
            <w:r w:rsidRPr="0035669C">
              <w:rPr>
                <w:rFonts w:cstheme="minorHAnsi"/>
                <w:sz w:val="18"/>
                <w:szCs w:val="18"/>
                <w:lang w:val="en-GB"/>
              </w:rPr>
              <w:t>Articles 12 (1) (d) and 14</w:t>
            </w:r>
          </w:p>
        </w:tc>
      </w:tr>
      <w:tr w:rsidR="008B1484" w:rsidRPr="0035669C" w:rsidTr="008B1484">
        <w:trPr>
          <w:trHeight w:val="300"/>
        </w:trPr>
        <w:tc>
          <w:tcPr>
            <w:tcW w:w="2235" w:type="dxa"/>
            <w:tcBorders>
              <w:top w:val="single" w:sz="4" w:space="0" w:color="auto"/>
              <w:left w:val="single" w:sz="4" w:space="0" w:color="auto"/>
              <w:bottom w:val="single" w:sz="4" w:space="0" w:color="auto"/>
              <w:right w:val="single" w:sz="4" w:space="0" w:color="auto"/>
            </w:tcBorders>
            <w:hideMark/>
          </w:tcPr>
          <w:p w:rsidR="008B1484" w:rsidRPr="0035669C" w:rsidRDefault="008B1484">
            <w:pPr>
              <w:jc w:val="both"/>
              <w:rPr>
                <w:rFonts w:cstheme="minorHAnsi"/>
                <w:sz w:val="18"/>
                <w:szCs w:val="18"/>
                <w:lang w:val="en-GB"/>
              </w:rPr>
            </w:pPr>
            <w:r w:rsidRPr="0035669C">
              <w:rPr>
                <w:rFonts w:cstheme="minorHAnsi"/>
                <w:sz w:val="18"/>
                <w:szCs w:val="18"/>
                <w:lang w:val="en-GB"/>
              </w:rPr>
              <w:t xml:space="preserve">Article 8 (1) and 12 </w:t>
            </w:r>
            <w:proofErr w:type="spellStart"/>
            <w:r w:rsidRPr="0035669C">
              <w:rPr>
                <w:rFonts w:cstheme="minorHAnsi"/>
                <w:sz w:val="18"/>
                <w:szCs w:val="18"/>
                <w:lang w:val="en-GB"/>
              </w:rPr>
              <w:t>para</w:t>
            </w:r>
            <w:proofErr w:type="spellEnd"/>
            <w:r w:rsidRPr="0035669C">
              <w:rPr>
                <w:rFonts w:cstheme="minorHAnsi"/>
                <w:sz w:val="18"/>
                <w:szCs w:val="18"/>
                <w:lang w:val="en-GB"/>
              </w:rPr>
              <w:t xml:space="preserve"> 1</w:t>
            </w:r>
          </w:p>
        </w:tc>
        <w:tc>
          <w:tcPr>
            <w:tcW w:w="9072" w:type="dxa"/>
            <w:tcBorders>
              <w:top w:val="single" w:sz="4" w:space="0" w:color="auto"/>
              <w:left w:val="single" w:sz="4" w:space="0" w:color="auto"/>
              <w:bottom w:val="single" w:sz="4" w:space="0" w:color="auto"/>
              <w:right w:val="double" w:sz="4" w:space="0" w:color="auto"/>
            </w:tcBorders>
            <w:hideMark/>
          </w:tcPr>
          <w:p w:rsidR="008B1484" w:rsidRPr="0035669C" w:rsidRDefault="008B1484">
            <w:pPr>
              <w:jc w:val="both"/>
              <w:rPr>
                <w:rFonts w:cstheme="minorHAnsi"/>
                <w:sz w:val="18"/>
                <w:szCs w:val="18"/>
                <w:lang w:val="en-GB"/>
              </w:rPr>
            </w:pPr>
            <w:r w:rsidRPr="0035669C">
              <w:rPr>
                <w:rFonts w:cstheme="minorHAnsi"/>
                <w:sz w:val="18"/>
                <w:szCs w:val="18"/>
                <w:lang w:val="en-GB"/>
              </w:rPr>
              <w:t>MCs/AIFMs must insure the sound and prudent management of the management company.</w:t>
            </w:r>
          </w:p>
        </w:tc>
        <w:tc>
          <w:tcPr>
            <w:tcW w:w="2913" w:type="dxa"/>
            <w:tcBorders>
              <w:top w:val="single" w:sz="4" w:space="0" w:color="auto"/>
              <w:left w:val="double" w:sz="4" w:space="0" w:color="auto"/>
              <w:bottom w:val="single" w:sz="4" w:space="0" w:color="auto"/>
              <w:right w:val="single" w:sz="4" w:space="0" w:color="auto"/>
            </w:tcBorders>
            <w:hideMark/>
          </w:tcPr>
          <w:p w:rsidR="008B1484" w:rsidRPr="0035669C" w:rsidRDefault="008B1484">
            <w:pPr>
              <w:jc w:val="center"/>
              <w:rPr>
                <w:rFonts w:cstheme="minorHAnsi"/>
                <w:sz w:val="18"/>
                <w:szCs w:val="18"/>
                <w:lang w:val="en-GB"/>
              </w:rPr>
            </w:pPr>
            <w:r w:rsidRPr="0035669C">
              <w:rPr>
                <w:rFonts w:cstheme="minorHAnsi"/>
                <w:sz w:val="18"/>
                <w:szCs w:val="18"/>
                <w:lang w:val="en-GB"/>
              </w:rPr>
              <w:t>Articles 8 (1) and 12</w:t>
            </w:r>
          </w:p>
        </w:tc>
      </w:tr>
      <w:tr w:rsidR="008B1484" w:rsidRPr="0035669C" w:rsidTr="008B1484">
        <w:trPr>
          <w:trHeight w:val="300"/>
        </w:trPr>
        <w:tc>
          <w:tcPr>
            <w:tcW w:w="2235" w:type="dxa"/>
            <w:tcBorders>
              <w:top w:val="single" w:sz="4" w:space="0" w:color="auto"/>
              <w:left w:val="single" w:sz="4" w:space="0" w:color="auto"/>
              <w:bottom w:val="single" w:sz="4" w:space="0" w:color="auto"/>
              <w:right w:val="single" w:sz="4" w:space="0" w:color="auto"/>
            </w:tcBorders>
            <w:hideMark/>
          </w:tcPr>
          <w:p w:rsidR="008B1484" w:rsidRPr="0035669C" w:rsidRDefault="008B1484">
            <w:pPr>
              <w:jc w:val="both"/>
              <w:rPr>
                <w:rFonts w:cstheme="minorHAnsi"/>
                <w:sz w:val="18"/>
                <w:szCs w:val="18"/>
                <w:lang w:val="en-GB"/>
              </w:rPr>
            </w:pPr>
            <w:r w:rsidRPr="0035669C">
              <w:rPr>
                <w:rFonts w:cstheme="minorHAnsi"/>
                <w:sz w:val="18"/>
                <w:szCs w:val="18"/>
                <w:lang w:val="en-GB"/>
              </w:rPr>
              <w:t>Article 13</w:t>
            </w:r>
          </w:p>
        </w:tc>
        <w:tc>
          <w:tcPr>
            <w:tcW w:w="9072" w:type="dxa"/>
            <w:tcBorders>
              <w:top w:val="single" w:sz="4" w:space="0" w:color="auto"/>
              <w:left w:val="single" w:sz="4" w:space="0" w:color="auto"/>
              <w:bottom w:val="single" w:sz="4" w:space="0" w:color="auto"/>
              <w:right w:val="double" w:sz="4" w:space="0" w:color="auto"/>
            </w:tcBorders>
            <w:hideMark/>
          </w:tcPr>
          <w:p w:rsidR="008B1484" w:rsidRPr="0035669C" w:rsidRDefault="008B1484">
            <w:pPr>
              <w:autoSpaceDE w:val="0"/>
              <w:autoSpaceDN w:val="0"/>
              <w:adjustRightInd w:val="0"/>
              <w:spacing w:before="60" w:after="60"/>
              <w:jc w:val="both"/>
              <w:rPr>
                <w:rFonts w:cstheme="minorHAnsi"/>
                <w:sz w:val="18"/>
                <w:szCs w:val="18"/>
                <w:lang w:val="en-GB"/>
              </w:rPr>
            </w:pPr>
            <w:r w:rsidRPr="0035669C">
              <w:rPr>
                <w:rFonts w:cstheme="minorHAnsi"/>
                <w:sz w:val="18"/>
                <w:szCs w:val="18"/>
                <w:lang w:val="en-GB"/>
              </w:rPr>
              <w:t xml:space="preserve">Delegation of functions by the MCs/AIFMs is possible, provided it does not become a letter-box entity. </w:t>
            </w:r>
          </w:p>
        </w:tc>
        <w:tc>
          <w:tcPr>
            <w:tcW w:w="2913" w:type="dxa"/>
            <w:tcBorders>
              <w:top w:val="single" w:sz="4" w:space="0" w:color="auto"/>
              <w:left w:val="double" w:sz="4" w:space="0" w:color="auto"/>
              <w:bottom w:val="single" w:sz="4" w:space="0" w:color="auto"/>
              <w:right w:val="single" w:sz="4" w:space="0" w:color="auto"/>
            </w:tcBorders>
            <w:hideMark/>
          </w:tcPr>
          <w:p w:rsidR="008B1484" w:rsidRPr="0035669C" w:rsidRDefault="008B1484">
            <w:pPr>
              <w:jc w:val="center"/>
              <w:rPr>
                <w:rFonts w:cstheme="minorHAnsi"/>
                <w:sz w:val="18"/>
                <w:szCs w:val="18"/>
                <w:lang w:val="en-GB"/>
              </w:rPr>
            </w:pPr>
            <w:r w:rsidRPr="0035669C">
              <w:rPr>
                <w:rFonts w:cstheme="minorHAnsi"/>
                <w:sz w:val="18"/>
                <w:szCs w:val="18"/>
                <w:lang w:val="en-GB"/>
              </w:rPr>
              <w:t>Article 20</w:t>
            </w:r>
          </w:p>
        </w:tc>
      </w:tr>
      <w:tr w:rsidR="008B1484" w:rsidRPr="0035669C" w:rsidTr="008B1484">
        <w:trPr>
          <w:trHeight w:val="300"/>
        </w:trPr>
        <w:tc>
          <w:tcPr>
            <w:tcW w:w="2235" w:type="dxa"/>
            <w:tcBorders>
              <w:top w:val="single" w:sz="4" w:space="0" w:color="auto"/>
              <w:left w:val="single" w:sz="4" w:space="0" w:color="auto"/>
              <w:bottom w:val="single" w:sz="4" w:space="0" w:color="auto"/>
              <w:right w:val="single" w:sz="4" w:space="0" w:color="auto"/>
            </w:tcBorders>
            <w:hideMark/>
          </w:tcPr>
          <w:p w:rsidR="008B1484" w:rsidRPr="0035669C" w:rsidRDefault="008B1484">
            <w:pPr>
              <w:jc w:val="both"/>
              <w:rPr>
                <w:rFonts w:cstheme="minorHAnsi"/>
                <w:sz w:val="18"/>
                <w:szCs w:val="18"/>
                <w:lang w:val="en-GB"/>
              </w:rPr>
            </w:pPr>
            <w:r w:rsidRPr="0035669C">
              <w:rPr>
                <w:rFonts w:cstheme="minorHAnsi"/>
                <w:sz w:val="18"/>
                <w:szCs w:val="18"/>
                <w:lang w:val="en-GB"/>
              </w:rPr>
              <w:t>Article 14</w:t>
            </w:r>
          </w:p>
        </w:tc>
        <w:tc>
          <w:tcPr>
            <w:tcW w:w="9072" w:type="dxa"/>
            <w:tcBorders>
              <w:top w:val="single" w:sz="4" w:space="0" w:color="auto"/>
              <w:left w:val="single" w:sz="4" w:space="0" w:color="auto"/>
              <w:bottom w:val="single" w:sz="4" w:space="0" w:color="auto"/>
              <w:right w:val="double" w:sz="4" w:space="0" w:color="auto"/>
            </w:tcBorders>
            <w:hideMark/>
          </w:tcPr>
          <w:p w:rsidR="008B1484" w:rsidRPr="0035669C" w:rsidRDefault="008B1484">
            <w:pPr>
              <w:autoSpaceDE w:val="0"/>
              <w:autoSpaceDN w:val="0"/>
              <w:adjustRightInd w:val="0"/>
              <w:spacing w:before="60" w:after="60"/>
              <w:jc w:val="both"/>
              <w:rPr>
                <w:rFonts w:cstheme="minorHAnsi"/>
                <w:i/>
                <w:sz w:val="18"/>
                <w:szCs w:val="18"/>
                <w:lang w:val="en-GB"/>
              </w:rPr>
            </w:pPr>
            <w:r w:rsidRPr="0035669C">
              <w:rPr>
                <w:rFonts w:cstheme="minorHAnsi"/>
                <w:sz w:val="18"/>
                <w:szCs w:val="18"/>
                <w:lang w:val="en-GB"/>
              </w:rPr>
              <w:t xml:space="preserve">MCs/AIFMs must act in the best interests of the fund it manages, avoid conflicts of interests. </w:t>
            </w:r>
          </w:p>
        </w:tc>
        <w:tc>
          <w:tcPr>
            <w:tcW w:w="2913" w:type="dxa"/>
            <w:tcBorders>
              <w:top w:val="single" w:sz="4" w:space="0" w:color="auto"/>
              <w:left w:val="double" w:sz="4" w:space="0" w:color="auto"/>
              <w:bottom w:val="single" w:sz="4" w:space="0" w:color="auto"/>
              <w:right w:val="single" w:sz="4" w:space="0" w:color="auto"/>
            </w:tcBorders>
            <w:hideMark/>
          </w:tcPr>
          <w:p w:rsidR="008B1484" w:rsidRPr="0035669C" w:rsidRDefault="008B1484">
            <w:pPr>
              <w:jc w:val="center"/>
              <w:rPr>
                <w:rFonts w:cstheme="minorHAnsi"/>
                <w:sz w:val="18"/>
                <w:szCs w:val="18"/>
                <w:lang w:val="en-GB"/>
              </w:rPr>
            </w:pPr>
            <w:r w:rsidRPr="0035669C">
              <w:rPr>
                <w:rFonts w:cstheme="minorHAnsi"/>
                <w:sz w:val="18"/>
                <w:szCs w:val="18"/>
                <w:lang w:val="en-GB"/>
              </w:rPr>
              <w:t>Article 12</w:t>
            </w:r>
          </w:p>
        </w:tc>
      </w:tr>
      <w:tr w:rsidR="008B1484" w:rsidRPr="0035669C" w:rsidTr="008B1484">
        <w:trPr>
          <w:trHeight w:val="300"/>
        </w:trPr>
        <w:tc>
          <w:tcPr>
            <w:tcW w:w="2235" w:type="dxa"/>
            <w:tcBorders>
              <w:top w:val="single" w:sz="4" w:space="0" w:color="auto"/>
              <w:left w:val="single" w:sz="4" w:space="0" w:color="auto"/>
              <w:bottom w:val="single" w:sz="4" w:space="0" w:color="auto"/>
              <w:right w:val="single" w:sz="4" w:space="0" w:color="auto"/>
            </w:tcBorders>
            <w:hideMark/>
          </w:tcPr>
          <w:p w:rsidR="008B1484" w:rsidRPr="0035669C" w:rsidRDefault="008B1484">
            <w:pPr>
              <w:jc w:val="both"/>
              <w:rPr>
                <w:rFonts w:cstheme="minorHAnsi"/>
                <w:sz w:val="18"/>
                <w:szCs w:val="18"/>
                <w:lang w:val="en-GB"/>
              </w:rPr>
            </w:pPr>
            <w:r w:rsidRPr="0035669C">
              <w:rPr>
                <w:rFonts w:cstheme="minorHAnsi"/>
                <w:sz w:val="18"/>
                <w:szCs w:val="18"/>
                <w:lang w:val="en-GB"/>
              </w:rPr>
              <w:t xml:space="preserve">Articles 14a and 14b </w:t>
            </w:r>
          </w:p>
        </w:tc>
        <w:tc>
          <w:tcPr>
            <w:tcW w:w="9072" w:type="dxa"/>
            <w:tcBorders>
              <w:top w:val="single" w:sz="4" w:space="0" w:color="auto"/>
              <w:left w:val="single" w:sz="4" w:space="0" w:color="auto"/>
              <w:bottom w:val="single" w:sz="4" w:space="0" w:color="auto"/>
              <w:right w:val="double" w:sz="4" w:space="0" w:color="auto"/>
            </w:tcBorders>
            <w:hideMark/>
          </w:tcPr>
          <w:p w:rsidR="008B1484" w:rsidRPr="0035669C" w:rsidRDefault="008B1484">
            <w:pPr>
              <w:autoSpaceDE w:val="0"/>
              <w:autoSpaceDN w:val="0"/>
              <w:adjustRightInd w:val="0"/>
              <w:spacing w:before="60" w:after="60"/>
              <w:jc w:val="both"/>
              <w:rPr>
                <w:rFonts w:cstheme="minorHAnsi"/>
                <w:i/>
                <w:sz w:val="18"/>
                <w:szCs w:val="18"/>
                <w:lang w:val="en-GB"/>
              </w:rPr>
            </w:pPr>
            <w:r w:rsidRPr="0035669C">
              <w:rPr>
                <w:rFonts w:cstheme="minorHAnsi"/>
                <w:sz w:val="18"/>
                <w:szCs w:val="18"/>
                <w:lang w:val="en-GB"/>
              </w:rPr>
              <w:t xml:space="preserve">MCs/AIFMs must implement remuneration policies that are consistent with sound and effective risk management. </w:t>
            </w:r>
          </w:p>
        </w:tc>
        <w:tc>
          <w:tcPr>
            <w:tcW w:w="2913" w:type="dxa"/>
            <w:tcBorders>
              <w:top w:val="single" w:sz="4" w:space="0" w:color="auto"/>
              <w:left w:val="double" w:sz="4" w:space="0" w:color="auto"/>
              <w:bottom w:val="single" w:sz="4" w:space="0" w:color="auto"/>
              <w:right w:val="single" w:sz="4" w:space="0" w:color="auto"/>
            </w:tcBorders>
            <w:hideMark/>
          </w:tcPr>
          <w:p w:rsidR="008B1484" w:rsidRPr="0035669C" w:rsidRDefault="008B1484">
            <w:pPr>
              <w:jc w:val="center"/>
              <w:rPr>
                <w:rFonts w:cstheme="minorHAnsi"/>
                <w:sz w:val="18"/>
                <w:szCs w:val="18"/>
                <w:lang w:val="en-GB"/>
              </w:rPr>
            </w:pPr>
            <w:r w:rsidRPr="0035669C">
              <w:rPr>
                <w:rFonts w:cstheme="minorHAnsi"/>
                <w:sz w:val="18"/>
                <w:szCs w:val="18"/>
                <w:lang w:val="en-GB"/>
              </w:rPr>
              <w:t>Article 13</w:t>
            </w:r>
          </w:p>
        </w:tc>
      </w:tr>
      <w:tr w:rsidR="008B1484" w:rsidRPr="00254E73" w:rsidTr="008B1484">
        <w:trPr>
          <w:trHeight w:val="300"/>
        </w:trPr>
        <w:tc>
          <w:tcPr>
            <w:tcW w:w="2235" w:type="dxa"/>
            <w:tcBorders>
              <w:top w:val="single" w:sz="4" w:space="0" w:color="auto"/>
              <w:left w:val="single" w:sz="4" w:space="0" w:color="auto"/>
              <w:bottom w:val="single" w:sz="4" w:space="0" w:color="auto"/>
              <w:right w:val="single" w:sz="4" w:space="0" w:color="auto"/>
            </w:tcBorders>
            <w:hideMark/>
          </w:tcPr>
          <w:p w:rsidR="008B1484" w:rsidRPr="0035669C" w:rsidRDefault="008B1484">
            <w:pPr>
              <w:tabs>
                <w:tab w:val="center" w:pos="1080"/>
                <w:tab w:val="right" w:pos="2160"/>
              </w:tabs>
              <w:jc w:val="both"/>
              <w:rPr>
                <w:rFonts w:cstheme="minorHAnsi"/>
                <w:sz w:val="18"/>
                <w:szCs w:val="18"/>
                <w:lang w:val="en-GB"/>
              </w:rPr>
            </w:pPr>
            <w:r w:rsidRPr="0035669C">
              <w:rPr>
                <w:rFonts w:cstheme="minorHAnsi"/>
                <w:sz w:val="18"/>
                <w:szCs w:val="18"/>
                <w:lang w:val="en-GB"/>
              </w:rPr>
              <w:t>Article 15</w:t>
            </w:r>
          </w:p>
        </w:tc>
        <w:tc>
          <w:tcPr>
            <w:tcW w:w="9072" w:type="dxa"/>
            <w:tcBorders>
              <w:top w:val="single" w:sz="4" w:space="0" w:color="auto"/>
              <w:left w:val="single" w:sz="4" w:space="0" w:color="auto"/>
              <w:bottom w:val="single" w:sz="4" w:space="0" w:color="auto"/>
              <w:right w:val="double" w:sz="4" w:space="0" w:color="auto"/>
            </w:tcBorders>
            <w:hideMark/>
          </w:tcPr>
          <w:p w:rsidR="008B1484" w:rsidRPr="0035669C" w:rsidRDefault="008B1484">
            <w:pPr>
              <w:pStyle w:val="CM4"/>
              <w:spacing w:before="60" w:after="60"/>
              <w:jc w:val="both"/>
              <w:rPr>
                <w:rFonts w:asciiTheme="minorHAnsi" w:hAnsiTheme="minorHAnsi" w:cstheme="minorHAnsi"/>
                <w:i/>
                <w:sz w:val="18"/>
                <w:szCs w:val="18"/>
                <w:lang w:val="en-GB"/>
              </w:rPr>
            </w:pPr>
            <w:r w:rsidRPr="0035669C">
              <w:rPr>
                <w:rFonts w:asciiTheme="minorHAnsi" w:hAnsiTheme="minorHAnsi" w:cstheme="minorHAnsi"/>
                <w:sz w:val="18"/>
                <w:szCs w:val="18"/>
                <w:lang w:val="en-GB"/>
              </w:rPr>
              <w:t>MCs must establish appropriate procedures and arrangements to deal properly with investor complaints.</w:t>
            </w:r>
          </w:p>
        </w:tc>
        <w:tc>
          <w:tcPr>
            <w:tcW w:w="2913" w:type="dxa"/>
            <w:tcBorders>
              <w:top w:val="single" w:sz="4" w:space="0" w:color="auto"/>
              <w:left w:val="double" w:sz="4" w:space="0" w:color="auto"/>
              <w:bottom w:val="single" w:sz="4" w:space="0" w:color="auto"/>
              <w:right w:val="single" w:sz="4" w:space="0" w:color="auto"/>
            </w:tcBorders>
            <w:hideMark/>
          </w:tcPr>
          <w:p w:rsidR="008B1484" w:rsidRPr="0035669C" w:rsidRDefault="008B1484">
            <w:pPr>
              <w:jc w:val="center"/>
              <w:rPr>
                <w:rFonts w:cstheme="minorHAnsi"/>
                <w:sz w:val="18"/>
                <w:szCs w:val="18"/>
                <w:lang w:val="en-GB"/>
              </w:rPr>
            </w:pPr>
            <w:r w:rsidRPr="00FF623F">
              <w:rPr>
                <w:rFonts w:cstheme="minorHAnsi"/>
                <w:sz w:val="18"/>
                <w:szCs w:val="18"/>
                <w:lang w:val="en-GB"/>
              </w:rPr>
              <w:t>(professional investors - not retail, Article 43)</w:t>
            </w:r>
          </w:p>
        </w:tc>
      </w:tr>
      <w:tr w:rsidR="008B1484" w:rsidRPr="0035669C" w:rsidTr="008B1484">
        <w:trPr>
          <w:trHeight w:val="300"/>
        </w:trPr>
        <w:tc>
          <w:tcPr>
            <w:tcW w:w="2235" w:type="dxa"/>
            <w:tcBorders>
              <w:top w:val="single" w:sz="4" w:space="0" w:color="auto"/>
              <w:left w:val="single" w:sz="4" w:space="0" w:color="auto"/>
              <w:bottom w:val="single" w:sz="4" w:space="0" w:color="auto"/>
              <w:right w:val="single" w:sz="4" w:space="0" w:color="auto"/>
            </w:tcBorders>
            <w:hideMark/>
          </w:tcPr>
          <w:p w:rsidR="008B1484" w:rsidRPr="0035669C" w:rsidRDefault="008B1484">
            <w:pPr>
              <w:jc w:val="both"/>
              <w:rPr>
                <w:rFonts w:cstheme="minorHAnsi"/>
                <w:sz w:val="18"/>
                <w:szCs w:val="18"/>
                <w:lang w:val="en-GB"/>
              </w:rPr>
            </w:pPr>
            <w:r w:rsidRPr="0035669C">
              <w:rPr>
                <w:rFonts w:cstheme="minorHAnsi"/>
                <w:sz w:val="18"/>
                <w:szCs w:val="18"/>
                <w:lang w:val="en-GB"/>
              </w:rPr>
              <w:t xml:space="preserve">Article 18 </w:t>
            </w:r>
            <w:proofErr w:type="spellStart"/>
            <w:r w:rsidRPr="0035669C">
              <w:rPr>
                <w:rFonts w:cstheme="minorHAnsi"/>
                <w:sz w:val="18"/>
                <w:szCs w:val="18"/>
                <w:lang w:val="en-GB"/>
              </w:rPr>
              <w:t>para</w:t>
            </w:r>
            <w:proofErr w:type="spellEnd"/>
            <w:r w:rsidRPr="0035669C">
              <w:rPr>
                <w:rFonts w:cstheme="minorHAnsi"/>
                <w:sz w:val="18"/>
                <w:szCs w:val="18"/>
                <w:lang w:val="en-GB"/>
              </w:rPr>
              <w:t xml:space="preserve"> 1 and 4</w:t>
            </w:r>
          </w:p>
        </w:tc>
        <w:tc>
          <w:tcPr>
            <w:tcW w:w="9072" w:type="dxa"/>
            <w:tcBorders>
              <w:top w:val="single" w:sz="4" w:space="0" w:color="auto"/>
              <w:left w:val="single" w:sz="4" w:space="0" w:color="auto"/>
              <w:bottom w:val="single" w:sz="4" w:space="0" w:color="auto"/>
              <w:right w:val="double" w:sz="4" w:space="0" w:color="auto"/>
            </w:tcBorders>
            <w:hideMark/>
          </w:tcPr>
          <w:p w:rsidR="008B1484" w:rsidRPr="0035669C" w:rsidRDefault="008B1484">
            <w:pPr>
              <w:pStyle w:val="CM4"/>
              <w:spacing w:before="60" w:after="60"/>
              <w:jc w:val="both"/>
              <w:rPr>
                <w:rFonts w:asciiTheme="minorHAnsi" w:hAnsiTheme="minorHAnsi" w:cstheme="minorHAnsi"/>
                <w:sz w:val="18"/>
                <w:szCs w:val="18"/>
                <w:lang w:val="en-GB"/>
              </w:rPr>
            </w:pPr>
            <w:r w:rsidRPr="0035669C">
              <w:rPr>
                <w:rFonts w:asciiTheme="minorHAnsi" w:hAnsiTheme="minorHAnsi" w:cstheme="minorHAnsi"/>
                <w:sz w:val="18"/>
                <w:szCs w:val="18"/>
                <w:lang w:val="en-GB"/>
              </w:rPr>
              <w:t>Any MC undertaking activities under the freedom to provide services must inform its (home) authority.</w:t>
            </w:r>
          </w:p>
        </w:tc>
        <w:tc>
          <w:tcPr>
            <w:tcW w:w="2913" w:type="dxa"/>
            <w:tcBorders>
              <w:top w:val="single" w:sz="4" w:space="0" w:color="auto"/>
              <w:left w:val="double" w:sz="4" w:space="0" w:color="auto"/>
              <w:bottom w:val="single" w:sz="4" w:space="0" w:color="auto"/>
              <w:right w:val="single" w:sz="4" w:space="0" w:color="auto"/>
            </w:tcBorders>
            <w:hideMark/>
          </w:tcPr>
          <w:p w:rsidR="008B1484" w:rsidRPr="0035669C" w:rsidRDefault="008B1484">
            <w:pPr>
              <w:jc w:val="center"/>
              <w:rPr>
                <w:rFonts w:cstheme="minorHAnsi"/>
                <w:sz w:val="18"/>
                <w:szCs w:val="18"/>
                <w:lang w:val="en-GB"/>
              </w:rPr>
            </w:pPr>
            <w:r w:rsidRPr="0035669C">
              <w:rPr>
                <w:rFonts w:cstheme="minorHAnsi"/>
                <w:sz w:val="18"/>
                <w:szCs w:val="18"/>
                <w:lang w:val="en-GB"/>
              </w:rPr>
              <w:t>Article 33</w:t>
            </w:r>
          </w:p>
        </w:tc>
      </w:tr>
      <w:tr w:rsidR="008B1484" w:rsidRPr="0035669C" w:rsidTr="008B1484">
        <w:trPr>
          <w:trHeight w:val="300"/>
        </w:trPr>
        <w:tc>
          <w:tcPr>
            <w:tcW w:w="2235" w:type="dxa"/>
            <w:tcBorders>
              <w:top w:val="single" w:sz="4" w:space="0" w:color="auto"/>
              <w:left w:val="single" w:sz="4" w:space="0" w:color="auto"/>
              <w:bottom w:val="single" w:sz="4" w:space="0" w:color="auto"/>
              <w:right w:val="single" w:sz="4" w:space="0" w:color="auto"/>
            </w:tcBorders>
            <w:hideMark/>
          </w:tcPr>
          <w:p w:rsidR="008B1484" w:rsidRPr="0035669C" w:rsidRDefault="008B1484">
            <w:pPr>
              <w:jc w:val="both"/>
              <w:rPr>
                <w:rFonts w:cstheme="minorHAnsi"/>
                <w:sz w:val="18"/>
                <w:szCs w:val="18"/>
                <w:lang w:val="en-GB"/>
              </w:rPr>
            </w:pPr>
            <w:r w:rsidRPr="0035669C">
              <w:rPr>
                <w:rFonts w:cstheme="minorHAnsi"/>
                <w:sz w:val="18"/>
                <w:szCs w:val="18"/>
                <w:lang w:val="en-GB"/>
              </w:rPr>
              <w:t xml:space="preserve">Article 19 </w:t>
            </w:r>
            <w:proofErr w:type="spellStart"/>
            <w:r w:rsidRPr="0035669C">
              <w:rPr>
                <w:rFonts w:cstheme="minorHAnsi"/>
                <w:sz w:val="18"/>
                <w:szCs w:val="18"/>
                <w:lang w:val="en-GB"/>
              </w:rPr>
              <w:t>para</w:t>
            </w:r>
            <w:proofErr w:type="spellEnd"/>
            <w:r w:rsidRPr="0035669C">
              <w:rPr>
                <w:rFonts w:cstheme="minorHAnsi"/>
                <w:sz w:val="18"/>
                <w:szCs w:val="18"/>
                <w:lang w:val="en-GB"/>
              </w:rPr>
              <w:t xml:space="preserve"> 4</w:t>
            </w:r>
          </w:p>
        </w:tc>
        <w:tc>
          <w:tcPr>
            <w:tcW w:w="9072" w:type="dxa"/>
            <w:tcBorders>
              <w:top w:val="single" w:sz="4" w:space="0" w:color="auto"/>
              <w:left w:val="single" w:sz="4" w:space="0" w:color="auto"/>
              <w:bottom w:val="single" w:sz="4" w:space="0" w:color="auto"/>
              <w:right w:val="double" w:sz="4" w:space="0" w:color="auto"/>
            </w:tcBorders>
            <w:hideMark/>
          </w:tcPr>
          <w:p w:rsidR="008B1484" w:rsidRPr="0035669C" w:rsidRDefault="008B1484">
            <w:pPr>
              <w:autoSpaceDE w:val="0"/>
              <w:autoSpaceDN w:val="0"/>
              <w:adjustRightInd w:val="0"/>
              <w:spacing w:before="60" w:after="60"/>
              <w:jc w:val="both"/>
              <w:rPr>
                <w:rFonts w:cstheme="minorHAnsi"/>
                <w:color w:val="000000"/>
                <w:sz w:val="18"/>
                <w:szCs w:val="18"/>
                <w:lang w:val="en-GB"/>
              </w:rPr>
            </w:pPr>
            <w:r w:rsidRPr="0035669C">
              <w:rPr>
                <w:rFonts w:cstheme="minorHAnsi"/>
                <w:sz w:val="18"/>
                <w:szCs w:val="18"/>
                <w:lang w:val="en-GB"/>
              </w:rPr>
              <w:t>The MC must comply with the fund rules, the instruments of incorporation, and the prospectus</w:t>
            </w:r>
            <w:r w:rsidRPr="0035669C">
              <w:rPr>
                <w:rFonts w:cstheme="minorHAnsi"/>
                <w:i/>
                <w:sz w:val="18"/>
                <w:szCs w:val="18"/>
                <w:lang w:val="en-GB"/>
              </w:rPr>
              <w:t>.</w:t>
            </w:r>
          </w:p>
        </w:tc>
        <w:tc>
          <w:tcPr>
            <w:tcW w:w="2913" w:type="dxa"/>
            <w:tcBorders>
              <w:top w:val="single" w:sz="4" w:space="0" w:color="auto"/>
              <w:left w:val="double" w:sz="4" w:space="0" w:color="auto"/>
              <w:bottom w:val="single" w:sz="4" w:space="0" w:color="auto"/>
              <w:right w:val="single" w:sz="4" w:space="0" w:color="auto"/>
            </w:tcBorders>
            <w:hideMark/>
          </w:tcPr>
          <w:p w:rsidR="008B1484" w:rsidRPr="0035669C" w:rsidRDefault="008B1484">
            <w:pPr>
              <w:jc w:val="center"/>
              <w:rPr>
                <w:rFonts w:cstheme="minorHAnsi"/>
                <w:sz w:val="18"/>
                <w:szCs w:val="18"/>
                <w:lang w:val="en-GB"/>
              </w:rPr>
            </w:pPr>
            <w:r w:rsidRPr="0035669C">
              <w:rPr>
                <w:rFonts w:cstheme="minorHAnsi"/>
                <w:sz w:val="18"/>
                <w:szCs w:val="18"/>
                <w:lang w:val="en-GB"/>
              </w:rPr>
              <w:t>Article 18</w:t>
            </w:r>
          </w:p>
        </w:tc>
      </w:tr>
      <w:tr w:rsidR="008B1484" w:rsidRPr="0035669C" w:rsidTr="008B1484">
        <w:trPr>
          <w:trHeight w:val="300"/>
        </w:trPr>
        <w:tc>
          <w:tcPr>
            <w:tcW w:w="2235" w:type="dxa"/>
            <w:tcBorders>
              <w:top w:val="single" w:sz="4" w:space="0" w:color="auto"/>
              <w:left w:val="single" w:sz="4" w:space="0" w:color="auto"/>
              <w:bottom w:val="single" w:sz="4" w:space="0" w:color="auto"/>
              <w:right w:val="single" w:sz="4" w:space="0" w:color="auto"/>
            </w:tcBorders>
            <w:hideMark/>
          </w:tcPr>
          <w:p w:rsidR="008B1484" w:rsidRPr="0035669C" w:rsidRDefault="008B1484">
            <w:pPr>
              <w:jc w:val="both"/>
              <w:rPr>
                <w:rFonts w:cstheme="minorHAnsi"/>
                <w:sz w:val="18"/>
                <w:szCs w:val="18"/>
                <w:lang w:val="en-GB"/>
              </w:rPr>
            </w:pPr>
            <w:r w:rsidRPr="0035669C">
              <w:rPr>
                <w:rFonts w:cstheme="minorHAnsi"/>
                <w:sz w:val="18"/>
                <w:szCs w:val="18"/>
                <w:lang w:val="en-GB"/>
              </w:rPr>
              <w:t xml:space="preserve">Article 20 </w:t>
            </w:r>
            <w:proofErr w:type="spellStart"/>
            <w:r w:rsidRPr="0035669C">
              <w:rPr>
                <w:rFonts w:cstheme="minorHAnsi"/>
                <w:sz w:val="18"/>
                <w:szCs w:val="18"/>
                <w:lang w:val="en-GB"/>
              </w:rPr>
              <w:t>para</w:t>
            </w:r>
            <w:proofErr w:type="spellEnd"/>
            <w:r w:rsidRPr="0035669C">
              <w:rPr>
                <w:rFonts w:cstheme="minorHAnsi"/>
                <w:sz w:val="18"/>
                <w:szCs w:val="18"/>
                <w:lang w:val="en-GB"/>
              </w:rPr>
              <w:t xml:space="preserve"> 1 and 4</w:t>
            </w:r>
          </w:p>
        </w:tc>
        <w:tc>
          <w:tcPr>
            <w:tcW w:w="9072" w:type="dxa"/>
            <w:tcBorders>
              <w:top w:val="single" w:sz="4" w:space="0" w:color="auto"/>
              <w:left w:val="single" w:sz="4" w:space="0" w:color="auto"/>
              <w:bottom w:val="single" w:sz="4" w:space="0" w:color="auto"/>
              <w:right w:val="double" w:sz="4" w:space="0" w:color="auto"/>
            </w:tcBorders>
            <w:hideMark/>
          </w:tcPr>
          <w:p w:rsidR="008B1484" w:rsidRPr="0035669C" w:rsidRDefault="008B1484">
            <w:pPr>
              <w:pStyle w:val="CM4"/>
              <w:spacing w:before="60" w:after="60"/>
              <w:jc w:val="both"/>
              <w:rPr>
                <w:rFonts w:asciiTheme="minorHAnsi" w:hAnsiTheme="minorHAnsi" w:cstheme="minorHAnsi"/>
                <w:sz w:val="18"/>
                <w:szCs w:val="18"/>
                <w:lang w:val="en-GB"/>
              </w:rPr>
            </w:pPr>
            <w:r w:rsidRPr="0035669C">
              <w:rPr>
                <w:rFonts w:asciiTheme="minorHAnsi" w:hAnsiTheme="minorHAnsi" w:cstheme="minorHAnsi"/>
                <w:sz w:val="18"/>
                <w:szCs w:val="18"/>
                <w:lang w:val="en-GB"/>
              </w:rPr>
              <w:t>A MC which applies to manage a UCITS established in another Member State must provide the competent authorities of the UCITS home Member State with documentation regarding the depositary and delegation arrangements.</w:t>
            </w:r>
          </w:p>
        </w:tc>
        <w:tc>
          <w:tcPr>
            <w:tcW w:w="2913" w:type="dxa"/>
            <w:tcBorders>
              <w:top w:val="single" w:sz="4" w:space="0" w:color="auto"/>
              <w:left w:val="double" w:sz="4" w:space="0" w:color="auto"/>
              <w:bottom w:val="single" w:sz="4" w:space="0" w:color="auto"/>
              <w:right w:val="single" w:sz="4" w:space="0" w:color="auto"/>
            </w:tcBorders>
            <w:hideMark/>
          </w:tcPr>
          <w:p w:rsidR="008B1484" w:rsidRPr="0035669C" w:rsidRDefault="008B1484">
            <w:pPr>
              <w:jc w:val="center"/>
              <w:rPr>
                <w:rFonts w:cstheme="minorHAnsi"/>
                <w:sz w:val="18"/>
                <w:szCs w:val="18"/>
                <w:lang w:val="en-GB"/>
              </w:rPr>
            </w:pPr>
            <w:r w:rsidRPr="0035669C">
              <w:rPr>
                <w:rFonts w:cstheme="minorHAnsi"/>
                <w:sz w:val="18"/>
                <w:szCs w:val="18"/>
                <w:lang w:val="en-GB"/>
              </w:rPr>
              <w:t>Article 33</w:t>
            </w:r>
          </w:p>
        </w:tc>
      </w:tr>
      <w:tr w:rsidR="008B1484" w:rsidRPr="0035669C" w:rsidTr="008B1484">
        <w:trPr>
          <w:trHeight w:val="300"/>
        </w:trPr>
        <w:tc>
          <w:tcPr>
            <w:tcW w:w="2235" w:type="dxa"/>
            <w:tcBorders>
              <w:top w:val="single" w:sz="4" w:space="0" w:color="auto"/>
              <w:left w:val="single" w:sz="4" w:space="0" w:color="auto"/>
              <w:bottom w:val="single" w:sz="4" w:space="0" w:color="auto"/>
              <w:right w:val="single" w:sz="4" w:space="0" w:color="auto"/>
            </w:tcBorders>
            <w:hideMark/>
          </w:tcPr>
          <w:p w:rsidR="008B1484" w:rsidRPr="0035669C" w:rsidRDefault="008B1484">
            <w:pPr>
              <w:jc w:val="both"/>
              <w:rPr>
                <w:rFonts w:cstheme="minorHAnsi"/>
                <w:sz w:val="18"/>
                <w:szCs w:val="18"/>
                <w:lang w:val="en-GB"/>
              </w:rPr>
            </w:pPr>
            <w:r w:rsidRPr="0035669C">
              <w:rPr>
                <w:rFonts w:cstheme="minorHAnsi"/>
                <w:sz w:val="18"/>
                <w:szCs w:val="18"/>
                <w:lang w:val="en-GB"/>
              </w:rPr>
              <w:t>Article 22</w:t>
            </w:r>
          </w:p>
        </w:tc>
        <w:tc>
          <w:tcPr>
            <w:tcW w:w="9072" w:type="dxa"/>
            <w:tcBorders>
              <w:top w:val="single" w:sz="4" w:space="0" w:color="auto"/>
              <w:left w:val="single" w:sz="4" w:space="0" w:color="auto"/>
              <w:bottom w:val="single" w:sz="4" w:space="0" w:color="auto"/>
              <w:right w:val="double" w:sz="4" w:space="0" w:color="auto"/>
            </w:tcBorders>
            <w:hideMark/>
          </w:tcPr>
          <w:p w:rsidR="008B1484" w:rsidRPr="0035669C" w:rsidRDefault="008B1484">
            <w:pPr>
              <w:autoSpaceDE w:val="0"/>
              <w:autoSpaceDN w:val="0"/>
              <w:adjustRightInd w:val="0"/>
              <w:spacing w:before="60" w:after="60"/>
              <w:jc w:val="both"/>
              <w:rPr>
                <w:rFonts w:cstheme="minorHAnsi"/>
                <w:i/>
                <w:sz w:val="18"/>
                <w:szCs w:val="18"/>
                <w:lang w:val="en-GB"/>
              </w:rPr>
            </w:pPr>
            <w:r w:rsidRPr="0035669C">
              <w:rPr>
                <w:rFonts w:cstheme="minorHAnsi"/>
                <w:sz w:val="18"/>
                <w:szCs w:val="18"/>
                <w:lang w:val="en-GB"/>
              </w:rPr>
              <w:t>A MC must ensure that a single depositary is appointed.</w:t>
            </w:r>
          </w:p>
        </w:tc>
        <w:tc>
          <w:tcPr>
            <w:tcW w:w="2913" w:type="dxa"/>
            <w:tcBorders>
              <w:top w:val="single" w:sz="4" w:space="0" w:color="auto"/>
              <w:left w:val="double" w:sz="4" w:space="0" w:color="auto"/>
              <w:bottom w:val="single" w:sz="4" w:space="0" w:color="auto"/>
              <w:right w:val="single" w:sz="4" w:space="0" w:color="auto"/>
            </w:tcBorders>
            <w:hideMark/>
          </w:tcPr>
          <w:p w:rsidR="008B1484" w:rsidRPr="0035669C" w:rsidRDefault="008B1484">
            <w:pPr>
              <w:jc w:val="center"/>
              <w:rPr>
                <w:rFonts w:cstheme="minorHAnsi"/>
                <w:sz w:val="18"/>
                <w:szCs w:val="18"/>
                <w:lang w:val="en-GB"/>
              </w:rPr>
            </w:pPr>
            <w:r w:rsidRPr="0035669C">
              <w:rPr>
                <w:rFonts w:cstheme="minorHAnsi"/>
                <w:sz w:val="18"/>
                <w:szCs w:val="18"/>
                <w:lang w:val="en-GB"/>
              </w:rPr>
              <w:t xml:space="preserve">Article 21 </w:t>
            </w:r>
            <w:proofErr w:type="spellStart"/>
            <w:r w:rsidRPr="0035669C">
              <w:rPr>
                <w:rFonts w:cstheme="minorHAnsi"/>
                <w:sz w:val="18"/>
                <w:szCs w:val="18"/>
                <w:lang w:val="en-GB"/>
              </w:rPr>
              <w:t>para</w:t>
            </w:r>
            <w:proofErr w:type="spellEnd"/>
            <w:r w:rsidRPr="0035669C">
              <w:rPr>
                <w:rFonts w:cstheme="minorHAnsi"/>
                <w:sz w:val="18"/>
                <w:szCs w:val="18"/>
                <w:lang w:val="en-GB"/>
              </w:rPr>
              <w:t xml:space="preserve"> 1</w:t>
            </w:r>
          </w:p>
        </w:tc>
      </w:tr>
      <w:tr w:rsidR="008B1484" w:rsidRPr="0035669C" w:rsidTr="008B1484">
        <w:trPr>
          <w:trHeight w:val="300"/>
        </w:trPr>
        <w:tc>
          <w:tcPr>
            <w:tcW w:w="2235" w:type="dxa"/>
            <w:tcBorders>
              <w:top w:val="single" w:sz="4" w:space="0" w:color="auto"/>
              <w:left w:val="single" w:sz="4" w:space="0" w:color="auto"/>
              <w:bottom w:val="single" w:sz="4" w:space="0" w:color="auto"/>
              <w:right w:val="single" w:sz="4" w:space="0" w:color="auto"/>
            </w:tcBorders>
            <w:hideMark/>
          </w:tcPr>
          <w:p w:rsidR="008B1484" w:rsidRPr="0035669C" w:rsidRDefault="008B1484">
            <w:pPr>
              <w:jc w:val="both"/>
              <w:rPr>
                <w:rFonts w:cstheme="minorHAnsi"/>
                <w:sz w:val="18"/>
                <w:szCs w:val="18"/>
                <w:lang w:val="en-GB"/>
              </w:rPr>
            </w:pPr>
            <w:r w:rsidRPr="0035669C">
              <w:rPr>
                <w:rFonts w:cstheme="minorHAnsi"/>
                <w:sz w:val="18"/>
                <w:szCs w:val="18"/>
                <w:lang w:val="en-GB"/>
              </w:rPr>
              <w:t xml:space="preserve">Article 25 </w:t>
            </w:r>
            <w:proofErr w:type="spellStart"/>
            <w:r w:rsidRPr="0035669C">
              <w:rPr>
                <w:rFonts w:cstheme="minorHAnsi"/>
                <w:sz w:val="18"/>
                <w:szCs w:val="18"/>
                <w:lang w:val="en-GB"/>
              </w:rPr>
              <w:t>para</w:t>
            </w:r>
            <w:proofErr w:type="spellEnd"/>
            <w:r w:rsidRPr="0035669C">
              <w:rPr>
                <w:rFonts w:cstheme="minorHAnsi"/>
                <w:sz w:val="18"/>
                <w:szCs w:val="18"/>
                <w:lang w:val="en-GB"/>
              </w:rPr>
              <w:t xml:space="preserve"> 2</w:t>
            </w:r>
          </w:p>
        </w:tc>
        <w:tc>
          <w:tcPr>
            <w:tcW w:w="9072" w:type="dxa"/>
            <w:tcBorders>
              <w:top w:val="single" w:sz="4" w:space="0" w:color="auto"/>
              <w:left w:val="single" w:sz="4" w:space="0" w:color="auto"/>
              <w:bottom w:val="single" w:sz="4" w:space="0" w:color="auto"/>
              <w:right w:val="double" w:sz="4" w:space="0" w:color="auto"/>
            </w:tcBorders>
            <w:hideMark/>
          </w:tcPr>
          <w:p w:rsidR="008B1484" w:rsidRPr="0035669C" w:rsidRDefault="008B1484">
            <w:pPr>
              <w:autoSpaceDE w:val="0"/>
              <w:autoSpaceDN w:val="0"/>
              <w:adjustRightInd w:val="0"/>
              <w:spacing w:before="60" w:after="60"/>
              <w:jc w:val="both"/>
              <w:rPr>
                <w:rFonts w:cstheme="minorHAnsi"/>
                <w:color w:val="000000"/>
                <w:sz w:val="18"/>
                <w:szCs w:val="18"/>
                <w:lang w:val="en-GB"/>
              </w:rPr>
            </w:pPr>
            <w:r w:rsidRPr="0035669C">
              <w:rPr>
                <w:rFonts w:cstheme="minorHAnsi"/>
                <w:sz w:val="18"/>
                <w:szCs w:val="18"/>
                <w:lang w:val="en-GB"/>
              </w:rPr>
              <w:t xml:space="preserve">In carrying out their [respective] functions, the MC/AIFM [and the depositary] must act fairly and in the interest of the fund and its investors. </w:t>
            </w:r>
          </w:p>
        </w:tc>
        <w:tc>
          <w:tcPr>
            <w:tcW w:w="2913" w:type="dxa"/>
            <w:tcBorders>
              <w:top w:val="single" w:sz="4" w:space="0" w:color="auto"/>
              <w:left w:val="double" w:sz="4" w:space="0" w:color="auto"/>
              <w:bottom w:val="single" w:sz="4" w:space="0" w:color="auto"/>
              <w:right w:val="single" w:sz="4" w:space="0" w:color="auto"/>
            </w:tcBorders>
            <w:hideMark/>
          </w:tcPr>
          <w:p w:rsidR="008B1484" w:rsidRPr="0035669C" w:rsidRDefault="008B1484">
            <w:pPr>
              <w:jc w:val="center"/>
              <w:rPr>
                <w:rFonts w:cstheme="minorHAnsi"/>
                <w:sz w:val="18"/>
                <w:szCs w:val="18"/>
                <w:lang w:val="en-GB"/>
              </w:rPr>
            </w:pPr>
            <w:r w:rsidRPr="0035669C">
              <w:rPr>
                <w:rFonts w:cstheme="minorHAnsi"/>
                <w:sz w:val="18"/>
                <w:szCs w:val="18"/>
                <w:lang w:val="en-GB"/>
              </w:rPr>
              <w:t xml:space="preserve">Article 21 </w:t>
            </w:r>
            <w:proofErr w:type="spellStart"/>
            <w:r w:rsidRPr="0035669C">
              <w:rPr>
                <w:rFonts w:cstheme="minorHAnsi"/>
                <w:sz w:val="18"/>
                <w:szCs w:val="18"/>
                <w:lang w:val="en-GB"/>
              </w:rPr>
              <w:t>para</w:t>
            </w:r>
            <w:proofErr w:type="spellEnd"/>
            <w:r w:rsidRPr="0035669C">
              <w:rPr>
                <w:rFonts w:cstheme="minorHAnsi"/>
                <w:sz w:val="18"/>
                <w:szCs w:val="18"/>
                <w:lang w:val="en-GB"/>
              </w:rPr>
              <w:t xml:space="preserve"> 10</w:t>
            </w:r>
          </w:p>
        </w:tc>
      </w:tr>
      <w:tr w:rsidR="008B1484" w:rsidRPr="0035669C" w:rsidTr="008B1484">
        <w:trPr>
          <w:trHeight w:val="300"/>
        </w:trPr>
        <w:tc>
          <w:tcPr>
            <w:tcW w:w="2235" w:type="dxa"/>
            <w:tcBorders>
              <w:top w:val="single" w:sz="4" w:space="0" w:color="auto"/>
              <w:left w:val="single" w:sz="4" w:space="0" w:color="auto"/>
              <w:bottom w:val="single" w:sz="4" w:space="0" w:color="auto"/>
              <w:right w:val="single" w:sz="4" w:space="0" w:color="auto"/>
            </w:tcBorders>
            <w:hideMark/>
          </w:tcPr>
          <w:p w:rsidR="008B1484" w:rsidRPr="0035669C" w:rsidRDefault="008B1484">
            <w:pPr>
              <w:jc w:val="both"/>
              <w:rPr>
                <w:rFonts w:cstheme="minorHAnsi"/>
                <w:sz w:val="18"/>
                <w:szCs w:val="18"/>
                <w:lang w:val="en-GB"/>
              </w:rPr>
            </w:pPr>
            <w:r w:rsidRPr="0035669C">
              <w:rPr>
                <w:rFonts w:cstheme="minorHAnsi"/>
                <w:sz w:val="18"/>
                <w:szCs w:val="18"/>
                <w:lang w:val="en-GB"/>
              </w:rPr>
              <w:t xml:space="preserve">Article 51 </w:t>
            </w:r>
            <w:proofErr w:type="spellStart"/>
            <w:r w:rsidRPr="0035669C">
              <w:rPr>
                <w:rFonts w:cstheme="minorHAnsi"/>
                <w:sz w:val="18"/>
                <w:szCs w:val="18"/>
                <w:lang w:val="en-GB"/>
              </w:rPr>
              <w:t>para</w:t>
            </w:r>
            <w:proofErr w:type="spellEnd"/>
            <w:r w:rsidRPr="0035669C">
              <w:rPr>
                <w:rFonts w:cstheme="minorHAnsi"/>
                <w:sz w:val="18"/>
                <w:szCs w:val="18"/>
                <w:lang w:val="en-GB"/>
              </w:rPr>
              <w:t xml:space="preserve"> 1</w:t>
            </w:r>
          </w:p>
        </w:tc>
        <w:tc>
          <w:tcPr>
            <w:tcW w:w="9072" w:type="dxa"/>
            <w:tcBorders>
              <w:top w:val="single" w:sz="4" w:space="0" w:color="auto"/>
              <w:left w:val="single" w:sz="4" w:space="0" w:color="auto"/>
              <w:bottom w:val="single" w:sz="4" w:space="0" w:color="auto"/>
              <w:right w:val="double" w:sz="4" w:space="0" w:color="auto"/>
            </w:tcBorders>
            <w:hideMark/>
          </w:tcPr>
          <w:p w:rsidR="008B1484" w:rsidRPr="0035669C" w:rsidRDefault="008B1484">
            <w:pPr>
              <w:autoSpaceDE w:val="0"/>
              <w:autoSpaceDN w:val="0"/>
              <w:adjustRightInd w:val="0"/>
              <w:spacing w:before="60" w:after="60"/>
              <w:jc w:val="both"/>
              <w:rPr>
                <w:rFonts w:cstheme="minorHAnsi"/>
                <w:color w:val="000000"/>
                <w:sz w:val="18"/>
                <w:szCs w:val="18"/>
                <w:lang w:val="en-GB"/>
              </w:rPr>
            </w:pPr>
            <w:r w:rsidRPr="0035669C">
              <w:rPr>
                <w:rFonts w:cstheme="minorHAnsi"/>
                <w:sz w:val="18"/>
                <w:szCs w:val="18"/>
                <w:lang w:val="en-GB"/>
              </w:rPr>
              <w:t xml:space="preserve">Risk management processes/systems must be in place. </w:t>
            </w:r>
          </w:p>
        </w:tc>
        <w:tc>
          <w:tcPr>
            <w:tcW w:w="2913" w:type="dxa"/>
            <w:tcBorders>
              <w:top w:val="single" w:sz="4" w:space="0" w:color="auto"/>
              <w:left w:val="double" w:sz="4" w:space="0" w:color="auto"/>
              <w:bottom w:val="single" w:sz="4" w:space="0" w:color="auto"/>
              <w:right w:val="single" w:sz="4" w:space="0" w:color="auto"/>
            </w:tcBorders>
            <w:hideMark/>
          </w:tcPr>
          <w:p w:rsidR="008B1484" w:rsidRPr="0035669C" w:rsidRDefault="008B1484">
            <w:pPr>
              <w:jc w:val="center"/>
              <w:rPr>
                <w:rFonts w:cstheme="minorHAnsi"/>
                <w:sz w:val="18"/>
                <w:szCs w:val="18"/>
                <w:lang w:val="en-GB"/>
              </w:rPr>
            </w:pPr>
            <w:r w:rsidRPr="0035669C">
              <w:rPr>
                <w:rFonts w:cstheme="minorHAnsi"/>
                <w:sz w:val="18"/>
                <w:szCs w:val="18"/>
                <w:lang w:val="en-GB"/>
              </w:rPr>
              <w:t>Article 15</w:t>
            </w:r>
          </w:p>
        </w:tc>
      </w:tr>
      <w:tr w:rsidR="008B1484" w:rsidRPr="0035669C" w:rsidTr="008B1484">
        <w:trPr>
          <w:trHeight w:val="300"/>
        </w:trPr>
        <w:tc>
          <w:tcPr>
            <w:tcW w:w="2235" w:type="dxa"/>
            <w:tcBorders>
              <w:top w:val="single" w:sz="4" w:space="0" w:color="auto"/>
              <w:left w:val="single" w:sz="4" w:space="0" w:color="auto"/>
              <w:bottom w:val="single" w:sz="4" w:space="0" w:color="auto"/>
              <w:right w:val="single" w:sz="4" w:space="0" w:color="auto"/>
            </w:tcBorders>
            <w:hideMark/>
          </w:tcPr>
          <w:p w:rsidR="008B1484" w:rsidRPr="0035669C" w:rsidRDefault="008B1484">
            <w:pPr>
              <w:jc w:val="both"/>
              <w:rPr>
                <w:rFonts w:cstheme="minorHAnsi"/>
                <w:sz w:val="18"/>
                <w:szCs w:val="18"/>
                <w:lang w:val="en-GB"/>
              </w:rPr>
            </w:pPr>
            <w:r w:rsidRPr="0035669C">
              <w:rPr>
                <w:rFonts w:cstheme="minorHAnsi"/>
                <w:sz w:val="18"/>
                <w:szCs w:val="18"/>
                <w:lang w:val="en-GB"/>
              </w:rPr>
              <w:t xml:space="preserve">Article 56 </w:t>
            </w:r>
            <w:proofErr w:type="spellStart"/>
            <w:r w:rsidRPr="0035669C">
              <w:rPr>
                <w:rFonts w:cstheme="minorHAnsi"/>
                <w:sz w:val="18"/>
                <w:szCs w:val="18"/>
                <w:lang w:val="en-GB"/>
              </w:rPr>
              <w:t>para</w:t>
            </w:r>
            <w:proofErr w:type="spellEnd"/>
            <w:r w:rsidRPr="0035669C">
              <w:rPr>
                <w:rFonts w:cstheme="minorHAnsi"/>
                <w:sz w:val="18"/>
                <w:szCs w:val="18"/>
                <w:lang w:val="en-GB"/>
              </w:rPr>
              <w:t xml:space="preserve"> 1</w:t>
            </w:r>
          </w:p>
        </w:tc>
        <w:tc>
          <w:tcPr>
            <w:tcW w:w="9072" w:type="dxa"/>
            <w:tcBorders>
              <w:top w:val="single" w:sz="4" w:space="0" w:color="auto"/>
              <w:left w:val="single" w:sz="4" w:space="0" w:color="auto"/>
              <w:bottom w:val="single" w:sz="4" w:space="0" w:color="auto"/>
              <w:right w:val="double" w:sz="4" w:space="0" w:color="auto"/>
            </w:tcBorders>
            <w:hideMark/>
          </w:tcPr>
          <w:p w:rsidR="008B1484" w:rsidRPr="0035669C" w:rsidRDefault="008B1484">
            <w:pPr>
              <w:pStyle w:val="CM4"/>
              <w:spacing w:before="60" w:after="60"/>
              <w:jc w:val="both"/>
              <w:rPr>
                <w:rFonts w:asciiTheme="minorHAnsi" w:hAnsiTheme="minorHAnsi" w:cstheme="minorHAnsi"/>
                <w:color w:val="000000"/>
                <w:sz w:val="18"/>
                <w:szCs w:val="18"/>
                <w:lang w:val="en-GB"/>
              </w:rPr>
            </w:pPr>
            <w:r w:rsidRPr="0035669C">
              <w:rPr>
                <w:rFonts w:asciiTheme="minorHAnsi" w:hAnsiTheme="minorHAnsi" w:cstheme="minorHAnsi"/>
                <w:color w:val="000000"/>
                <w:sz w:val="18"/>
                <w:szCs w:val="18"/>
                <w:lang w:val="en-GB"/>
              </w:rPr>
              <w:t>A</w:t>
            </w:r>
            <w:r w:rsidRPr="0035669C">
              <w:rPr>
                <w:rFonts w:asciiTheme="minorHAnsi" w:hAnsiTheme="minorHAnsi" w:cstheme="minorHAnsi"/>
                <w:sz w:val="18"/>
                <w:szCs w:val="18"/>
                <w:lang w:val="en-GB"/>
              </w:rPr>
              <w:t xml:space="preserve"> MC must not acquire any shares carrying voting rights which would enable it to exercise significant influence over the management of an issuing body. / Additional obligations apply in case of acquisition of control by an AIF managed by an AIFM. </w:t>
            </w:r>
          </w:p>
        </w:tc>
        <w:tc>
          <w:tcPr>
            <w:tcW w:w="2913" w:type="dxa"/>
            <w:tcBorders>
              <w:top w:val="single" w:sz="4" w:space="0" w:color="auto"/>
              <w:left w:val="double" w:sz="4" w:space="0" w:color="auto"/>
              <w:bottom w:val="single" w:sz="4" w:space="0" w:color="auto"/>
              <w:right w:val="single" w:sz="4" w:space="0" w:color="auto"/>
            </w:tcBorders>
            <w:hideMark/>
          </w:tcPr>
          <w:p w:rsidR="008B1484" w:rsidRPr="0035669C" w:rsidRDefault="008B1484">
            <w:pPr>
              <w:jc w:val="center"/>
              <w:rPr>
                <w:rFonts w:cstheme="minorHAnsi"/>
                <w:sz w:val="18"/>
                <w:szCs w:val="18"/>
                <w:lang w:val="en-GB"/>
              </w:rPr>
            </w:pPr>
            <w:r w:rsidRPr="0035669C">
              <w:rPr>
                <w:rFonts w:cstheme="minorHAnsi"/>
                <w:sz w:val="18"/>
                <w:szCs w:val="18"/>
                <w:lang w:val="en-GB"/>
              </w:rPr>
              <w:t>Articles 26 to 30</w:t>
            </w:r>
          </w:p>
        </w:tc>
      </w:tr>
      <w:tr w:rsidR="008B1484" w:rsidRPr="0035669C" w:rsidTr="008B1484">
        <w:trPr>
          <w:trHeight w:val="300"/>
        </w:trPr>
        <w:tc>
          <w:tcPr>
            <w:tcW w:w="2235" w:type="dxa"/>
            <w:tcBorders>
              <w:top w:val="single" w:sz="4" w:space="0" w:color="auto"/>
              <w:left w:val="single" w:sz="4" w:space="0" w:color="auto"/>
              <w:bottom w:val="single" w:sz="4" w:space="0" w:color="auto"/>
              <w:right w:val="single" w:sz="4" w:space="0" w:color="auto"/>
            </w:tcBorders>
            <w:hideMark/>
          </w:tcPr>
          <w:p w:rsidR="008B1484" w:rsidRPr="0035669C" w:rsidRDefault="008B1484">
            <w:pPr>
              <w:jc w:val="both"/>
              <w:rPr>
                <w:rFonts w:cstheme="minorHAnsi"/>
                <w:sz w:val="18"/>
                <w:szCs w:val="18"/>
                <w:highlight w:val="yellow"/>
                <w:lang w:val="en-GB"/>
              </w:rPr>
            </w:pPr>
            <w:r w:rsidRPr="0035669C">
              <w:rPr>
                <w:rFonts w:cstheme="minorHAnsi"/>
                <w:sz w:val="18"/>
                <w:szCs w:val="18"/>
                <w:lang w:val="en-GB"/>
              </w:rPr>
              <w:t xml:space="preserve">Article 68 </w:t>
            </w:r>
            <w:proofErr w:type="spellStart"/>
            <w:r w:rsidRPr="0035669C">
              <w:rPr>
                <w:rFonts w:cstheme="minorHAnsi"/>
                <w:sz w:val="18"/>
                <w:szCs w:val="18"/>
                <w:lang w:val="en-GB"/>
              </w:rPr>
              <w:t>para</w:t>
            </w:r>
            <w:proofErr w:type="spellEnd"/>
            <w:r w:rsidRPr="0035669C">
              <w:rPr>
                <w:rFonts w:cstheme="minorHAnsi"/>
                <w:sz w:val="18"/>
                <w:szCs w:val="18"/>
                <w:lang w:val="en-GB"/>
              </w:rPr>
              <w:t xml:space="preserve"> 1 and 2, 69 </w:t>
            </w:r>
            <w:proofErr w:type="spellStart"/>
            <w:r w:rsidRPr="0035669C">
              <w:rPr>
                <w:rFonts w:cstheme="minorHAnsi"/>
                <w:sz w:val="18"/>
                <w:szCs w:val="18"/>
                <w:lang w:val="en-GB"/>
              </w:rPr>
              <w:t>para</w:t>
            </w:r>
            <w:proofErr w:type="spellEnd"/>
            <w:r w:rsidRPr="0035669C">
              <w:rPr>
                <w:rFonts w:cstheme="minorHAnsi"/>
                <w:sz w:val="18"/>
                <w:szCs w:val="18"/>
                <w:lang w:val="en-GB"/>
              </w:rPr>
              <w:t xml:space="preserve"> 1,2,3,4; 70 </w:t>
            </w:r>
            <w:proofErr w:type="spellStart"/>
            <w:r w:rsidRPr="0035669C">
              <w:rPr>
                <w:rFonts w:cstheme="minorHAnsi"/>
                <w:sz w:val="18"/>
                <w:szCs w:val="18"/>
                <w:lang w:val="en-GB"/>
              </w:rPr>
              <w:t>para</w:t>
            </w:r>
            <w:proofErr w:type="spellEnd"/>
            <w:r w:rsidRPr="0035669C">
              <w:rPr>
                <w:rFonts w:cstheme="minorHAnsi"/>
                <w:sz w:val="18"/>
                <w:szCs w:val="18"/>
                <w:lang w:val="en-GB"/>
              </w:rPr>
              <w:t xml:space="preserve"> 1 and 2,3,71,72</w:t>
            </w:r>
          </w:p>
        </w:tc>
        <w:tc>
          <w:tcPr>
            <w:tcW w:w="9072" w:type="dxa"/>
            <w:tcBorders>
              <w:top w:val="single" w:sz="4" w:space="0" w:color="auto"/>
              <w:left w:val="single" w:sz="4" w:space="0" w:color="auto"/>
              <w:bottom w:val="single" w:sz="4" w:space="0" w:color="auto"/>
              <w:right w:val="double" w:sz="4" w:space="0" w:color="auto"/>
            </w:tcBorders>
            <w:hideMark/>
          </w:tcPr>
          <w:p w:rsidR="008B1484" w:rsidRPr="0035669C" w:rsidRDefault="008B1484">
            <w:pPr>
              <w:autoSpaceDE w:val="0"/>
              <w:autoSpaceDN w:val="0"/>
              <w:adjustRightInd w:val="0"/>
              <w:spacing w:before="60" w:after="60"/>
              <w:jc w:val="both"/>
              <w:rPr>
                <w:rFonts w:cstheme="minorHAnsi"/>
                <w:color w:val="000000"/>
                <w:sz w:val="18"/>
                <w:szCs w:val="18"/>
                <w:lang w:val="en-GB"/>
              </w:rPr>
            </w:pPr>
            <w:r w:rsidRPr="0035669C">
              <w:rPr>
                <w:rFonts w:cstheme="minorHAnsi"/>
                <w:sz w:val="18"/>
                <w:szCs w:val="18"/>
                <w:lang w:val="en-GB"/>
              </w:rPr>
              <w:t>A MC/AIFM must disclose information to investors.</w:t>
            </w:r>
          </w:p>
        </w:tc>
        <w:tc>
          <w:tcPr>
            <w:tcW w:w="2913" w:type="dxa"/>
            <w:tcBorders>
              <w:top w:val="single" w:sz="4" w:space="0" w:color="auto"/>
              <w:left w:val="double" w:sz="4" w:space="0" w:color="auto"/>
              <w:bottom w:val="single" w:sz="4" w:space="0" w:color="auto"/>
              <w:right w:val="single" w:sz="4" w:space="0" w:color="auto"/>
            </w:tcBorders>
            <w:hideMark/>
          </w:tcPr>
          <w:p w:rsidR="008B1484" w:rsidRPr="0035669C" w:rsidRDefault="008B1484">
            <w:pPr>
              <w:jc w:val="center"/>
              <w:rPr>
                <w:rFonts w:cstheme="minorHAnsi"/>
                <w:sz w:val="18"/>
                <w:szCs w:val="18"/>
                <w:lang w:val="en-GB"/>
              </w:rPr>
            </w:pPr>
            <w:r w:rsidRPr="0035669C">
              <w:rPr>
                <w:rFonts w:cstheme="minorHAnsi"/>
                <w:sz w:val="18"/>
                <w:szCs w:val="18"/>
                <w:lang w:val="en-GB"/>
              </w:rPr>
              <w:t>Articles 22 and 23</w:t>
            </w:r>
          </w:p>
        </w:tc>
      </w:tr>
      <w:tr w:rsidR="008B1484" w:rsidRPr="0035669C" w:rsidTr="008B1484">
        <w:trPr>
          <w:trHeight w:val="300"/>
        </w:trPr>
        <w:tc>
          <w:tcPr>
            <w:tcW w:w="2235" w:type="dxa"/>
            <w:tcBorders>
              <w:top w:val="single" w:sz="4" w:space="0" w:color="auto"/>
              <w:left w:val="single" w:sz="4" w:space="0" w:color="auto"/>
              <w:bottom w:val="single" w:sz="4" w:space="0" w:color="auto"/>
              <w:right w:val="single" w:sz="4" w:space="0" w:color="auto"/>
            </w:tcBorders>
            <w:hideMark/>
          </w:tcPr>
          <w:p w:rsidR="008B1484" w:rsidRPr="0035669C" w:rsidRDefault="008B1484">
            <w:pPr>
              <w:jc w:val="both"/>
              <w:rPr>
                <w:rFonts w:cstheme="minorHAnsi"/>
                <w:sz w:val="18"/>
                <w:szCs w:val="18"/>
                <w:lang w:val="en-GB"/>
              </w:rPr>
            </w:pPr>
            <w:r w:rsidRPr="0035669C">
              <w:rPr>
                <w:rFonts w:cstheme="minorHAnsi"/>
                <w:sz w:val="18"/>
                <w:szCs w:val="18"/>
                <w:lang w:val="en-GB"/>
              </w:rPr>
              <w:t xml:space="preserve">Article 83 </w:t>
            </w:r>
            <w:proofErr w:type="spellStart"/>
            <w:r w:rsidRPr="0035669C">
              <w:rPr>
                <w:rFonts w:cstheme="minorHAnsi"/>
                <w:sz w:val="18"/>
                <w:szCs w:val="18"/>
                <w:lang w:val="en-GB"/>
              </w:rPr>
              <w:t>para</w:t>
            </w:r>
            <w:proofErr w:type="spellEnd"/>
            <w:r w:rsidRPr="0035669C">
              <w:rPr>
                <w:rFonts w:cstheme="minorHAnsi"/>
                <w:sz w:val="18"/>
                <w:szCs w:val="18"/>
                <w:lang w:val="en-GB"/>
              </w:rPr>
              <w:t xml:space="preserve"> 1</w:t>
            </w:r>
          </w:p>
        </w:tc>
        <w:tc>
          <w:tcPr>
            <w:tcW w:w="9072" w:type="dxa"/>
            <w:tcBorders>
              <w:top w:val="single" w:sz="4" w:space="0" w:color="auto"/>
              <w:left w:val="single" w:sz="4" w:space="0" w:color="auto"/>
              <w:bottom w:val="single" w:sz="4" w:space="0" w:color="auto"/>
              <w:right w:val="double" w:sz="4" w:space="0" w:color="auto"/>
            </w:tcBorders>
            <w:hideMark/>
          </w:tcPr>
          <w:p w:rsidR="008B1484" w:rsidRPr="0035669C" w:rsidRDefault="008B1484">
            <w:pPr>
              <w:pStyle w:val="CM4"/>
              <w:spacing w:before="60" w:after="60"/>
              <w:jc w:val="both"/>
              <w:rPr>
                <w:rFonts w:asciiTheme="minorHAnsi" w:hAnsiTheme="minorHAnsi" w:cstheme="minorHAnsi"/>
                <w:sz w:val="18"/>
                <w:szCs w:val="18"/>
                <w:lang w:val="en-GB"/>
              </w:rPr>
            </w:pPr>
            <w:r w:rsidRPr="0035669C">
              <w:rPr>
                <w:rFonts w:asciiTheme="minorHAnsi" w:hAnsiTheme="minorHAnsi" w:cstheme="minorHAnsi"/>
                <w:sz w:val="18"/>
                <w:szCs w:val="18"/>
                <w:lang w:val="en-GB"/>
              </w:rPr>
              <w:t xml:space="preserve">The MC is prohibited from borrowing or granting loans. / Limits on leverage used by the AIFM are supervised by the competent authority. </w:t>
            </w:r>
          </w:p>
        </w:tc>
        <w:tc>
          <w:tcPr>
            <w:tcW w:w="2913" w:type="dxa"/>
            <w:tcBorders>
              <w:top w:val="single" w:sz="4" w:space="0" w:color="auto"/>
              <w:left w:val="double" w:sz="4" w:space="0" w:color="auto"/>
              <w:bottom w:val="single" w:sz="4" w:space="0" w:color="auto"/>
              <w:right w:val="single" w:sz="4" w:space="0" w:color="auto"/>
            </w:tcBorders>
            <w:hideMark/>
          </w:tcPr>
          <w:p w:rsidR="008B1484" w:rsidRPr="0035669C" w:rsidRDefault="008B1484">
            <w:pPr>
              <w:jc w:val="center"/>
              <w:rPr>
                <w:rFonts w:cstheme="minorHAnsi"/>
                <w:sz w:val="18"/>
                <w:szCs w:val="18"/>
                <w:lang w:val="en-GB"/>
              </w:rPr>
            </w:pPr>
            <w:r w:rsidRPr="0035669C">
              <w:rPr>
                <w:rFonts w:cstheme="minorHAnsi"/>
                <w:sz w:val="18"/>
                <w:szCs w:val="18"/>
                <w:lang w:val="en-GB"/>
              </w:rPr>
              <w:t>Article 15(4) and Article 25</w:t>
            </w:r>
          </w:p>
        </w:tc>
      </w:tr>
    </w:tbl>
    <w:p w:rsidR="0013247E" w:rsidRPr="0035669C" w:rsidRDefault="0013247E" w:rsidP="00745306">
      <w:pPr>
        <w:jc w:val="both"/>
        <w:rPr>
          <w:b/>
          <w:lang w:val="en-GB"/>
        </w:rPr>
      </w:pPr>
    </w:p>
    <w:sectPr w:rsidR="0013247E" w:rsidRPr="0035669C" w:rsidSect="0013247E">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5302" w:rsidRDefault="001C5302" w:rsidP="0013247E">
      <w:pPr>
        <w:spacing w:after="0" w:line="240" w:lineRule="auto"/>
      </w:pPr>
      <w:r>
        <w:separator/>
      </w:r>
    </w:p>
  </w:endnote>
  <w:endnote w:type="continuationSeparator" w:id="0">
    <w:p w:rsidR="001C5302" w:rsidRDefault="001C5302" w:rsidP="001324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Interstate Light">
    <w:altName w:val="Calibri"/>
    <w:panose1 w:val="00000000000000000000"/>
    <w:charset w:val="00"/>
    <w:family w:val="modern"/>
    <w:notTrueType/>
    <w:pitch w:val="variable"/>
    <w:sig w:usb0="800000AF" w:usb1="5000204A"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宋体">
    <w:panose1 w:val="00000000000000000000"/>
    <w:charset w:val="86"/>
    <w:family w:val="auto"/>
    <w:notTrueType/>
    <w:pitch w:val="variable"/>
    <w:sig w:usb0="00000001" w:usb1="080E0000" w:usb2="00000010" w:usb3="00000000" w:csb0="0004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E78" w:rsidRDefault="006C4E7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4076591"/>
      <w:docPartObj>
        <w:docPartGallery w:val="Page Numbers (Bottom of Page)"/>
        <w:docPartUnique/>
      </w:docPartObj>
    </w:sdtPr>
    <w:sdtEndPr>
      <w:rPr>
        <w:noProof/>
      </w:rPr>
    </w:sdtEndPr>
    <w:sdtContent>
      <w:p w:rsidR="006C4E78" w:rsidRDefault="006C4E78">
        <w:pPr>
          <w:pStyle w:val="Footer"/>
          <w:jc w:val="right"/>
        </w:pPr>
        <w:r>
          <w:fldChar w:fldCharType="begin"/>
        </w:r>
        <w:r>
          <w:instrText xml:space="preserve"> PAGE   \* MERGEFORMAT </w:instrText>
        </w:r>
        <w:r>
          <w:fldChar w:fldCharType="separate"/>
        </w:r>
        <w:r w:rsidR="003C5E76">
          <w:rPr>
            <w:noProof/>
          </w:rPr>
          <w:t>1</w:t>
        </w:r>
        <w:r>
          <w:rPr>
            <w:noProof/>
          </w:rPr>
          <w:fldChar w:fldCharType="end"/>
        </w:r>
      </w:p>
    </w:sdtContent>
  </w:sdt>
  <w:p w:rsidR="006C4E78" w:rsidRDefault="006C4E78">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E78" w:rsidRDefault="006C4E7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5302" w:rsidRDefault="001C5302" w:rsidP="0013247E">
      <w:pPr>
        <w:spacing w:after="0" w:line="240" w:lineRule="auto"/>
      </w:pPr>
      <w:r>
        <w:separator/>
      </w:r>
    </w:p>
  </w:footnote>
  <w:footnote w:type="continuationSeparator" w:id="0">
    <w:p w:rsidR="001C5302" w:rsidRDefault="001C5302" w:rsidP="0013247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E78" w:rsidRDefault="006C4E78">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E78" w:rsidRDefault="006C4E78">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E78" w:rsidRDefault="006C4E7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E003D"/>
    <w:multiLevelType w:val="hybridMultilevel"/>
    <w:tmpl w:val="A2922CF6"/>
    <w:lvl w:ilvl="0" w:tplc="FF341FF6">
      <w:start w:val="1"/>
      <w:numFmt w:val="bullet"/>
      <w:lvlText w:val="–"/>
      <w:lvlJc w:val="left"/>
      <w:pPr>
        <w:ind w:left="720" w:hanging="360"/>
      </w:pPr>
      <w:rPr>
        <w:rFonts w:ascii="Interstate Light" w:hAnsi="Interstate Light"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01AD7D8F"/>
    <w:multiLevelType w:val="hybridMultilevel"/>
    <w:tmpl w:val="49B87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93D0D68"/>
    <w:multiLevelType w:val="hybridMultilevel"/>
    <w:tmpl w:val="F6445212"/>
    <w:lvl w:ilvl="0" w:tplc="FF341FF6">
      <w:start w:val="1"/>
      <w:numFmt w:val="bullet"/>
      <w:lvlText w:val="–"/>
      <w:lvlJc w:val="left"/>
      <w:pPr>
        <w:ind w:left="770" w:hanging="360"/>
      </w:pPr>
      <w:rPr>
        <w:rFonts w:ascii="Interstate Light" w:hAnsi="Interstate Light" w:hint="default"/>
      </w:rPr>
    </w:lvl>
    <w:lvl w:ilvl="1" w:tplc="08130003" w:tentative="1">
      <w:start w:val="1"/>
      <w:numFmt w:val="bullet"/>
      <w:lvlText w:val="o"/>
      <w:lvlJc w:val="left"/>
      <w:pPr>
        <w:ind w:left="1490" w:hanging="360"/>
      </w:pPr>
      <w:rPr>
        <w:rFonts w:ascii="Courier New" w:hAnsi="Courier New" w:cs="Courier New" w:hint="default"/>
      </w:rPr>
    </w:lvl>
    <w:lvl w:ilvl="2" w:tplc="08130005" w:tentative="1">
      <w:start w:val="1"/>
      <w:numFmt w:val="bullet"/>
      <w:lvlText w:val=""/>
      <w:lvlJc w:val="left"/>
      <w:pPr>
        <w:ind w:left="2210" w:hanging="360"/>
      </w:pPr>
      <w:rPr>
        <w:rFonts w:ascii="Wingdings" w:hAnsi="Wingdings" w:hint="default"/>
      </w:rPr>
    </w:lvl>
    <w:lvl w:ilvl="3" w:tplc="08130001" w:tentative="1">
      <w:start w:val="1"/>
      <w:numFmt w:val="bullet"/>
      <w:lvlText w:val=""/>
      <w:lvlJc w:val="left"/>
      <w:pPr>
        <w:ind w:left="2930" w:hanging="360"/>
      </w:pPr>
      <w:rPr>
        <w:rFonts w:ascii="Symbol" w:hAnsi="Symbol" w:hint="default"/>
      </w:rPr>
    </w:lvl>
    <w:lvl w:ilvl="4" w:tplc="08130003" w:tentative="1">
      <w:start w:val="1"/>
      <w:numFmt w:val="bullet"/>
      <w:lvlText w:val="o"/>
      <w:lvlJc w:val="left"/>
      <w:pPr>
        <w:ind w:left="3650" w:hanging="360"/>
      </w:pPr>
      <w:rPr>
        <w:rFonts w:ascii="Courier New" w:hAnsi="Courier New" w:cs="Courier New" w:hint="default"/>
      </w:rPr>
    </w:lvl>
    <w:lvl w:ilvl="5" w:tplc="08130005" w:tentative="1">
      <w:start w:val="1"/>
      <w:numFmt w:val="bullet"/>
      <w:lvlText w:val=""/>
      <w:lvlJc w:val="left"/>
      <w:pPr>
        <w:ind w:left="4370" w:hanging="360"/>
      </w:pPr>
      <w:rPr>
        <w:rFonts w:ascii="Wingdings" w:hAnsi="Wingdings" w:hint="default"/>
      </w:rPr>
    </w:lvl>
    <w:lvl w:ilvl="6" w:tplc="08130001" w:tentative="1">
      <w:start w:val="1"/>
      <w:numFmt w:val="bullet"/>
      <w:lvlText w:val=""/>
      <w:lvlJc w:val="left"/>
      <w:pPr>
        <w:ind w:left="5090" w:hanging="360"/>
      </w:pPr>
      <w:rPr>
        <w:rFonts w:ascii="Symbol" w:hAnsi="Symbol" w:hint="default"/>
      </w:rPr>
    </w:lvl>
    <w:lvl w:ilvl="7" w:tplc="08130003" w:tentative="1">
      <w:start w:val="1"/>
      <w:numFmt w:val="bullet"/>
      <w:lvlText w:val="o"/>
      <w:lvlJc w:val="left"/>
      <w:pPr>
        <w:ind w:left="5810" w:hanging="360"/>
      </w:pPr>
      <w:rPr>
        <w:rFonts w:ascii="Courier New" w:hAnsi="Courier New" w:cs="Courier New" w:hint="default"/>
      </w:rPr>
    </w:lvl>
    <w:lvl w:ilvl="8" w:tplc="08130005" w:tentative="1">
      <w:start w:val="1"/>
      <w:numFmt w:val="bullet"/>
      <w:lvlText w:val=""/>
      <w:lvlJc w:val="left"/>
      <w:pPr>
        <w:ind w:left="6530" w:hanging="360"/>
      </w:pPr>
      <w:rPr>
        <w:rFonts w:ascii="Wingdings" w:hAnsi="Wingdings" w:hint="default"/>
      </w:rPr>
    </w:lvl>
  </w:abstractNum>
  <w:abstractNum w:abstractNumId="3">
    <w:nsid w:val="0E3C3FD3"/>
    <w:multiLevelType w:val="hybridMultilevel"/>
    <w:tmpl w:val="8C809C1E"/>
    <w:lvl w:ilvl="0" w:tplc="FF341FF6">
      <w:start w:val="1"/>
      <w:numFmt w:val="bullet"/>
      <w:lvlText w:val="–"/>
      <w:lvlJc w:val="left"/>
      <w:pPr>
        <w:ind w:left="720" w:hanging="360"/>
      </w:pPr>
      <w:rPr>
        <w:rFonts w:ascii="Interstate Light" w:hAnsi="Interstate Light"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0E8F3F78"/>
    <w:multiLevelType w:val="hybridMultilevel"/>
    <w:tmpl w:val="19D09534"/>
    <w:lvl w:ilvl="0" w:tplc="08130017">
      <w:start w:val="1"/>
      <w:numFmt w:val="lowerLetter"/>
      <w:lvlText w:val="%1)"/>
      <w:lvlJc w:val="left"/>
      <w:pPr>
        <w:ind w:left="1490" w:hanging="360"/>
      </w:pPr>
    </w:lvl>
    <w:lvl w:ilvl="1" w:tplc="08130019" w:tentative="1">
      <w:start w:val="1"/>
      <w:numFmt w:val="lowerLetter"/>
      <w:lvlText w:val="%2."/>
      <w:lvlJc w:val="left"/>
      <w:pPr>
        <w:ind w:left="2210" w:hanging="360"/>
      </w:pPr>
    </w:lvl>
    <w:lvl w:ilvl="2" w:tplc="0813001B" w:tentative="1">
      <w:start w:val="1"/>
      <w:numFmt w:val="lowerRoman"/>
      <w:lvlText w:val="%3."/>
      <w:lvlJc w:val="right"/>
      <w:pPr>
        <w:ind w:left="2930" w:hanging="180"/>
      </w:pPr>
    </w:lvl>
    <w:lvl w:ilvl="3" w:tplc="0813000F" w:tentative="1">
      <w:start w:val="1"/>
      <w:numFmt w:val="decimal"/>
      <w:lvlText w:val="%4."/>
      <w:lvlJc w:val="left"/>
      <w:pPr>
        <w:ind w:left="3650" w:hanging="360"/>
      </w:pPr>
    </w:lvl>
    <w:lvl w:ilvl="4" w:tplc="08130019" w:tentative="1">
      <w:start w:val="1"/>
      <w:numFmt w:val="lowerLetter"/>
      <w:lvlText w:val="%5."/>
      <w:lvlJc w:val="left"/>
      <w:pPr>
        <w:ind w:left="4370" w:hanging="360"/>
      </w:pPr>
    </w:lvl>
    <w:lvl w:ilvl="5" w:tplc="0813001B" w:tentative="1">
      <w:start w:val="1"/>
      <w:numFmt w:val="lowerRoman"/>
      <w:lvlText w:val="%6."/>
      <w:lvlJc w:val="right"/>
      <w:pPr>
        <w:ind w:left="5090" w:hanging="180"/>
      </w:pPr>
    </w:lvl>
    <w:lvl w:ilvl="6" w:tplc="0813000F" w:tentative="1">
      <w:start w:val="1"/>
      <w:numFmt w:val="decimal"/>
      <w:lvlText w:val="%7."/>
      <w:lvlJc w:val="left"/>
      <w:pPr>
        <w:ind w:left="5810" w:hanging="360"/>
      </w:pPr>
    </w:lvl>
    <w:lvl w:ilvl="7" w:tplc="08130019" w:tentative="1">
      <w:start w:val="1"/>
      <w:numFmt w:val="lowerLetter"/>
      <w:lvlText w:val="%8."/>
      <w:lvlJc w:val="left"/>
      <w:pPr>
        <w:ind w:left="6530" w:hanging="360"/>
      </w:pPr>
    </w:lvl>
    <w:lvl w:ilvl="8" w:tplc="0813001B" w:tentative="1">
      <w:start w:val="1"/>
      <w:numFmt w:val="lowerRoman"/>
      <w:lvlText w:val="%9."/>
      <w:lvlJc w:val="right"/>
      <w:pPr>
        <w:ind w:left="7250" w:hanging="180"/>
      </w:pPr>
    </w:lvl>
  </w:abstractNum>
  <w:abstractNum w:abstractNumId="5">
    <w:nsid w:val="1E5B4DBD"/>
    <w:multiLevelType w:val="hybridMultilevel"/>
    <w:tmpl w:val="F3A24468"/>
    <w:lvl w:ilvl="0" w:tplc="FF341FF6">
      <w:start w:val="1"/>
      <w:numFmt w:val="bullet"/>
      <w:lvlText w:val="–"/>
      <w:lvlJc w:val="left"/>
      <w:pPr>
        <w:ind w:left="720" w:hanging="360"/>
      </w:pPr>
      <w:rPr>
        <w:rFonts w:ascii="Interstate Light" w:hAnsi="Interstate Light"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nsid w:val="2119749C"/>
    <w:multiLevelType w:val="hybridMultilevel"/>
    <w:tmpl w:val="29DA0B36"/>
    <w:lvl w:ilvl="0" w:tplc="8B1052D4">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nsid w:val="21877FEC"/>
    <w:multiLevelType w:val="hybridMultilevel"/>
    <w:tmpl w:val="62BE9930"/>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nsid w:val="23EB1DA7"/>
    <w:multiLevelType w:val="hybridMultilevel"/>
    <w:tmpl w:val="0734A3A0"/>
    <w:lvl w:ilvl="0" w:tplc="860E2A16">
      <w:start w:val="1"/>
      <w:numFmt w:val="upperRoman"/>
      <w:lvlText w:val="%1."/>
      <w:lvlJc w:val="left"/>
      <w:pPr>
        <w:ind w:left="1425" w:hanging="720"/>
      </w:pPr>
      <w:rPr>
        <w:rFonts w:hint="default"/>
      </w:rPr>
    </w:lvl>
    <w:lvl w:ilvl="1" w:tplc="08130019" w:tentative="1">
      <w:start w:val="1"/>
      <w:numFmt w:val="lowerLetter"/>
      <w:lvlText w:val="%2."/>
      <w:lvlJc w:val="left"/>
      <w:pPr>
        <w:ind w:left="1785" w:hanging="360"/>
      </w:pPr>
    </w:lvl>
    <w:lvl w:ilvl="2" w:tplc="0813001B" w:tentative="1">
      <w:start w:val="1"/>
      <w:numFmt w:val="lowerRoman"/>
      <w:lvlText w:val="%3."/>
      <w:lvlJc w:val="right"/>
      <w:pPr>
        <w:ind w:left="2505" w:hanging="180"/>
      </w:pPr>
    </w:lvl>
    <w:lvl w:ilvl="3" w:tplc="0813000F" w:tentative="1">
      <w:start w:val="1"/>
      <w:numFmt w:val="decimal"/>
      <w:lvlText w:val="%4."/>
      <w:lvlJc w:val="left"/>
      <w:pPr>
        <w:ind w:left="3225" w:hanging="360"/>
      </w:pPr>
    </w:lvl>
    <w:lvl w:ilvl="4" w:tplc="08130019" w:tentative="1">
      <w:start w:val="1"/>
      <w:numFmt w:val="lowerLetter"/>
      <w:lvlText w:val="%5."/>
      <w:lvlJc w:val="left"/>
      <w:pPr>
        <w:ind w:left="3945" w:hanging="360"/>
      </w:pPr>
    </w:lvl>
    <w:lvl w:ilvl="5" w:tplc="0813001B" w:tentative="1">
      <w:start w:val="1"/>
      <w:numFmt w:val="lowerRoman"/>
      <w:lvlText w:val="%6."/>
      <w:lvlJc w:val="right"/>
      <w:pPr>
        <w:ind w:left="4665" w:hanging="180"/>
      </w:pPr>
    </w:lvl>
    <w:lvl w:ilvl="6" w:tplc="0813000F" w:tentative="1">
      <w:start w:val="1"/>
      <w:numFmt w:val="decimal"/>
      <w:lvlText w:val="%7."/>
      <w:lvlJc w:val="left"/>
      <w:pPr>
        <w:ind w:left="5385" w:hanging="360"/>
      </w:pPr>
    </w:lvl>
    <w:lvl w:ilvl="7" w:tplc="08130019" w:tentative="1">
      <w:start w:val="1"/>
      <w:numFmt w:val="lowerLetter"/>
      <w:lvlText w:val="%8."/>
      <w:lvlJc w:val="left"/>
      <w:pPr>
        <w:ind w:left="6105" w:hanging="360"/>
      </w:pPr>
    </w:lvl>
    <w:lvl w:ilvl="8" w:tplc="0813001B" w:tentative="1">
      <w:start w:val="1"/>
      <w:numFmt w:val="lowerRoman"/>
      <w:lvlText w:val="%9."/>
      <w:lvlJc w:val="right"/>
      <w:pPr>
        <w:ind w:left="6825" w:hanging="180"/>
      </w:pPr>
    </w:lvl>
  </w:abstractNum>
  <w:abstractNum w:abstractNumId="9">
    <w:nsid w:val="2F0627AA"/>
    <w:multiLevelType w:val="hybridMultilevel"/>
    <w:tmpl w:val="AAD08F64"/>
    <w:lvl w:ilvl="0" w:tplc="08130017">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nsid w:val="2FCE2760"/>
    <w:multiLevelType w:val="hybridMultilevel"/>
    <w:tmpl w:val="28EE8FC2"/>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nsid w:val="3C6233E8"/>
    <w:multiLevelType w:val="hybridMultilevel"/>
    <w:tmpl w:val="0A0E2764"/>
    <w:lvl w:ilvl="0" w:tplc="85383A1E">
      <w:start w:val="1"/>
      <w:numFmt w:val="upperRoman"/>
      <w:lvlText w:val="%1."/>
      <w:lvlJc w:val="left"/>
      <w:pPr>
        <w:ind w:left="1080" w:hanging="72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nsid w:val="476359D3"/>
    <w:multiLevelType w:val="hybridMultilevel"/>
    <w:tmpl w:val="84C64698"/>
    <w:lvl w:ilvl="0" w:tplc="FF341FF6">
      <w:start w:val="1"/>
      <w:numFmt w:val="bullet"/>
      <w:lvlText w:val="–"/>
      <w:lvlJc w:val="left"/>
      <w:pPr>
        <w:ind w:left="720" w:hanging="360"/>
      </w:pPr>
      <w:rPr>
        <w:rFonts w:ascii="Interstate Light" w:hAnsi="Interstate Light"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nsid w:val="63190340"/>
    <w:multiLevelType w:val="hybridMultilevel"/>
    <w:tmpl w:val="306C2268"/>
    <w:lvl w:ilvl="0" w:tplc="EB42019C">
      <w:start w:val="1"/>
      <w:numFmt w:val="upperRoman"/>
      <w:lvlText w:val="%1."/>
      <w:lvlJc w:val="left"/>
      <w:pPr>
        <w:ind w:left="1080" w:hanging="72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nsid w:val="64C659C3"/>
    <w:multiLevelType w:val="hybridMultilevel"/>
    <w:tmpl w:val="3ADC56E0"/>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nsid w:val="7A4F00D1"/>
    <w:multiLevelType w:val="hybridMultilevel"/>
    <w:tmpl w:val="C2A23240"/>
    <w:lvl w:ilvl="0" w:tplc="C394B74E">
      <w:start w:val="1"/>
      <w:numFmt w:val="lowerRoman"/>
      <w:lvlText w:val="(%1)"/>
      <w:lvlJc w:val="left"/>
      <w:pPr>
        <w:ind w:left="1080" w:hanging="72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nsid w:val="7C813F77"/>
    <w:multiLevelType w:val="hybridMultilevel"/>
    <w:tmpl w:val="ED44EA1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9"/>
  </w:num>
  <w:num w:numId="2">
    <w:abstractNumId w:val="15"/>
  </w:num>
  <w:num w:numId="3">
    <w:abstractNumId w:val="0"/>
  </w:num>
  <w:num w:numId="4">
    <w:abstractNumId w:val="5"/>
  </w:num>
  <w:num w:numId="5">
    <w:abstractNumId w:val="2"/>
  </w:num>
  <w:num w:numId="6">
    <w:abstractNumId w:val="4"/>
  </w:num>
  <w:num w:numId="7">
    <w:abstractNumId w:val="14"/>
  </w:num>
  <w:num w:numId="8">
    <w:abstractNumId w:val="13"/>
  </w:num>
  <w:num w:numId="9">
    <w:abstractNumId w:val="11"/>
  </w:num>
  <w:num w:numId="10">
    <w:abstractNumId w:val="16"/>
  </w:num>
  <w:num w:numId="11">
    <w:abstractNumId w:val="12"/>
  </w:num>
  <w:num w:numId="12">
    <w:abstractNumId w:val="7"/>
  </w:num>
  <w:num w:numId="13">
    <w:abstractNumId w:val="10"/>
  </w:num>
  <w:num w:numId="14">
    <w:abstractNumId w:val="3"/>
  </w:num>
  <w:num w:numId="15">
    <w:abstractNumId w:val="1"/>
  </w:num>
  <w:num w:numId="16">
    <w:abstractNumId w:val="8"/>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FullName" w:val="C:\Users\RRA01001\Desktop\draft response_shadow banking entities_27.05.15 markup.docx"/>
    <w:docVar w:name="Saved" w:val="True"/>
  </w:docVars>
  <w:rsids>
    <w:rsidRoot w:val="004E16B1"/>
    <w:rsid w:val="00000384"/>
    <w:rsid w:val="00000DE3"/>
    <w:rsid w:val="00001BCA"/>
    <w:rsid w:val="00005EB1"/>
    <w:rsid w:val="0000698A"/>
    <w:rsid w:val="00007373"/>
    <w:rsid w:val="00012D9D"/>
    <w:rsid w:val="000252F1"/>
    <w:rsid w:val="00032A06"/>
    <w:rsid w:val="00037567"/>
    <w:rsid w:val="0004641C"/>
    <w:rsid w:val="000536A9"/>
    <w:rsid w:val="00056E19"/>
    <w:rsid w:val="00063BD0"/>
    <w:rsid w:val="00081FEE"/>
    <w:rsid w:val="00091B97"/>
    <w:rsid w:val="000939C2"/>
    <w:rsid w:val="000A4ED7"/>
    <w:rsid w:val="000A58F6"/>
    <w:rsid w:val="000A7DA1"/>
    <w:rsid w:val="000B149C"/>
    <w:rsid w:val="000B2A77"/>
    <w:rsid w:val="000C7129"/>
    <w:rsid w:val="000D7A43"/>
    <w:rsid w:val="000E5C42"/>
    <w:rsid w:val="000F34F8"/>
    <w:rsid w:val="0010333E"/>
    <w:rsid w:val="0013247E"/>
    <w:rsid w:val="0013304D"/>
    <w:rsid w:val="00133787"/>
    <w:rsid w:val="00137D0E"/>
    <w:rsid w:val="00170A43"/>
    <w:rsid w:val="00182F98"/>
    <w:rsid w:val="00186FED"/>
    <w:rsid w:val="0019104D"/>
    <w:rsid w:val="00197621"/>
    <w:rsid w:val="001A08F8"/>
    <w:rsid w:val="001A1448"/>
    <w:rsid w:val="001A3C96"/>
    <w:rsid w:val="001A62C8"/>
    <w:rsid w:val="001B6977"/>
    <w:rsid w:val="001C0A22"/>
    <w:rsid w:val="001C5302"/>
    <w:rsid w:val="001D0EFD"/>
    <w:rsid w:val="001D2403"/>
    <w:rsid w:val="001D459A"/>
    <w:rsid w:val="001E544B"/>
    <w:rsid w:val="00203317"/>
    <w:rsid w:val="00215955"/>
    <w:rsid w:val="00233D96"/>
    <w:rsid w:val="00234ECF"/>
    <w:rsid w:val="00242134"/>
    <w:rsid w:val="00243C5E"/>
    <w:rsid w:val="00245AE1"/>
    <w:rsid w:val="00246D68"/>
    <w:rsid w:val="00252346"/>
    <w:rsid w:val="002529A3"/>
    <w:rsid w:val="00254E73"/>
    <w:rsid w:val="00256B80"/>
    <w:rsid w:val="00262C32"/>
    <w:rsid w:val="002718B5"/>
    <w:rsid w:val="00272832"/>
    <w:rsid w:val="00272F26"/>
    <w:rsid w:val="00277785"/>
    <w:rsid w:val="00280110"/>
    <w:rsid w:val="0029101E"/>
    <w:rsid w:val="002A0837"/>
    <w:rsid w:val="002C5AE1"/>
    <w:rsid w:val="002D591E"/>
    <w:rsid w:val="002E34A7"/>
    <w:rsid w:val="002E4422"/>
    <w:rsid w:val="0031278B"/>
    <w:rsid w:val="00316EC7"/>
    <w:rsid w:val="0032128F"/>
    <w:rsid w:val="0033546C"/>
    <w:rsid w:val="003450AB"/>
    <w:rsid w:val="003475A3"/>
    <w:rsid w:val="00347854"/>
    <w:rsid w:val="003501D4"/>
    <w:rsid w:val="0035669C"/>
    <w:rsid w:val="00360A2D"/>
    <w:rsid w:val="00367E34"/>
    <w:rsid w:val="003733F3"/>
    <w:rsid w:val="003813BB"/>
    <w:rsid w:val="003827E9"/>
    <w:rsid w:val="00387FFE"/>
    <w:rsid w:val="003A7C87"/>
    <w:rsid w:val="003B1598"/>
    <w:rsid w:val="003C5E76"/>
    <w:rsid w:val="003D112B"/>
    <w:rsid w:val="003D6F2D"/>
    <w:rsid w:val="003E5DD0"/>
    <w:rsid w:val="003F10EB"/>
    <w:rsid w:val="0040110A"/>
    <w:rsid w:val="00403435"/>
    <w:rsid w:val="00403BB0"/>
    <w:rsid w:val="004055BF"/>
    <w:rsid w:val="004111C0"/>
    <w:rsid w:val="00414B99"/>
    <w:rsid w:val="00420D78"/>
    <w:rsid w:val="004245FF"/>
    <w:rsid w:val="004265AB"/>
    <w:rsid w:val="00431643"/>
    <w:rsid w:val="00434511"/>
    <w:rsid w:val="00435923"/>
    <w:rsid w:val="00450D82"/>
    <w:rsid w:val="004510EC"/>
    <w:rsid w:val="004610EB"/>
    <w:rsid w:val="004622E8"/>
    <w:rsid w:val="00465D3F"/>
    <w:rsid w:val="00480E99"/>
    <w:rsid w:val="00481C8C"/>
    <w:rsid w:val="004A4427"/>
    <w:rsid w:val="004A54EF"/>
    <w:rsid w:val="004B2C56"/>
    <w:rsid w:val="004B39F7"/>
    <w:rsid w:val="004C0DE3"/>
    <w:rsid w:val="004C3A01"/>
    <w:rsid w:val="004C3AC4"/>
    <w:rsid w:val="004C62A0"/>
    <w:rsid w:val="004D33DE"/>
    <w:rsid w:val="004E1699"/>
    <w:rsid w:val="004E16B1"/>
    <w:rsid w:val="004F4D57"/>
    <w:rsid w:val="00504511"/>
    <w:rsid w:val="00504F50"/>
    <w:rsid w:val="00512808"/>
    <w:rsid w:val="005229D4"/>
    <w:rsid w:val="00523B0F"/>
    <w:rsid w:val="005330D8"/>
    <w:rsid w:val="00537180"/>
    <w:rsid w:val="0054129F"/>
    <w:rsid w:val="00541423"/>
    <w:rsid w:val="00541D57"/>
    <w:rsid w:val="00547EC8"/>
    <w:rsid w:val="00560487"/>
    <w:rsid w:val="00564488"/>
    <w:rsid w:val="00570845"/>
    <w:rsid w:val="00573462"/>
    <w:rsid w:val="00574581"/>
    <w:rsid w:val="00574E35"/>
    <w:rsid w:val="00577349"/>
    <w:rsid w:val="005832C5"/>
    <w:rsid w:val="0058687E"/>
    <w:rsid w:val="005A3A53"/>
    <w:rsid w:val="005A69D9"/>
    <w:rsid w:val="005A71E9"/>
    <w:rsid w:val="005A7ECC"/>
    <w:rsid w:val="005B323E"/>
    <w:rsid w:val="005B43A5"/>
    <w:rsid w:val="005C26D4"/>
    <w:rsid w:val="005C2709"/>
    <w:rsid w:val="005C3C74"/>
    <w:rsid w:val="005C6C9B"/>
    <w:rsid w:val="005D5316"/>
    <w:rsid w:val="005E740E"/>
    <w:rsid w:val="005E7D8F"/>
    <w:rsid w:val="005F16D2"/>
    <w:rsid w:val="005F17C4"/>
    <w:rsid w:val="005F2889"/>
    <w:rsid w:val="005F32F2"/>
    <w:rsid w:val="00604535"/>
    <w:rsid w:val="00611B1B"/>
    <w:rsid w:val="00614B9C"/>
    <w:rsid w:val="006201CD"/>
    <w:rsid w:val="006214D0"/>
    <w:rsid w:val="0062227D"/>
    <w:rsid w:val="00623F7A"/>
    <w:rsid w:val="006335DC"/>
    <w:rsid w:val="00634069"/>
    <w:rsid w:val="00644819"/>
    <w:rsid w:val="00644EC5"/>
    <w:rsid w:val="006452C2"/>
    <w:rsid w:val="00647A92"/>
    <w:rsid w:val="00665BCD"/>
    <w:rsid w:val="00673F27"/>
    <w:rsid w:val="006807C1"/>
    <w:rsid w:val="00691C5E"/>
    <w:rsid w:val="0069331D"/>
    <w:rsid w:val="00697C02"/>
    <w:rsid w:val="006A0329"/>
    <w:rsid w:val="006B5B62"/>
    <w:rsid w:val="006B7139"/>
    <w:rsid w:val="006C4E78"/>
    <w:rsid w:val="006C7D1B"/>
    <w:rsid w:val="006E295B"/>
    <w:rsid w:val="006E7EE5"/>
    <w:rsid w:val="006F31C6"/>
    <w:rsid w:val="00707660"/>
    <w:rsid w:val="00711854"/>
    <w:rsid w:val="00716E50"/>
    <w:rsid w:val="00726C9F"/>
    <w:rsid w:val="00733D04"/>
    <w:rsid w:val="007404FE"/>
    <w:rsid w:val="00745306"/>
    <w:rsid w:val="007458FC"/>
    <w:rsid w:val="00746500"/>
    <w:rsid w:val="0075525F"/>
    <w:rsid w:val="00770025"/>
    <w:rsid w:val="00773FD6"/>
    <w:rsid w:val="0077420F"/>
    <w:rsid w:val="00781464"/>
    <w:rsid w:val="00797AB5"/>
    <w:rsid w:val="007A2010"/>
    <w:rsid w:val="007C3A5B"/>
    <w:rsid w:val="007C70D4"/>
    <w:rsid w:val="007D29C2"/>
    <w:rsid w:val="007D615E"/>
    <w:rsid w:val="00807DA2"/>
    <w:rsid w:val="00825A6E"/>
    <w:rsid w:val="00825AD9"/>
    <w:rsid w:val="0082631F"/>
    <w:rsid w:val="00830854"/>
    <w:rsid w:val="00841625"/>
    <w:rsid w:val="00862403"/>
    <w:rsid w:val="00873B02"/>
    <w:rsid w:val="00881C69"/>
    <w:rsid w:val="00885263"/>
    <w:rsid w:val="00885315"/>
    <w:rsid w:val="00890382"/>
    <w:rsid w:val="00891766"/>
    <w:rsid w:val="008920C6"/>
    <w:rsid w:val="00896BD7"/>
    <w:rsid w:val="008A1C27"/>
    <w:rsid w:val="008A5E67"/>
    <w:rsid w:val="008B1177"/>
    <w:rsid w:val="008B1484"/>
    <w:rsid w:val="008C0C4E"/>
    <w:rsid w:val="008C15A2"/>
    <w:rsid w:val="008D10F1"/>
    <w:rsid w:val="008D6B05"/>
    <w:rsid w:val="008D7A02"/>
    <w:rsid w:val="008E6113"/>
    <w:rsid w:val="008F54F4"/>
    <w:rsid w:val="008F671B"/>
    <w:rsid w:val="00911894"/>
    <w:rsid w:val="00920CE2"/>
    <w:rsid w:val="0092543D"/>
    <w:rsid w:val="0092693D"/>
    <w:rsid w:val="00931C5E"/>
    <w:rsid w:val="00936AB7"/>
    <w:rsid w:val="0094321F"/>
    <w:rsid w:val="00947701"/>
    <w:rsid w:val="00960CF6"/>
    <w:rsid w:val="00967479"/>
    <w:rsid w:val="0097780D"/>
    <w:rsid w:val="00977C59"/>
    <w:rsid w:val="00985ACF"/>
    <w:rsid w:val="00992351"/>
    <w:rsid w:val="00994C27"/>
    <w:rsid w:val="009A2F88"/>
    <w:rsid w:val="009A6202"/>
    <w:rsid w:val="009B68F5"/>
    <w:rsid w:val="009C0F02"/>
    <w:rsid w:val="009C5D5F"/>
    <w:rsid w:val="009D01C6"/>
    <w:rsid w:val="009E1E1E"/>
    <w:rsid w:val="009E6BAB"/>
    <w:rsid w:val="009F4749"/>
    <w:rsid w:val="00A11FA0"/>
    <w:rsid w:val="00A208BE"/>
    <w:rsid w:val="00A350E9"/>
    <w:rsid w:val="00A3643D"/>
    <w:rsid w:val="00A406D0"/>
    <w:rsid w:val="00A420D5"/>
    <w:rsid w:val="00A420F7"/>
    <w:rsid w:val="00A46FAB"/>
    <w:rsid w:val="00A5016B"/>
    <w:rsid w:val="00A52837"/>
    <w:rsid w:val="00A53B39"/>
    <w:rsid w:val="00A562F9"/>
    <w:rsid w:val="00A7089D"/>
    <w:rsid w:val="00A76C89"/>
    <w:rsid w:val="00A867E5"/>
    <w:rsid w:val="00A93697"/>
    <w:rsid w:val="00A969F9"/>
    <w:rsid w:val="00AA0C10"/>
    <w:rsid w:val="00AA0DF6"/>
    <w:rsid w:val="00AA6277"/>
    <w:rsid w:val="00AB49A1"/>
    <w:rsid w:val="00AB5B92"/>
    <w:rsid w:val="00AC01B6"/>
    <w:rsid w:val="00AC2E04"/>
    <w:rsid w:val="00AC7FA6"/>
    <w:rsid w:val="00AE034C"/>
    <w:rsid w:val="00AE5792"/>
    <w:rsid w:val="00AF598A"/>
    <w:rsid w:val="00AF5DE5"/>
    <w:rsid w:val="00B13A9B"/>
    <w:rsid w:val="00B16801"/>
    <w:rsid w:val="00B205B1"/>
    <w:rsid w:val="00B21F03"/>
    <w:rsid w:val="00B22D37"/>
    <w:rsid w:val="00B346D9"/>
    <w:rsid w:val="00B37233"/>
    <w:rsid w:val="00B5357F"/>
    <w:rsid w:val="00B538EA"/>
    <w:rsid w:val="00B54ADF"/>
    <w:rsid w:val="00B569AE"/>
    <w:rsid w:val="00B57602"/>
    <w:rsid w:val="00B65CF8"/>
    <w:rsid w:val="00B7005F"/>
    <w:rsid w:val="00B73D2B"/>
    <w:rsid w:val="00B7468C"/>
    <w:rsid w:val="00B946D3"/>
    <w:rsid w:val="00B95464"/>
    <w:rsid w:val="00BA0227"/>
    <w:rsid w:val="00BA64BF"/>
    <w:rsid w:val="00BB7C15"/>
    <w:rsid w:val="00BC5F40"/>
    <w:rsid w:val="00BD0EAA"/>
    <w:rsid w:val="00BE3559"/>
    <w:rsid w:val="00BE3AC0"/>
    <w:rsid w:val="00BF1CE3"/>
    <w:rsid w:val="00BF4622"/>
    <w:rsid w:val="00BF757C"/>
    <w:rsid w:val="00C104D1"/>
    <w:rsid w:val="00C155D4"/>
    <w:rsid w:val="00C17BE4"/>
    <w:rsid w:val="00C21607"/>
    <w:rsid w:val="00C27F3E"/>
    <w:rsid w:val="00C32F82"/>
    <w:rsid w:val="00C36FE7"/>
    <w:rsid w:val="00C46A95"/>
    <w:rsid w:val="00C65F23"/>
    <w:rsid w:val="00C76C92"/>
    <w:rsid w:val="00C823F6"/>
    <w:rsid w:val="00C8523C"/>
    <w:rsid w:val="00CA3940"/>
    <w:rsid w:val="00CA7B95"/>
    <w:rsid w:val="00CB0B55"/>
    <w:rsid w:val="00CB1453"/>
    <w:rsid w:val="00CC2C94"/>
    <w:rsid w:val="00CE16A5"/>
    <w:rsid w:val="00CE24B3"/>
    <w:rsid w:val="00CE61EA"/>
    <w:rsid w:val="00CF0030"/>
    <w:rsid w:val="00CF2CF8"/>
    <w:rsid w:val="00D005AA"/>
    <w:rsid w:val="00D04363"/>
    <w:rsid w:val="00D05160"/>
    <w:rsid w:val="00D13E99"/>
    <w:rsid w:val="00D17F7A"/>
    <w:rsid w:val="00D46BD7"/>
    <w:rsid w:val="00D549C8"/>
    <w:rsid w:val="00D61201"/>
    <w:rsid w:val="00D70961"/>
    <w:rsid w:val="00D759A0"/>
    <w:rsid w:val="00D80D06"/>
    <w:rsid w:val="00D92469"/>
    <w:rsid w:val="00D93BBF"/>
    <w:rsid w:val="00DB1BBA"/>
    <w:rsid w:val="00DC0365"/>
    <w:rsid w:val="00DC0611"/>
    <w:rsid w:val="00DC1BED"/>
    <w:rsid w:val="00DD69A7"/>
    <w:rsid w:val="00DE1D2A"/>
    <w:rsid w:val="00DE2E61"/>
    <w:rsid w:val="00DE7B00"/>
    <w:rsid w:val="00DF2777"/>
    <w:rsid w:val="00DF7F3C"/>
    <w:rsid w:val="00E004D1"/>
    <w:rsid w:val="00E239C9"/>
    <w:rsid w:val="00E239D0"/>
    <w:rsid w:val="00E259AF"/>
    <w:rsid w:val="00E33B9D"/>
    <w:rsid w:val="00E41D99"/>
    <w:rsid w:val="00E42A40"/>
    <w:rsid w:val="00E609E1"/>
    <w:rsid w:val="00E715A5"/>
    <w:rsid w:val="00E7491C"/>
    <w:rsid w:val="00E80C85"/>
    <w:rsid w:val="00EA032E"/>
    <w:rsid w:val="00EA4FF8"/>
    <w:rsid w:val="00EB56D8"/>
    <w:rsid w:val="00EB788B"/>
    <w:rsid w:val="00EC16F1"/>
    <w:rsid w:val="00EC24BA"/>
    <w:rsid w:val="00EC30A3"/>
    <w:rsid w:val="00EC4B81"/>
    <w:rsid w:val="00ED7241"/>
    <w:rsid w:val="00EE5634"/>
    <w:rsid w:val="00EE6216"/>
    <w:rsid w:val="00EF2FF1"/>
    <w:rsid w:val="00EF6088"/>
    <w:rsid w:val="00F01E5F"/>
    <w:rsid w:val="00F038B5"/>
    <w:rsid w:val="00F12B8F"/>
    <w:rsid w:val="00F202E7"/>
    <w:rsid w:val="00F226F9"/>
    <w:rsid w:val="00F33C56"/>
    <w:rsid w:val="00F36510"/>
    <w:rsid w:val="00F367C7"/>
    <w:rsid w:val="00F40D89"/>
    <w:rsid w:val="00F43467"/>
    <w:rsid w:val="00F55369"/>
    <w:rsid w:val="00F56316"/>
    <w:rsid w:val="00F56ADD"/>
    <w:rsid w:val="00F67793"/>
    <w:rsid w:val="00F73634"/>
    <w:rsid w:val="00F73D15"/>
    <w:rsid w:val="00F77BE4"/>
    <w:rsid w:val="00F94DEF"/>
    <w:rsid w:val="00FA6738"/>
    <w:rsid w:val="00FA6AD2"/>
    <w:rsid w:val="00FD18CE"/>
    <w:rsid w:val="00FD3BEA"/>
    <w:rsid w:val="00FD6158"/>
    <w:rsid w:val="00FD6716"/>
    <w:rsid w:val="00FF623F"/>
    <w:rsid w:val="00FF6320"/>
  </w:rsids>
  <m:mathPr>
    <m:mathFont m:val="Cambria Math"/>
    <m:brkBin m:val="before"/>
    <m:brkBinSub m:val="--"/>
    <m:smallFrac m:val="0"/>
    <m:dispDef/>
    <m:lMargin m:val="0"/>
    <m:rMargin m:val="0"/>
    <m:defJc m:val="centerGroup"/>
    <m:wrapIndent m:val="1440"/>
    <m:intLim m:val="subSup"/>
    <m:naryLim m:val="undOvr"/>
  </m:mathPr>
  <w:themeFontLang w:val="nl-BE"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6202"/>
    <w:pPr>
      <w:ind w:left="720"/>
      <w:contextualSpacing/>
    </w:pPr>
  </w:style>
  <w:style w:type="paragraph" w:styleId="BalloonText">
    <w:name w:val="Balloon Text"/>
    <w:basedOn w:val="Normal"/>
    <w:link w:val="BalloonTextChar"/>
    <w:uiPriority w:val="99"/>
    <w:semiHidden/>
    <w:unhideWhenUsed/>
    <w:rsid w:val="00E239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39D0"/>
    <w:rPr>
      <w:rFonts w:ascii="Tahoma" w:hAnsi="Tahoma" w:cs="Tahoma"/>
      <w:sz w:val="16"/>
      <w:szCs w:val="16"/>
    </w:rPr>
  </w:style>
  <w:style w:type="paragraph" w:styleId="Header">
    <w:name w:val="header"/>
    <w:basedOn w:val="Normal"/>
    <w:link w:val="HeaderChar"/>
    <w:uiPriority w:val="99"/>
    <w:unhideWhenUsed/>
    <w:rsid w:val="0013247E"/>
    <w:pPr>
      <w:tabs>
        <w:tab w:val="center" w:pos="4536"/>
        <w:tab w:val="right" w:pos="9072"/>
      </w:tabs>
      <w:spacing w:after="0" w:line="240" w:lineRule="auto"/>
    </w:pPr>
  </w:style>
  <w:style w:type="character" w:customStyle="1" w:styleId="HeaderChar">
    <w:name w:val="Header Char"/>
    <w:basedOn w:val="DefaultParagraphFont"/>
    <w:link w:val="Header"/>
    <w:uiPriority w:val="99"/>
    <w:rsid w:val="0013247E"/>
  </w:style>
  <w:style w:type="paragraph" w:styleId="Footer">
    <w:name w:val="footer"/>
    <w:basedOn w:val="Normal"/>
    <w:link w:val="FooterChar"/>
    <w:uiPriority w:val="99"/>
    <w:unhideWhenUsed/>
    <w:rsid w:val="0013247E"/>
    <w:pPr>
      <w:tabs>
        <w:tab w:val="center" w:pos="4536"/>
        <w:tab w:val="right" w:pos="9072"/>
      </w:tabs>
      <w:spacing w:after="0" w:line="240" w:lineRule="auto"/>
    </w:pPr>
  </w:style>
  <w:style w:type="character" w:customStyle="1" w:styleId="FooterChar">
    <w:name w:val="Footer Char"/>
    <w:basedOn w:val="DefaultParagraphFont"/>
    <w:link w:val="Footer"/>
    <w:uiPriority w:val="99"/>
    <w:rsid w:val="0013247E"/>
  </w:style>
  <w:style w:type="paragraph" w:customStyle="1" w:styleId="CM4">
    <w:name w:val="CM4"/>
    <w:basedOn w:val="Normal"/>
    <w:next w:val="Normal"/>
    <w:uiPriority w:val="99"/>
    <w:rsid w:val="0013247E"/>
    <w:pPr>
      <w:autoSpaceDE w:val="0"/>
      <w:autoSpaceDN w:val="0"/>
      <w:adjustRightInd w:val="0"/>
      <w:spacing w:after="0" w:line="240" w:lineRule="auto"/>
    </w:pPr>
    <w:rPr>
      <w:rFonts w:ascii="Times New Roman" w:hAnsi="Times New Roman" w:cs="Times New Roman"/>
      <w:sz w:val="24"/>
      <w:szCs w:val="24"/>
      <w:lang w:val="fr-FR"/>
    </w:rPr>
  </w:style>
  <w:style w:type="table" w:styleId="TableGrid">
    <w:name w:val="Table Grid"/>
    <w:basedOn w:val="TableNormal"/>
    <w:uiPriority w:val="59"/>
    <w:rsid w:val="0013247E"/>
    <w:pPr>
      <w:spacing w:after="0" w:line="240" w:lineRule="auto"/>
    </w:pPr>
    <w:rPr>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9104D"/>
    <w:rPr>
      <w:color w:val="0000FF" w:themeColor="hyperlink"/>
      <w:u w:val="single"/>
    </w:rPr>
  </w:style>
  <w:style w:type="paragraph" w:styleId="FootnoteText">
    <w:name w:val="footnote text"/>
    <w:basedOn w:val="Normal"/>
    <w:link w:val="FootnoteTextChar"/>
    <w:uiPriority w:val="99"/>
    <w:rsid w:val="00920CE2"/>
    <w:pPr>
      <w:spacing w:after="0" w:line="240" w:lineRule="auto"/>
      <w:ind w:left="720" w:hanging="720"/>
      <w:jc w:val="both"/>
    </w:pPr>
    <w:rPr>
      <w:rFonts w:ascii="Times New Roman" w:eastAsia="Times New Roman" w:hAnsi="Times New Roman" w:cs="Times New Roman"/>
      <w:sz w:val="20"/>
      <w:szCs w:val="20"/>
      <w:lang w:val="en-GB"/>
    </w:rPr>
  </w:style>
  <w:style w:type="character" w:customStyle="1" w:styleId="FootnoteTextChar">
    <w:name w:val="Footnote Text Char"/>
    <w:basedOn w:val="DefaultParagraphFont"/>
    <w:link w:val="FootnoteText"/>
    <w:uiPriority w:val="99"/>
    <w:rsid w:val="00920CE2"/>
    <w:rPr>
      <w:rFonts w:ascii="Times New Roman" w:eastAsia="Times New Roman" w:hAnsi="Times New Roman" w:cs="Times New Roman"/>
      <w:sz w:val="20"/>
      <w:szCs w:val="20"/>
      <w:lang w:val="en-GB"/>
    </w:rPr>
  </w:style>
  <w:style w:type="character" w:styleId="FootnoteReference">
    <w:name w:val="footnote reference"/>
    <w:aliases w:val="FR,footnumber,Footnotemark,Footnotemark1,Footnotemark2,FR1,Footnotemark3,FR2,Footnotemark4,FR3,Footnotemark5,FR4,Footnotemark6,Footnotemark7,Footnotemark8,FR5,Footnotemark11,Footnotemark21,FR11,Footnotemark31,FR21,FR31,Footnote"/>
    <w:uiPriority w:val="99"/>
    <w:rsid w:val="00920CE2"/>
    <w:rPr>
      <w:shd w:val="clear" w:color="auto" w:fill="auto"/>
      <w:vertAlign w:val="superscript"/>
    </w:rPr>
  </w:style>
  <w:style w:type="character" w:styleId="CommentReference">
    <w:name w:val="annotation reference"/>
    <w:basedOn w:val="DefaultParagraphFont"/>
    <w:uiPriority w:val="99"/>
    <w:semiHidden/>
    <w:unhideWhenUsed/>
    <w:rsid w:val="007A2010"/>
    <w:rPr>
      <w:sz w:val="16"/>
      <w:szCs w:val="16"/>
    </w:rPr>
  </w:style>
  <w:style w:type="paragraph" w:styleId="CommentText">
    <w:name w:val="annotation text"/>
    <w:basedOn w:val="Normal"/>
    <w:link w:val="CommentTextChar"/>
    <w:uiPriority w:val="99"/>
    <w:semiHidden/>
    <w:unhideWhenUsed/>
    <w:rsid w:val="007A2010"/>
    <w:pPr>
      <w:spacing w:line="240" w:lineRule="auto"/>
    </w:pPr>
    <w:rPr>
      <w:sz w:val="20"/>
      <w:szCs w:val="20"/>
    </w:rPr>
  </w:style>
  <w:style w:type="character" w:customStyle="1" w:styleId="CommentTextChar">
    <w:name w:val="Comment Text Char"/>
    <w:basedOn w:val="DefaultParagraphFont"/>
    <w:link w:val="CommentText"/>
    <w:uiPriority w:val="99"/>
    <w:semiHidden/>
    <w:rsid w:val="007A2010"/>
    <w:rPr>
      <w:sz w:val="20"/>
      <w:szCs w:val="20"/>
    </w:rPr>
  </w:style>
  <w:style w:type="paragraph" w:styleId="CommentSubject">
    <w:name w:val="annotation subject"/>
    <w:basedOn w:val="CommentText"/>
    <w:next w:val="CommentText"/>
    <w:link w:val="CommentSubjectChar"/>
    <w:uiPriority w:val="99"/>
    <w:semiHidden/>
    <w:unhideWhenUsed/>
    <w:rsid w:val="007A2010"/>
    <w:rPr>
      <w:b/>
      <w:bCs/>
    </w:rPr>
  </w:style>
  <w:style w:type="character" w:customStyle="1" w:styleId="CommentSubjectChar">
    <w:name w:val="Comment Subject Char"/>
    <w:basedOn w:val="CommentTextChar"/>
    <w:link w:val="CommentSubject"/>
    <w:uiPriority w:val="99"/>
    <w:semiHidden/>
    <w:rsid w:val="007A2010"/>
    <w:rPr>
      <w:b/>
      <w:bCs/>
      <w:sz w:val="20"/>
      <w:szCs w:val="20"/>
    </w:rPr>
  </w:style>
  <w:style w:type="paragraph" w:customStyle="1" w:styleId="Default">
    <w:name w:val="Default"/>
    <w:rsid w:val="00A5016B"/>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6202"/>
    <w:pPr>
      <w:ind w:left="720"/>
      <w:contextualSpacing/>
    </w:pPr>
  </w:style>
  <w:style w:type="paragraph" w:styleId="BalloonText">
    <w:name w:val="Balloon Text"/>
    <w:basedOn w:val="Normal"/>
    <w:link w:val="BalloonTextChar"/>
    <w:uiPriority w:val="99"/>
    <w:semiHidden/>
    <w:unhideWhenUsed/>
    <w:rsid w:val="00E239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39D0"/>
    <w:rPr>
      <w:rFonts w:ascii="Tahoma" w:hAnsi="Tahoma" w:cs="Tahoma"/>
      <w:sz w:val="16"/>
      <w:szCs w:val="16"/>
    </w:rPr>
  </w:style>
  <w:style w:type="paragraph" w:styleId="Header">
    <w:name w:val="header"/>
    <w:basedOn w:val="Normal"/>
    <w:link w:val="HeaderChar"/>
    <w:uiPriority w:val="99"/>
    <w:unhideWhenUsed/>
    <w:rsid w:val="0013247E"/>
    <w:pPr>
      <w:tabs>
        <w:tab w:val="center" w:pos="4536"/>
        <w:tab w:val="right" w:pos="9072"/>
      </w:tabs>
      <w:spacing w:after="0" w:line="240" w:lineRule="auto"/>
    </w:pPr>
  </w:style>
  <w:style w:type="character" w:customStyle="1" w:styleId="HeaderChar">
    <w:name w:val="Header Char"/>
    <w:basedOn w:val="DefaultParagraphFont"/>
    <w:link w:val="Header"/>
    <w:uiPriority w:val="99"/>
    <w:rsid w:val="0013247E"/>
  </w:style>
  <w:style w:type="paragraph" w:styleId="Footer">
    <w:name w:val="footer"/>
    <w:basedOn w:val="Normal"/>
    <w:link w:val="FooterChar"/>
    <w:uiPriority w:val="99"/>
    <w:unhideWhenUsed/>
    <w:rsid w:val="0013247E"/>
    <w:pPr>
      <w:tabs>
        <w:tab w:val="center" w:pos="4536"/>
        <w:tab w:val="right" w:pos="9072"/>
      </w:tabs>
      <w:spacing w:after="0" w:line="240" w:lineRule="auto"/>
    </w:pPr>
  </w:style>
  <w:style w:type="character" w:customStyle="1" w:styleId="FooterChar">
    <w:name w:val="Footer Char"/>
    <w:basedOn w:val="DefaultParagraphFont"/>
    <w:link w:val="Footer"/>
    <w:uiPriority w:val="99"/>
    <w:rsid w:val="0013247E"/>
  </w:style>
  <w:style w:type="paragraph" w:customStyle="1" w:styleId="CM4">
    <w:name w:val="CM4"/>
    <w:basedOn w:val="Normal"/>
    <w:next w:val="Normal"/>
    <w:uiPriority w:val="99"/>
    <w:rsid w:val="0013247E"/>
    <w:pPr>
      <w:autoSpaceDE w:val="0"/>
      <w:autoSpaceDN w:val="0"/>
      <w:adjustRightInd w:val="0"/>
      <w:spacing w:after="0" w:line="240" w:lineRule="auto"/>
    </w:pPr>
    <w:rPr>
      <w:rFonts w:ascii="Times New Roman" w:hAnsi="Times New Roman" w:cs="Times New Roman"/>
      <w:sz w:val="24"/>
      <w:szCs w:val="24"/>
      <w:lang w:val="fr-FR"/>
    </w:rPr>
  </w:style>
  <w:style w:type="table" w:styleId="TableGrid">
    <w:name w:val="Table Grid"/>
    <w:basedOn w:val="TableNormal"/>
    <w:uiPriority w:val="59"/>
    <w:rsid w:val="0013247E"/>
    <w:pPr>
      <w:spacing w:after="0" w:line="240" w:lineRule="auto"/>
    </w:pPr>
    <w:rPr>
      <w:lang w:val="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9104D"/>
    <w:rPr>
      <w:color w:val="0000FF" w:themeColor="hyperlink"/>
      <w:u w:val="single"/>
    </w:rPr>
  </w:style>
  <w:style w:type="paragraph" w:styleId="FootnoteText">
    <w:name w:val="footnote text"/>
    <w:basedOn w:val="Normal"/>
    <w:link w:val="FootnoteTextChar"/>
    <w:uiPriority w:val="99"/>
    <w:rsid w:val="00920CE2"/>
    <w:pPr>
      <w:spacing w:after="0" w:line="240" w:lineRule="auto"/>
      <w:ind w:left="720" w:hanging="720"/>
      <w:jc w:val="both"/>
    </w:pPr>
    <w:rPr>
      <w:rFonts w:ascii="Times New Roman" w:eastAsia="Times New Roman" w:hAnsi="Times New Roman" w:cs="Times New Roman"/>
      <w:sz w:val="20"/>
      <w:szCs w:val="20"/>
      <w:lang w:val="en-GB"/>
    </w:rPr>
  </w:style>
  <w:style w:type="character" w:customStyle="1" w:styleId="FootnoteTextChar">
    <w:name w:val="Footnote Text Char"/>
    <w:basedOn w:val="DefaultParagraphFont"/>
    <w:link w:val="FootnoteText"/>
    <w:uiPriority w:val="99"/>
    <w:rsid w:val="00920CE2"/>
    <w:rPr>
      <w:rFonts w:ascii="Times New Roman" w:eastAsia="Times New Roman" w:hAnsi="Times New Roman" w:cs="Times New Roman"/>
      <w:sz w:val="20"/>
      <w:szCs w:val="20"/>
      <w:lang w:val="en-GB"/>
    </w:rPr>
  </w:style>
  <w:style w:type="character" w:styleId="FootnoteReference">
    <w:name w:val="footnote reference"/>
    <w:aliases w:val="FR,footnumber,Footnotemark,Footnotemark1,Footnotemark2,FR1,Footnotemark3,FR2,Footnotemark4,FR3,Footnotemark5,FR4,Footnotemark6,Footnotemark7,Footnotemark8,FR5,Footnotemark11,Footnotemark21,FR11,Footnotemark31,FR21,FR31,Footnote"/>
    <w:uiPriority w:val="99"/>
    <w:rsid w:val="00920CE2"/>
    <w:rPr>
      <w:shd w:val="clear" w:color="auto" w:fill="auto"/>
      <w:vertAlign w:val="superscript"/>
    </w:rPr>
  </w:style>
  <w:style w:type="character" w:styleId="CommentReference">
    <w:name w:val="annotation reference"/>
    <w:basedOn w:val="DefaultParagraphFont"/>
    <w:uiPriority w:val="99"/>
    <w:semiHidden/>
    <w:unhideWhenUsed/>
    <w:rsid w:val="007A2010"/>
    <w:rPr>
      <w:sz w:val="16"/>
      <w:szCs w:val="16"/>
    </w:rPr>
  </w:style>
  <w:style w:type="paragraph" w:styleId="CommentText">
    <w:name w:val="annotation text"/>
    <w:basedOn w:val="Normal"/>
    <w:link w:val="CommentTextChar"/>
    <w:uiPriority w:val="99"/>
    <w:semiHidden/>
    <w:unhideWhenUsed/>
    <w:rsid w:val="007A2010"/>
    <w:pPr>
      <w:spacing w:line="240" w:lineRule="auto"/>
    </w:pPr>
    <w:rPr>
      <w:sz w:val="20"/>
      <w:szCs w:val="20"/>
    </w:rPr>
  </w:style>
  <w:style w:type="character" w:customStyle="1" w:styleId="CommentTextChar">
    <w:name w:val="Comment Text Char"/>
    <w:basedOn w:val="DefaultParagraphFont"/>
    <w:link w:val="CommentText"/>
    <w:uiPriority w:val="99"/>
    <w:semiHidden/>
    <w:rsid w:val="007A2010"/>
    <w:rPr>
      <w:sz w:val="20"/>
      <w:szCs w:val="20"/>
    </w:rPr>
  </w:style>
  <w:style w:type="paragraph" w:styleId="CommentSubject">
    <w:name w:val="annotation subject"/>
    <w:basedOn w:val="CommentText"/>
    <w:next w:val="CommentText"/>
    <w:link w:val="CommentSubjectChar"/>
    <w:uiPriority w:val="99"/>
    <w:semiHidden/>
    <w:unhideWhenUsed/>
    <w:rsid w:val="007A2010"/>
    <w:rPr>
      <w:b/>
      <w:bCs/>
    </w:rPr>
  </w:style>
  <w:style w:type="character" w:customStyle="1" w:styleId="CommentSubjectChar">
    <w:name w:val="Comment Subject Char"/>
    <w:basedOn w:val="CommentTextChar"/>
    <w:link w:val="CommentSubject"/>
    <w:uiPriority w:val="99"/>
    <w:semiHidden/>
    <w:rsid w:val="007A2010"/>
    <w:rPr>
      <w:b/>
      <w:bCs/>
      <w:sz w:val="20"/>
      <w:szCs w:val="20"/>
    </w:rPr>
  </w:style>
  <w:style w:type="paragraph" w:customStyle="1" w:styleId="Default">
    <w:name w:val="Default"/>
    <w:rsid w:val="00A5016B"/>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323991">
      <w:bodyDiv w:val="1"/>
      <w:marLeft w:val="0"/>
      <w:marRight w:val="0"/>
      <w:marTop w:val="0"/>
      <w:marBottom w:val="0"/>
      <w:divBdr>
        <w:top w:val="none" w:sz="0" w:space="0" w:color="auto"/>
        <w:left w:val="none" w:sz="0" w:space="0" w:color="auto"/>
        <w:bottom w:val="none" w:sz="0" w:space="0" w:color="auto"/>
        <w:right w:val="none" w:sz="0" w:space="0" w:color="auto"/>
      </w:divBdr>
    </w:div>
    <w:div w:id="759571235">
      <w:bodyDiv w:val="1"/>
      <w:marLeft w:val="0"/>
      <w:marRight w:val="0"/>
      <w:marTop w:val="0"/>
      <w:marBottom w:val="0"/>
      <w:divBdr>
        <w:top w:val="none" w:sz="0" w:space="0" w:color="auto"/>
        <w:left w:val="none" w:sz="0" w:space="0" w:color="auto"/>
        <w:bottom w:val="none" w:sz="0" w:space="0" w:color="auto"/>
        <w:right w:val="none" w:sz="0" w:space="0" w:color="auto"/>
      </w:divBdr>
    </w:div>
    <w:div w:id="786892064">
      <w:bodyDiv w:val="1"/>
      <w:marLeft w:val="0"/>
      <w:marRight w:val="0"/>
      <w:marTop w:val="0"/>
      <w:marBottom w:val="0"/>
      <w:divBdr>
        <w:top w:val="none" w:sz="0" w:space="0" w:color="auto"/>
        <w:left w:val="none" w:sz="0" w:space="0" w:color="auto"/>
        <w:bottom w:val="none" w:sz="0" w:space="0" w:color="auto"/>
        <w:right w:val="none" w:sz="0" w:space="0" w:color="auto"/>
      </w:divBdr>
    </w:div>
    <w:div w:id="1043794892">
      <w:bodyDiv w:val="1"/>
      <w:marLeft w:val="0"/>
      <w:marRight w:val="0"/>
      <w:marTop w:val="0"/>
      <w:marBottom w:val="0"/>
      <w:divBdr>
        <w:top w:val="none" w:sz="0" w:space="0" w:color="auto"/>
        <w:left w:val="none" w:sz="0" w:space="0" w:color="auto"/>
        <w:bottom w:val="none" w:sz="0" w:space="0" w:color="auto"/>
        <w:right w:val="none" w:sz="0" w:space="0" w:color="auto"/>
      </w:divBdr>
    </w:div>
    <w:div w:id="1046637408">
      <w:bodyDiv w:val="1"/>
      <w:marLeft w:val="0"/>
      <w:marRight w:val="0"/>
      <w:marTop w:val="0"/>
      <w:marBottom w:val="0"/>
      <w:divBdr>
        <w:top w:val="none" w:sz="0" w:space="0" w:color="auto"/>
        <w:left w:val="none" w:sz="0" w:space="0" w:color="auto"/>
        <w:bottom w:val="none" w:sz="0" w:space="0" w:color="auto"/>
        <w:right w:val="none" w:sz="0" w:space="0" w:color="auto"/>
      </w:divBdr>
    </w:div>
    <w:div w:id="1293899593">
      <w:bodyDiv w:val="1"/>
      <w:marLeft w:val="0"/>
      <w:marRight w:val="0"/>
      <w:marTop w:val="0"/>
      <w:marBottom w:val="0"/>
      <w:divBdr>
        <w:top w:val="none" w:sz="0" w:space="0" w:color="auto"/>
        <w:left w:val="none" w:sz="0" w:space="0" w:color="auto"/>
        <w:bottom w:val="none" w:sz="0" w:space="0" w:color="auto"/>
        <w:right w:val="none" w:sz="0" w:space="0" w:color="auto"/>
      </w:divBdr>
    </w:div>
    <w:div w:id="1320773545">
      <w:bodyDiv w:val="1"/>
      <w:marLeft w:val="0"/>
      <w:marRight w:val="0"/>
      <w:marTop w:val="0"/>
      <w:marBottom w:val="0"/>
      <w:divBdr>
        <w:top w:val="none" w:sz="0" w:space="0" w:color="auto"/>
        <w:left w:val="none" w:sz="0" w:space="0" w:color="auto"/>
        <w:bottom w:val="none" w:sz="0" w:space="0" w:color="auto"/>
        <w:right w:val="none" w:sz="0" w:space="0" w:color="auto"/>
      </w:divBdr>
    </w:div>
    <w:div w:id="1398093509">
      <w:bodyDiv w:val="1"/>
      <w:marLeft w:val="0"/>
      <w:marRight w:val="0"/>
      <w:marTop w:val="0"/>
      <w:marBottom w:val="0"/>
      <w:divBdr>
        <w:top w:val="none" w:sz="0" w:space="0" w:color="auto"/>
        <w:left w:val="none" w:sz="0" w:space="0" w:color="auto"/>
        <w:bottom w:val="none" w:sz="0" w:space="0" w:color="auto"/>
        <w:right w:val="none" w:sz="0" w:space="0" w:color="auto"/>
      </w:divBdr>
    </w:div>
    <w:div w:id="1568878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C8797A-9F37-6748-9DAF-41DF3A7A2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1420</Words>
  <Characters>8100</Characters>
  <Application>Microsoft Macintosh Word</Application>
  <DocSecurity>4</DocSecurity>
  <Lines>67</Lines>
  <Paragraphs>19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LinksUpToDate>false</LinksUpToDate>
  <CharactersWithSpaces>9501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2015-06-19T17:18:00Z</dcterms:created>
  <dcterms:modified xsi:type="dcterms:W3CDTF">2015-06-19T17:18:00Z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15c4ef53-f796-40ac-920c-3710d1f340b6</vt:lpwstr>
  </property>
</Properties>
</file>