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bCs/>
          <w:color w:val="2F5773" w:themeColor="text2"/>
          <w:sz w:val="12"/>
          <w:szCs w:val="22"/>
          <w:lang w:val="en-US"/>
        </w:rPr>
        <w:id w:val="2126582917"/>
        <w:docPartObj>
          <w:docPartGallery w:val="Cover Pages"/>
          <w:docPartUnique/>
        </w:docPartObj>
      </w:sdtPr>
      <w:sdtEndPr>
        <w:rPr>
          <w:sz w:val="32"/>
          <w:szCs w:val="24"/>
        </w:rPr>
      </w:sdtEndPr>
      <w:sdtContent>
        <w:p w:rsidR="00E00BB5" w:rsidRPr="008C64DC" w:rsidRDefault="00E00BB5" w:rsidP="00E00BB5"/>
        <w:p w:rsidR="00E00BB5" w:rsidRPr="008C64DC" w:rsidRDefault="004E160A" w:rsidP="00E00BB5">
          <w:pPr>
            <w:pStyle w:val="Titlelevel1"/>
            <w:rPr>
              <w:lang w:val="en-GB"/>
            </w:rPr>
          </w:pPr>
          <w:r w:rsidRPr="004E160A">
            <w:rPr>
              <w:lang w:val="en-GB"/>
            </w:rPr>
            <w:t xml:space="preserve">Mapping of </w:t>
          </w:r>
          <w:r w:rsidR="004B5F38" w:rsidRPr="00F77A66">
            <w:t>Dagong Europe Credit Rating</w:t>
          </w:r>
          <w:r>
            <w:rPr>
              <w:lang w:val="en-GB"/>
            </w:rPr>
            <w:t>’</w:t>
          </w:r>
          <w:r w:rsidR="004B5F38">
            <w:rPr>
              <w:lang w:val="en-GB"/>
            </w:rPr>
            <w:t>s</w:t>
          </w:r>
          <w:r w:rsidRPr="004E160A">
            <w:rPr>
              <w:lang w:val="en-GB"/>
            </w:rPr>
            <w:t xml:space="preserve"> credit assessments under the Standardised Approach</w:t>
          </w:r>
          <w:r w:rsidR="00E00BB5" w:rsidRPr="008C64DC">
            <w:rPr>
              <w:lang w:val="en-GB"/>
            </w:rPr>
            <w:t xml:space="preserve"> </w:t>
          </w:r>
        </w:p>
        <w:p w:rsidR="00D63A88" w:rsidRDefault="00D63A88" w:rsidP="00D84B53">
          <w:pPr>
            <w:pStyle w:val="Numberedtitlelevel2"/>
            <w:outlineLvl w:val="0"/>
          </w:pPr>
          <w:r>
            <w:t>Executive summary</w:t>
          </w:r>
        </w:p>
        <w:p w:rsidR="00D63A88" w:rsidRDefault="00D63A88" w:rsidP="00D63A88">
          <w:pPr>
            <w:pStyle w:val="numberedparagraph"/>
          </w:pPr>
          <w:r w:rsidRPr="00540BB7">
            <w:t xml:space="preserve">This report </w:t>
          </w:r>
          <w:r>
            <w:t xml:space="preserve">describes the mapping exercise carried out by </w:t>
          </w:r>
          <w:r w:rsidRPr="00540BB7">
            <w:t xml:space="preserve">the </w:t>
          </w:r>
          <w:r w:rsidR="00873D40">
            <w:t xml:space="preserve">Joint Committee </w:t>
          </w:r>
          <w:r>
            <w:t xml:space="preserve">to determine </w:t>
          </w:r>
          <w:r w:rsidRPr="00274C31">
            <w:t xml:space="preserve">the </w:t>
          </w:r>
          <w:r w:rsidR="00873D40" w:rsidRPr="0060742B">
            <w:t>‘</w:t>
          </w:r>
          <w:r w:rsidRPr="0060742B">
            <w:t>mapping</w:t>
          </w:r>
          <w:r w:rsidR="00873D40" w:rsidRPr="0060742B">
            <w:t>’</w:t>
          </w:r>
          <w:r w:rsidR="00873D40" w:rsidRPr="0060742B">
            <w:rPr>
              <w:rStyle w:val="FootnoteReference"/>
            </w:rPr>
            <w:footnoteReference w:id="2"/>
          </w:r>
          <w:r w:rsidRPr="0060742B">
            <w:t xml:space="preserve"> of the credit assessments of </w:t>
          </w:r>
          <w:r w:rsidR="004B5F38" w:rsidRPr="0060742B">
            <w:t xml:space="preserve">Dagong Europe Credit Rating </w:t>
          </w:r>
          <w:r w:rsidRPr="0060742B">
            <w:t>(</w:t>
          </w:r>
          <w:r w:rsidR="004B5F38" w:rsidRPr="0060742B">
            <w:t>Dagong</w:t>
          </w:r>
          <w:r w:rsidRPr="0060742B">
            <w:t>)</w:t>
          </w:r>
          <w:r w:rsidR="00873D40" w:rsidRPr="0060742B">
            <w:t>.</w:t>
          </w:r>
          <w:r w:rsidR="00971FA2" w:rsidRPr="0060742B">
            <w:t xml:space="preserve"> </w:t>
          </w:r>
        </w:p>
        <w:p w:rsidR="00BE662E" w:rsidRDefault="00985871" w:rsidP="00985871">
          <w:pPr>
            <w:pStyle w:val="numberedparagraph"/>
          </w:pPr>
          <w:r w:rsidRPr="00346D38">
            <w:t xml:space="preserve">The methodology applied to produce the mapping is the one specified in the </w:t>
          </w:r>
          <w:r w:rsidRPr="006C1BE9">
            <w:t xml:space="preserve">Commission’s Implementing Regulation (EU) 2016/1799 (‘the Implementing Regulation’) laying down Implementing Technical Standards (ITS) with regard to the mapping of credit assessments of External Credit Assessment Institutions (ECAIs) for credit risk in accordance with Articles 136(1) and (3) of the Regulation (EU) No 575/2013 of the European Parliament and the Council (‘the CRR’). This Implementing Regulation employs a combination of the provisions </w:t>
          </w:r>
          <w:r>
            <w:t>laid down in Article 136(2) CRR</w:t>
          </w:r>
          <w:r w:rsidRPr="00346D38">
            <w:t>.</w:t>
          </w:r>
        </w:p>
        <w:p w:rsidR="00DA5265" w:rsidRDefault="00DA5265" w:rsidP="00D63A88">
          <w:pPr>
            <w:pStyle w:val="numberedparagraph"/>
          </w:pPr>
          <w:r w:rsidRPr="00540BB7">
            <w:t>The mapping</w:t>
          </w:r>
          <w:r>
            <w:t xml:space="preserve"> neither constitutes</w:t>
          </w:r>
          <w:r w:rsidRPr="00540BB7">
            <w:t xml:space="preserve"> the one which ESMA shall report on in accordance with Article 21(4b) of Regulation (EC) No </w:t>
          </w:r>
          <w:r w:rsidRPr="00F815E0">
            <w:t>1060</w:t>
          </w:r>
          <w:r w:rsidRPr="00540BB7">
            <w:t>/2009 (Credit Rating Agencies Regulation - CRA) with the objective of allowing investors to easily compare all credit ratings that exist with regard to a specific rated entity</w:t>
          </w:r>
          <w:r w:rsidR="00F16A28">
            <w:rPr>
              <w:rStyle w:val="FootnoteReference"/>
            </w:rPr>
            <w:footnoteReference w:id="3"/>
          </w:r>
          <w:r w:rsidRPr="00540BB7">
            <w:t xml:space="preserve"> nor should be understood as a comparison of the rating methodologies of </w:t>
          </w:r>
          <w:r w:rsidR="004B5F38">
            <w:t>Dagong</w:t>
          </w:r>
          <w:r>
            <w:t xml:space="preserve"> </w:t>
          </w:r>
          <w:r w:rsidRPr="00540BB7">
            <w:t xml:space="preserve">with those of other ECAIs. This mapping should however be interpreted as the correspondence of the rating categories of </w:t>
          </w:r>
          <w:r w:rsidR="004B5F38">
            <w:t>Dagong</w:t>
          </w:r>
          <w:r w:rsidRPr="00540BB7">
            <w:t xml:space="preserve"> with a regulatory scale which has been defined for prudential purposes. This implies that an appropriate degree of prudence may have been applied wherever not sufficient evidence has been found with regard to the degree of risk underlying the credit assessments.</w:t>
          </w:r>
        </w:p>
        <w:p w:rsidR="00EB3B58" w:rsidRDefault="00985871" w:rsidP="00985871">
          <w:pPr>
            <w:pStyle w:val="numberedparagraph"/>
          </w:pPr>
          <w:r>
            <w:t xml:space="preserve">As described in Recital 12 of the Implementing Regulation, it is necessary to avoid causing undue material disadvantage on those ECAIs which, due to their more recent entrance in the market, present limited quantitative information, with the view to balancing prudential with market concerns. Therefore, the relevance of quantitative factors for deriving the mapping should be relaxed. This allows ECAIs which present limited quantitative information to enter the market and increases competition. Updates to the mapping should be made wherever this </w:t>
          </w:r>
          <w:r>
            <w:lastRenderedPageBreak/>
            <w:t>becomes necessary to reflect additional quantitative information collected after the entry into force of the revised draft ITS.</w:t>
          </w:r>
        </w:p>
        <w:p w:rsidR="005E48EE" w:rsidRDefault="00BE662E" w:rsidP="00D84B53">
          <w:pPr>
            <w:pStyle w:val="numberedparagraph"/>
            <w:keepNext/>
          </w:pPr>
          <w:r>
            <w:t xml:space="preserve">The resulting mapping tables have been specified in Annex III of the Implementing Technical Standards on the mapping of ECAIs’ credit assessments under Article 136(1) and (3) of Regulation (EU) No 575/2013. </w:t>
          </w:r>
          <w:r w:rsidR="009F2323" w:rsidRPr="009F2323">
            <w:fldChar w:fldCharType="begin"/>
          </w:r>
          <w:r w:rsidR="009F2323" w:rsidRPr="009F2323">
            <w:instrText xml:space="preserve"> REF _Ref435007742 \h  \* MERGEFORMAT </w:instrText>
          </w:r>
          <w:r w:rsidR="009F2323" w:rsidRPr="009F2323">
            <w:fldChar w:fldCharType="separate"/>
          </w:r>
          <w:r w:rsidR="009F2323" w:rsidRPr="009F2323">
            <w:rPr>
              <w:szCs w:val="22"/>
            </w:rPr>
            <w:t xml:space="preserve">Figure </w:t>
          </w:r>
          <w:r w:rsidR="009F2323" w:rsidRPr="009F2323">
            <w:rPr>
              <w:noProof/>
              <w:szCs w:val="22"/>
            </w:rPr>
            <w:t>1</w:t>
          </w:r>
          <w:r w:rsidR="009F2323" w:rsidRPr="009F2323">
            <w:fldChar w:fldCharType="end"/>
          </w:r>
          <w:r w:rsidR="009F2323" w:rsidRPr="009F2323">
            <w:t xml:space="preserve"> </w:t>
          </w:r>
          <w:r w:rsidR="00D54686" w:rsidRPr="009F2323">
            <w:t>below</w:t>
          </w:r>
          <w:r w:rsidR="00D54686">
            <w:t xml:space="preserve"> </w:t>
          </w:r>
          <w:r w:rsidR="001A690D">
            <w:t xml:space="preserve">shows the result for the main ratings scale of </w:t>
          </w:r>
          <w:r w:rsidR="004B5F38">
            <w:t>Dagong</w:t>
          </w:r>
          <w:r w:rsidR="008A4E54">
            <w:t xml:space="preserve">, the Long-term </w:t>
          </w:r>
          <w:r w:rsidR="00E11ABE">
            <w:t>credit</w:t>
          </w:r>
          <w:r w:rsidR="008A4E54">
            <w:t xml:space="preserve"> rating scale</w:t>
          </w:r>
          <w:bookmarkStart w:id="0" w:name="_Ref384799510"/>
          <w:bookmarkStart w:id="1" w:name="_Ref384919272"/>
          <w:r w:rsidR="00985871">
            <w:t>.</w:t>
          </w:r>
        </w:p>
        <w:p w:rsidR="005E48EE" w:rsidRDefault="005E48EE" w:rsidP="00D84B53"/>
        <w:p w:rsidR="005E48EE" w:rsidRPr="00D84B53" w:rsidRDefault="005E48EE" w:rsidP="00D84B53">
          <w:pPr>
            <w:rPr>
              <w:b/>
            </w:rPr>
          </w:pPr>
        </w:p>
        <w:p w:rsidR="0041788D" w:rsidRPr="0041788D" w:rsidRDefault="0041788D" w:rsidP="0041788D">
          <w:pPr>
            <w:pStyle w:val="Caption"/>
            <w:keepNext/>
            <w:rPr>
              <w:b w:val="0"/>
              <w:sz w:val="22"/>
              <w:szCs w:val="22"/>
            </w:rPr>
          </w:pPr>
          <w:bookmarkStart w:id="2" w:name="_Ref435007742"/>
          <w:r w:rsidRPr="0041788D">
            <w:rPr>
              <w:b w:val="0"/>
              <w:sz w:val="22"/>
              <w:szCs w:val="22"/>
            </w:rPr>
            <w:t xml:space="preserve">Figure </w:t>
          </w:r>
          <w:r w:rsidRPr="0041788D">
            <w:rPr>
              <w:b w:val="0"/>
              <w:sz w:val="22"/>
              <w:szCs w:val="22"/>
            </w:rPr>
            <w:fldChar w:fldCharType="begin"/>
          </w:r>
          <w:r w:rsidRPr="0041788D">
            <w:rPr>
              <w:b w:val="0"/>
              <w:sz w:val="22"/>
              <w:szCs w:val="22"/>
            </w:rPr>
            <w:instrText xml:space="preserve"> SEQ Figure \* ARABIC </w:instrText>
          </w:r>
          <w:r w:rsidRPr="0041788D">
            <w:rPr>
              <w:b w:val="0"/>
              <w:sz w:val="22"/>
              <w:szCs w:val="22"/>
            </w:rPr>
            <w:fldChar w:fldCharType="separate"/>
          </w:r>
          <w:r w:rsidR="009F2323">
            <w:rPr>
              <w:b w:val="0"/>
              <w:noProof/>
              <w:sz w:val="22"/>
              <w:szCs w:val="22"/>
            </w:rPr>
            <w:t>1</w:t>
          </w:r>
          <w:r w:rsidRPr="0041788D">
            <w:rPr>
              <w:b w:val="0"/>
              <w:sz w:val="22"/>
              <w:szCs w:val="22"/>
            </w:rPr>
            <w:fldChar w:fldCharType="end"/>
          </w:r>
          <w:bookmarkEnd w:id="0"/>
          <w:bookmarkEnd w:id="1"/>
          <w:bookmarkEnd w:id="2"/>
          <w:r w:rsidRPr="0041788D">
            <w:rPr>
              <w:b w:val="0"/>
              <w:sz w:val="22"/>
              <w:szCs w:val="22"/>
            </w:rPr>
            <w:t xml:space="preserve">: Mapping of </w:t>
          </w:r>
          <w:r w:rsidR="00E11ABE">
            <w:rPr>
              <w:b w:val="0"/>
              <w:sz w:val="22"/>
              <w:szCs w:val="22"/>
            </w:rPr>
            <w:t>Dagong</w:t>
          </w:r>
          <w:r w:rsidRPr="0041788D">
            <w:rPr>
              <w:b w:val="0"/>
              <w:sz w:val="22"/>
              <w:szCs w:val="22"/>
            </w:rPr>
            <w:t>’s Long-term credit rating scale</w:t>
          </w:r>
        </w:p>
        <w:tbl>
          <w:tblPr>
            <w:tblStyle w:val="TableGrid"/>
            <w:tblW w:w="5245" w:type="dxa"/>
            <w:tblInd w:w="108" w:type="dxa"/>
            <w:tblLayout w:type="fixed"/>
            <w:tblLook w:val="04A0" w:firstRow="1" w:lastRow="0" w:firstColumn="1" w:lastColumn="0" w:noHBand="0" w:noVBand="1"/>
          </w:tblPr>
          <w:tblGrid>
            <w:gridCol w:w="2410"/>
            <w:gridCol w:w="2835"/>
          </w:tblGrid>
          <w:tr w:rsidR="00985871" w:rsidRPr="00157D76" w:rsidTr="00985871">
            <w:trPr>
              <w:cnfStyle w:val="100000000000" w:firstRow="1" w:lastRow="0" w:firstColumn="0" w:lastColumn="0" w:oddVBand="0" w:evenVBand="0" w:oddHBand="0" w:evenHBand="0" w:firstRowFirstColumn="0" w:firstRowLastColumn="0" w:lastRowFirstColumn="0" w:lastRowLastColumn="0"/>
              <w:trHeight w:val="567"/>
            </w:trPr>
            <w:tc>
              <w:tcPr>
                <w:tcW w:w="2410" w:type="dxa"/>
                <w:tcBorders>
                  <w:bottom w:val="single" w:sz="18" w:space="0" w:color="E98E31" w:themeColor="background2"/>
                </w:tcBorders>
              </w:tcPr>
              <w:p w:rsidR="00985871" w:rsidRPr="00157D76" w:rsidRDefault="00985871" w:rsidP="00D63A88">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assessment</w:t>
                </w:r>
              </w:p>
            </w:tc>
            <w:tc>
              <w:tcPr>
                <w:tcW w:w="2835" w:type="dxa"/>
                <w:tcBorders>
                  <w:bottom w:val="single" w:sz="18" w:space="0" w:color="E98E31" w:themeColor="background2"/>
                </w:tcBorders>
              </w:tcPr>
              <w:p w:rsidR="00985871" w:rsidRDefault="00985871" w:rsidP="00985871">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quality step</w:t>
                </w:r>
              </w:p>
            </w:tc>
          </w:tr>
          <w:tr w:rsidR="00985871" w:rsidRPr="00157D76" w:rsidTr="00985871">
            <w:trPr>
              <w:trHeight w:val="567"/>
            </w:trPr>
            <w:tc>
              <w:tcPr>
                <w:tcW w:w="2410" w:type="dxa"/>
                <w:tcBorders>
                  <w:top w:val="single" w:sz="18" w:space="0" w:color="E98E31" w:themeColor="background2"/>
                  <w:bottom w:val="dashed" w:sz="4" w:space="0" w:color="auto"/>
                </w:tcBorders>
              </w:tcPr>
              <w:p w:rsidR="00985871" w:rsidRPr="00157D76" w:rsidRDefault="00985871"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AAA</w:t>
                </w:r>
              </w:p>
            </w:tc>
            <w:tc>
              <w:tcPr>
                <w:tcW w:w="2835" w:type="dxa"/>
                <w:tcBorders>
                  <w:top w:val="single" w:sz="18" w:space="0" w:color="E98E31" w:themeColor="background2"/>
                  <w:bottom w:val="single" w:sz="4" w:space="0" w:color="auto"/>
                </w:tcBorders>
              </w:tcPr>
              <w:p w:rsidR="00985871" w:rsidRDefault="00985871" w:rsidP="00036322">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r>
          <w:tr w:rsidR="00985871" w:rsidRPr="00157D76" w:rsidTr="00985871">
            <w:trPr>
              <w:trHeight w:val="567"/>
            </w:trPr>
            <w:tc>
              <w:tcPr>
                <w:tcW w:w="2410" w:type="dxa"/>
                <w:tcBorders>
                  <w:bottom w:val="dashed" w:sz="4" w:space="0" w:color="auto"/>
                </w:tcBorders>
              </w:tcPr>
              <w:p w:rsidR="00985871" w:rsidRPr="00157D76" w:rsidRDefault="00985871"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w:t>
                </w:r>
              </w:p>
            </w:tc>
            <w:tc>
              <w:tcPr>
                <w:tcW w:w="2835" w:type="dxa"/>
                <w:tcBorders>
                  <w:bottom w:val="single" w:sz="4" w:space="0" w:color="auto"/>
                </w:tcBorders>
              </w:tcPr>
              <w:p w:rsidR="00985871" w:rsidRDefault="00985871" w:rsidP="00036322">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r>
          <w:tr w:rsidR="00985871" w:rsidRPr="00157D76" w:rsidTr="00985871">
            <w:trPr>
              <w:trHeight w:val="567"/>
            </w:trPr>
            <w:tc>
              <w:tcPr>
                <w:tcW w:w="2410" w:type="dxa"/>
                <w:tcBorders>
                  <w:bottom w:val="dashed" w:sz="4" w:space="0" w:color="auto"/>
                </w:tcBorders>
              </w:tcPr>
              <w:p w:rsidR="00985871" w:rsidRPr="00157D76" w:rsidRDefault="00985871"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w:t>
                </w:r>
              </w:p>
            </w:tc>
            <w:tc>
              <w:tcPr>
                <w:tcW w:w="2835" w:type="dxa"/>
                <w:tcBorders>
                  <w:bottom w:val="single" w:sz="4" w:space="0" w:color="auto"/>
                </w:tcBorders>
              </w:tcPr>
              <w:p w:rsidR="00985871" w:rsidRPr="00157D76" w:rsidRDefault="00985871" w:rsidP="00036322">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2</w:t>
                </w:r>
              </w:p>
            </w:tc>
          </w:tr>
          <w:tr w:rsidR="00985871" w:rsidRPr="00157D76" w:rsidTr="00985871">
            <w:trPr>
              <w:trHeight w:val="567"/>
            </w:trPr>
            <w:tc>
              <w:tcPr>
                <w:tcW w:w="2410" w:type="dxa"/>
              </w:tcPr>
              <w:p w:rsidR="00985871" w:rsidRPr="00157D76" w:rsidRDefault="00985871"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BBB</w:t>
                </w:r>
              </w:p>
            </w:tc>
            <w:tc>
              <w:tcPr>
                <w:tcW w:w="2835" w:type="dxa"/>
              </w:tcPr>
              <w:p w:rsidR="00985871" w:rsidRPr="00157D76" w:rsidRDefault="00985871" w:rsidP="00036322">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3</w:t>
                </w:r>
              </w:p>
            </w:tc>
          </w:tr>
          <w:tr w:rsidR="00985871" w:rsidRPr="00157D76" w:rsidTr="00985871">
            <w:trPr>
              <w:trHeight w:val="567"/>
            </w:trPr>
            <w:tc>
              <w:tcPr>
                <w:tcW w:w="2410" w:type="dxa"/>
              </w:tcPr>
              <w:p w:rsidR="00985871" w:rsidRPr="00157D76" w:rsidRDefault="00985871"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w:t>
                </w:r>
              </w:p>
            </w:tc>
            <w:tc>
              <w:tcPr>
                <w:tcW w:w="2835" w:type="dxa"/>
              </w:tcPr>
              <w:p w:rsidR="00985871" w:rsidRDefault="00985871" w:rsidP="00036322">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4</w:t>
                </w:r>
              </w:p>
            </w:tc>
          </w:tr>
          <w:tr w:rsidR="00985871" w:rsidRPr="00157D76" w:rsidTr="00985871">
            <w:trPr>
              <w:trHeight w:val="567"/>
            </w:trPr>
            <w:tc>
              <w:tcPr>
                <w:tcW w:w="2410" w:type="dxa"/>
              </w:tcPr>
              <w:p w:rsidR="00985871" w:rsidRPr="00157D76" w:rsidRDefault="00985871"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w:t>
                </w:r>
              </w:p>
            </w:tc>
            <w:tc>
              <w:tcPr>
                <w:tcW w:w="2835" w:type="dxa"/>
              </w:tcPr>
              <w:p w:rsidR="00985871" w:rsidRDefault="00985871" w:rsidP="00036322">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5</w:t>
                </w:r>
              </w:p>
            </w:tc>
          </w:tr>
          <w:tr w:rsidR="00985871" w:rsidRPr="00157D76" w:rsidTr="00985871">
            <w:trPr>
              <w:trHeight w:val="567"/>
            </w:trPr>
            <w:tc>
              <w:tcPr>
                <w:tcW w:w="2410" w:type="dxa"/>
              </w:tcPr>
              <w:p w:rsidR="00985871" w:rsidRPr="00157D76" w:rsidRDefault="00985871"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CCC</w:t>
                </w:r>
              </w:p>
            </w:tc>
            <w:tc>
              <w:tcPr>
                <w:tcW w:w="2835" w:type="dxa"/>
              </w:tcPr>
              <w:p w:rsidR="00985871" w:rsidRPr="00157D76" w:rsidRDefault="00985871" w:rsidP="00036322">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r>
          <w:tr w:rsidR="00985871" w:rsidRPr="00157D76" w:rsidTr="00985871">
            <w:trPr>
              <w:trHeight w:val="567"/>
            </w:trPr>
            <w:tc>
              <w:tcPr>
                <w:tcW w:w="2410" w:type="dxa"/>
              </w:tcPr>
              <w:p w:rsidR="00985871" w:rsidRPr="00157D76" w:rsidRDefault="00985871"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CC</w:t>
                </w:r>
              </w:p>
            </w:tc>
            <w:tc>
              <w:tcPr>
                <w:tcW w:w="2835" w:type="dxa"/>
              </w:tcPr>
              <w:p w:rsidR="00985871" w:rsidRPr="00157D76" w:rsidRDefault="00985871" w:rsidP="00036322">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r>
          <w:tr w:rsidR="00985871" w:rsidRPr="00157D76" w:rsidTr="00985871">
            <w:trPr>
              <w:trHeight w:val="567"/>
            </w:trPr>
            <w:tc>
              <w:tcPr>
                <w:tcW w:w="2410" w:type="dxa"/>
              </w:tcPr>
              <w:p w:rsidR="00985871" w:rsidRPr="00157D76" w:rsidRDefault="00985871" w:rsidP="00036322">
                <w:pPr>
                  <w:pStyle w:val="BodyText1"/>
                  <w:spacing w:before="120" w:after="120"/>
                  <w:jc w:val="center"/>
                  <w:rPr>
                    <w:rFonts w:asciiTheme="majorHAnsi" w:hAnsiTheme="majorHAnsi" w:cs="Arial"/>
                    <w:b/>
                    <w:sz w:val="22"/>
                    <w:szCs w:val="22"/>
                  </w:rPr>
                </w:pPr>
                <w:r>
                  <w:rPr>
                    <w:rFonts w:asciiTheme="majorHAnsi" w:hAnsiTheme="majorHAnsi" w:cs="Arial"/>
                    <w:b/>
                    <w:sz w:val="22"/>
                    <w:szCs w:val="22"/>
                  </w:rPr>
                  <w:t>C</w:t>
                </w:r>
              </w:p>
            </w:tc>
            <w:tc>
              <w:tcPr>
                <w:tcW w:w="2835" w:type="dxa"/>
              </w:tcPr>
              <w:p w:rsidR="00985871" w:rsidRPr="00157D76" w:rsidRDefault="00985871" w:rsidP="00036322">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r>
          <w:tr w:rsidR="00985871" w:rsidRPr="00157D76" w:rsidTr="00985871">
            <w:trPr>
              <w:trHeight w:val="77"/>
            </w:trPr>
            <w:tc>
              <w:tcPr>
                <w:tcW w:w="2410" w:type="dxa"/>
              </w:tcPr>
              <w:p w:rsidR="00985871" w:rsidRPr="00157D76" w:rsidRDefault="00985871"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D</w:t>
                </w:r>
              </w:p>
            </w:tc>
            <w:tc>
              <w:tcPr>
                <w:tcW w:w="2835" w:type="dxa"/>
              </w:tcPr>
              <w:p w:rsidR="00985871" w:rsidRPr="00157D76" w:rsidRDefault="00985871" w:rsidP="00036322">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r>
        </w:tbl>
        <w:p w:rsidR="007C4C8E" w:rsidRDefault="007C4C8E">
          <w:pPr>
            <w:rPr>
              <w:rFonts w:asciiTheme="majorHAnsi" w:eastAsiaTheme="majorEastAsia" w:hAnsiTheme="majorHAnsi" w:cstheme="majorBidi"/>
              <w:bCs/>
              <w:color w:val="2F5773" w:themeColor="text2"/>
              <w:sz w:val="32"/>
              <w:lang w:val="en-US"/>
            </w:rPr>
          </w:pPr>
          <w:r>
            <w:br w:type="page"/>
          </w:r>
        </w:p>
        <w:p w:rsidR="00057350" w:rsidRDefault="004E160A" w:rsidP="00D84B53">
          <w:pPr>
            <w:pStyle w:val="Numberedtitlelevel2"/>
            <w:ind w:left="340" w:hanging="340"/>
            <w:outlineLvl w:val="0"/>
          </w:pPr>
          <w:r w:rsidRPr="00BE6527">
            <w:lastRenderedPageBreak/>
            <w:t>Introduction</w:t>
          </w:r>
        </w:p>
      </w:sdtContent>
    </w:sdt>
    <w:p w:rsidR="00C91B21" w:rsidRDefault="00C91B21" w:rsidP="00C91B21">
      <w:pPr>
        <w:pStyle w:val="numberedparagraph"/>
      </w:pPr>
      <w:r w:rsidRPr="00540BB7">
        <w:t xml:space="preserve">This report </w:t>
      </w:r>
      <w:r>
        <w:t xml:space="preserve">describes the mapping exercise carried out by </w:t>
      </w:r>
      <w:r w:rsidRPr="00540BB7">
        <w:t xml:space="preserve">the </w:t>
      </w:r>
      <w:r>
        <w:t>Joint Committee</w:t>
      </w:r>
      <w:r w:rsidR="00DA5265">
        <w:t xml:space="preserve"> (JC)</w:t>
      </w:r>
      <w:r>
        <w:t xml:space="preserve"> to determine the ‘mapping’ of the credit assessments of </w:t>
      </w:r>
      <w:r w:rsidR="00E11ABE">
        <w:t>Dagong Europe Credit Rating</w:t>
      </w:r>
      <w:r>
        <w:t xml:space="preserve"> </w:t>
      </w:r>
      <w:r w:rsidRPr="00540BB7">
        <w:t>(</w:t>
      </w:r>
      <w:r w:rsidR="00E11ABE">
        <w:t>Dagong</w:t>
      </w:r>
      <w:r w:rsidRPr="00540BB7">
        <w:t>)</w:t>
      </w:r>
      <w:r>
        <w:t>.</w:t>
      </w:r>
      <w:r w:rsidR="00971FA2" w:rsidRPr="00971FA2">
        <w:rPr>
          <w:highlight w:val="yellow"/>
        </w:rPr>
        <w:t xml:space="preserve"> </w:t>
      </w:r>
    </w:p>
    <w:p w:rsidR="00F815E0" w:rsidRDefault="00E11ABE" w:rsidP="00E11ABE">
      <w:pPr>
        <w:pStyle w:val="numberedparagraph"/>
      </w:pPr>
      <w:r>
        <w:t>Dagong</w:t>
      </w:r>
      <w:r w:rsidR="00540BB7" w:rsidRPr="00540BB7">
        <w:t xml:space="preserve"> is a credit rating agency that has been registered with ESMA in </w:t>
      </w:r>
      <w:r>
        <w:t>1</w:t>
      </w:r>
      <w:r w:rsidR="00540BB7" w:rsidRPr="00540BB7">
        <w:t xml:space="preserve">3 </w:t>
      </w:r>
      <w:r>
        <w:t>June</w:t>
      </w:r>
      <w:r w:rsidR="00540BB7" w:rsidRPr="00540BB7">
        <w:t xml:space="preserve"> 201</w:t>
      </w:r>
      <w:r>
        <w:t>3</w:t>
      </w:r>
      <w:r w:rsidR="00540BB7" w:rsidRPr="00540BB7">
        <w:t xml:space="preserve"> and therefore meets the conditions to be an eligible credit assessment institution (ECAI)</w:t>
      </w:r>
      <w:r w:rsidR="008B7151">
        <w:rPr>
          <w:rStyle w:val="FootnoteReference"/>
        </w:rPr>
        <w:footnoteReference w:id="4"/>
      </w:r>
      <w:r w:rsidR="00540BB7" w:rsidRPr="00540BB7">
        <w:t xml:space="preserve">. </w:t>
      </w:r>
    </w:p>
    <w:p w:rsidR="00F815E0" w:rsidRDefault="00985871" w:rsidP="00C91B21">
      <w:pPr>
        <w:pStyle w:val="numberedparagraph"/>
      </w:pPr>
      <w:r w:rsidRPr="00346D38">
        <w:t xml:space="preserve">The methodology applied to produce the mapping is the one specified in the </w:t>
      </w:r>
      <w:r w:rsidRPr="006C1BE9">
        <w:t xml:space="preserve">Commission’s Implementing Regulation (EU) 2016/1799 (‘the Implementing Regulation’) laying down Implementing Technical Standards (ITS) with regard to the mapping of credit assessments of External Credit Assessment Institutions (ECAIs) for credit risk in accordance with Articles 136(1) and (3) of the Regulation (EU) No 575/2013 of the European Parliament and the Council (‘the CRR’). This Implementing Regulation employs a combination of the provisions </w:t>
      </w:r>
      <w:r>
        <w:t>laid down in Article 136(2) CRR</w:t>
      </w:r>
      <w:r w:rsidRPr="00346D38">
        <w:t>.</w:t>
      </w:r>
      <w:r>
        <w:t xml:space="preserve"> </w:t>
      </w:r>
      <w:r w:rsidR="003F09DD">
        <w:t>At the</w:t>
      </w:r>
      <w:r w:rsidR="00036672">
        <w:t xml:space="preserve"> time</w:t>
      </w:r>
      <w:r w:rsidR="003F09DD">
        <w:t xml:space="preserve"> the maping report was produced</w:t>
      </w:r>
      <w:r w:rsidR="00036672">
        <w:t>, d</w:t>
      </w:r>
      <w:r w:rsidR="00F07025">
        <w:t xml:space="preserve">ue to its recent date of registration, Dagong </w:t>
      </w:r>
      <w:r w:rsidR="00036672">
        <w:t>did not</w:t>
      </w:r>
      <w:r w:rsidR="00F07025">
        <w:t xml:space="preserve"> yet submit its quantitative and qualitative </w:t>
      </w:r>
      <w:r w:rsidR="00F07025" w:rsidRPr="00820521">
        <w:t xml:space="preserve">information to </w:t>
      </w:r>
      <w:r w:rsidR="00AC068A">
        <w:t>ESMA Central Repository (</w:t>
      </w:r>
      <w:r w:rsidR="00F07025">
        <w:t>CEREP</w:t>
      </w:r>
      <w:r w:rsidR="00AC068A">
        <w:rPr>
          <w:rStyle w:val="FootnoteReference"/>
        </w:rPr>
        <w:footnoteReference w:id="5"/>
      </w:r>
      <w:r w:rsidR="005315AE">
        <w:t>)</w:t>
      </w:r>
      <w:r w:rsidR="00F07025">
        <w:t xml:space="preserve">. Therefore, </w:t>
      </w:r>
      <w:r w:rsidR="00F07025" w:rsidRPr="00820521">
        <w:t xml:space="preserve">specific information has been directly requested from the ECAI for the purpose of the mapping, especially </w:t>
      </w:r>
      <w:r w:rsidR="00F07025">
        <w:t xml:space="preserve">regarding the number of ratings produced, the rating methodology </w:t>
      </w:r>
      <w:r w:rsidR="00F07025" w:rsidRPr="00820521">
        <w:t xml:space="preserve">and the default definition. This process has included bilateral contacts with the ECAI in order to understand </w:t>
      </w:r>
      <w:r w:rsidR="00D95734">
        <w:t xml:space="preserve">the degree of risk of </w:t>
      </w:r>
      <w:r w:rsidR="00F07025" w:rsidRPr="00820521">
        <w:t>the observed default rates of its credit assessments and to discuss its policies regarding unsolicited ratings and rating withdrawals.</w:t>
      </w:r>
    </w:p>
    <w:p w:rsidR="006B5994" w:rsidRDefault="00187CF5" w:rsidP="006B5994">
      <w:pPr>
        <w:pStyle w:val="numberedparagraph"/>
      </w:pPr>
      <w:r>
        <w:t>The following sections describe the rationale underlying the mapping exercise carried out by the Joint Committe</w:t>
      </w:r>
      <w:r w:rsidR="00DD3053">
        <w:t>e (JC) to determine the mappings.</w:t>
      </w:r>
      <w:r>
        <w:t xml:space="preserve">. </w:t>
      </w:r>
      <w:r w:rsidR="00166DCD">
        <w:t xml:space="preserve">Section 3 describes the relevant ratings scales of </w:t>
      </w:r>
      <w:r w:rsidR="00E11ABE">
        <w:t>Dagong</w:t>
      </w:r>
      <w:r w:rsidR="00166DCD">
        <w:t xml:space="preserve"> for the purpose of the mapping. Section 4 contains the methodology applied to derive </w:t>
      </w:r>
      <w:r w:rsidR="005F56FF">
        <w:t xml:space="preserve">the mapping of </w:t>
      </w:r>
      <w:r w:rsidR="00E11ABE">
        <w:t>Dagong’s</w:t>
      </w:r>
      <w:r w:rsidR="00166DCD">
        <w:t xml:space="preserve"> main rating scale</w:t>
      </w:r>
      <w:r w:rsidR="00B33D50">
        <w:t>,</w:t>
      </w:r>
      <w:r w:rsidR="00166DCD">
        <w:t xml:space="preserve"> whereas Sections 5 refer</w:t>
      </w:r>
      <w:r w:rsidR="00E11ABE">
        <w:t>s</w:t>
      </w:r>
      <w:r w:rsidR="00166DCD">
        <w:t xml:space="preserve"> to the mapping of </w:t>
      </w:r>
      <w:r w:rsidR="00936DE2">
        <w:t>its</w:t>
      </w:r>
      <w:r w:rsidR="00166DCD">
        <w:t xml:space="preserve"> remaining relevant rating scale. The mapping tables are shown in Appendix 4 of this document and have been specified in Annex III</w:t>
      </w:r>
      <w:r w:rsidRPr="00187CF5">
        <w:t xml:space="preserve"> </w:t>
      </w:r>
      <w:r>
        <w:t>of the Implementing Technical Standards on the mapping of ECAIs’ credit assessments under Article 136(1) and (3) of Regulation (EU) No 575/2013.</w:t>
      </w:r>
    </w:p>
    <w:p w:rsidR="00BB3069" w:rsidRDefault="00BB3069" w:rsidP="00BB3069">
      <w:pPr>
        <w:pStyle w:val="numberedparagraph"/>
        <w:numPr>
          <w:ilvl w:val="0"/>
          <w:numId w:val="0"/>
        </w:numPr>
        <w:ind w:left="284" w:hanging="284"/>
      </w:pPr>
    </w:p>
    <w:p w:rsidR="00BB3069" w:rsidRDefault="00BB3069" w:rsidP="00BB3069">
      <w:pPr>
        <w:pStyle w:val="numberedparagraph"/>
        <w:numPr>
          <w:ilvl w:val="0"/>
          <w:numId w:val="0"/>
        </w:numPr>
        <w:ind w:left="284" w:hanging="284"/>
      </w:pPr>
    </w:p>
    <w:p w:rsidR="00985871" w:rsidRDefault="00985871">
      <w:pPr>
        <w:rPr>
          <w:lang w:val="en-US"/>
        </w:rPr>
      </w:pPr>
      <w:r>
        <w:br w:type="page"/>
      </w:r>
    </w:p>
    <w:p w:rsidR="00E00BB5" w:rsidRDefault="00E11ABE" w:rsidP="00D84B53">
      <w:pPr>
        <w:pStyle w:val="Numberedtitlelevel2"/>
        <w:ind w:left="340" w:hanging="340"/>
        <w:outlineLvl w:val="0"/>
      </w:pPr>
      <w:r>
        <w:lastRenderedPageBreak/>
        <w:t>Dagong</w:t>
      </w:r>
      <w:r w:rsidR="00AF2077" w:rsidRPr="004E160A">
        <w:t xml:space="preserve"> </w:t>
      </w:r>
      <w:r w:rsidR="00AF2077">
        <w:t>c</w:t>
      </w:r>
      <w:r w:rsidR="004E160A" w:rsidRPr="004E160A">
        <w:t>redit ratings and rating scales</w:t>
      </w:r>
    </w:p>
    <w:p w:rsidR="001A236F" w:rsidRDefault="00E11ABE" w:rsidP="001A236F">
      <w:pPr>
        <w:pStyle w:val="numberedparagraph"/>
      </w:pPr>
      <w:r>
        <w:t>Dagong</w:t>
      </w:r>
      <w:r w:rsidR="001A236F">
        <w:t xml:space="preserve"> produces</w:t>
      </w:r>
      <w:r w:rsidR="001A236F" w:rsidRPr="0036715E">
        <w:t xml:space="preserve"> </w:t>
      </w:r>
      <w:r w:rsidR="001A236F">
        <w:t xml:space="preserve">a variety of credit ratings. Column 2 of </w:t>
      </w:r>
      <w:r w:rsidR="002B6F3D">
        <w:fldChar w:fldCharType="begin"/>
      </w:r>
      <w:r w:rsidR="002B6F3D">
        <w:instrText xml:space="preserve"> REF _Ref384801505 \h </w:instrText>
      </w:r>
      <w:r w:rsidR="002B6F3D">
        <w:fldChar w:fldCharType="separate"/>
      </w:r>
      <w:r w:rsidR="009F2323" w:rsidRPr="0041788D">
        <w:rPr>
          <w:szCs w:val="22"/>
        </w:rPr>
        <w:t xml:space="preserve">Figure </w:t>
      </w:r>
      <w:r w:rsidR="009F2323">
        <w:rPr>
          <w:noProof/>
          <w:szCs w:val="22"/>
        </w:rPr>
        <w:t>2</w:t>
      </w:r>
      <w:r w:rsidR="002B6F3D">
        <w:fldChar w:fldCharType="end"/>
      </w:r>
      <w:r w:rsidR="001A236F">
        <w:t xml:space="preserve"> in </w:t>
      </w:r>
      <w:r w:rsidR="002B6F3D">
        <w:t>Appendix</w:t>
      </w:r>
      <w:r w:rsidR="001A236F">
        <w:t xml:space="preserve"> 1 shows the relevant credit ratings that may be used by institutions for the calculation of risk weights under the Standardised Approach (SA)</w:t>
      </w:r>
      <w:r w:rsidR="001A236F">
        <w:rPr>
          <w:rStyle w:val="FootnoteReference"/>
        </w:rPr>
        <w:footnoteReference w:id="6"/>
      </w:r>
      <w:r w:rsidR="001A236F">
        <w:t>:</w:t>
      </w:r>
    </w:p>
    <w:p w:rsidR="005B3D67" w:rsidRPr="00A06161" w:rsidRDefault="005B3D67" w:rsidP="005B3D67">
      <w:pPr>
        <w:pStyle w:val="bullet2"/>
      </w:pPr>
      <w:r w:rsidRPr="00A06161">
        <w:rPr>
          <w:b/>
        </w:rPr>
        <w:t>Long term credit rating</w:t>
      </w:r>
      <w:r w:rsidRPr="00564BF6">
        <w:t xml:space="preserve">, defined as </w:t>
      </w:r>
      <w:r w:rsidRPr="003561BB">
        <w:t>forward looking opinions regarding an entity's ability to meet its financial obligations (bonds, preferred dividends, insurance claims or other debt obligations)</w:t>
      </w:r>
      <w:r>
        <w:t xml:space="preserve"> and </w:t>
      </w:r>
      <w:r w:rsidRPr="003561BB">
        <w:t>aimed at measuring the likelihood of default of an entity by analysing its credit risk profile. Dagong credit ratings do not include</w:t>
      </w:r>
      <w:r>
        <w:t xml:space="preserve"> </w:t>
      </w:r>
      <w:r w:rsidRPr="003561BB">
        <w:t>any indication related to the market price, liquidity or any risk other than credit risk.</w:t>
      </w:r>
    </w:p>
    <w:p w:rsidR="005B3D67" w:rsidRPr="00A06161" w:rsidRDefault="005B3D67" w:rsidP="005B3D67">
      <w:pPr>
        <w:pStyle w:val="bullet2"/>
      </w:pPr>
      <w:r w:rsidRPr="00A06161">
        <w:rPr>
          <w:b/>
        </w:rPr>
        <w:t>Short term credit rating</w:t>
      </w:r>
      <w:r w:rsidRPr="00564BF6">
        <w:t>,</w:t>
      </w:r>
      <w:r>
        <w:rPr>
          <w:b/>
        </w:rPr>
        <w:t xml:space="preserve"> </w:t>
      </w:r>
      <w:r>
        <w:t>defined as the long term credit rating but a</w:t>
      </w:r>
      <w:r w:rsidRPr="001D62BF">
        <w:t>ssigned to issuers with tenors below 12 months. Under certain circumstances this time limit could be extended due to the characteristics of the debt obligation</w:t>
      </w:r>
      <w:r>
        <w:t>s</w:t>
      </w:r>
      <w:r w:rsidRPr="001D62BF">
        <w:t xml:space="preserve"> or regulatory or country-specific factors affecting it.</w:t>
      </w:r>
    </w:p>
    <w:p w:rsidR="005B3D67" w:rsidRPr="003F6CBE" w:rsidRDefault="005B3D67" w:rsidP="005B3D67">
      <w:pPr>
        <w:pStyle w:val="bullet2"/>
      </w:pPr>
      <w:r w:rsidRPr="003F6CBE">
        <w:rPr>
          <w:b/>
        </w:rPr>
        <w:t>Long term issue rating</w:t>
      </w:r>
      <w:r w:rsidRPr="00A52F5D">
        <w:t xml:space="preserve">, defined as </w:t>
      </w:r>
      <w:r w:rsidRPr="003561BB">
        <w:t>forward looking opinions regarding an entity's ability to meet its financial obligations (bonds, preferred dividends, insurance claims or other debt obligations)</w:t>
      </w:r>
      <w:r>
        <w:t xml:space="preserve"> and </w:t>
      </w:r>
      <w:r w:rsidRPr="003561BB">
        <w:t>aimed at measuring the likelihood of default of an entity</w:t>
      </w:r>
      <w:r>
        <w:t xml:space="preserve">’s </w:t>
      </w:r>
      <w:r w:rsidRPr="003561BB">
        <w:t>debt obligation by analysing its credit risk profile. Dagong credit ratings do not include</w:t>
      </w:r>
      <w:r>
        <w:t xml:space="preserve"> </w:t>
      </w:r>
      <w:r w:rsidRPr="003561BB">
        <w:t>any indication related to the market price, liquidity or any risk other than credit risk.</w:t>
      </w:r>
    </w:p>
    <w:p w:rsidR="005B3D67" w:rsidRPr="00787776" w:rsidRDefault="005B3D67" w:rsidP="005B3D67">
      <w:pPr>
        <w:pStyle w:val="bullet2"/>
      </w:pPr>
      <w:r w:rsidRPr="003F6CBE">
        <w:rPr>
          <w:b/>
        </w:rPr>
        <w:t>Short term issue rating</w:t>
      </w:r>
      <w:r w:rsidRPr="00A52F5D">
        <w:t>,</w:t>
      </w:r>
      <w:r>
        <w:rPr>
          <w:b/>
        </w:rPr>
        <w:t xml:space="preserve"> </w:t>
      </w:r>
      <w:r>
        <w:t>defined as the long term credit rating but a</w:t>
      </w:r>
      <w:r w:rsidRPr="001D62BF">
        <w:t xml:space="preserve">ssigned to </w:t>
      </w:r>
      <w:r>
        <w:t>debt obligations</w:t>
      </w:r>
      <w:r w:rsidRPr="001D62BF">
        <w:t xml:space="preserve"> with tenors below 12 months. Under certain circumstances this time limit could be extended due to the characteristics of the debt obligation or regulatory or country-specific factors affecting it.</w:t>
      </w:r>
    </w:p>
    <w:p w:rsidR="001A236F" w:rsidRDefault="005B3D67" w:rsidP="001A236F">
      <w:pPr>
        <w:pStyle w:val="numberedparagraph"/>
      </w:pPr>
      <w:r>
        <w:t>Dagong</w:t>
      </w:r>
      <w:r w:rsidR="001A236F">
        <w:t xml:space="preserve"> assigns these credit ratings to different rating scales as illustrated in column 3 of </w:t>
      </w:r>
      <w:r w:rsidR="00D50FFD">
        <w:fldChar w:fldCharType="begin"/>
      </w:r>
      <w:r w:rsidR="00D50FFD">
        <w:instrText xml:space="preserve"> REF _Ref384801505 \h </w:instrText>
      </w:r>
      <w:r w:rsidR="00D50FFD">
        <w:fldChar w:fldCharType="separate"/>
      </w:r>
      <w:r w:rsidR="009F2323" w:rsidRPr="0041788D">
        <w:rPr>
          <w:szCs w:val="22"/>
        </w:rPr>
        <w:t xml:space="preserve">Figure </w:t>
      </w:r>
      <w:r w:rsidR="009F2323">
        <w:rPr>
          <w:noProof/>
          <w:szCs w:val="22"/>
        </w:rPr>
        <w:t>2</w:t>
      </w:r>
      <w:r w:rsidR="00D50FFD">
        <w:fldChar w:fldCharType="end"/>
      </w:r>
      <w:r w:rsidR="001A236F">
        <w:t xml:space="preserve"> in </w:t>
      </w:r>
      <w:r w:rsidR="002B6F3D">
        <w:t>Appendix</w:t>
      </w:r>
      <w:r w:rsidR="001A236F">
        <w:t xml:space="preserve"> 1. Therefore, a specific mapping has been prepared for the following rating scales:</w:t>
      </w:r>
    </w:p>
    <w:p w:rsidR="001A236F" w:rsidRDefault="001A236F" w:rsidP="001A236F">
      <w:pPr>
        <w:pStyle w:val="bullet2"/>
      </w:pPr>
      <w:r w:rsidRPr="006D628D">
        <w:rPr>
          <w:b/>
        </w:rPr>
        <w:t xml:space="preserve">Long-term credit rating scale. </w:t>
      </w:r>
      <w:r w:rsidRPr="0024143D">
        <w:t xml:space="preserve">The </w:t>
      </w:r>
      <w:r w:rsidRPr="00623B9F">
        <w:t xml:space="preserve">specification of this rating scale is described in </w:t>
      </w:r>
      <w:r w:rsidR="00D50FFD">
        <w:fldChar w:fldCharType="begin"/>
      </w:r>
      <w:r w:rsidR="00D50FFD">
        <w:instrText xml:space="preserve"> REF _Ref384802193 \h </w:instrText>
      </w:r>
      <w:r w:rsidR="00D50FFD">
        <w:fldChar w:fldCharType="separate"/>
      </w:r>
      <w:r w:rsidR="009F2323" w:rsidRPr="0041788D">
        <w:t xml:space="preserve">Figure </w:t>
      </w:r>
      <w:r w:rsidR="009F2323">
        <w:rPr>
          <w:noProof/>
        </w:rPr>
        <w:t>3</w:t>
      </w:r>
      <w:r w:rsidR="00D50FFD">
        <w:fldChar w:fldCharType="end"/>
      </w:r>
      <w:r w:rsidRPr="00623B9F">
        <w:t xml:space="preserve"> of </w:t>
      </w:r>
      <w:r w:rsidR="002B6F3D">
        <w:t>Appendix</w:t>
      </w:r>
      <w:r w:rsidRPr="00623B9F">
        <w:t xml:space="preserve"> 1.</w:t>
      </w:r>
    </w:p>
    <w:p w:rsidR="001A236F" w:rsidRPr="00623B9F" w:rsidRDefault="005B3D67" w:rsidP="001A236F">
      <w:pPr>
        <w:pStyle w:val="bullet2"/>
      </w:pPr>
      <w:r>
        <w:rPr>
          <w:b/>
        </w:rPr>
        <w:t>Short</w:t>
      </w:r>
      <w:r w:rsidR="001A236F" w:rsidRPr="006D628D">
        <w:rPr>
          <w:b/>
        </w:rPr>
        <w:t xml:space="preserve">-term credit rating scale. </w:t>
      </w:r>
      <w:r w:rsidR="001A236F" w:rsidRPr="0024143D">
        <w:t xml:space="preserve">The </w:t>
      </w:r>
      <w:r w:rsidR="001A236F" w:rsidRPr="00623B9F">
        <w:t>specification of this rating s</w:t>
      </w:r>
      <w:r w:rsidR="001A236F">
        <w:t xml:space="preserve">cale is described in </w:t>
      </w:r>
      <w:r w:rsidR="00D50FFD">
        <w:fldChar w:fldCharType="begin"/>
      </w:r>
      <w:r w:rsidR="00D50FFD">
        <w:instrText xml:space="preserve"> REF _Ref384802203 \h </w:instrText>
      </w:r>
      <w:r w:rsidR="00D50FFD">
        <w:fldChar w:fldCharType="separate"/>
      </w:r>
      <w:r w:rsidR="009F2323" w:rsidRPr="0041788D">
        <w:t xml:space="preserve">Figure </w:t>
      </w:r>
      <w:r w:rsidR="009F2323">
        <w:rPr>
          <w:noProof/>
        </w:rPr>
        <w:t>4</w:t>
      </w:r>
      <w:r w:rsidR="00D50FFD">
        <w:fldChar w:fldCharType="end"/>
      </w:r>
      <w:r w:rsidR="001A236F" w:rsidRPr="00623B9F">
        <w:t xml:space="preserve"> of </w:t>
      </w:r>
      <w:r w:rsidR="002B6F3D">
        <w:t>Appendix</w:t>
      </w:r>
      <w:r w:rsidR="001A236F" w:rsidRPr="00623B9F">
        <w:t xml:space="preserve"> 1.</w:t>
      </w:r>
    </w:p>
    <w:p w:rsidR="00D870B0" w:rsidRDefault="005B35C1" w:rsidP="00D870B0">
      <w:pPr>
        <w:pStyle w:val="numberedparagraph"/>
      </w:pPr>
      <w:r>
        <w:t>At the time the information base to produce the mapping was collected, Dagong did not have any ratings issued yet</w:t>
      </w:r>
      <w:r w:rsidR="00B33D50">
        <w:t>. However it did</w:t>
      </w:r>
      <w:r w:rsidR="00526647">
        <w:t xml:space="preserve"> </w:t>
      </w:r>
      <w:r w:rsidR="00B33D50">
        <w:t>provide</w:t>
      </w:r>
      <w:r w:rsidR="00526647">
        <w:t xml:space="preserve"> “indicative ratings”</w:t>
      </w:r>
      <w:r w:rsidR="00447854">
        <w:t xml:space="preserve"> that are assigned to the </w:t>
      </w:r>
      <w:r w:rsidR="00D870B0">
        <w:lastRenderedPageBreak/>
        <w:t>s</w:t>
      </w:r>
      <w:r w:rsidR="00B33D50">
        <w:t xml:space="preserve">ame </w:t>
      </w:r>
      <w:r w:rsidR="00E91181">
        <w:t xml:space="preserve">Long-term credit rating scale </w:t>
      </w:r>
      <w:r w:rsidR="00B33D50">
        <w:t xml:space="preserve">as the ratings. </w:t>
      </w:r>
      <w:r w:rsidR="00447854">
        <w:t xml:space="preserve">Unlike ratings, “indicative ratings” are </w:t>
      </w:r>
      <w:r w:rsidR="00526647">
        <w:t xml:space="preserve">standalone credit assessments </w:t>
      </w:r>
      <w:r w:rsidR="00447854">
        <w:t xml:space="preserve">and do not include the </w:t>
      </w:r>
      <w:r w:rsidR="00526647">
        <w:t>external support assessment</w:t>
      </w:r>
      <w:r w:rsidR="00447854">
        <w:t xml:space="preserve">. </w:t>
      </w:r>
    </w:p>
    <w:p w:rsidR="007D3FFA" w:rsidRDefault="00447854" w:rsidP="00447854">
      <w:pPr>
        <w:pStyle w:val="numberedparagraph"/>
      </w:pPr>
      <w:r>
        <w:t xml:space="preserve">In addition, Dagong has provided data on the </w:t>
      </w:r>
      <w:r w:rsidR="00087AC5">
        <w:t>standalone</w:t>
      </w:r>
      <w:r>
        <w:t xml:space="preserve"> ratings assigned </w:t>
      </w:r>
      <w:r w:rsidR="00E91181">
        <w:t>by the three international ECAIs</w:t>
      </w:r>
      <w:r>
        <w:t xml:space="preserve"> to the items </w:t>
      </w:r>
      <w:r w:rsidR="00E91181">
        <w:t xml:space="preserve">rated by </w:t>
      </w:r>
      <w:r w:rsidR="00087AC5">
        <w:t xml:space="preserve">Dagong </w:t>
      </w:r>
      <w:r w:rsidR="00E91181">
        <w:t>with “</w:t>
      </w:r>
      <w:r w:rsidR="00087AC5">
        <w:t>indicative ratings</w:t>
      </w:r>
      <w:r w:rsidR="00E91181">
        <w:t>”</w:t>
      </w:r>
      <w:r>
        <w:t xml:space="preserve">. </w:t>
      </w:r>
      <w:r w:rsidR="00CD6EB3">
        <w:t xml:space="preserve">Given that the data </w:t>
      </w:r>
      <w:r w:rsidR="00E91181">
        <w:t xml:space="preserve">from benchmark ECAIs </w:t>
      </w:r>
      <w:r w:rsidR="00CD6EB3">
        <w:t xml:space="preserve">refers to standalone ratings (without </w:t>
      </w:r>
      <w:r w:rsidR="00087AC5">
        <w:t>external support assessment</w:t>
      </w:r>
      <w:r w:rsidR="00CD6EB3">
        <w:t>), it can be compared to the Dagong’s “indicative ratings</w:t>
      </w:r>
      <w:r w:rsidR="00D870B0">
        <w:t>”</w:t>
      </w:r>
      <w:r w:rsidR="00E91181">
        <w:t>, and therefore used for mapping purposes</w:t>
      </w:r>
      <w:r w:rsidR="00CD6EB3">
        <w:t>.</w:t>
      </w:r>
    </w:p>
    <w:p w:rsidR="007D3FFA" w:rsidRDefault="007D3FFA" w:rsidP="007D3FFA">
      <w:pPr>
        <w:pStyle w:val="numberedparagraph"/>
      </w:pPr>
      <w:r>
        <w:t xml:space="preserve">The mapping of the </w:t>
      </w:r>
      <w:r w:rsidRPr="007D745E">
        <w:t xml:space="preserve">Long-term credit rating scale </w:t>
      </w:r>
      <w:r>
        <w:t xml:space="preserve">is explained in Section 4 and it has been derived in accordance with the quantitative factors, qualitative factors and benchmarks specified in the ITS. </w:t>
      </w:r>
    </w:p>
    <w:p w:rsidR="001A236F" w:rsidRDefault="001A236F" w:rsidP="001A236F">
      <w:pPr>
        <w:pStyle w:val="numberedparagraph"/>
      </w:pPr>
      <w:r>
        <w:t>The mapping of the</w:t>
      </w:r>
      <w:r w:rsidRPr="008A707D">
        <w:t xml:space="preserve"> </w:t>
      </w:r>
      <w:r w:rsidRPr="00BC5827">
        <w:t>Short-term credit rating</w:t>
      </w:r>
      <w:r>
        <w:t xml:space="preserve"> scale </w:t>
      </w:r>
      <w:r w:rsidR="0039037C">
        <w:t xml:space="preserve">is explained in Section </w:t>
      </w:r>
      <w:r w:rsidR="00B16CDE">
        <w:t>5</w:t>
      </w:r>
      <w:r w:rsidR="0039037C">
        <w:t xml:space="preserve"> and it </w:t>
      </w:r>
      <w:r>
        <w:t>has been</w:t>
      </w:r>
      <w:r w:rsidRPr="008A707D">
        <w:t xml:space="preserve"> indirectly </w:t>
      </w:r>
      <w:r>
        <w:t xml:space="preserve">derived </w:t>
      </w:r>
      <w:r w:rsidR="0039037C">
        <w:t xml:space="preserve">from </w:t>
      </w:r>
      <w:r>
        <w:t xml:space="preserve">the mapping of the </w:t>
      </w:r>
      <w:r w:rsidRPr="005B7A8E">
        <w:t>Long-term credit rating</w:t>
      </w:r>
      <w:r>
        <w:t xml:space="preserve"> scale </w:t>
      </w:r>
      <w:r w:rsidR="008A2942">
        <w:t xml:space="preserve">and </w:t>
      </w:r>
      <w:r>
        <w:t xml:space="preserve">the internal relationship </w:t>
      </w:r>
      <w:r w:rsidR="0039037C">
        <w:t xml:space="preserve">established by </w:t>
      </w:r>
      <w:r w:rsidR="005B3D67">
        <w:t>Dagong</w:t>
      </w:r>
      <w:r w:rsidR="0039037C">
        <w:t xml:space="preserve"> </w:t>
      </w:r>
      <w:r>
        <w:t>between these two scales</w:t>
      </w:r>
      <w:r w:rsidR="008A2942">
        <w:t xml:space="preserve">, as </w:t>
      </w:r>
      <w:r w:rsidR="005F3ADF">
        <w:t xml:space="preserve">specified </w:t>
      </w:r>
      <w:r w:rsidR="0039037C">
        <w:t>in</w:t>
      </w:r>
      <w:r w:rsidR="008A2942">
        <w:t xml:space="preserve"> Article </w:t>
      </w:r>
      <w:r w:rsidR="00FF4DD4">
        <w:t>1</w:t>
      </w:r>
      <w:r w:rsidR="001B26B4">
        <w:t>3</w:t>
      </w:r>
      <w:r w:rsidR="00FF4DD4">
        <w:t xml:space="preserve"> </w:t>
      </w:r>
      <w:r w:rsidR="00A41A6A">
        <w:t xml:space="preserve">of the </w:t>
      </w:r>
      <w:r w:rsidR="008A2942">
        <w:t>ITS</w:t>
      </w:r>
      <w:r>
        <w:t xml:space="preserve">. This internal relationship is shown in </w:t>
      </w:r>
      <w:r w:rsidR="00EF0693">
        <w:fldChar w:fldCharType="begin"/>
      </w:r>
      <w:r w:rsidR="00EF0693">
        <w:instrText xml:space="preserve"> REF _Ref384802409 \h </w:instrText>
      </w:r>
      <w:r w:rsidR="00EF0693">
        <w:fldChar w:fldCharType="separate"/>
      </w:r>
      <w:r w:rsidR="009F2323" w:rsidRPr="0041788D">
        <w:rPr>
          <w:szCs w:val="22"/>
        </w:rPr>
        <w:t xml:space="preserve">Figure </w:t>
      </w:r>
      <w:r w:rsidR="009F2323">
        <w:rPr>
          <w:noProof/>
          <w:szCs w:val="22"/>
        </w:rPr>
        <w:t>5</w:t>
      </w:r>
      <w:r w:rsidR="00EF0693">
        <w:fldChar w:fldCharType="end"/>
      </w:r>
      <w:r w:rsidR="00EF0693">
        <w:t xml:space="preserve"> </w:t>
      </w:r>
      <w:r>
        <w:t xml:space="preserve">of </w:t>
      </w:r>
      <w:r w:rsidR="002B6F3D">
        <w:t>Appendix</w:t>
      </w:r>
      <w:r>
        <w:t xml:space="preserve"> 1.</w:t>
      </w:r>
    </w:p>
    <w:p w:rsidR="000C29A3" w:rsidRDefault="007E428E" w:rsidP="00D84B53">
      <w:pPr>
        <w:pStyle w:val="Numberedtitlelevel2"/>
        <w:ind w:left="340" w:hanging="340"/>
        <w:outlineLvl w:val="0"/>
      </w:pPr>
      <w:r w:rsidRPr="004E160A">
        <w:t xml:space="preserve">Mapping of </w:t>
      </w:r>
      <w:r w:rsidR="005B3D67">
        <w:t>Dagong</w:t>
      </w:r>
      <w:r w:rsidRPr="004E160A">
        <w:t xml:space="preserve"> Long-term credit rating scale</w:t>
      </w:r>
    </w:p>
    <w:p w:rsidR="00015276" w:rsidRDefault="00015276" w:rsidP="00015276">
      <w:pPr>
        <w:pStyle w:val="numberedparagraph"/>
      </w:pPr>
      <w:r>
        <w:t xml:space="preserve">The mapping of the </w:t>
      </w:r>
      <w:r w:rsidRPr="00251632">
        <w:t>Long-term credit rating scale</w:t>
      </w:r>
      <w:r>
        <w:t xml:space="preserve"> has consisted of </w:t>
      </w:r>
      <w:r w:rsidR="005F12D5">
        <w:t>two</w:t>
      </w:r>
      <w:r>
        <w:t xml:space="preserve"> differentiated stages</w:t>
      </w:r>
      <w:r w:rsidR="0038116B">
        <w:t xml:space="preserve"> where the quantitative and qualitative factors as well as the benchmarks specified in Article 136(2) CRR have been taken into account</w:t>
      </w:r>
      <w:r>
        <w:t>.</w:t>
      </w:r>
    </w:p>
    <w:p w:rsidR="00526647" w:rsidRDefault="00015276" w:rsidP="00526647">
      <w:pPr>
        <w:pStyle w:val="numberedparagraph"/>
      </w:pPr>
      <w:r>
        <w:t xml:space="preserve">In the first </w:t>
      </w:r>
      <w:r w:rsidR="005F12D5">
        <w:t>stage</w:t>
      </w:r>
      <w:r>
        <w:t xml:space="preserve">, </w:t>
      </w:r>
      <w:r w:rsidR="00F20607">
        <w:t xml:space="preserve">the </w:t>
      </w:r>
      <w:r>
        <w:t>quantitative factor</w:t>
      </w:r>
      <w:r w:rsidR="005F12D5">
        <w:t>s</w:t>
      </w:r>
      <w:r>
        <w:t xml:space="preserve"> </w:t>
      </w:r>
      <w:r w:rsidR="005F3ADF">
        <w:t xml:space="preserve">referred to </w:t>
      </w:r>
      <w:r w:rsidR="00F20607">
        <w:t xml:space="preserve">in Article 1 </w:t>
      </w:r>
      <w:r w:rsidR="00787311">
        <w:t xml:space="preserve">of the </w:t>
      </w:r>
      <w:r w:rsidR="00F20607">
        <w:t xml:space="preserve">ITS </w:t>
      </w:r>
      <w:r>
        <w:t>ha</w:t>
      </w:r>
      <w:r w:rsidR="005F12D5">
        <w:t>ve</w:t>
      </w:r>
      <w:r>
        <w:t xml:space="preserve"> been </w:t>
      </w:r>
      <w:r w:rsidR="00F20607">
        <w:t>taken into account</w:t>
      </w:r>
      <w:r>
        <w:t xml:space="preserve"> to differentiate between the levels of risk of each rating category</w:t>
      </w:r>
      <w:r w:rsidR="00CD6EB3">
        <w:t xml:space="preserve">. </w:t>
      </w:r>
      <w:r w:rsidR="00526647">
        <w:t xml:space="preserve">The </w:t>
      </w:r>
      <w:r w:rsidR="00526647" w:rsidRPr="00B9508E">
        <w:rPr>
          <w:i/>
        </w:rPr>
        <w:t>long run default rate</w:t>
      </w:r>
      <w:r w:rsidR="00526647">
        <w:t xml:space="preserve"> of a rating category has been calculated in accordance with Article </w:t>
      </w:r>
      <w:r w:rsidR="00BF3FB3">
        <w:t>6</w:t>
      </w:r>
      <w:r w:rsidR="00E95F1B">
        <w:t xml:space="preserve"> of the</w:t>
      </w:r>
      <w:r w:rsidR="00526647">
        <w:t xml:space="preserve"> ITS, as the number of credit ratings cannot be considered to be sufficient.</w:t>
      </w:r>
    </w:p>
    <w:p w:rsidR="00532352" w:rsidRPr="00BE6527" w:rsidRDefault="00F20607" w:rsidP="00BE6527">
      <w:pPr>
        <w:pStyle w:val="numberedparagraph"/>
      </w:pPr>
      <w:r>
        <w:t>In a second stage</w:t>
      </w:r>
      <w:r w:rsidR="00015276">
        <w:t xml:space="preserve">, the qualitative factors </w:t>
      </w:r>
      <w:r w:rsidR="00B04A92">
        <w:t xml:space="preserve">proposed in Article </w:t>
      </w:r>
      <w:r w:rsidR="00B50D78">
        <w:t>7</w:t>
      </w:r>
      <w:r w:rsidR="00E95F1B">
        <w:t xml:space="preserve"> of the</w:t>
      </w:r>
      <w:r w:rsidR="00B04A92">
        <w:t xml:space="preserve"> ITS have been considered to challenge </w:t>
      </w:r>
      <w:r w:rsidR="00015276">
        <w:t xml:space="preserve">the result of the previous </w:t>
      </w:r>
      <w:r>
        <w:t>stage</w:t>
      </w:r>
      <w:r w:rsidR="00B04A92">
        <w:t xml:space="preserve">, especially </w:t>
      </w:r>
      <w:r w:rsidR="00B5696C">
        <w:t xml:space="preserve">in those ratings categories </w:t>
      </w:r>
      <w:r w:rsidR="00B04A92">
        <w:t>where</w:t>
      </w:r>
      <w:r w:rsidR="00015276">
        <w:t xml:space="preserve"> </w:t>
      </w:r>
      <w:r w:rsidR="005F3ADF">
        <w:t xml:space="preserve">less </w:t>
      </w:r>
      <w:r w:rsidR="00015276">
        <w:t xml:space="preserve">default data has </w:t>
      </w:r>
      <w:r w:rsidR="005F3ADF">
        <w:t>been available</w:t>
      </w:r>
      <w:r w:rsidR="00015276">
        <w:t>.</w:t>
      </w:r>
    </w:p>
    <w:p w:rsidR="00532352" w:rsidRDefault="00532352" w:rsidP="00BE6527">
      <w:pPr>
        <w:pStyle w:val="Numberedtitlelevel4"/>
      </w:pPr>
      <w:r w:rsidRPr="005C569C">
        <w:t xml:space="preserve">Calculation of </w:t>
      </w:r>
      <w:r w:rsidR="00190E5E">
        <w:t xml:space="preserve">the </w:t>
      </w:r>
      <w:r w:rsidRPr="00BE6527">
        <w:t>long</w:t>
      </w:r>
      <w:r w:rsidR="00190E5E">
        <w:t>-</w:t>
      </w:r>
      <w:r w:rsidR="005527E3">
        <w:t xml:space="preserve">run </w:t>
      </w:r>
      <w:r w:rsidR="00190E5E">
        <w:t>default rate</w:t>
      </w:r>
      <w:r w:rsidR="00484CD8">
        <w:t>s</w:t>
      </w:r>
    </w:p>
    <w:p w:rsidR="00087AC5" w:rsidRDefault="00E91181" w:rsidP="00050021">
      <w:pPr>
        <w:pStyle w:val="numberedparagraph"/>
      </w:pPr>
      <w:bookmarkStart w:id="3" w:name="_Ref384834130"/>
      <w:r>
        <w:t>Due the recent registration of Dagong, t</w:t>
      </w:r>
      <w:r w:rsidR="00087AC5">
        <w:t xml:space="preserve">he information contained in CEREP on ratings and default data cannot be considered sufficient for the calculation of the short and long run default rates specified in the Articles </w:t>
      </w:r>
      <w:r w:rsidR="008E6D3B">
        <w:t xml:space="preserve">3 </w:t>
      </w:r>
      <w:r w:rsidR="00087AC5">
        <w:t xml:space="preserve">– </w:t>
      </w:r>
      <w:r w:rsidR="008E6D3B">
        <w:t>5</w:t>
      </w:r>
      <w:r w:rsidR="00087AC5">
        <w:t xml:space="preserve"> ITS. As a result, the allocation of the CQS has been made in accordance with Article </w:t>
      </w:r>
      <w:r w:rsidR="00A85093">
        <w:t>6</w:t>
      </w:r>
      <w:r w:rsidR="00E95F1B">
        <w:t xml:space="preserve"> of the </w:t>
      </w:r>
      <w:r w:rsidR="00087AC5">
        <w:t xml:space="preserve">ITS, as shown in </w:t>
      </w:r>
      <w:r w:rsidR="00087AC5">
        <w:fldChar w:fldCharType="begin"/>
      </w:r>
      <w:r w:rsidR="00087AC5">
        <w:instrText xml:space="preserve"> REF _Ref390262833 \h </w:instrText>
      </w:r>
      <w:r w:rsidR="00087AC5">
        <w:fldChar w:fldCharType="separate"/>
      </w:r>
      <w:r w:rsidR="009F2323" w:rsidRPr="0041788D">
        <w:t xml:space="preserve">Figure </w:t>
      </w:r>
      <w:r w:rsidR="009F2323">
        <w:rPr>
          <w:noProof/>
        </w:rPr>
        <w:t>6</w:t>
      </w:r>
      <w:r w:rsidR="00087AC5">
        <w:fldChar w:fldCharType="end"/>
      </w:r>
      <w:r w:rsidR="00087AC5">
        <w:t xml:space="preserve"> </w:t>
      </w:r>
      <w:r w:rsidR="00C85F78">
        <w:t xml:space="preserve">and </w:t>
      </w:r>
      <w:r w:rsidR="00C85F78">
        <w:fldChar w:fldCharType="begin"/>
      </w:r>
      <w:r w:rsidR="00C85F78">
        <w:instrText xml:space="preserve"> REF _Ref425345903 \h </w:instrText>
      </w:r>
      <w:r w:rsidR="00C85F78">
        <w:fldChar w:fldCharType="separate"/>
      </w:r>
      <w:r w:rsidR="009F2323" w:rsidRPr="0041788D">
        <w:t xml:space="preserve">Figure </w:t>
      </w:r>
      <w:r w:rsidR="009F2323">
        <w:rPr>
          <w:noProof/>
        </w:rPr>
        <w:t>7</w:t>
      </w:r>
      <w:r w:rsidR="00C85F78">
        <w:fldChar w:fldCharType="end"/>
      </w:r>
      <w:r w:rsidR="00C85F78">
        <w:t xml:space="preserve"> </w:t>
      </w:r>
      <w:r w:rsidR="00087AC5">
        <w:t xml:space="preserve">of Appendix </w:t>
      </w:r>
      <w:r w:rsidR="00B924A0">
        <w:t>3</w:t>
      </w:r>
      <w:r w:rsidR="00087AC5">
        <w:t>.</w:t>
      </w:r>
    </w:p>
    <w:p w:rsidR="00087AC5" w:rsidRDefault="00087AC5" w:rsidP="00087AC5">
      <w:pPr>
        <w:pStyle w:val="numberedparagraph"/>
      </w:pPr>
      <w:r>
        <w:t xml:space="preserve">The long run default rate benchmark associated with the equivalent category in the international rating scale is a key qualitative factor that has been used for the mapping proposal. </w:t>
      </w:r>
    </w:p>
    <w:p w:rsidR="00087AC5" w:rsidRDefault="00087AC5" w:rsidP="00087AC5">
      <w:pPr>
        <w:pStyle w:val="numberedparagraph"/>
      </w:pPr>
      <w:r>
        <w:lastRenderedPageBreak/>
        <w:t>For D rating category, no calculation of default rate has been made since it already reflects a ‘default’ situation.</w:t>
      </w:r>
    </w:p>
    <w:p w:rsidR="00087AC5" w:rsidRDefault="00087AC5" w:rsidP="00087AC5">
      <w:pPr>
        <w:pStyle w:val="numberedparagraph"/>
      </w:pPr>
      <w:r w:rsidRPr="008F3964">
        <w:t xml:space="preserve">The default definition applied by </w:t>
      </w:r>
      <w:r>
        <w:t>Dagong</w:t>
      </w:r>
      <w:r w:rsidRPr="008F3964">
        <w:t xml:space="preserve">, described in Appendix </w:t>
      </w:r>
      <w:r>
        <w:t>3</w:t>
      </w:r>
      <w:r w:rsidRPr="008F3964">
        <w:t>, has been used for the calculation of default rates.</w:t>
      </w:r>
    </w:p>
    <w:bookmarkEnd w:id="3"/>
    <w:p w:rsidR="00532352" w:rsidRDefault="00190E5E" w:rsidP="00BE6527">
      <w:pPr>
        <w:pStyle w:val="Numberedtitlelevel4"/>
      </w:pPr>
      <w:r>
        <w:t>M</w:t>
      </w:r>
      <w:r w:rsidR="00532352">
        <w:t xml:space="preserve">apping </w:t>
      </w:r>
      <w:r>
        <w:t>proposal</w:t>
      </w:r>
      <w:r w:rsidR="00171121">
        <w:t xml:space="preserve"> based on the long run default rate</w:t>
      </w:r>
    </w:p>
    <w:p w:rsidR="00C85F78" w:rsidRDefault="006C0E3B" w:rsidP="006C0E3B">
      <w:pPr>
        <w:pStyle w:val="numberedparagraph"/>
        <w:tabs>
          <w:tab w:val="clear" w:pos="284"/>
          <w:tab w:val="num" w:pos="710"/>
        </w:tabs>
      </w:pPr>
      <w:r>
        <w:t xml:space="preserve">As illustrated in the second column of </w:t>
      </w:r>
      <w:r w:rsidR="00C85F78">
        <w:fldChar w:fldCharType="begin"/>
      </w:r>
      <w:r w:rsidR="00C85F78">
        <w:instrText xml:space="preserve"> REF _Ref384809626 \h </w:instrText>
      </w:r>
      <w:r w:rsidR="00C85F78">
        <w:fldChar w:fldCharType="separate"/>
      </w:r>
      <w:r w:rsidR="009F2323" w:rsidRPr="0041788D">
        <w:rPr>
          <w:szCs w:val="22"/>
        </w:rPr>
        <w:t xml:space="preserve">Figure </w:t>
      </w:r>
      <w:r w:rsidR="009F2323">
        <w:rPr>
          <w:noProof/>
          <w:szCs w:val="22"/>
        </w:rPr>
        <w:t>10</w:t>
      </w:r>
      <w:r w:rsidR="00C85F78">
        <w:fldChar w:fldCharType="end"/>
      </w:r>
      <w:r w:rsidR="00C85F78">
        <w:t xml:space="preserve"> and </w:t>
      </w:r>
      <w:r w:rsidR="00C85F78">
        <w:fldChar w:fldCharType="begin"/>
      </w:r>
      <w:r w:rsidR="00C85F78">
        <w:instrText xml:space="preserve"> REF _Ref425345928 \h </w:instrText>
      </w:r>
      <w:r w:rsidR="00C85F78">
        <w:fldChar w:fldCharType="separate"/>
      </w:r>
      <w:r w:rsidR="009F2323" w:rsidRPr="0041788D">
        <w:rPr>
          <w:szCs w:val="22"/>
        </w:rPr>
        <w:t xml:space="preserve">Figure </w:t>
      </w:r>
      <w:r w:rsidR="009F2323">
        <w:rPr>
          <w:noProof/>
          <w:szCs w:val="22"/>
        </w:rPr>
        <w:t>11</w:t>
      </w:r>
      <w:r w:rsidR="00C85F78">
        <w:fldChar w:fldCharType="end"/>
      </w:r>
      <w:r w:rsidR="00C85F78">
        <w:t xml:space="preserve"> </w:t>
      </w:r>
      <w:r>
        <w:t xml:space="preserve">in Appendix </w:t>
      </w:r>
      <w:r w:rsidR="001E3557">
        <w:t>5</w:t>
      </w:r>
      <w:r>
        <w:t>,</w:t>
      </w:r>
      <w:r w:rsidR="003241DA" w:rsidRPr="003241DA">
        <w:t xml:space="preserve"> </w:t>
      </w:r>
      <w:r w:rsidR="003241DA">
        <w:t xml:space="preserve">the assignment of the rating categories to credit quality steps has been initially made in accordance with Article </w:t>
      </w:r>
      <w:r w:rsidR="00D50174">
        <w:t>6</w:t>
      </w:r>
      <w:r w:rsidR="003241DA">
        <w:t xml:space="preserve"> ITS. Therefore, the numbers of defaulted and non-defaulted rated items (zero for all rating categories) have been used together with the prior expectation of the equivalent rating category of the international rating scale. The results are specified in </w:t>
      </w:r>
      <w:r w:rsidR="003241DA">
        <w:fldChar w:fldCharType="begin"/>
      </w:r>
      <w:r w:rsidR="003241DA">
        <w:instrText xml:space="preserve"> REF _Ref390262833 \h </w:instrText>
      </w:r>
      <w:r w:rsidR="003241DA">
        <w:fldChar w:fldCharType="separate"/>
      </w:r>
      <w:r w:rsidR="009F2323" w:rsidRPr="0041788D">
        <w:t xml:space="preserve">Figure </w:t>
      </w:r>
      <w:r w:rsidR="009F2323">
        <w:rPr>
          <w:noProof/>
        </w:rPr>
        <w:t>6</w:t>
      </w:r>
      <w:r w:rsidR="003241DA">
        <w:fldChar w:fldCharType="end"/>
      </w:r>
      <w:r w:rsidR="00C85F78">
        <w:t xml:space="preserve"> and </w:t>
      </w:r>
      <w:r w:rsidR="00C85F78">
        <w:fldChar w:fldCharType="begin"/>
      </w:r>
      <w:r w:rsidR="00C85F78">
        <w:instrText xml:space="preserve"> REF _Ref425345903 \h </w:instrText>
      </w:r>
      <w:r w:rsidR="00C85F78">
        <w:fldChar w:fldCharType="separate"/>
      </w:r>
      <w:r w:rsidR="009F2323" w:rsidRPr="0041788D">
        <w:t xml:space="preserve">Figure </w:t>
      </w:r>
      <w:r w:rsidR="009F2323">
        <w:rPr>
          <w:noProof/>
        </w:rPr>
        <w:t>7</w:t>
      </w:r>
      <w:r w:rsidR="00C85F78">
        <w:fldChar w:fldCharType="end"/>
      </w:r>
      <w:r w:rsidR="003241DA">
        <w:t xml:space="preserve"> of Appendix 4</w:t>
      </w:r>
      <w:r w:rsidR="00C85F78">
        <w:t>.</w:t>
      </w:r>
    </w:p>
    <w:p w:rsidR="00C85F78" w:rsidRDefault="00C85F78" w:rsidP="00C85F78">
      <w:pPr>
        <w:pStyle w:val="bullet2"/>
      </w:pPr>
      <w:r>
        <w:rPr>
          <w:b/>
        </w:rPr>
        <w:t>AAA/AA/</w:t>
      </w:r>
      <w:r w:rsidRPr="00E219FB">
        <w:rPr>
          <w:b/>
        </w:rPr>
        <w:t>A</w:t>
      </w:r>
      <w:r>
        <w:rPr>
          <w:b/>
        </w:rPr>
        <w:t xml:space="preserve">/BBB/BB/B: </w:t>
      </w:r>
      <w:r w:rsidRPr="00B8424A">
        <w:t>the n</w:t>
      </w:r>
      <w:r>
        <w:t xml:space="preserve">umber of rated items in each of these categories is equal or larger than the respective minimum required number of observed items given the number of defaulted items in the rating category. Thus the credit quality steps associated with the AAA/AA, </w:t>
      </w:r>
      <w:r w:rsidRPr="00A3062E">
        <w:t>A</w:t>
      </w:r>
      <w:r>
        <w:t>, BBB, BB, B</w:t>
      </w:r>
      <w:r w:rsidRPr="00A3062E">
        <w:t xml:space="preserve"> </w:t>
      </w:r>
      <w:r>
        <w:t>rating categories in the international rating scale (CQS 1, CQS 2, CQS 3, CQS 4 and CQS 5 respectively) can be assigned.</w:t>
      </w:r>
    </w:p>
    <w:p w:rsidR="00C85F78" w:rsidRPr="00F33694" w:rsidRDefault="00C85F78" w:rsidP="00D84B53">
      <w:pPr>
        <w:pStyle w:val="bullet2"/>
      </w:pPr>
      <w:r w:rsidRPr="003241DA">
        <w:rPr>
          <w:b/>
        </w:rPr>
        <w:t>CCC, CC and C:</w:t>
      </w:r>
      <w:r w:rsidRPr="00D84B53">
        <w:rPr>
          <w:b/>
        </w:rPr>
        <w:t xml:space="preserve"> </w:t>
      </w:r>
      <w:r w:rsidRPr="00274C31">
        <w:t>since the CQS associated with the equivalent rating category of the international rating scale is 6, the proposed mapping for these rating categories is also CQS 6.</w:t>
      </w:r>
    </w:p>
    <w:p w:rsidR="00532352" w:rsidRDefault="00532352" w:rsidP="00BE6527">
      <w:pPr>
        <w:pStyle w:val="Numberedtitlelevel3"/>
      </w:pPr>
      <w:r>
        <w:t>Final mapping after review of the qualitative factors</w:t>
      </w:r>
    </w:p>
    <w:p w:rsidR="003241DA" w:rsidRDefault="003241DA" w:rsidP="003241DA">
      <w:pPr>
        <w:pStyle w:val="numberedparagraph"/>
      </w:pPr>
      <w:r>
        <w:t xml:space="preserve">The qualitative factors specified in Article </w:t>
      </w:r>
      <w:r w:rsidR="008610D1">
        <w:t>7</w:t>
      </w:r>
      <w:r w:rsidR="00C032FD">
        <w:t xml:space="preserve"> </w:t>
      </w:r>
      <w:r w:rsidR="00274C31">
        <w:t xml:space="preserve">of the </w:t>
      </w:r>
      <w:r>
        <w:t>ITS have been used to challenge the mapping proposed by the default rate calculation. Qualitative factors acquire more importance in the rating categories where quantitative evidence is not sufficient to test the default behavior</w:t>
      </w:r>
      <w:r w:rsidR="00845BB8">
        <w:rPr>
          <w:rStyle w:val="FootnoteReference"/>
        </w:rPr>
        <w:footnoteReference w:id="7"/>
      </w:r>
      <w:r>
        <w:t xml:space="preserve">, </w:t>
      </w:r>
      <w:r w:rsidRPr="001F027E">
        <w:t>as it is the case for all rating categories</w:t>
      </w:r>
      <w:r>
        <w:t xml:space="preserve"> of Dagong’s L</w:t>
      </w:r>
      <w:r w:rsidRPr="00B24FB5">
        <w:t xml:space="preserve">ong-term </w:t>
      </w:r>
      <w:r>
        <w:t xml:space="preserve">credit </w:t>
      </w:r>
      <w:r w:rsidRPr="00B24FB5">
        <w:t>rating scale</w:t>
      </w:r>
      <w:r>
        <w:t>.</w:t>
      </w:r>
    </w:p>
    <w:p w:rsidR="003241DA" w:rsidRDefault="004C6F41" w:rsidP="003241DA">
      <w:pPr>
        <w:pStyle w:val="Numberedtitlelevel4"/>
      </w:pPr>
      <w:r>
        <w:t>Indicative rating</w:t>
      </w:r>
      <w:r w:rsidR="003241DA">
        <w:t xml:space="preserve"> information</w:t>
      </w:r>
    </w:p>
    <w:p w:rsidR="005941FE" w:rsidRDefault="003241DA" w:rsidP="003241DA">
      <w:pPr>
        <w:pStyle w:val="numberedparagraph"/>
      </w:pPr>
      <w:r>
        <w:t xml:space="preserve">As described in the previous sections, a sufficient number of credit ratings is not available for Dagong’s rating categories. However, Dagong assigns </w:t>
      </w:r>
      <w:r w:rsidR="00B33D50">
        <w:t>“</w:t>
      </w:r>
      <w:r>
        <w:t>indicative ratings</w:t>
      </w:r>
      <w:r w:rsidR="00B33D50">
        <w:t>”</w:t>
      </w:r>
      <w:r>
        <w:t xml:space="preserve">, which can be used </w:t>
      </w:r>
      <w:r w:rsidR="0004424B">
        <w:t xml:space="preserve">as a different measure of creditworthiness </w:t>
      </w:r>
      <w:r>
        <w:t>for mapping purposes</w:t>
      </w:r>
      <w:r w:rsidR="0004424B">
        <w:t xml:space="preserve"> in accordance with Article 11(2) of the ITS</w:t>
      </w:r>
      <w:r w:rsidR="002A4D65">
        <w:t>.</w:t>
      </w:r>
    </w:p>
    <w:p w:rsidR="00B33D50" w:rsidRDefault="005941FE" w:rsidP="003241DA">
      <w:pPr>
        <w:pStyle w:val="numberedparagraph"/>
      </w:pPr>
      <w:r>
        <w:t xml:space="preserve">In order to test the </w:t>
      </w:r>
      <w:r w:rsidR="00B33D50">
        <w:t>“</w:t>
      </w:r>
      <w:r>
        <w:t>indicative ratings</w:t>
      </w:r>
      <w:r w:rsidR="00B33D50">
        <w:t>”</w:t>
      </w:r>
      <w:r>
        <w:t xml:space="preserve">, </w:t>
      </w:r>
      <w:r w:rsidR="003241DA">
        <w:t xml:space="preserve">Dagong </w:t>
      </w:r>
      <w:r w:rsidR="00EF4124">
        <w:t xml:space="preserve">also </w:t>
      </w:r>
      <w:r>
        <w:t xml:space="preserve">has </w:t>
      </w:r>
      <w:r w:rsidR="003241DA">
        <w:t xml:space="preserve">provided the standalone ratings of 3 benchmark </w:t>
      </w:r>
      <w:r w:rsidR="00983F30">
        <w:t xml:space="preserve">ECAIs </w:t>
      </w:r>
      <w:r w:rsidR="003241DA">
        <w:t xml:space="preserve">for </w:t>
      </w:r>
      <w:r>
        <w:t xml:space="preserve">a sample of </w:t>
      </w:r>
      <w:r w:rsidR="003241DA">
        <w:t>items</w:t>
      </w:r>
      <w:r w:rsidR="00B33D50">
        <w:t xml:space="preserve"> also</w:t>
      </w:r>
      <w:r w:rsidR="003241DA">
        <w:t xml:space="preserve"> r</w:t>
      </w:r>
      <w:r w:rsidR="00EF4124">
        <w:t>ated by Dagong</w:t>
      </w:r>
      <w:r w:rsidR="00E91181">
        <w:t xml:space="preserve"> with “indicative ratings”</w:t>
      </w:r>
      <w:r w:rsidR="004C6F41">
        <w:t xml:space="preserve">. </w:t>
      </w:r>
      <w:r>
        <w:t>The sample is based on 1</w:t>
      </w:r>
      <w:r w:rsidR="00E07FE6">
        <w:t>36</w:t>
      </w:r>
      <w:r>
        <w:t xml:space="preserve"> companies </w:t>
      </w:r>
      <w:r w:rsidR="00FD0041">
        <w:t>from</w:t>
      </w:r>
      <w:r>
        <w:t xml:space="preserve"> </w:t>
      </w:r>
      <w:r w:rsidR="00FD0041">
        <w:t xml:space="preserve">corporate, financial institutions and insurance sectors. </w:t>
      </w:r>
      <w:r w:rsidR="00FD0041">
        <w:lastRenderedPageBreak/>
        <w:t>To ensure the comparability of the Dagong indicative ratings and Benchmark standalone ratings, the sample has the following features:</w:t>
      </w:r>
    </w:p>
    <w:p w:rsidR="00B33D50" w:rsidRDefault="00FD0041" w:rsidP="00B33D50">
      <w:pPr>
        <w:pStyle w:val="bullet2"/>
      </w:pPr>
      <w:r>
        <w:t>Corporate: The corporate sample includes the leading companies form the largest industrial sectors, t</w:t>
      </w:r>
      <w:r w:rsidR="005941FE">
        <w:t>he</w:t>
      </w:r>
      <w:r>
        <w:t>ir</w:t>
      </w:r>
      <w:r w:rsidR="005941FE">
        <w:t xml:space="preserve"> revenues represent</w:t>
      </w:r>
      <w:r>
        <w:t>ing</w:t>
      </w:r>
      <w:r w:rsidR="005941FE">
        <w:t xml:space="preserve"> from 33%-65% share from their respective industries. The advantages of such a sample are that they have been active debt issuers and present transparent financial reporting, and there is sufficient public data to support the scoring using qualitative factors. </w:t>
      </w:r>
    </w:p>
    <w:p w:rsidR="00B33D50" w:rsidRDefault="00FD0041" w:rsidP="00B33D50">
      <w:pPr>
        <w:pStyle w:val="bullet2"/>
      </w:pPr>
      <w:r>
        <w:t xml:space="preserve">Financial institutions: </w:t>
      </w:r>
      <w:r w:rsidR="00B33D50">
        <w:t xml:space="preserve">The sample of financial companies includes a mix of small to very large size banking </w:t>
      </w:r>
      <w:r>
        <w:t>institutions</w:t>
      </w:r>
      <w:r w:rsidR="00B33D50">
        <w:t xml:space="preserve">, with </w:t>
      </w:r>
      <w:r>
        <w:t>both</w:t>
      </w:r>
      <w:r w:rsidR="00B33D50">
        <w:t xml:space="preserve"> retail and investment activities being represented. The sample represents approximately 80% of the banking assets in Europe</w:t>
      </w:r>
      <w:r>
        <w:t>.</w:t>
      </w:r>
    </w:p>
    <w:p w:rsidR="00B33D50" w:rsidRPr="002A3C13" w:rsidRDefault="00FD0041" w:rsidP="00B33D50">
      <w:pPr>
        <w:pStyle w:val="bullet2"/>
      </w:pPr>
      <w:r>
        <w:t xml:space="preserve">Insurance: </w:t>
      </w:r>
      <w:r w:rsidR="00B33D50">
        <w:t xml:space="preserve">The sample of insurance companies is smaller, </w:t>
      </w:r>
      <w:r w:rsidR="00E91181">
        <w:t xml:space="preserve">due to the concentration of insurance companies in Europe, and </w:t>
      </w:r>
      <w:r w:rsidR="00B33D50">
        <w:t xml:space="preserve">due to limited number of </w:t>
      </w:r>
      <w:r w:rsidR="00E91181">
        <w:t xml:space="preserve">insurance </w:t>
      </w:r>
      <w:r w:rsidR="00B33D50">
        <w:t xml:space="preserve">companies </w:t>
      </w:r>
      <w:r w:rsidR="00E91181">
        <w:t>wi</w:t>
      </w:r>
      <w:r w:rsidR="00B33D50">
        <w:t xml:space="preserve">th </w:t>
      </w:r>
      <w:r w:rsidR="00E91181">
        <w:t>sufficient</w:t>
      </w:r>
      <w:r>
        <w:t xml:space="preserve"> data availability</w:t>
      </w:r>
      <w:r w:rsidR="00E91181">
        <w:t xml:space="preserve">. </w:t>
      </w:r>
      <w:r w:rsidR="002A3C13">
        <w:t xml:space="preserve">However, it low share in the aggregate sample should not </w:t>
      </w:r>
      <w:r w:rsidR="002A3C13" w:rsidRPr="002A3C13">
        <w:t>influence the results</w:t>
      </w:r>
      <w:r w:rsidRPr="002A3C13">
        <w:t>.</w:t>
      </w:r>
    </w:p>
    <w:p w:rsidR="00640542" w:rsidRDefault="005941FE" w:rsidP="00640542">
      <w:pPr>
        <w:pStyle w:val="numberedparagraph"/>
      </w:pPr>
      <w:r>
        <w:t>The relationship between Dagong indicative ratings and standalone ratings by Benchmark ECAIs is shown in</w:t>
      </w:r>
      <w:r w:rsidR="007C799D">
        <w:t xml:space="preserve"> </w:t>
      </w:r>
      <w:r w:rsidR="007C799D">
        <w:fldChar w:fldCharType="begin"/>
      </w:r>
      <w:r w:rsidR="007C799D">
        <w:instrText xml:space="preserve"> REF _Ref390963816 \h </w:instrText>
      </w:r>
      <w:r w:rsidR="007C799D">
        <w:fldChar w:fldCharType="separate"/>
      </w:r>
      <w:r w:rsidR="009F2323" w:rsidRPr="00C16FAA">
        <w:t xml:space="preserve">Figure </w:t>
      </w:r>
      <w:r w:rsidR="009F2323">
        <w:rPr>
          <w:noProof/>
        </w:rPr>
        <w:t>8</w:t>
      </w:r>
      <w:r w:rsidR="007C799D">
        <w:fldChar w:fldCharType="end"/>
      </w:r>
      <w:r>
        <w:t xml:space="preserve">. </w:t>
      </w:r>
      <w:r w:rsidR="00640542">
        <w:t>Based on this relationship, a</w:t>
      </w:r>
      <w:r w:rsidR="004C6F41">
        <w:t xml:space="preserve">n implied default rate has been calculated for each Dagong rating category as the </w:t>
      </w:r>
      <w:r w:rsidR="004C6F41" w:rsidRPr="00DB09F8">
        <w:t>weighted average of the long run default rate benchmarks</w:t>
      </w:r>
      <w:r w:rsidR="004C6F41">
        <w:t xml:space="preserve"> associated with the related categories </w:t>
      </w:r>
      <w:r w:rsidR="004C6F41" w:rsidRPr="00DB09F8">
        <w:t xml:space="preserve">of the </w:t>
      </w:r>
      <w:r w:rsidR="004C6F41">
        <w:t>benchmark ratings.</w:t>
      </w:r>
      <w:r w:rsidR="00640542">
        <w:t xml:space="preserve"> </w:t>
      </w:r>
      <w:r w:rsidR="004C6F41" w:rsidRPr="009F7C5C">
        <w:t xml:space="preserve">The </w:t>
      </w:r>
      <w:r w:rsidR="004C6F41">
        <w:t xml:space="preserve">result of the calculation of the implied </w:t>
      </w:r>
      <w:r w:rsidR="004C6F41" w:rsidRPr="009F7C5C">
        <w:t>default rate</w:t>
      </w:r>
      <w:r w:rsidR="004C6F41">
        <w:t>s</w:t>
      </w:r>
      <w:r w:rsidR="004C6F41" w:rsidRPr="009F7C5C" w:rsidDel="00D860C1">
        <w:t xml:space="preserve"> </w:t>
      </w:r>
      <w:r w:rsidR="004C6F41">
        <w:t xml:space="preserve">for </w:t>
      </w:r>
      <w:r w:rsidR="004C6F41" w:rsidRPr="009F7C5C">
        <w:t xml:space="preserve">each </w:t>
      </w:r>
      <w:r w:rsidR="004C6F41">
        <w:t>rating category</w:t>
      </w:r>
      <w:r w:rsidR="004C6F41" w:rsidRPr="009F7C5C">
        <w:t xml:space="preserve"> </w:t>
      </w:r>
      <w:r w:rsidR="004C6F41">
        <w:t>is shown in</w:t>
      </w:r>
      <w:r w:rsidR="007C799D">
        <w:t xml:space="preserve"> </w:t>
      </w:r>
      <w:r w:rsidR="007C799D">
        <w:fldChar w:fldCharType="begin"/>
      </w:r>
      <w:r w:rsidR="007C799D">
        <w:instrText xml:space="preserve"> REF _Ref390963816 \h </w:instrText>
      </w:r>
      <w:r w:rsidR="007C799D">
        <w:fldChar w:fldCharType="separate"/>
      </w:r>
      <w:r w:rsidR="009F2323" w:rsidRPr="00C16FAA">
        <w:t xml:space="preserve">Figure </w:t>
      </w:r>
      <w:r w:rsidR="009F2323">
        <w:rPr>
          <w:noProof/>
        </w:rPr>
        <w:t>8</w:t>
      </w:r>
      <w:r w:rsidR="007C799D">
        <w:fldChar w:fldCharType="end"/>
      </w:r>
      <w:r w:rsidR="00640542">
        <w:t>:</w:t>
      </w:r>
    </w:p>
    <w:p w:rsidR="002A4D65" w:rsidRDefault="001324EB" w:rsidP="00640542">
      <w:pPr>
        <w:pStyle w:val="bullet2"/>
      </w:pPr>
      <w:r>
        <w:rPr>
          <w:b/>
        </w:rPr>
        <w:t>AA</w:t>
      </w:r>
      <w:r w:rsidR="002A3C13">
        <w:rPr>
          <w:b/>
        </w:rPr>
        <w:t>A</w:t>
      </w:r>
      <w:r w:rsidR="00281B8E">
        <w:rPr>
          <w:b/>
        </w:rPr>
        <w:t>/A</w:t>
      </w:r>
      <w:r w:rsidR="002A3C13">
        <w:rPr>
          <w:b/>
        </w:rPr>
        <w:t xml:space="preserve">A, A, BBB, BB </w:t>
      </w:r>
      <w:r w:rsidR="00640542" w:rsidRPr="00640542">
        <w:rPr>
          <w:b/>
        </w:rPr>
        <w:t>and B:</w:t>
      </w:r>
      <w:r w:rsidR="00640542">
        <w:t xml:space="preserve"> The implied default rates suggest CQS 1, CQS 2</w:t>
      </w:r>
      <w:r w:rsidR="0089619C">
        <w:t>,</w:t>
      </w:r>
      <w:r w:rsidR="00640542">
        <w:t xml:space="preserve"> </w:t>
      </w:r>
      <w:r w:rsidR="002A3C13">
        <w:t xml:space="preserve">CQS 3, CQS 4 </w:t>
      </w:r>
      <w:r w:rsidR="00640542">
        <w:t>and CQS 5 for rating categories AAA/AA, A, BBB</w:t>
      </w:r>
      <w:r w:rsidR="002A3C13">
        <w:t>, BB</w:t>
      </w:r>
      <w:r w:rsidR="00640542">
        <w:t xml:space="preserve"> and B respectively, which is consistent with the Basel mapping.</w:t>
      </w:r>
      <w:r w:rsidR="00983F30">
        <w:t xml:space="preserve"> </w:t>
      </w:r>
      <w:r w:rsidR="00985871">
        <w:t>T</w:t>
      </w:r>
      <w:r w:rsidR="00983F30">
        <w:t>his factor confirms the mapping proposal based on the quantitative factors.</w:t>
      </w:r>
      <w:r w:rsidR="00281B8E">
        <w:t>.</w:t>
      </w:r>
    </w:p>
    <w:p w:rsidR="00031188" w:rsidRDefault="00640542" w:rsidP="00031188">
      <w:pPr>
        <w:pStyle w:val="bullet2"/>
      </w:pPr>
      <w:r w:rsidRPr="00281B8E">
        <w:rPr>
          <w:b/>
        </w:rPr>
        <w:t>CCC-C:</w:t>
      </w:r>
      <w:r>
        <w:t xml:space="preserve"> The lack of rated items in these categories does not allow </w:t>
      </w:r>
      <w:r w:rsidR="00FD0041">
        <w:t>computing</w:t>
      </w:r>
      <w:r>
        <w:t xml:space="preserve"> an implied default rate.</w:t>
      </w:r>
    </w:p>
    <w:p w:rsidR="003241DA" w:rsidRDefault="003241DA" w:rsidP="003241DA">
      <w:pPr>
        <w:pStyle w:val="Numberedtitlelevel4"/>
      </w:pPr>
      <w:r>
        <w:t>Other qualitative factors</w:t>
      </w:r>
    </w:p>
    <w:p w:rsidR="00892BE3" w:rsidRPr="00503464" w:rsidRDefault="00503464" w:rsidP="00892BE3">
      <w:pPr>
        <w:pStyle w:val="numberedparagraph"/>
        <w:rPr>
          <w:b/>
        </w:rPr>
      </w:pPr>
      <w:r>
        <w:t>Regarding t</w:t>
      </w:r>
      <w:r w:rsidR="003241DA">
        <w:t xml:space="preserve">he </w:t>
      </w:r>
      <w:r w:rsidR="003241DA" w:rsidRPr="00503464">
        <w:rPr>
          <w:b/>
        </w:rPr>
        <w:t>definition of default</w:t>
      </w:r>
      <w:r w:rsidR="003241DA">
        <w:t xml:space="preserve"> applied by </w:t>
      </w:r>
      <w:r w:rsidR="00640542">
        <w:t>Dagong</w:t>
      </w:r>
      <w:r>
        <w:t>,</w:t>
      </w:r>
      <w:r w:rsidR="003241DA">
        <w:t xml:space="preserve"> </w:t>
      </w:r>
      <w:r>
        <w:t xml:space="preserve">it </w:t>
      </w:r>
      <w:r w:rsidR="00A74E9D">
        <w:t>is not</w:t>
      </w:r>
      <w:r w:rsidR="00892BE3">
        <w:t xml:space="preserve"> used for the calculation of the quantitative factors</w:t>
      </w:r>
      <w:r w:rsidR="00A74E9D">
        <w:t xml:space="preserve"> as no rating data</w:t>
      </w:r>
      <w:r w:rsidR="00FF3C4D">
        <w:t xml:space="preserve"> is available</w:t>
      </w:r>
      <w:r>
        <w:t>. Therefore,</w:t>
      </w:r>
      <w:r w:rsidR="00892BE3">
        <w:t xml:space="preserve"> no specific adjustment has been </w:t>
      </w:r>
      <w:r w:rsidR="00892BE3" w:rsidRPr="00057B0F">
        <w:t>proposed</w:t>
      </w:r>
      <w:r w:rsidR="00892BE3">
        <w:t xml:space="preserve"> based on this factor.</w:t>
      </w:r>
    </w:p>
    <w:p w:rsidR="003241DA" w:rsidRPr="0093740E" w:rsidRDefault="003241DA" w:rsidP="003241DA">
      <w:pPr>
        <w:pStyle w:val="numberedparagraph"/>
      </w:pPr>
      <w:r w:rsidRPr="0093740E">
        <w:t xml:space="preserve">Regarding </w:t>
      </w:r>
      <w:r w:rsidRPr="0093740E">
        <w:rPr>
          <w:b/>
        </w:rPr>
        <w:t>the meaning and relative position of the credit assessments</w:t>
      </w:r>
      <w:r w:rsidRPr="0093740E">
        <w:t>,</w:t>
      </w:r>
      <w:r w:rsidR="000342AD">
        <w:t xml:space="preserve"> they are aligned with the mapping proposal resulting from th</w:t>
      </w:r>
      <w:r w:rsidR="00985871">
        <w:t>e quantitative factors</w:t>
      </w:r>
      <w:r w:rsidRPr="0093740E">
        <w:t>. In the case of the D</w:t>
      </w:r>
      <w:r w:rsidR="00892BE3" w:rsidRPr="0093740E">
        <w:t xml:space="preserve"> rating category</w:t>
      </w:r>
      <w:r w:rsidRPr="0093740E">
        <w:t xml:space="preserve">, </w:t>
      </w:r>
      <w:r w:rsidR="00892BE3" w:rsidRPr="0093740E">
        <w:t>its</w:t>
      </w:r>
      <w:r w:rsidRPr="0093740E">
        <w:t xml:space="preserve"> meaning is consistent with the one of CQS 6 stated in Annex II ITS.</w:t>
      </w:r>
    </w:p>
    <w:p w:rsidR="003241DA" w:rsidRDefault="003241DA" w:rsidP="003241DA">
      <w:pPr>
        <w:pStyle w:val="numberedparagraph"/>
      </w:pPr>
      <w:r>
        <w:t xml:space="preserve">Regarding the </w:t>
      </w:r>
      <w:r w:rsidRPr="00164E5D">
        <w:rPr>
          <w:b/>
        </w:rPr>
        <w:t>time horizon</w:t>
      </w:r>
      <w:r>
        <w:t xml:space="preserve"> reflected by the rating category, </w:t>
      </w:r>
      <w:r w:rsidR="00892BE3">
        <w:t>Dagong</w:t>
      </w:r>
      <w:r>
        <w:t>’s rating methodology focuses on the long-term. Although this cannot be further supported by transition probabilities due to the low number of ratings, no change is proposed to the mapping.</w:t>
      </w:r>
    </w:p>
    <w:p w:rsidR="003241DA" w:rsidRPr="00240789" w:rsidRDefault="003241DA" w:rsidP="003241DA">
      <w:pPr>
        <w:pStyle w:val="numberedparagraph"/>
      </w:pPr>
      <w:r>
        <w:lastRenderedPageBreak/>
        <w:t xml:space="preserve">Finally, it should be highlighted the use of the long run default rate benchmark associated with the equivalent category in the international rating scale as the </w:t>
      </w:r>
      <w:r w:rsidRPr="00125AFF">
        <w:rPr>
          <w:b/>
        </w:rPr>
        <w:t>estimate of the long run default rate</w:t>
      </w:r>
      <w:r>
        <w:t xml:space="preserve"> for (1) the calculation of the quantitative factor for all rating categories </w:t>
      </w:r>
      <w:r w:rsidR="00892BE3">
        <w:t xml:space="preserve">of Dagong </w:t>
      </w:r>
      <w:r>
        <w:t xml:space="preserve">under Article </w:t>
      </w:r>
      <w:r w:rsidR="0052253E">
        <w:t>6</w:t>
      </w:r>
      <w:r w:rsidR="000F4243">
        <w:t xml:space="preserve"> of the</w:t>
      </w:r>
      <w:r>
        <w:t xml:space="preserve"> ITS and (2) the </w:t>
      </w:r>
      <w:r w:rsidR="00892BE3">
        <w:t>calculation of implied default rates based on external standalone ratings</w:t>
      </w:r>
      <w:r>
        <w:t>.</w:t>
      </w:r>
    </w:p>
    <w:p w:rsidR="004E160A" w:rsidRDefault="004E160A" w:rsidP="00DF289C">
      <w:pPr>
        <w:pStyle w:val="Numberedtitlelevel2"/>
        <w:ind w:left="357" w:hanging="357"/>
        <w:outlineLvl w:val="0"/>
      </w:pPr>
      <w:r w:rsidRPr="00BE6527">
        <w:t>Mapping</w:t>
      </w:r>
      <w:r w:rsidRPr="004E160A">
        <w:t xml:space="preserve"> of </w:t>
      </w:r>
      <w:r w:rsidR="00544BDB">
        <w:t>Dagong</w:t>
      </w:r>
      <w:r w:rsidR="00821472" w:rsidRPr="004E160A">
        <w:t xml:space="preserve">’s </w:t>
      </w:r>
      <w:r w:rsidRPr="004E160A">
        <w:t>Short-</w:t>
      </w:r>
      <w:r w:rsidR="00544BDB">
        <w:t>t</w:t>
      </w:r>
      <w:r w:rsidRPr="004E160A">
        <w:t>e</w:t>
      </w:r>
      <w:r w:rsidR="00544BDB">
        <w:t>r</w:t>
      </w:r>
      <w:r w:rsidRPr="004E160A">
        <w:t xml:space="preserve">m </w:t>
      </w:r>
      <w:r w:rsidR="00821472">
        <w:t>credit rating scale</w:t>
      </w:r>
    </w:p>
    <w:p w:rsidR="00240789" w:rsidRDefault="00544BDB" w:rsidP="00240789">
      <w:pPr>
        <w:pStyle w:val="numberedparagraph"/>
      </w:pPr>
      <w:r>
        <w:t>Dagong</w:t>
      </w:r>
      <w:r w:rsidR="00240789">
        <w:t xml:space="preserve"> also produces short-term credit </w:t>
      </w:r>
      <w:r>
        <w:t xml:space="preserve">and issue </w:t>
      </w:r>
      <w:r w:rsidR="00240789">
        <w:t>ratings</w:t>
      </w:r>
      <w:r w:rsidR="00D7084A">
        <w:t xml:space="preserve"> and assigns them to </w:t>
      </w:r>
      <w:r w:rsidR="00D7084A" w:rsidRPr="00D7084A">
        <w:t xml:space="preserve">the </w:t>
      </w:r>
      <w:r w:rsidR="00240789" w:rsidRPr="00D7084A">
        <w:t>Short-term credit rating scale</w:t>
      </w:r>
      <w:r w:rsidR="00240789">
        <w:rPr>
          <w:b/>
        </w:rPr>
        <w:t xml:space="preserve"> </w:t>
      </w:r>
      <w:r w:rsidR="00240789">
        <w:t>(</w:t>
      </w:r>
      <w:r w:rsidR="00D7084A">
        <w:t xml:space="preserve">see </w:t>
      </w:r>
      <w:r>
        <w:fldChar w:fldCharType="begin"/>
      </w:r>
      <w:r>
        <w:instrText xml:space="preserve"> REF _Ref384802203 \h </w:instrText>
      </w:r>
      <w:r>
        <w:fldChar w:fldCharType="separate"/>
      </w:r>
      <w:r w:rsidR="009F2323" w:rsidRPr="0041788D">
        <w:rPr>
          <w:szCs w:val="22"/>
        </w:rPr>
        <w:t xml:space="preserve">Figure </w:t>
      </w:r>
      <w:r w:rsidR="009F2323">
        <w:rPr>
          <w:noProof/>
          <w:szCs w:val="22"/>
        </w:rPr>
        <w:t>4</w:t>
      </w:r>
      <w:r>
        <w:fldChar w:fldCharType="end"/>
      </w:r>
      <w:r w:rsidR="00D7084A">
        <w:t xml:space="preserve"> in </w:t>
      </w:r>
      <w:r w:rsidR="002B6F3D">
        <w:t>Appendix</w:t>
      </w:r>
      <w:r w:rsidR="00240789">
        <w:t xml:space="preserve"> 1). Given that the default information referred to these rating categories </w:t>
      </w:r>
      <w:r w:rsidR="00D7084A">
        <w:t xml:space="preserve">cannot be </w:t>
      </w:r>
      <w:r w:rsidR="00240789">
        <w:t xml:space="preserve">comparable with the 3-year time horizon that characterizes the benchmarks established in </w:t>
      </w:r>
      <w:r w:rsidR="00D7084A">
        <w:t xml:space="preserve">the </w:t>
      </w:r>
      <w:r w:rsidR="00240789">
        <w:t xml:space="preserve">ITS, the internal relationship established by </w:t>
      </w:r>
      <w:r>
        <w:t>Dagong</w:t>
      </w:r>
      <w:r w:rsidR="00240789">
        <w:t xml:space="preserve"> between these two rating scales (described in </w:t>
      </w:r>
      <w:r w:rsidR="00D7084A">
        <w:fldChar w:fldCharType="begin"/>
      </w:r>
      <w:r w:rsidR="00D7084A">
        <w:instrText xml:space="preserve"> REF _Ref384802409 \h </w:instrText>
      </w:r>
      <w:r w:rsidR="00D7084A">
        <w:fldChar w:fldCharType="separate"/>
      </w:r>
      <w:r w:rsidR="009F2323" w:rsidRPr="0041788D">
        <w:rPr>
          <w:szCs w:val="22"/>
        </w:rPr>
        <w:t xml:space="preserve">Figure </w:t>
      </w:r>
      <w:r w:rsidR="009F2323">
        <w:rPr>
          <w:noProof/>
          <w:szCs w:val="22"/>
        </w:rPr>
        <w:t>5</w:t>
      </w:r>
      <w:r w:rsidR="00D7084A">
        <w:fldChar w:fldCharType="end"/>
      </w:r>
      <w:r w:rsidR="00240789">
        <w:t xml:space="preserve"> of </w:t>
      </w:r>
      <w:r w:rsidR="002B6F3D">
        <w:t>Appendix</w:t>
      </w:r>
      <w:r w:rsidR="00240789">
        <w:t xml:space="preserve"> 1) has been used to derive the mapping of the </w:t>
      </w:r>
      <w:r w:rsidR="00D7084A">
        <w:t>S</w:t>
      </w:r>
      <w:r w:rsidR="00240789">
        <w:t xml:space="preserve">hort-term </w:t>
      </w:r>
      <w:r>
        <w:t>c</w:t>
      </w:r>
      <w:r w:rsidR="00D7084A">
        <w:t>r</w:t>
      </w:r>
      <w:r>
        <w:t>edit</w:t>
      </w:r>
      <w:r w:rsidR="00D7084A">
        <w:t xml:space="preserve"> </w:t>
      </w:r>
      <w:r w:rsidR="00240789">
        <w:t>rating scale. This should ensure the consistency of</w:t>
      </w:r>
      <w:r>
        <w:t xml:space="preserve"> the mappings proposed for Dagong</w:t>
      </w:r>
      <w:r w:rsidR="000460D5">
        <w:t>.</w:t>
      </w:r>
    </w:p>
    <w:p w:rsidR="00240789" w:rsidRDefault="00240789" w:rsidP="00240789">
      <w:pPr>
        <w:pStyle w:val="numberedparagraph"/>
      </w:pPr>
      <w:r>
        <w:t xml:space="preserve">More specifically, as each short-term </w:t>
      </w:r>
      <w:r w:rsidR="00544BDB">
        <w:t>r</w:t>
      </w:r>
      <w:r>
        <w:t xml:space="preserve">ating </w:t>
      </w:r>
      <w:r w:rsidR="00C746C8">
        <w:t xml:space="preserve">can be </w:t>
      </w:r>
      <w:r>
        <w:t>associated with a range of long-term ratings,</w:t>
      </w:r>
      <w:r w:rsidRPr="00B960D0">
        <w:t xml:space="preserve"> </w:t>
      </w:r>
      <w:r>
        <w:t>t</w:t>
      </w:r>
      <w:r w:rsidRPr="00494B47">
        <w:t xml:space="preserve">he CQS assigned to the short-term credit rating category </w:t>
      </w:r>
      <w:r w:rsidR="00C746C8">
        <w:t xml:space="preserve">has been </w:t>
      </w:r>
      <w:r w:rsidRPr="00494B47">
        <w:t xml:space="preserve">determined based on the most </w:t>
      </w:r>
      <w:r w:rsidR="007B6937">
        <w:t xml:space="preserve">frequent </w:t>
      </w:r>
      <w:r w:rsidR="00C746C8">
        <w:t xml:space="preserve">CQS </w:t>
      </w:r>
      <w:r w:rsidR="007B6937">
        <w:t>assigned to</w:t>
      </w:r>
      <w:r w:rsidR="00C746C8">
        <w:t xml:space="preserve"> the </w:t>
      </w:r>
      <w:r w:rsidR="007B6937">
        <w:t xml:space="preserve">related </w:t>
      </w:r>
      <w:r w:rsidRPr="00494B47">
        <w:t>long-term credit rating categor</w:t>
      </w:r>
      <w:r w:rsidR="00C746C8">
        <w:t>ies</w:t>
      </w:r>
      <w:r w:rsidRPr="00494B47">
        <w:t>.</w:t>
      </w:r>
      <w:r>
        <w:t xml:space="preserve"> In case of draw, the most conservative CQS </w:t>
      </w:r>
      <w:r w:rsidR="00C746C8">
        <w:t>ha</w:t>
      </w:r>
      <w:r>
        <w:t xml:space="preserve">s </w:t>
      </w:r>
      <w:r w:rsidR="00C746C8">
        <w:t xml:space="preserve">been </w:t>
      </w:r>
      <w:r>
        <w:t>considered.</w:t>
      </w:r>
      <w:r w:rsidR="00E0157A">
        <w:t xml:space="preserve"> If the most frequent step is identified as CQS 5 or 6, CQS 4 is allocated, as </w:t>
      </w:r>
      <w:r w:rsidR="00E0157A" w:rsidRPr="00984F9E">
        <w:t>the risk weights assigned to CQS</w:t>
      </w:r>
      <w:r w:rsidR="00E0157A" w:rsidRPr="005E21E7">
        <w:t xml:space="preserve"> 4 to 6 are</w:t>
      </w:r>
      <w:r w:rsidR="00E0157A">
        <w:t xml:space="preserve"> all</w:t>
      </w:r>
      <w:r w:rsidR="00E0157A" w:rsidRPr="005E21E7">
        <w:t xml:space="preserve"> equal to 150% according to Article 131 CRR</w:t>
      </w:r>
      <w:r w:rsidR="000460D5">
        <w:t>.</w:t>
      </w:r>
      <w:r w:rsidR="00C10FBA">
        <w:t xml:space="preserve"> </w:t>
      </w:r>
    </w:p>
    <w:p w:rsidR="00C10FBA" w:rsidRDefault="00B06884" w:rsidP="00DF76E0">
      <w:pPr>
        <w:pStyle w:val="numberedparagraph"/>
      </w:pPr>
      <w:r>
        <w:t>The result</w:t>
      </w:r>
      <w:r w:rsidR="003B3836">
        <w:t>s</w:t>
      </w:r>
      <w:r>
        <w:t xml:space="preserve"> </w:t>
      </w:r>
      <w:r w:rsidR="000C3F54">
        <w:t>are</w:t>
      </w:r>
      <w:r w:rsidR="00240789">
        <w:t xml:space="preserve"> shown in </w:t>
      </w:r>
      <w:r w:rsidR="00C10FBA">
        <w:fldChar w:fldCharType="begin"/>
      </w:r>
      <w:r w:rsidR="00C10FBA">
        <w:instrText xml:space="preserve"> REF _Ref391022855 \h </w:instrText>
      </w:r>
      <w:r w:rsidR="00C10FBA">
        <w:fldChar w:fldCharType="separate"/>
      </w:r>
      <w:r w:rsidR="009F2323" w:rsidRPr="0041788D">
        <w:rPr>
          <w:szCs w:val="22"/>
        </w:rPr>
        <w:t xml:space="preserve">Figure </w:t>
      </w:r>
      <w:r w:rsidR="009F2323">
        <w:rPr>
          <w:noProof/>
          <w:szCs w:val="22"/>
        </w:rPr>
        <w:t>12</w:t>
      </w:r>
      <w:r w:rsidR="00C10FBA">
        <w:fldChar w:fldCharType="end"/>
      </w:r>
      <w:r w:rsidR="00C10FBA">
        <w:t xml:space="preserve"> and </w:t>
      </w:r>
      <w:r w:rsidR="00C10FBA">
        <w:fldChar w:fldCharType="begin"/>
      </w:r>
      <w:r w:rsidR="00C10FBA">
        <w:instrText xml:space="preserve"> REF _Ref425347721 \h </w:instrText>
      </w:r>
      <w:r w:rsidR="00C10FBA">
        <w:fldChar w:fldCharType="separate"/>
      </w:r>
      <w:r w:rsidR="009F2323" w:rsidRPr="0041788D">
        <w:rPr>
          <w:szCs w:val="22"/>
        </w:rPr>
        <w:t xml:space="preserve">Figure </w:t>
      </w:r>
      <w:r w:rsidR="009F2323">
        <w:rPr>
          <w:noProof/>
          <w:szCs w:val="22"/>
        </w:rPr>
        <w:t>13</w:t>
      </w:r>
      <w:r w:rsidR="00C10FBA">
        <w:fldChar w:fldCharType="end"/>
      </w:r>
      <w:r w:rsidR="000C3F54">
        <w:t xml:space="preserve"> </w:t>
      </w:r>
      <w:r w:rsidR="00240789">
        <w:t xml:space="preserve">of </w:t>
      </w:r>
      <w:r w:rsidR="002B6F3D">
        <w:t>Appendix</w:t>
      </w:r>
      <w:r w:rsidR="00240789">
        <w:t xml:space="preserve"> 4</w:t>
      </w:r>
      <w:r w:rsidR="00C10FBA">
        <w:t>.</w:t>
      </w:r>
    </w:p>
    <w:p w:rsidR="00F07025" w:rsidRPr="00F07025" w:rsidRDefault="00F07025" w:rsidP="00F07025">
      <w:pPr>
        <w:pStyle w:val="bullet2"/>
      </w:pPr>
      <w:r w:rsidRPr="00F07025">
        <w:rPr>
          <w:b/>
        </w:rPr>
        <w:t>A-1</w:t>
      </w:r>
      <w:r>
        <w:t>. The issuers rated A-</w:t>
      </w:r>
      <w:r w:rsidRPr="00F07025">
        <w:t>1 enjoy superior short term financial strength, which is adequate to repay all short term debt obligations. It is internally mapped to long-term categories from AAA to A-, which are all mapped to CQS</w:t>
      </w:r>
      <w:r w:rsidR="00DF76E0">
        <w:t xml:space="preserve"> </w:t>
      </w:r>
      <w:r w:rsidR="00C10FBA">
        <w:t xml:space="preserve">1 and CQS </w:t>
      </w:r>
      <w:r w:rsidRPr="00F07025">
        <w:t>2. Therefore, CQS</w:t>
      </w:r>
      <w:r w:rsidR="00DF76E0">
        <w:t xml:space="preserve"> </w:t>
      </w:r>
      <w:r w:rsidR="00C10FBA">
        <w:t>1</w:t>
      </w:r>
      <w:r w:rsidR="00C10FBA" w:rsidRPr="00F07025">
        <w:t xml:space="preserve"> </w:t>
      </w:r>
      <w:r w:rsidRPr="00F07025">
        <w:t>is the proposed mapping.</w:t>
      </w:r>
    </w:p>
    <w:p w:rsidR="00F07025" w:rsidRPr="00F07025" w:rsidRDefault="00F07025" w:rsidP="00F07025">
      <w:pPr>
        <w:pStyle w:val="bullet2"/>
      </w:pPr>
      <w:r w:rsidRPr="00F07025">
        <w:rPr>
          <w:b/>
        </w:rPr>
        <w:tab/>
        <w:t>A-2.</w:t>
      </w:r>
      <w:r>
        <w:t xml:space="preserve"> The issuers rated A-</w:t>
      </w:r>
      <w:r w:rsidRPr="00F07025">
        <w:t>2 have strong short-term financial strength to repay all short term obligations. However, such capacity could be affected, at a limited level, by the adverse macro environment. It is internally mapped to long-term categories A- to BBB, which in turn range between CQS</w:t>
      </w:r>
      <w:r w:rsidR="00DF76E0">
        <w:t xml:space="preserve"> </w:t>
      </w:r>
      <w:r w:rsidRPr="00F07025">
        <w:t>2 and CQS</w:t>
      </w:r>
      <w:r w:rsidR="00DF76E0">
        <w:t xml:space="preserve"> </w:t>
      </w:r>
      <w:r w:rsidRPr="00F07025">
        <w:t>3. Therefore, CQS</w:t>
      </w:r>
      <w:r w:rsidR="00DF76E0">
        <w:t xml:space="preserve"> </w:t>
      </w:r>
      <w:r w:rsidRPr="00F07025">
        <w:t>3 is the proposed mapping.</w:t>
      </w:r>
    </w:p>
    <w:p w:rsidR="00F07025" w:rsidRPr="00F07025" w:rsidRDefault="00F07025" w:rsidP="00F07025">
      <w:pPr>
        <w:pStyle w:val="bullet2"/>
      </w:pPr>
      <w:r w:rsidRPr="00F07025">
        <w:rPr>
          <w:b/>
        </w:rPr>
        <w:t>A-3.</w:t>
      </w:r>
      <w:r>
        <w:t xml:space="preserve"> The issuers rated A-</w:t>
      </w:r>
      <w:r w:rsidRPr="00F07025">
        <w:t>3 have sufficient ability to pay their short-term obligations. However, this ability could be impaired by an adverse macro environment. It is internally mapped to long-term categories BBB and BBB-, which in turn are mapped to CQS</w:t>
      </w:r>
      <w:r w:rsidR="00DF76E0">
        <w:t xml:space="preserve"> </w:t>
      </w:r>
      <w:r w:rsidRPr="00F07025">
        <w:t>3. Therefore, CQS</w:t>
      </w:r>
      <w:r w:rsidR="00DF76E0">
        <w:t xml:space="preserve"> </w:t>
      </w:r>
      <w:r w:rsidRPr="00F07025">
        <w:t>3 is the proposed mapping.</w:t>
      </w:r>
    </w:p>
    <w:p w:rsidR="00F07025" w:rsidRPr="00F07025" w:rsidRDefault="00F07025" w:rsidP="00F07025">
      <w:pPr>
        <w:pStyle w:val="bullet2"/>
      </w:pPr>
      <w:r w:rsidRPr="00F07025">
        <w:rPr>
          <w:b/>
        </w:rPr>
        <w:t>B.</w:t>
      </w:r>
      <w:r w:rsidRPr="00F07025">
        <w:t xml:space="preserve"> The issuers rated B have an acceptable ability to repay its short-term obligations. However, a substantial level of speculative characteristics is present. This rating category implies an adequate capacity for timely repayment that could be seriously affected by unexpected adversities. It is internally mapped to long-term categories BB+ to B-, which </w:t>
      </w:r>
      <w:r w:rsidRPr="00F07025">
        <w:lastRenderedPageBreak/>
        <w:t>mappings range between CQS</w:t>
      </w:r>
      <w:r w:rsidR="00DF76E0">
        <w:t xml:space="preserve"> 4</w:t>
      </w:r>
      <w:r w:rsidRPr="00F07025">
        <w:t xml:space="preserve"> and CQS</w:t>
      </w:r>
      <w:r>
        <w:t xml:space="preserve"> </w:t>
      </w:r>
      <w:r w:rsidR="00DF76E0">
        <w:t>5</w:t>
      </w:r>
      <w:r w:rsidRPr="00F07025">
        <w:t>. Since the risk weights assigned to CQS4 to 6 are all equal to 150% according to Article 131 CRR, the mapping proposed for the B rating category is CQS</w:t>
      </w:r>
      <w:r w:rsidR="00DF76E0">
        <w:t xml:space="preserve"> </w:t>
      </w:r>
      <w:r w:rsidRPr="00F07025">
        <w:t>4.</w:t>
      </w:r>
    </w:p>
    <w:p w:rsidR="00F07025" w:rsidRDefault="00F07025" w:rsidP="00F07025">
      <w:pPr>
        <w:pStyle w:val="bullet2"/>
      </w:pPr>
      <w:r w:rsidRPr="00F07025">
        <w:rPr>
          <w:b/>
        </w:rPr>
        <w:tab/>
        <w:t>C.</w:t>
      </w:r>
      <w:r w:rsidRPr="00F07025">
        <w:t xml:space="preserve"> The issuers rated C show a questionable ability to pay their short-term obligations. A default is plausible for these issuers. It is internally mapped to long-term categories </w:t>
      </w:r>
      <w:r>
        <w:t>CC+ to C</w:t>
      </w:r>
      <w:r w:rsidRPr="00F07025">
        <w:t xml:space="preserve">, which </w:t>
      </w:r>
      <w:r>
        <w:t xml:space="preserve">are all mapped to </w:t>
      </w:r>
      <w:r w:rsidRPr="00F07025">
        <w:t>CQS</w:t>
      </w:r>
      <w:r w:rsidR="00DF76E0">
        <w:t xml:space="preserve"> </w:t>
      </w:r>
      <w:r w:rsidRPr="00F07025">
        <w:t>6. Since the risk weights assigned to CQS</w:t>
      </w:r>
      <w:r>
        <w:t xml:space="preserve"> </w:t>
      </w:r>
      <w:r w:rsidRPr="00F07025">
        <w:t>4 to 6 are all equal to 150% according to Article 131 CRR, the mapping proposed for the C rating category is CQS</w:t>
      </w:r>
      <w:r w:rsidR="00DF76E0">
        <w:t xml:space="preserve"> </w:t>
      </w:r>
      <w:r w:rsidRPr="00F07025">
        <w:t>4.</w:t>
      </w:r>
    </w:p>
    <w:p w:rsidR="00F07025" w:rsidRDefault="00F07025" w:rsidP="00F07025">
      <w:pPr>
        <w:pStyle w:val="bullet2"/>
      </w:pPr>
      <w:r>
        <w:rPr>
          <w:b/>
        </w:rPr>
        <w:t>D</w:t>
      </w:r>
      <w:r w:rsidRPr="00F07025">
        <w:rPr>
          <w:b/>
        </w:rPr>
        <w:t>.</w:t>
      </w:r>
      <w:r>
        <w:t xml:space="preserve"> The issuers rated D</w:t>
      </w:r>
      <w:r w:rsidRPr="00F07025">
        <w:t xml:space="preserve"> </w:t>
      </w:r>
      <w:r>
        <w:t xml:space="preserve">is in default, </w:t>
      </w:r>
      <w:r w:rsidRPr="00D10F07">
        <w:t xml:space="preserve">consistent with the meaning and </w:t>
      </w:r>
      <w:r>
        <w:t>relative position</w:t>
      </w:r>
      <w:r w:rsidRPr="000C2FF6">
        <w:t xml:space="preserve"> representative of CQS</w:t>
      </w:r>
      <w:r w:rsidRPr="00FD58BF">
        <w:t xml:space="preserve"> </w:t>
      </w:r>
      <w:r w:rsidRPr="001D4311">
        <w:t>6. In addition, it is internally mapped to long-term categor</w:t>
      </w:r>
      <w:r>
        <w:t>y</w:t>
      </w:r>
      <w:r w:rsidRPr="001D4311">
        <w:t xml:space="preserve"> </w:t>
      </w:r>
      <w:r>
        <w:t>D,</w:t>
      </w:r>
      <w:r w:rsidRPr="00D10F07">
        <w:t xml:space="preserve"> which </w:t>
      </w:r>
      <w:r>
        <w:t>is</w:t>
      </w:r>
      <w:r w:rsidRPr="00D10F07">
        <w:t xml:space="preserve"> mapped to CQS </w:t>
      </w:r>
      <w:r w:rsidRPr="00984F9E">
        <w:t>6. Since the risk weights assigned to CQS</w:t>
      </w:r>
      <w:r w:rsidRPr="005E21E7">
        <w:t xml:space="preserve"> 4 to 6 are equal to 150% according to Article 131 CRR, the mapping proposed for the </w:t>
      </w:r>
      <w:r>
        <w:t>D</w:t>
      </w:r>
      <w:r w:rsidRPr="005E21E7">
        <w:t xml:space="preserve"> rating category is CQS 4</w:t>
      </w:r>
      <w:r>
        <w:t>.</w:t>
      </w:r>
    </w:p>
    <w:p w:rsidR="00C10FBA" w:rsidRDefault="00C10FBA" w:rsidP="00D84B53">
      <w:pPr>
        <w:pStyle w:val="bullet2"/>
        <w:numPr>
          <w:ilvl w:val="0"/>
          <w:numId w:val="0"/>
        </w:numPr>
        <w:ind w:left="766" w:hanging="340"/>
      </w:pPr>
    </w:p>
    <w:p w:rsidR="00C10FBA" w:rsidRPr="00F07025" w:rsidRDefault="00C10FBA" w:rsidP="00D84B53">
      <w:pPr>
        <w:pStyle w:val="bullet2"/>
        <w:numPr>
          <w:ilvl w:val="0"/>
          <w:numId w:val="0"/>
        </w:numPr>
        <w:ind w:left="766" w:hanging="340"/>
        <w:sectPr w:rsidR="00C10FBA" w:rsidRPr="00F07025" w:rsidSect="002F6CF0">
          <w:headerReference w:type="even" r:id="rId8"/>
          <w:headerReference w:type="default" r:id="rId9"/>
          <w:footerReference w:type="even" r:id="rId10"/>
          <w:footerReference w:type="default" r:id="rId11"/>
          <w:headerReference w:type="first" r:id="rId12"/>
          <w:footerReference w:type="first" r:id="rId13"/>
          <w:pgSz w:w="11900" w:h="16840"/>
          <w:pgMar w:top="2268" w:right="1418" w:bottom="1134" w:left="1701" w:header="709" w:footer="709" w:gutter="0"/>
          <w:cols w:space="708"/>
          <w:titlePg/>
          <w:docGrid w:linePitch="299"/>
        </w:sectPr>
      </w:pPr>
    </w:p>
    <w:p w:rsidR="00F434D1" w:rsidRPr="00BE6527" w:rsidRDefault="00F434D1" w:rsidP="00D84B53">
      <w:pPr>
        <w:pStyle w:val="Titlelevel2"/>
        <w:outlineLvl w:val="0"/>
      </w:pPr>
      <w:r w:rsidRPr="00BE6527">
        <w:lastRenderedPageBreak/>
        <w:t xml:space="preserve">Appendix 1: </w:t>
      </w:r>
      <w:r w:rsidRPr="00BE6527">
        <w:tab/>
        <w:t>Credit ratings and rating scales</w:t>
      </w:r>
    </w:p>
    <w:p w:rsidR="00892B01" w:rsidRDefault="0041788D" w:rsidP="00C45D4A">
      <w:pPr>
        <w:pStyle w:val="Figuretitle"/>
      </w:pPr>
      <w:bookmarkStart w:id="4" w:name="_Ref384801505"/>
      <w:bookmarkStart w:id="5" w:name="_Toc239218820"/>
      <w:bookmarkStart w:id="6" w:name="_Toc239234626"/>
      <w:r w:rsidRPr="0041788D">
        <w:rPr>
          <w:szCs w:val="22"/>
        </w:rPr>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9F2323">
        <w:rPr>
          <w:szCs w:val="22"/>
        </w:rPr>
        <w:t>2</w:t>
      </w:r>
      <w:r w:rsidRPr="0041788D">
        <w:rPr>
          <w:szCs w:val="22"/>
        </w:rPr>
        <w:fldChar w:fldCharType="end"/>
      </w:r>
      <w:bookmarkEnd w:id="4"/>
      <w:r w:rsidRPr="0041788D">
        <w:rPr>
          <w:szCs w:val="22"/>
        </w:rPr>
        <w:t xml:space="preserve">: </w:t>
      </w:r>
      <w:bookmarkEnd w:id="5"/>
      <w:bookmarkEnd w:id="6"/>
      <w:r w:rsidR="00544BDB">
        <w:rPr>
          <w:szCs w:val="22"/>
        </w:rPr>
        <w:t>Dagong</w:t>
      </w:r>
      <w:r w:rsidR="00892B01" w:rsidRPr="00892B01">
        <w:t>’s relevant credit ratings and rating scales</w:t>
      </w:r>
    </w:p>
    <w:tbl>
      <w:tblPr>
        <w:tblStyle w:val="EBAtable"/>
        <w:tblW w:w="11845" w:type="dxa"/>
        <w:tblLayout w:type="fixed"/>
        <w:tblLook w:val="04A0" w:firstRow="1" w:lastRow="0" w:firstColumn="1" w:lastColumn="0" w:noHBand="0" w:noVBand="1"/>
      </w:tblPr>
      <w:tblGrid>
        <w:gridCol w:w="4023"/>
        <w:gridCol w:w="4098"/>
        <w:gridCol w:w="3724"/>
      </w:tblGrid>
      <w:tr w:rsidR="00892B01" w:rsidRPr="00612352" w:rsidTr="00E11150">
        <w:trPr>
          <w:cnfStyle w:val="100000000000" w:firstRow="1" w:lastRow="0" w:firstColumn="0" w:lastColumn="0" w:oddVBand="0" w:evenVBand="0" w:oddHBand="0" w:evenHBand="0" w:firstRowFirstColumn="0" w:firstRowLastColumn="0" w:lastRowFirstColumn="0" w:lastRowLastColumn="0"/>
        </w:trPr>
        <w:tc>
          <w:tcPr>
            <w:tcW w:w="4023" w:type="dxa"/>
          </w:tcPr>
          <w:p w:rsidR="00892B01" w:rsidRPr="00612352" w:rsidRDefault="00892B01" w:rsidP="007036AB">
            <w:pPr>
              <w:pStyle w:val="Tableheader"/>
              <w:spacing w:before="120"/>
              <w:rPr>
                <w:lang w:val="en-GB"/>
              </w:rPr>
            </w:pPr>
            <w:r w:rsidRPr="00892B01">
              <w:t>SA exposure classes</w:t>
            </w:r>
          </w:p>
        </w:tc>
        <w:tc>
          <w:tcPr>
            <w:tcW w:w="4098" w:type="dxa"/>
          </w:tcPr>
          <w:p w:rsidR="00892B01" w:rsidRPr="00612352" w:rsidRDefault="00892B01" w:rsidP="007036AB">
            <w:pPr>
              <w:pStyle w:val="Tableheader"/>
              <w:spacing w:before="120"/>
              <w:rPr>
                <w:lang w:val="en-GB"/>
              </w:rPr>
            </w:pPr>
            <w:r w:rsidRPr="00892B01">
              <w:rPr>
                <w:lang w:val="en-GB"/>
              </w:rPr>
              <w:t>Name of credit rating</w:t>
            </w:r>
          </w:p>
        </w:tc>
        <w:tc>
          <w:tcPr>
            <w:tcW w:w="3724" w:type="dxa"/>
          </w:tcPr>
          <w:p w:rsidR="00892B01" w:rsidRPr="00612352" w:rsidRDefault="00892B01" w:rsidP="007036AB">
            <w:pPr>
              <w:pStyle w:val="Tableheader"/>
              <w:spacing w:before="120"/>
              <w:rPr>
                <w:lang w:val="en-GB"/>
              </w:rPr>
            </w:pPr>
            <w:r w:rsidRPr="00892B01">
              <w:t>Credit rating scale</w:t>
            </w:r>
          </w:p>
        </w:tc>
      </w:tr>
      <w:tr w:rsidR="00892B01" w:rsidRPr="00612352" w:rsidTr="00E11150">
        <w:tc>
          <w:tcPr>
            <w:tcW w:w="4023" w:type="dxa"/>
            <w:tcBorders>
              <w:bottom w:val="single" w:sz="2" w:space="0" w:color="000000" w:themeColor="text1"/>
            </w:tcBorders>
            <w:vAlign w:val="top"/>
          </w:tcPr>
          <w:p w:rsidR="00892B01" w:rsidRPr="00892B01" w:rsidRDefault="00892B01" w:rsidP="00245FF8">
            <w:pPr>
              <w:spacing w:before="120" w:after="120"/>
              <w:rPr>
                <w:b/>
              </w:rPr>
            </w:pPr>
            <w:r w:rsidRPr="00892B01">
              <w:rPr>
                <w:b/>
              </w:rPr>
              <w:t>Long-term ratings</w:t>
            </w:r>
          </w:p>
        </w:tc>
        <w:tc>
          <w:tcPr>
            <w:tcW w:w="4098" w:type="dxa"/>
            <w:tcBorders>
              <w:bottom w:val="single" w:sz="2" w:space="0" w:color="000000" w:themeColor="text1"/>
            </w:tcBorders>
            <w:vAlign w:val="top"/>
          </w:tcPr>
          <w:p w:rsidR="00892B01" w:rsidRPr="0002510A" w:rsidRDefault="00892B01" w:rsidP="00245FF8">
            <w:pPr>
              <w:spacing w:before="120" w:after="120"/>
            </w:pPr>
          </w:p>
        </w:tc>
        <w:tc>
          <w:tcPr>
            <w:tcW w:w="3724" w:type="dxa"/>
            <w:tcBorders>
              <w:bottom w:val="single" w:sz="2" w:space="0" w:color="000000" w:themeColor="text1"/>
            </w:tcBorders>
            <w:vAlign w:val="top"/>
          </w:tcPr>
          <w:p w:rsidR="00892B01" w:rsidRDefault="00892B01" w:rsidP="00245FF8">
            <w:pPr>
              <w:spacing w:before="120" w:after="120"/>
            </w:pPr>
          </w:p>
        </w:tc>
      </w:tr>
      <w:tr w:rsidR="005B3D67" w:rsidRPr="00612352" w:rsidTr="00E11150">
        <w:tc>
          <w:tcPr>
            <w:tcW w:w="4023" w:type="dxa"/>
            <w:tcBorders>
              <w:top w:val="single" w:sz="2" w:space="0" w:color="000000" w:themeColor="text1"/>
              <w:bottom w:val="nil"/>
            </w:tcBorders>
            <w:vAlign w:val="top"/>
          </w:tcPr>
          <w:p w:rsidR="005B3D67" w:rsidRPr="00CB6878" w:rsidRDefault="005B3D67" w:rsidP="005B3D67">
            <w:pPr>
              <w:spacing w:before="120" w:after="120"/>
            </w:pPr>
            <w:r w:rsidRPr="00CB6878">
              <w:t>Institutions</w:t>
            </w:r>
          </w:p>
        </w:tc>
        <w:tc>
          <w:tcPr>
            <w:tcW w:w="4098" w:type="dxa"/>
            <w:tcBorders>
              <w:top w:val="single" w:sz="2" w:space="0" w:color="000000" w:themeColor="text1"/>
              <w:bottom w:val="nil"/>
            </w:tcBorders>
            <w:vAlign w:val="top"/>
          </w:tcPr>
          <w:p w:rsidR="005B3D67" w:rsidRPr="00CB6878" w:rsidRDefault="005B3D67" w:rsidP="005B3D67">
            <w:pPr>
              <w:spacing w:before="120" w:after="120"/>
            </w:pPr>
            <w:r>
              <w:t>L</w:t>
            </w:r>
            <w:r w:rsidRPr="00CB6878">
              <w:t>ong term credit rating</w:t>
            </w:r>
          </w:p>
        </w:tc>
        <w:tc>
          <w:tcPr>
            <w:tcW w:w="3724" w:type="dxa"/>
            <w:tcBorders>
              <w:top w:val="single" w:sz="2" w:space="0" w:color="000000" w:themeColor="text1"/>
              <w:bottom w:val="nil"/>
            </w:tcBorders>
            <w:vAlign w:val="top"/>
          </w:tcPr>
          <w:p w:rsidR="005B3D67" w:rsidRPr="005B3D67" w:rsidRDefault="005B3D67" w:rsidP="005B3D67">
            <w:pPr>
              <w:spacing w:before="120" w:after="120"/>
            </w:pPr>
            <w:r>
              <w:t>L</w:t>
            </w:r>
            <w:r w:rsidRPr="00CB6878">
              <w:t>ong term credit rating scale</w:t>
            </w:r>
          </w:p>
        </w:tc>
      </w:tr>
      <w:tr w:rsidR="005B3D67" w:rsidRPr="00612352" w:rsidTr="00E11150">
        <w:tc>
          <w:tcPr>
            <w:tcW w:w="4023" w:type="dxa"/>
            <w:tcBorders>
              <w:top w:val="nil"/>
              <w:bottom w:val="single" w:sz="2" w:space="0" w:color="000000" w:themeColor="text1"/>
            </w:tcBorders>
            <w:vAlign w:val="top"/>
          </w:tcPr>
          <w:p w:rsidR="005B3D67" w:rsidRPr="00CB6878" w:rsidRDefault="005B3D67" w:rsidP="005B3D67">
            <w:pPr>
              <w:spacing w:before="120" w:after="120"/>
            </w:pPr>
          </w:p>
        </w:tc>
        <w:tc>
          <w:tcPr>
            <w:tcW w:w="4098" w:type="dxa"/>
            <w:tcBorders>
              <w:top w:val="nil"/>
              <w:bottom w:val="single" w:sz="2" w:space="0" w:color="000000" w:themeColor="text1"/>
            </w:tcBorders>
            <w:vAlign w:val="top"/>
          </w:tcPr>
          <w:p w:rsidR="005B3D67" w:rsidRPr="00CB6878" w:rsidRDefault="005B3D67" w:rsidP="005B3D67">
            <w:pPr>
              <w:spacing w:before="120" w:after="120"/>
            </w:pPr>
            <w:r>
              <w:t>L</w:t>
            </w:r>
            <w:r w:rsidRPr="00CB6878">
              <w:t>ong term issue rating</w:t>
            </w:r>
          </w:p>
        </w:tc>
        <w:tc>
          <w:tcPr>
            <w:tcW w:w="3724" w:type="dxa"/>
            <w:tcBorders>
              <w:top w:val="nil"/>
              <w:bottom w:val="single" w:sz="2" w:space="0" w:color="000000" w:themeColor="text1"/>
            </w:tcBorders>
            <w:vAlign w:val="top"/>
          </w:tcPr>
          <w:p w:rsidR="005B3D67" w:rsidRPr="00CB6878" w:rsidRDefault="005B3D67" w:rsidP="005B3D67">
            <w:pPr>
              <w:spacing w:before="120" w:after="120"/>
            </w:pPr>
            <w:r>
              <w:t>L</w:t>
            </w:r>
            <w:r w:rsidRPr="00CB6878">
              <w:t>ong term credit rating scale</w:t>
            </w:r>
          </w:p>
        </w:tc>
      </w:tr>
      <w:tr w:rsidR="005B3D67" w:rsidRPr="00612352" w:rsidTr="00E11150">
        <w:tc>
          <w:tcPr>
            <w:tcW w:w="4023" w:type="dxa"/>
            <w:tcBorders>
              <w:top w:val="single" w:sz="2" w:space="0" w:color="000000" w:themeColor="text1"/>
              <w:bottom w:val="nil"/>
            </w:tcBorders>
            <w:vAlign w:val="top"/>
          </w:tcPr>
          <w:p w:rsidR="005B3D67" w:rsidRPr="00CB6878" w:rsidRDefault="005B3D67" w:rsidP="005B3D67">
            <w:pPr>
              <w:spacing w:before="120" w:after="120"/>
            </w:pPr>
            <w:r w:rsidRPr="00CB6878">
              <w:t>Corporates</w:t>
            </w:r>
          </w:p>
        </w:tc>
        <w:tc>
          <w:tcPr>
            <w:tcW w:w="4098" w:type="dxa"/>
            <w:tcBorders>
              <w:top w:val="single" w:sz="2" w:space="0" w:color="000000" w:themeColor="text1"/>
              <w:bottom w:val="nil"/>
            </w:tcBorders>
            <w:vAlign w:val="top"/>
          </w:tcPr>
          <w:p w:rsidR="005B3D67" w:rsidRPr="00CB6878" w:rsidRDefault="005B3D67" w:rsidP="005B3D67">
            <w:pPr>
              <w:spacing w:before="120" w:after="120"/>
            </w:pPr>
            <w:r>
              <w:t>L</w:t>
            </w:r>
            <w:r w:rsidRPr="00CB6878">
              <w:t>ong term credit rating</w:t>
            </w:r>
          </w:p>
        </w:tc>
        <w:tc>
          <w:tcPr>
            <w:tcW w:w="3724" w:type="dxa"/>
            <w:tcBorders>
              <w:top w:val="single" w:sz="2" w:space="0" w:color="000000" w:themeColor="text1"/>
              <w:bottom w:val="nil"/>
            </w:tcBorders>
            <w:vAlign w:val="top"/>
          </w:tcPr>
          <w:p w:rsidR="005B3D67" w:rsidRPr="005B3D67" w:rsidRDefault="005B3D67" w:rsidP="005B3D67">
            <w:pPr>
              <w:spacing w:before="120" w:after="120"/>
            </w:pPr>
            <w:r>
              <w:t>L</w:t>
            </w:r>
            <w:r w:rsidRPr="00CB6878">
              <w:t>ong term credit rating scale</w:t>
            </w:r>
          </w:p>
        </w:tc>
      </w:tr>
      <w:tr w:rsidR="005B3D67" w:rsidRPr="00612352" w:rsidTr="00E11150">
        <w:tc>
          <w:tcPr>
            <w:tcW w:w="4023" w:type="dxa"/>
            <w:tcBorders>
              <w:top w:val="nil"/>
              <w:bottom w:val="single" w:sz="2" w:space="0" w:color="000000" w:themeColor="text1"/>
            </w:tcBorders>
            <w:vAlign w:val="top"/>
          </w:tcPr>
          <w:p w:rsidR="005B3D67" w:rsidRPr="00CB6878" w:rsidRDefault="005B3D67" w:rsidP="005B3D67">
            <w:pPr>
              <w:spacing w:before="120" w:after="120"/>
            </w:pPr>
          </w:p>
        </w:tc>
        <w:tc>
          <w:tcPr>
            <w:tcW w:w="4098" w:type="dxa"/>
            <w:tcBorders>
              <w:top w:val="nil"/>
              <w:bottom w:val="single" w:sz="2" w:space="0" w:color="000000" w:themeColor="text1"/>
            </w:tcBorders>
            <w:vAlign w:val="top"/>
          </w:tcPr>
          <w:p w:rsidR="005B3D67" w:rsidRPr="00CB6878" w:rsidRDefault="005B3D67" w:rsidP="005B3D67">
            <w:pPr>
              <w:spacing w:before="120" w:after="120"/>
            </w:pPr>
            <w:r>
              <w:t>L</w:t>
            </w:r>
            <w:r w:rsidRPr="00CB6878">
              <w:t>ong term issue rating</w:t>
            </w:r>
          </w:p>
        </w:tc>
        <w:tc>
          <w:tcPr>
            <w:tcW w:w="3724" w:type="dxa"/>
            <w:tcBorders>
              <w:top w:val="nil"/>
              <w:bottom w:val="single" w:sz="2" w:space="0" w:color="000000" w:themeColor="text1"/>
            </w:tcBorders>
            <w:vAlign w:val="top"/>
          </w:tcPr>
          <w:p w:rsidR="005B3D67" w:rsidRPr="00CB6878" w:rsidRDefault="005B3D67" w:rsidP="005B3D67">
            <w:pPr>
              <w:spacing w:before="120" w:after="120"/>
            </w:pPr>
            <w:r>
              <w:t>L</w:t>
            </w:r>
            <w:r w:rsidRPr="00CB6878">
              <w:t>ong term credit rating scale</w:t>
            </w:r>
          </w:p>
        </w:tc>
      </w:tr>
      <w:tr w:rsidR="00892B01" w:rsidRPr="00612352" w:rsidTr="00E11150">
        <w:tc>
          <w:tcPr>
            <w:tcW w:w="4023" w:type="dxa"/>
            <w:tcBorders>
              <w:bottom w:val="single" w:sz="2" w:space="0" w:color="000000" w:themeColor="text1"/>
            </w:tcBorders>
            <w:vAlign w:val="top"/>
          </w:tcPr>
          <w:p w:rsidR="00892B01" w:rsidRPr="00892B01" w:rsidRDefault="00892B01" w:rsidP="00245FF8">
            <w:pPr>
              <w:spacing w:before="120" w:after="120"/>
              <w:rPr>
                <w:b/>
              </w:rPr>
            </w:pPr>
            <w:r>
              <w:rPr>
                <w:b/>
              </w:rPr>
              <w:t>Short</w:t>
            </w:r>
            <w:r w:rsidRPr="00892B01">
              <w:rPr>
                <w:b/>
              </w:rPr>
              <w:t>-term ratings</w:t>
            </w:r>
          </w:p>
        </w:tc>
        <w:tc>
          <w:tcPr>
            <w:tcW w:w="4098" w:type="dxa"/>
            <w:tcBorders>
              <w:bottom w:val="single" w:sz="2" w:space="0" w:color="000000" w:themeColor="text1"/>
            </w:tcBorders>
            <w:vAlign w:val="top"/>
          </w:tcPr>
          <w:p w:rsidR="00892B01" w:rsidRPr="0002510A" w:rsidRDefault="00892B01" w:rsidP="00245FF8">
            <w:pPr>
              <w:spacing w:before="120" w:after="120"/>
            </w:pPr>
          </w:p>
        </w:tc>
        <w:tc>
          <w:tcPr>
            <w:tcW w:w="3724" w:type="dxa"/>
            <w:tcBorders>
              <w:bottom w:val="single" w:sz="2" w:space="0" w:color="000000" w:themeColor="text1"/>
            </w:tcBorders>
            <w:vAlign w:val="top"/>
          </w:tcPr>
          <w:p w:rsidR="00892B01" w:rsidRDefault="00892B01" w:rsidP="00245FF8">
            <w:pPr>
              <w:spacing w:before="120" w:after="120"/>
            </w:pPr>
          </w:p>
        </w:tc>
      </w:tr>
      <w:tr w:rsidR="005B3D67" w:rsidRPr="00612352" w:rsidTr="00E11150">
        <w:tc>
          <w:tcPr>
            <w:tcW w:w="4023" w:type="dxa"/>
            <w:tcBorders>
              <w:top w:val="single" w:sz="2" w:space="0" w:color="000000" w:themeColor="text1"/>
              <w:bottom w:val="nil"/>
            </w:tcBorders>
            <w:vAlign w:val="top"/>
          </w:tcPr>
          <w:p w:rsidR="005B3D67" w:rsidRPr="002A2726" w:rsidRDefault="005B3D67" w:rsidP="005B3D67">
            <w:pPr>
              <w:spacing w:before="120" w:after="120"/>
            </w:pPr>
            <w:r w:rsidRPr="002A2726">
              <w:t>Institutions</w:t>
            </w:r>
          </w:p>
        </w:tc>
        <w:tc>
          <w:tcPr>
            <w:tcW w:w="4098" w:type="dxa"/>
            <w:tcBorders>
              <w:top w:val="single" w:sz="2" w:space="0" w:color="000000" w:themeColor="text1"/>
              <w:bottom w:val="nil"/>
            </w:tcBorders>
            <w:vAlign w:val="top"/>
          </w:tcPr>
          <w:p w:rsidR="005B3D67" w:rsidRPr="002A2726" w:rsidRDefault="005B3D67" w:rsidP="005B3D67">
            <w:pPr>
              <w:spacing w:before="120" w:after="120"/>
            </w:pPr>
            <w:r w:rsidRPr="002A2726">
              <w:t>Short term credit rating</w:t>
            </w:r>
          </w:p>
        </w:tc>
        <w:tc>
          <w:tcPr>
            <w:tcW w:w="3724" w:type="dxa"/>
            <w:tcBorders>
              <w:top w:val="single" w:sz="2" w:space="0" w:color="000000" w:themeColor="text1"/>
              <w:bottom w:val="nil"/>
            </w:tcBorders>
            <w:vAlign w:val="top"/>
          </w:tcPr>
          <w:p w:rsidR="005B3D67" w:rsidRPr="002A2726" w:rsidRDefault="005B3D67" w:rsidP="005B3D67">
            <w:pPr>
              <w:spacing w:before="120" w:after="120"/>
            </w:pPr>
            <w:r w:rsidRPr="002A2726">
              <w:t>Short term credit rating scale</w:t>
            </w:r>
          </w:p>
        </w:tc>
      </w:tr>
      <w:tr w:rsidR="005B3D67" w:rsidRPr="00612352" w:rsidTr="00E11150">
        <w:tc>
          <w:tcPr>
            <w:tcW w:w="4023" w:type="dxa"/>
            <w:tcBorders>
              <w:top w:val="nil"/>
              <w:bottom w:val="single" w:sz="2" w:space="0" w:color="000000" w:themeColor="text1"/>
            </w:tcBorders>
            <w:vAlign w:val="top"/>
          </w:tcPr>
          <w:p w:rsidR="005B3D67" w:rsidRPr="002A2726" w:rsidRDefault="005B3D67" w:rsidP="005B3D67">
            <w:pPr>
              <w:spacing w:before="120" w:after="120"/>
            </w:pPr>
          </w:p>
        </w:tc>
        <w:tc>
          <w:tcPr>
            <w:tcW w:w="4098" w:type="dxa"/>
            <w:tcBorders>
              <w:top w:val="nil"/>
              <w:bottom w:val="single" w:sz="2" w:space="0" w:color="000000" w:themeColor="text1"/>
            </w:tcBorders>
            <w:vAlign w:val="top"/>
          </w:tcPr>
          <w:p w:rsidR="005B3D67" w:rsidRPr="002A2726" w:rsidRDefault="005B3D67" w:rsidP="005B3D67">
            <w:pPr>
              <w:spacing w:before="120" w:after="120"/>
            </w:pPr>
            <w:r w:rsidRPr="002A2726">
              <w:t>Short term issue rating</w:t>
            </w:r>
          </w:p>
        </w:tc>
        <w:tc>
          <w:tcPr>
            <w:tcW w:w="3724" w:type="dxa"/>
            <w:tcBorders>
              <w:top w:val="nil"/>
              <w:bottom w:val="single" w:sz="2" w:space="0" w:color="000000" w:themeColor="text1"/>
            </w:tcBorders>
            <w:vAlign w:val="top"/>
          </w:tcPr>
          <w:p w:rsidR="005B3D67" w:rsidRPr="002A2726" w:rsidRDefault="005B3D67" w:rsidP="005B3D67">
            <w:pPr>
              <w:spacing w:before="120" w:after="120"/>
            </w:pPr>
            <w:r w:rsidRPr="002A2726">
              <w:t>Short term credit rating scale</w:t>
            </w:r>
          </w:p>
        </w:tc>
      </w:tr>
      <w:tr w:rsidR="005B3D67" w:rsidRPr="00612352" w:rsidTr="00E11150">
        <w:tc>
          <w:tcPr>
            <w:tcW w:w="4023" w:type="dxa"/>
            <w:tcBorders>
              <w:top w:val="single" w:sz="2" w:space="0" w:color="000000" w:themeColor="text1"/>
              <w:bottom w:val="nil"/>
            </w:tcBorders>
            <w:vAlign w:val="top"/>
          </w:tcPr>
          <w:p w:rsidR="005B3D67" w:rsidRPr="002A2726" w:rsidRDefault="005B3D67" w:rsidP="005B3D67">
            <w:pPr>
              <w:spacing w:before="120" w:after="120"/>
            </w:pPr>
            <w:r w:rsidRPr="002A2726">
              <w:t>Corporates</w:t>
            </w:r>
          </w:p>
        </w:tc>
        <w:tc>
          <w:tcPr>
            <w:tcW w:w="4098" w:type="dxa"/>
            <w:tcBorders>
              <w:top w:val="single" w:sz="2" w:space="0" w:color="000000" w:themeColor="text1"/>
              <w:bottom w:val="nil"/>
            </w:tcBorders>
            <w:vAlign w:val="top"/>
          </w:tcPr>
          <w:p w:rsidR="005B3D67" w:rsidRPr="002A2726" w:rsidRDefault="005B3D67" w:rsidP="005B3D67">
            <w:pPr>
              <w:spacing w:before="120" w:after="120"/>
            </w:pPr>
            <w:r w:rsidRPr="002A2726">
              <w:t>Short term credit rating</w:t>
            </w:r>
          </w:p>
        </w:tc>
        <w:tc>
          <w:tcPr>
            <w:tcW w:w="3724" w:type="dxa"/>
            <w:tcBorders>
              <w:top w:val="single" w:sz="2" w:space="0" w:color="000000" w:themeColor="text1"/>
              <w:bottom w:val="nil"/>
            </w:tcBorders>
            <w:vAlign w:val="top"/>
          </w:tcPr>
          <w:p w:rsidR="005B3D67" w:rsidRPr="002A2726" w:rsidRDefault="005B3D67" w:rsidP="005B3D67">
            <w:pPr>
              <w:spacing w:before="120" w:after="120"/>
            </w:pPr>
            <w:r w:rsidRPr="002A2726">
              <w:t>Short term credit rating scale</w:t>
            </w:r>
          </w:p>
        </w:tc>
      </w:tr>
      <w:tr w:rsidR="005B3D67" w:rsidRPr="00612352" w:rsidTr="00E11150">
        <w:tc>
          <w:tcPr>
            <w:tcW w:w="4023" w:type="dxa"/>
            <w:tcBorders>
              <w:top w:val="nil"/>
              <w:bottom w:val="single" w:sz="2" w:space="0" w:color="000000" w:themeColor="text1"/>
            </w:tcBorders>
            <w:vAlign w:val="top"/>
          </w:tcPr>
          <w:p w:rsidR="005B3D67" w:rsidRPr="002A2726" w:rsidRDefault="005B3D67" w:rsidP="005B3D67">
            <w:pPr>
              <w:spacing w:before="120" w:after="120"/>
            </w:pPr>
          </w:p>
        </w:tc>
        <w:tc>
          <w:tcPr>
            <w:tcW w:w="4098" w:type="dxa"/>
            <w:tcBorders>
              <w:top w:val="nil"/>
              <w:bottom w:val="single" w:sz="2" w:space="0" w:color="000000" w:themeColor="text1"/>
            </w:tcBorders>
            <w:vAlign w:val="top"/>
          </w:tcPr>
          <w:p w:rsidR="005B3D67" w:rsidRPr="002A2726" w:rsidRDefault="005B3D67" w:rsidP="005B3D67">
            <w:pPr>
              <w:spacing w:before="120" w:after="120"/>
            </w:pPr>
            <w:r w:rsidRPr="002A2726">
              <w:t>Short term issue rating</w:t>
            </w:r>
          </w:p>
        </w:tc>
        <w:tc>
          <w:tcPr>
            <w:tcW w:w="3724" w:type="dxa"/>
            <w:tcBorders>
              <w:top w:val="nil"/>
              <w:bottom w:val="single" w:sz="2" w:space="0" w:color="000000" w:themeColor="text1"/>
            </w:tcBorders>
            <w:vAlign w:val="top"/>
          </w:tcPr>
          <w:p w:rsidR="005B3D67" w:rsidRDefault="005B3D67" w:rsidP="005B3D67">
            <w:pPr>
              <w:spacing w:before="120" w:after="120"/>
            </w:pPr>
            <w:r w:rsidRPr="002A2726">
              <w:t>Short term credit rating scale</w:t>
            </w:r>
          </w:p>
        </w:tc>
      </w:tr>
    </w:tbl>
    <w:p w:rsidR="00175032" w:rsidRDefault="005B3D67" w:rsidP="00F16A28">
      <w:pPr>
        <w:pStyle w:val="FootnoteText"/>
      </w:pPr>
      <w:r>
        <w:t>Source: Dagong</w:t>
      </w:r>
    </w:p>
    <w:p w:rsidR="00245FF8" w:rsidRPr="003B1591" w:rsidRDefault="002C3E7A" w:rsidP="007036AB">
      <w:pPr>
        <w:pStyle w:val="Figuretitle"/>
      </w:pPr>
      <w:r>
        <w:br w:type="page"/>
      </w:r>
      <w:bookmarkStart w:id="7" w:name="_Ref384802193"/>
      <w:r w:rsidR="0041788D" w:rsidRPr="0041788D">
        <w:rPr>
          <w:szCs w:val="22"/>
        </w:rPr>
        <w:lastRenderedPageBreak/>
        <w:t xml:space="preserve">Figure </w:t>
      </w:r>
      <w:r w:rsidR="0041788D" w:rsidRPr="0041788D">
        <w:rPr>
          <w:szCs w:val="22"/>
        </w:rPr>
        <w:fldChar w:fldCharType="begin"/>
      </w:r>
      <w:r w:rsidR="0041788D" w:rsidRPr="0041788D">
        <w:rPr>
          <w:szCs w:val="22"/>
        </w:rPr>
        <w:instrText xml:space="preserve"> SEQ Figure \* ARABIC </w:instrText>
      </w:r>
      <w:r w:rsidR="0041788D" w:rsidRPr="0041788D">
        <w:rPr>
          <w:szCs w:val="22"/>
        </w:rPr>
        <w:fldChar w:fldCharType="separate"/>
      </w:r>
      <w:r w:rsidR="009F2323">
        <w:rPr>
          <w:szCs w:val="22"/>
        </w:rPr>
        <w:t>3</w:t>
      </w:r>
      <w:r w:rsidR="0041788D" w:rsidRPr="0041788D">
        <w:rPr>
          <w:szCs w:val="22"/>
        </w:rPr>
        <w:fldChar w:fldCharType="end"/>
      </w:r>
      <w:bookmarkEnd w:id="7"/>
      <w:r w:rsidR="00B32405">
        <w:t>:</w:t>
      </w:r>
      <w:r w:rsidR="00245FF8" w:rsidRPr="003B1591">
        <w:t xml:space="preserve"> Long-term credit rating scale </w:t>
      </w:r>
    </w:p>
    <w:tbl>
      <w:tblPr>
        <w:tblStyle w:val="TableGrid"/>
        <w:tblW w:w="13750" w:type="dxa"/>
        <w:tblInd w:w="108" w:type="dxa"/>
        <w:tblLook w:val="04A0" w:firstRow="1" w:lastRow="0" w:firstColumn="1" w:lastColumn="0" w:noHBand="0" w:noVBand="1"/>
      </w:tblPr>
      <w:tblGrid>
        <w:gridCol w:w="1418"/>
        <w:gridCol w:w="12332"/>
      </w:tblGrid>
      <w:tr w:rsidR="00245FF8" w:rsidRPr="00245FF8" w:rsidTr="00245FF8">
        <w:trPr>
          <w:cnfStyle w:val="100000000000" w:firstRow="1" w:lastRow="0" w:firstColumn="0" w:lastColumn="0" w:oddVBand="0" w:evenVBand="0" w:oddHBand="0" w:evenHBand="0" w:firstRowFirstColumn="0" w:firstRowLastColumn="0" w:lastRowFirstColumn="0" w:lastRowLastColumn="0"/>
          <w:trHeight w:val="635"/>
        </w:trPr>
        <w:tc>
          <w:tcPr>
            <w:tcW w:w="1418" w:type="dxa"/>
            <w:tcBorders>
              <w:bottom w:val="single" w:sz="18" w:space="0" w:color="E98E31" w:themeColor="background2"/>
            </w:tcBorders>
          </w:tcPr>
          <w:p w:rsidR="00245FF8" w:rsidRPr="00245FF8" w:rsidRDefault="00245FF8" w:rsidP="008404CE">
            <w:pPr>
              <w:pStyle w:val="Tableheader"/>
              <w:spacing w:before="120" w:after="120"/>
              <w:jc w:val="center"/>
              <w:rPr>
                <w:bCs w:val="0"/>
              </w:rPr>
            </w:pPr>
            <w:r w:rsidRPr="00245FF8">
              <w:rPr>
                <w:bCs w:val="0"/>
              </w:rPr>
              <w:t>Credit assessment</w:t>
            </w:r>
          </w:p>
        </w:tc>
        <w:tc>
          <w:tcPr>
            <w:tcW w:w="12332" w:type="dxa"/>
            <w:tcBorders>
              <w:bottom w:val="single" w:sz="18" w:space="0" w:color="E98E31" w:themeColor="background2"/>
            </w:tcBorders>
          </w:tcPr>
          <w:p w:rsidR="00245FF8" w:rsidRPr="00245FF8" w:rsidRDefault="00245FF8" w:rsidP="008404CE">
            <w:pPr>
              <w:pStyle w:val="Tableheader"/>
              <w:spacing w:before="120" w:after="120"/>
              <w:jc w:val="center"/>
              <w:rPr>
                <w:bCs w:val="0"/>
              </w:rPr>
            </w:pPr>
            <w:r w:rsidRPr="00245FF8">
              <w:rPr>
                <w:bCs w:val="0"/>
              </w:rPr>
              <w:t>Meaning of the credit assessment</w:t>
            </w:r>
          </w:p>
        </w:tc>
      </w:tr>
      <w:tr w:rsidR="005B3D67" w:rsidRPr="00245FF8" w:rsidTr="00245FF8">
        <w:tc>
          <w:tcPr>
            <w:tcW w:w="1418" w:type="dxa"/>
            <w:tcBorders>
              <w:top w:val="single" w:sz="18" w:space="0" w:color="E98E31" w:themeColor="background2"/>
              <w:bottom w:val="dashed" w:sz="4" w:space="0" w:color="auto"/>
            </w:tcBorders>
          </w:tcPr>
          <w:p w:rsidR="005B3D67" w:rsidRPr="00245FF8" w:rsidRDefault="005B3D67"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AAA</w:t>
            </w:r>
          </w:p>
        </w:tc>
        <w:tc>
          <w:tcPr>
            <w:tcW w:w="12332" w:type="dxa"/>
            <w:tcBorders>
              <w:top w:val="single" w:sz="18" w:space="0" w:color="E98E31" w:themeColor="background2"/>
              <w:bottom w:val="dashed" w:sz="4" w:space="0" w:color="auto"/>
            </w:tcBorders>
          </w:tcPr>
          <w:p w:rsidR="005B3D67" w:rsidRPr="005B3D67" w:rsidRDefault="005B3D67" w:rsidP="005B3D67">
            <w:pPr>
              <w:pStyle w:val="BodyText1"/>
              <w:spacing w:before="120" w:after="120"/>
              <w:rPr>
                <w:rFonts w:asciiTheme="minorHAnsi" w:hAnsiTheme="minorHAnsi"/>
                <w:sz w:val="22"/>
                <w:szCs w:val="22"/>
              </w:rPr>
            </w:pPr>
            <w:r w:rsidRPr="005B3D67">
              <w:rPr>
                <w:rFonts w:asciiTheme="minorHAnsi" w:hAnsiTheme="minorHAnsi"/>
                <w:sz w:val="22"/>
                <w:szCs w:val="22"/>
              </w:rPr>
              <w:t>Highest Credit Quality: “AAA” ratings denote the lowest expectation of default risk. It indicates that the issuer has exceptionally strong capacity to pay its financial commitments. Although the debt protection factors may change, this capacity is highly unlikely to be adversely affected by any foreseeable event.</w:t>
            </w:r>
          </w:p>
        </w:tc>
      </w:tr>
      <w:tr w:rsidR="005B3D67" w:rsidRPr="00245FF8" w:rsidTr="00245FF8">
        <w:tc>
          <w:tcPr>
            <w:tcW w:w="1418" w:type="dxa"/>
            <w:tcBorders>
              <w:bottom w:val="dashed" w:sz="4" w:space="0" w:color="auto"/>
            </w:tcBorders>
          </w:tcPr>
          <w:p w:rsidR="005B3D67" w:rsidRPr="00245FF8" w:rsidRDefault="005B3D67"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AA</w:t>
            </w:r>
          </w:p>
        </w:tc>
        <w:tc>
          <w:tcPr>
            <w:tcW w:w="12332" w:type="dxa"/>
            <w:tcBorders>
              <w:bottom w:val="dashed" w:sz="4" w:space="0" w:color="auto"/>
            </w:tcBorders>
          </w:tcPr>
          <w:p w:rsidR="005B3D67" w:rsidRPr="005B3D67" w:rsidRDefault="005B3D67" w:rsidP="005B3D67">
            <w:pPr>
              <w:pStyle w:val="BodyText1"/>
              <w:spacing w:before="120" w:after="120"/>
              <w:rPr>
                <w:rFonts w:asciiTheme="minorHAnsi" w:hAnsiTheme="minorHAnsi"/>
                <w:sz w:val="22"/>
                <w:szCs w:val="22"/>
              </w:rPr>
            </w:pPr>
            <w:r w:rsidRPr="005B3D67">
              <w:rPr>
                <w:rFonts w:asciiTheme="minorHAnsi" w:hAnsiTheme="minorHAnsi"/>
                <w:sz w:val="22"/>
                <w:szCs w:val="22"/>
              </w:rPr>
              <w:t>Very High Credit Quality: 'AA' ratings denote expectations of very low default risk. It indicates that the issuer has very strong capacity to pay its financial commitments, with no significant vulnerability to any foreseeable event.</w:t>
            </w:r>
          </w:p>
        </w:tc>
      </w:tr>
      <w:tr w:rsidR="005B3D67" w:rsidRPr="00245FF8" w:rsidTr="00245FF8">
        <w:tc>
          <w:tcPr>
            <w:tcW w:w="1418" w:type="dxa"/>
            <w:tcBorders>
              <w:bottom w:val="dashed" w:sz="4" w:space="0" w:color="auto"/>
            </w:tcBorders>
          </w:tcPr>
          <w:p w:rsidR="005B3D67" w:rsidRPr="00245FF8" w:rsidRDefault="005B3D67"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A</w:t>
            </w:r>
          </w:p>
        </w:tc>
        <w:tc>
          <w:tcPr>
            <w:tcW w:w="12332" w:type="dxa"/>
            <w:tcBorders>
              <w:bottom w:val="dashed" w:sz="4" w:space="0" w:color="auto"/>
            </w:tcBorders>
          </w:tcPr>
          <w:p w:rsidR="005B3D67" w:rsidRPr="005B3D67" w:rsidRDefault="005B3D67" w:rsidP="005B3D67">
            <w:pPr>
              <w:pStyle w:val="BodyText1"/>
              <w:spacing w:before="120" w:after="120"/>
              <w:rPr>
                <w:rFonts w:asciiTheme="minorHAnsi" w:hAnsiTheme="minorHAnsi"/>
                <w:sz w:val="22"/>
                <w:szCs w:val="22"/>
              </w:rPr>
            </w:pPr>
            <w:r w:rsidRPr="005B3D67">
              <w:rPr>
                <w:rFonts w:asciiTheme="minorHAnsi" w:hAnsiTheme="minorHAnsi"/>
                <w:sz w:val="22"/>
                <w:szCs w:val="22"/>
              </w:rPr>
              <w:t>High Credit Quality: 'A' ratings denote expectations of relatively low default risk. The capacity to pay its financial commitments is considered adequate. However, this capacity may be more vulnerable to adverse business or economic conditions than those of higher rating categories.</w:t>
            </w:r>
          </w:p>
        </w:tc>
      </w:tr>
      <w:tr w:rsidR="005B3D67" w:rsidRPr="00245FF8" w:rsidTr="00245FF8">
        <w:tc>
          <w:tcPr>
            <w:tcW w:w="1418" w:type="dxa"/>
          </w:tcPr>
          <w:p w:rsidR="005B3D67" w:rsidRPr="00245FF8" w:rsidRDefault="005B3D67"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BBB</w:t>
            </w:r>
          </w:p>
        </w:tc>
        <w:tc>
          <w:tcPr>
            <w:tcW w:w="12332" w:type="dxa"/>
          </w:tcPr>
          <w:p w:rsidR="005B3D67" w:rsidRPr="005B3D67" w:rsidRDefault="005B3D67" w:rsidP="005B3D67">
            <w:pPr>
              <w:pStyle w:val="BodyText1"/>
              <w:spacing w:before="120" w:after="120"/>
              <w:rPr>
                <w:rFonts w:asciiTheme="minorHAnsi" w:hAnsiTheme="minorHAnsi"/>
                <w:sz w:val="22"/>
                <w:szCs w:val="22"/>
              </w:rPr>
            </w:pPr>
            <w:r w:rsidRPr="005B3D67">
              <w:rPr>
                <w:rFonts w:asciiTheme="minorHAnsi" w:hAnsiTheme="minorHAnsi"/>
                <w:sz w:val="22"/>
                <w:szCs w:val="22"/>
              </w:rPr>
              <w:t>Medium Credit Quality: 'BBB' ratings indicate that expectations of default risk are moderate. In normal conditions, the capacity to pay financial commitments is considered sufficient, whereas under adverse business or economic conditions the risk of default is more likely to exist.</w:t>
            </w:r>
          </w:p>
        </w:tc>
      </w:tr>
      <w:tr w:rsidR="005B3D67" w:rsidRPr="00245FF8" w:rsidTr="00245FF8">
        <w:tc>
          <w:tcPr>
            <w:tcW w:w="1418" w:type="dxa"/>
          </w:tcPr>
          <w:p w:rsidR="005B3D67" w:rsidRPr="00245FF8" w:rsidRDefault="005B3D67"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BB</w:t>
            </w:r>
          </w:p>
        </w:tc>
        <w:tc>
          <w:tcPr>
            <w:tcW w:w="12332" w:type="dxa"/>
          </w:tcPr>
          <w:p w:rsidR="005B3D67" w:rsidRPr="005B3D67" w:rsidRDefault="005B3D67" w:rsidP="005B3D67">
            <w:pPr>
              <w:pStyle w:val="BodyText1"/>
              <w:spacing w:before="120" w:after="120"/>
              <w:rPr>
                <w:rFonts w:asciiTheme="minorHAnsi" w:hAnsiTheme="minorHAnsi"/>
                <w:sz w:val="22"/>
                <w:szCs w:val="22"/>
              </w:rPr>
            </w:pPr>
            <w:r w:rsidRPr="005B3D67">
              <w:rPr>
                <w:rFonts w:asciiTheme="minorHAnsi" w:hAnsiTheme="minorHAnsi"/>
                <w:sz w:val="22"/>
                <w:szCs w:val="22"/>
              </w:rPr>
              <w:t>Speculative Credit Quality: 'BB' ratings indicate that the issuer faces major ongoing uncertainties and if exposed to adverse business, financial, or economic conditions, its capacity to meet financial commitments could be potentially affected.</w:t>
            </w:r>
          </w:p>
        </w:tc>
      </w:tr>
      <w:tr w:rsidR="005B3D67" w:rsidRPr="00245FF8" w:rsidTr="00245FF8">
        <w:tc>
          <w:tcPr>
            <w:tcW w:w="1418" w:type="dxa"/>
          </w:tcPr>
          <w:p w:rsidR="005B3D67" w:rsidRPr="00245FF8" w:rsidRDefault="005B3D67"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B</w:t>
            </w:r>
          </w:p>
        </w:tc>
        <w:tc>
          <w:tcPr>
            <w:tcW w:w="12332" w:type="dxa"/>
          </w:tcPr>
          <w:p w:rsidR="005B3D67" w:rsidRPr="005B3D67" w:rsidRDefault="005B3D67" w:rsidP="005B3D67">
            <w:pPr>
              <w:pStyle w:val="BodyText1"/>
              <w:spacing w:before="120" w:after="120"/>
              <w:rPr>
                <w:rFonts w:asciiTheme="minorHAnsi" w:hAnsiTheme="minorHAnsi"/>
                <w:sz w:val="22"/>
                <w:szCs w:val="22"/>
              </w:rPr>
            </w:pPr>
            <w:r w:rsidRPr="005B3D67">
              <w:rPr>
                <w:rFonts w:asciiTheme="minorHAnsi" w:hAnsiTheme="minorHAnsi"/>
                <w:sz w:val="22"/>
                <w:szCs w:val="22"/>
              </w:rPr>
              <w:t>Highly Speculative Credit Quality: 'B' ratings indicate that expectations of credit default risk are relatively high but a limited margin of safety remains. Adverse business, financial, or economic conditions will likely impair the issuer's capacity to meet its financial commitments.</w:t>
            </w:r>
          </w:p>
        </w:tc>
      </w:tr>
      <w:tr w:rsidR="005B3D67" w:rsidRPr="00245FF8" w:rsidTr="00245FF8">
        <w:tc>
          <w:tcPr>
            <w:tcW w:w="1418" w:type="dxa"/>
          </w:tcPr>
          <w:p w:rsidR="005B3D67" w:rsidRPr="00245FF8" w:rsidRDefault="005B3D67"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CCC</w:t>
            </w:r>
          </w:p>
        </w:tc>
        <w:tc>
          <w:tcPr>
            <w:tcW w:w="12332" w:type="dxa"/>
          </w:tcPr>
          <w:p w:rsidR="005B3D67" w:rsidRPr="005B3D67" w:rsidRDefault="005B3D67" w:rsidP="005B3D67">
            <w:pPr>
              <w:pStyle w:val="BodyText1"/>
              <w:spacing w:before="120" w:after="120"/>
              <w:rPr>
                <w:rFonts w:asciiTheme="minorHAnsi" w:hAnsiTheme="minorHAnsi"/>
                <w:sz w:val="22"/>
                <w:szCs w:val="22"/>
              </w:rPr>
            </w:pPr>
            <w:r w:rsidRPr="005B3D67">
              <w:rPr>
                <w:rFonts w:asciiTheme="minorHAnsi" w:hAnsiTheme="minorHAnsi"/>
                <w:sz w:val="22"/>
                <w:szCs w:val="22"/>
              </w:rPr>
              <w:t xml:space="preserve">High Credit Risk: 'CCC' ratings indicate very high credit risk. The issuer is vulnerable, and is highly dependent upon </w:t>
            </w:r>
            <w:r w:rsidR="00933DCF" w:rsidRPr="005B3D67">
              <w:rPr>
                <w:rFonts w:asciiTheme="minorHAnsi" w:hAnsiTheme="minorHAnsi"/>
                <w:sz w:val="22"/>
                <w:szCs w:val="22"/>
              </w:rPr>
              <w:t>favourable</w:t>
            </w:r>
            <w:r w:rsidRPr="005B3D67">
              <w:rPr>
                <w:rFonts w:asciiTheme="minorHAnsi" w:hAnsiTheme="minorHAnsi"/>
                <w:sz w:val="22"/>
                <w:szCs w:val="22"/>
              </w:rPr>
              <w:t xml:space="preserve"> business, financial, and economic conditions to meet its financial commitments. Default risk is highly probable.</w:t>
            </w:r>
          </w:p>
        </w:tc>
      </w:tr>
      <w:tr w:rsidR="005B3D67" w:rsidRPr="00245FF8" w:rsidTr="00245FF8">
        <w:tc>
          <w:tcPr>
            <w:tcW w:w="1418" w:type="dxa"/>
          </w:tcPr>
          <w:p w:rsidR="005B3D67" w:rsidRPr="00245FF8" w:rsidRDefault="005B3D67"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lastRenderedPageBreak/>
              <w:t>CC</w:t>
            </w:r>
          </w:p>
        </w:tc>
        <w:tc>
          <w:tcPr>
            <w:tcW w:w="12332" w:type="dxa"/>
          </w:tcPr>
          <w:p w:rsidR="005B3D67" w:rsidRPr="005B3D67" w:rsidRDefault="005B3D67" w:rsidP="005B3D67">
            <w:pPr>
              <w:pStyle w:val="BodyText1"/>
              <w:spacing w:before="120" w:after="120"/>
              <w:rPr>
                <w:rFonts w:asciiTheme="minorHAnsi" w:hAnsiTheme="minorHAnsi"/>
                <w:sz w:val="22"/>
                <w:szCs w:val="22"/>
              </w:rPr>
            </w:pPr>
            <w:r w:rsidRPr="005B3D67">
              <w:rPr>
                <w:rFonts w:asciiTheme="minorHAnsi" w:hAnsiTheme="minorHAnsi"/>
                <w:sz w:val="22"/>
                <w:szCs w:val="22"/>
              </w:rPr>
              <w:t>Very High Credit Risk: 'CC' ratings indicate that the issuer is currently highly vulnerable and faces a very high probability of defaulting on its debt obligations.</w:t>
            </w:r>
          </w:p>
        </w:tc>
      </w:tr>
      <w:tr w:rsidR="005B3D67" w:rsidRPr="00245FF8" w:rsidTr="00245FF8">
        <w:tc>
          <w:tcPr>
            <w:tcW w:w="1418" w:type="dxa"/>
          </w:tcPr>
          <w:p w:rsidR="005B3D67" w:rsidRPr="00245FF8" w:rsidRDefault="005B3D67" w:rsidP="008404CE">
            <w:pPr>
              <w:pStyle w:val="BodyText1"/>
              <w:spacing w:before="120" w:after="120"/>
              <w:jc w:val="center"/>
              <w:rPr>
                <w:rFonts w:asciiTheme="minorHAnsi" w:hAnsiTheme="minorHAnsi" w:cs="Arial"/>
                <w:sz w:val="22"/>
                <w:szCs w:val="22"/>
              </w:rPr>
            </w:pPr>
            <w:r>
              <w:rPr>
                <w:rFonts w:asciiTheme="minorHAnsi" w:hAnsiTheme="minorHAnsi" w:cs="Arial"/>
                <w:sz w:val="22"/>
                <w:szCs w:val="22"/>
              </w:rPr>
              <w:t>C</w:t>
            </w:r>
          </w:p>
        </w:tc>
        <w:tc>
          <w:tcPr>
            <w:tcW w:w="12332" w:type="dxa"/>
          </w:tcPr>
          <w:p w:rsidR="005B3D67" w:rsidRPr="005B3D67" w:rsidRDefault="005B3D67" w:rsidP="005B3D67">
            <w:pPr>
              <w:pStyle w:val="BodyText1"/>
              <w:spacing w:before="120" w:after="120"/>
              <w:rPr>
                <w:rFonts w:asciiTheme="minorHAnsi" w:hAnsiTheme="minorHAnsi"/>
                <w:sz w:val="22"/>
                <w:szCs w:val="22"/>
              </w:rPr>
            </w:pPr>
            <w:r w:rsidRPr="005B3D67">
              <w:rPr>
                <w:rFonts w:asciiTheme="minorHAnsi" w:hAnsiTheme="minorHAnsi"/>
                <w:sz w:val="22"/>
                <w:szCs w:val="22"/>
              </w:rPr>
              <w:t>Highest Credit Risk: 'C' ratings indicate the highest credit default risk. The issuer is in a position of imminent credit default on its debt obligations.</w:t>
            </w:r>
          </w:p>
        </w:tc>
      </w:tr>
      <w:tr w:rsidR="005B3D67" w:rsidRPr="00245FF8" w:rsidTr="00245FF8">
        <w:tc>
          <w:tcPr>
            <w:tcW w:w="1418" w:type="dxa"/>
          </w:tcPr>
          <w:p w:rsidR="005B3D67" w:rsidRPr="00245FF8" w:rsidRDefault="005B3D67"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D</w:t>
            </w:r>
          </w:p>
        </w:tc>
        <w:tc>
          <w:tcPr>
            <w:tcW w:w="12332" w:type="dxa"/>
          </w:tcPr>
          <w:p w:rsidR="005B3D67" w:rsidRPr="005B3D67" w:rsidRDefault="005B3D67" w:rsidP="005B3D67">
            <w:pPr>
              <w:pStyle w:val="BodyText1"/>
              <w:spacing w:before="120" w:after="120"/>
              <w:rPr>
                <w:rFonts w:asciiTheme="minorHAnsi" w:hAnsiTheme="minorHAnsi"/>
                <w:sz w:val="22"/>
                <w:szCs w:val="22"/>
              </w:rPr>
            </w:pPr>
            <w:r w:rsidRPr="005B3D67">
              <w:rPr>
                <w:rFonts w:asciiTheme="minorHAnsi" w:hAnsiTheme="minorHAnsi"/>
                <w:sz w:val="22"/>
                <w:szCs w:val="22"/>
              </w:rPr>
              <w:t>Default</w:t>
            </w:r>
          </w:p>
        </w:tc>
      </w:tr>
    </w:tbl>
    <w:p w:rsidR="00175032" w:rsidRDefault="005B3D67" w:rsidP="00F16A28">
      <w:pPr>
        <w:pStyle w:val="FootnoteText"/>
      </w:pPr>
      <w:r>
        <w:t>Source: Dagong</w:t>
      </w:r>
    </w:p>
    <w:p w:rsidR="00245FF8" w:rsidRDefault="00245FF8" w:rsidP="00245FF8">
      <w:pPr>
        <w:pStyle w:val="BodyText"/>
      </w:pPr>
      <w:r>
        <w:br w:type="page"/>
      </w:r>
    </w:p>
    <w:p w:rsidR="00245FF8" w:rsidRPr="00EF13CD" w:rsidRDefault="0041788D" w:rsidP="00C45D4A">
      <w:pPr>
        <w:pStyle w:val="Figuretitle"/>
      </w:pPr>
      <w:bookmarkStart w:id="8" w:name="_Ref384802203"/>
      <w:r w:rsidRPr="0041788D">
        <w:rPr>
          <w:szCs w:val="22"/>
        </w:rPr>
        <w:lastRenderedPageBreak/>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9F2323">
        <w:rPr>
          <w:szCs w:val="22"/>
        </w:rPr>
        <w:t>4</w:t>
      </w:r>
      <w:r w:rsidRPr="0041788D">
        <w:rPr>
          <w:szCs w:val="22"/>
        </w:rPr>
        <w:fldChar w:fldCharType="end"/>
      </w:r>
      <w:bookmarkEnd w:id="8"/>
      <w:r w:rsidR="00C45D4A">
        <w:t>:</w:t>
      </w:r>
      <w:r w:rsidR="00245FF8" w:rsidRPr="00EF13CD">
        <w:t xml:space="preserve"> </w:t>
      </w:r>
      <w:r w:rsidR="00544BDB">
        <w:t>Short</w:t>
      </w:r>
      <w:r w:rsidR="00245FF8" w:rsidRPr="00EF13CD">
        <w:t>-term credit rating</w:t>
      </w:r>
      <w:r w:rsidR="00544BDB">
        <w:t xml:space="preserve"> scale</w:t>
      </w:r>
    </w:p>
    <w:tbl>
      <w:tblPr>
        <w:tblStyle w:val="TableGrid"/>
        <w:tblW w:w="13750" w:type="dxa"/>
        <w:tblInd w:w="108" w:type="dxa"/>
        <w:tblLook w:val="04A0" w:firstRow="1" w:lastRow="0" w:firstColumn="1" w:lastColumn="0" w:noHBand="0" w:noVBand="1"/>
      </w:tblPr>
      <w:tblGrid>
        <w:gridCol w:w="1418"/>
        <w:gridCol w:w="12332"/>
      </w:tblGrid>
      <w:tr w:rsidR="00245FF8" w:rsidRPr="008404CE" w:rsidTr="002F528A">
        <w:trPr>
          <w:cnfStyle w:val="100000000000" w:firstRow="1" w:lastRow="0" w:firstColumn="0" w:lastColumn="0" w:oddVBand="0" w:evenVBand="0" w:oddHBand="0" w:evenHBand="0" w:firstRowFirstColumn="0" w:firstRowLastColumn="0" w:lastRowFirstColumn="0" w:lastRowLastColumn="0"/>
          <w:trHeight w:val="454"/>
        </w:trPr>
        <w:tc>
          <w:tcPr>
            <w:tcW w:w="1418" w:type="dxa"/>
            <w:tcBorders>
              <w:bottom w:val="single" w:sz="18" w:space="0" w:color="E98E31" w:themeColor="background2"/>
            </w:tcBorders>
          </w:tcPr>
          <w:p w:rsidR="00245FF8" w:rsidRPr="008404CE" w:rsidRDefault="00245FF8" w:rsidP="008404CE">
            <w:pPr>
              <w:pStyle w:val="Tableheader"/>
              <w:spacing w:before="120" w:after="120"/>
              <w:jc w:val="center"/>
              <w:rPr>
                <w:rFonts w:asciiTheme="minorHAnsi" w:hAnsiTheme="minorHAnsi"/>
                <w:bCs w:val="0"/>
              </w:rPr>
            </w:pPr>
            <w:r w:rsidRPr="008404CE">
              <w:rPr>
                <w:rFonts w:asciiTheme="minorHAnsi" w:hAnsiTheme="minorHAnsi"/>
                <w:bCs w:val="0"/>
              </w:rPr>
              <w:t>Credit assessment</w:t>
            </w:r>
          </w:p>
        </w:tc>
        <w:tc>
          <w:tcPr>
            <w:tcW w:w="12332" w:type="dxa"/>
            <w:tcBorders>
              <w:bottom w:val="single" w:sz="18" w:space="0" w:color="E98E31" w:themeColor="background2"/>
            </w:tcBorders>
          </w:tcPr>
          <w:p w:rsidR="00245FF8" w:rsidRPr="008404CE" w:rsidRDefault="00245FF8" w:rsidP="008404CE">
            <w:pPr>
              <w:pStyle w:val="Tableheader"/>
              <w:spacing w:before="120" w:after="120"/>
              <w:jc w:val="center"/>
              <w:rPr>
                <w:rFonts w:asciiTheme="minorHAnsi" w:hAnsiTheme="minorHAnsi"/>
                <w:bCs w:val="0"/>
              </w:rPr>
            </w:pPr>
            <w:r w:rsidRPr="008404CE">
              <w:rPr>
                <w:rFonts w:asciiTheme="minorHAnsi" w:hAnsiTheme="minorHAnsi"/>
                <w:bCs w:val="0"/>
              </w:rPr>
              <w:t>Meaning of the credit assessment</w:t>
            </w:r>
          </w:p>
        </w:tc>
      </w:tr>
      <w:tr w:rsidR="005B3D67" w:rsidRPr="008404CE" w:rsidTr="002F528A">
        <w:tc>
          <w:tcPr>
            <w:tcW w:w="1418" w:type="dxa"/>
            <w:tcBorders>
              <w:top w:val="single" w:sz="18" w:space="0" w:color="E98E31" w:themeColor="background2"/>
              <w:bottom w:val="dashed" w:sz="4" w:space="0" w:color="auto"/>
            </w:tcBorders>
          </w:tcPr>
          <w:p w:rsidR="005B3D67" w:rsidRPr="005B3D67" w:rsidRDefault="005B3D67" w:rsidP="005B3D67">
            <w:pPr>
              <w:pStyle w:val="BodyText1"/>
              <w:spacing w:before="120" w:after="120"/>
              <w:jc w:val="center"/>
              <w:rPr>
                <w:rFonts w:asciiTheme="minorHAnsi" w:hAnsiTheme="minorHAnsi" w:cs="Arial"/>
                <w:sz w:val="22"/>
                <w:szCs w:val="22"/>
              </w:rPr>
            </w:pPr>
            <w:r w:rsidRPr="005B3D67">
              <w:rPr>
                <w:rFonts w:asciiTheme="minorHAnsi" w:hAnsiTheme="minorHAnsi" w:cs="Arial"/>
                <w:sz w:val="22"/>
                <w:szCs w:val="22"/>
              </w:rPr>
              <w:t>A-1</w:t>
            </w:r>
          </w:p>
        </w:tc>
        <w:tc>
          <w:tcPr>
            <w:tcW w:w="12332" w:type="dxa"/>
            <w:tcBorders>
              <w:top w:val="single" w:sz="18" w:space="0" w:color="E98E31" w:themeColor="background2"/>
              <w:bottom w:val="dashed" w:sz="4" w:space="0" w:color="auto"/>
            </w:tcBorders>
          </w:tcPr>
          <w:p w:rsidR="005B3D67" w:rsidRPr="005B3D67" w:rsidRDefault="005B3D67" w:rsidP="005B3D67">
            <w:pPr>
              <w:pStyle w:val="BodyText1"/>
              <w:spacing w:before="120" w:after="120"/>
              <w:rPr>
                <w:rFonts w:asciiTheme="minorHAnsi" w:hAnsiTheme="minorHAnsi" w:cs="Arial"/>
                <w:sz w:val="22"/>
                <w:szCs w:val="22"/>
              </w:rPr>
            </w:pPr>
            <w:r w:rsidRPr="005B3D67">
              <w:rPr>
                <w:rFonts w:asciiTheme="minorHAnsi" w:hAnsiTheme="minorHAnsi" w:cs="Arial"/>
                <w:sz w:val="22"/>
                <w:szCs w:val="22"/>
              </w:rPr>
              <w:t>The issuer enjoys superior short-term financial strength, which is adequate to repay all short-term debt obligations.</w:t>
            </w:r>
          </w:p>
        </w:tc>
      </w:tr>
      <w:tr w:rsidR="005B3D67" w:rsidRPr="008404CE" w:rsidTr="002F528A">
        <w:tc>
          <w:tcPr>
            <w:tcW w:w="1418" w:type="dxa"/>
            <w:tcBorders>
              <w:bottom w:val="dashed" w:sz="4" w:space="0" w:color="auto"/>
            </w:tcBorders>
          </w:tcPr>
          <w:p w:rsidR="005B3D67" w:rsidRPr="005B3D67" w:rsidRDefault="005B3D67" w:rsidP="005B3D67">
            <w:pPr>
              <w:pStyle w:val="BodyText1"/>
              <w:spacing w:before="120" w:after="120"/>
              <w:jc w:val="center"/>
              <w:rPr>
                <w:rFonts w:asciiTheme="minorHAnsi" w:hAnsiTheme="minorHAnsi" w:cs="Arial"/>
                <w:sz w:val="22"/>
                <w:szCs w:val="22"/>
              </w:rPr>
            </w:pPr>
            <w:r w:rsidRPr="005B3D67">
              <w:rPr>
                <w:rFonts w:asciiTheme="minorHAnsi" w:hAnsiTheme="minorHAnsi" w:cs="Arial"/>
                <w:sz w:val="22"/>
                <w:szCs w:val="22"/>
              </w:rPr>
              <w:t>A-2</w:t>
            </w:r>
          </w:p>
        </w:tc>
        <w:tc>
          <w:tcPr>
            <w:tcW w:w="12332" w:type="dxa"/>
            <w:tcBorders>
              <w:bottom w:val="dashed" w:sz="4" w:space="0" w:color="auto"/>
            </w:tcBorders>
          </w:tcPr>
          <w:p w:rsidR="005B3D67" w:rsidRPr="005B3D67" w:rsidRDefault="005B3D67" w:rsidP="005B3D67">
            <w:pPr>
              <w:pStyle w:val="BodyText1"/>
              <w:spacing w:before="120" w:after="120"/>
              <w:rPr>
                <w:rFonts w:asciiTheme="minorHAnsi" w:hAnsiTheme="minorHAnsi" w:cs="Arial"/>
                <w:sz w:val="22"/>
                <w:szCs w:val="22"/>
              </w:rPr>
            </w:pPr>
            <w:r w:rsidRPr="005B3D67">
              <w:rPr>
                <w:rFonts w:asciiTheme="minorHAnsi" w:hAnsiTheme="minorHAnsi" w:cs="Arial"/>
                <w:sz w:val="22"/>
                <w:szCs w:val="22"/>
              </w:rPr>
              <w:t>The issuer has strong short-term financial strength to repay all short-term obligations. However, such capacity could be affected, at a limited level, by the adverse macro environment.</w:t>
            </w:r>
          </w:p>
        </w:tc>
      </w:tr>
      <w:tr w:rsidR="005B3D67" w:rsidRPr="008404CE" w:rsidTr="002F528A">
        <w:tc>
          <w:tcPr>
            <w:tcW w:w="1418" w:type="dxa"/>
            <w:tcBorders>
              <w:bottom w:val="dashed" w:sz="4" w:space="0" w:color="auto"/>
            </w:tcBorders>
          </w:tcPr>
          <w:p w:rsidR="005B3D67" w:rsidRPr="005B3D67" w:rsidRDefault="005B3D67" w:rsidP="005B3D67">
            <w:pPr>
              <w:pStyle w:val="BodyText1"/>
              <w:spacing w:before="120" w:after="120"/>
              <w:jc w:val="center"/>
              <w:rPr>
                <w:rFonts w:asciiTheme="minorHAnsi" w:hAnsiTheme="minorHAnsi" w:cs="Arial"/>
                <w:sz w:val="22"/>
                <w:szCs w:val="22"/>
              </w:rPr>
            </w:pPr>
            <w:r w:rsidRPr="005B3D67">
              <w:rPr>
                <w:rFonts w:asciiTheme="minorHAnsi" w:hAnsiTheme="minorHAnsi" w:cs="Arial"/>
                <w:sz w:val="22"/>
                <w:szCs w:val="22"/>
              </w:rPr>
              <w:t>A-3</w:t>
            </w:r>
          </w:p>
        </w:tc>
        <w:tc>
          <w:tcPr>
            <w:tcW w:w="12332" w:type="dxa"/>
            <w:tcBorders>
              <w:bottom w:val="dashed" w:sz="4" w:space="0" w:color="auto"/>
            </w:tcBorders>
          </w:tcPr>
          <w:p w:rsidR="005B3D67" w:rsidRPr="005B3D67" w:rsidRDefault="005B3D67" w:rsidP="005B3D67">
            <w:pPr>
              <w:pStyle w:val="BodyText1"/>
              <w:spacing w:before="120" w:after="120"/>
              <w:rPr>
                <w:rFonts w:asciiTheme="minorHAnsi" w:hAnsiTheme="minorHAnsi" w:cs="Arial"/>
                <w:sz w:val="22"/>
                <w:szCs w:val="22"/>
              </w:rPr>
            </w:pPr>
            <w:r w:rsidRPr="005B3D67">
              <w:rPr>
                <w:rFonts w:asciiTheme="minorHAnsi" w:hAnsiTheme="minorHAnsi" w:cs="Arial"/>
                <w:sz w:val="22"/>
                <w:szCs w:val="22"/>
              </w:rPr>
              <w:t>The issuer has sufficient ability to pay its short-term obligations. However, this ability could be impaired by an adverse macro environment.</w:t>
            </w:r>
          </w:p>
        </w:tc>
      </w:tr>
      <w:tr w:rsidR="005B3D67" w:rsidRPr="008404CE" w:rsidTr="002F528A">
        <w:tc>
          <w:tcPr>
            <w:tcW w:w="1418" w:type="dxa"/>
          </w:tcPr>
          <w:p w:rsidR="005B3D67" w:rsidRPr="005B3D67" w:rsidRDefault="005B3D67" w:rsidP="005B3D67">
            <w:pPr>
              <w:pStyle w:val="BodyText1"/>
              <w:spacing w:before="120" w:after="120"/>
              <w:jc w:val="center"/>
              <w:rPr>
                <w:rFonts w:asciiTheme="minorHAnsi" w:hAnsiTheme="minorHAnsi" w:cs="Arial"/>
                <w:sz w:val="22"/>
                <w:szCs w:val="22"/>
              </w:rPr>
            </w:pPr>
            <w:r w:rsidRPr="005B3D67">
              <w:rPr>
                <w:rFonts w:asciiTheme="minorHAnsi" w:hAnsiTheme="minorHAnsi" w:cs="Arial"/>
                <w:sz w:val="22"/>
                <w:szCs w:val="22"/>
              </w:rPr>
              <w:t>B</w:t>
            </w:r>
          </w:p>
        </w:tc>
        <w:tc>
          <w:tcPr>
            <w:tcW w:w="12332" w:type="dxa"/>
          </w:tcPr>
          <w:p w:rsidR="005B3D67" w:rsidRPr="005B3D67" w:rsidRDefault="005B3D67" w:rsidP="005B3D67">
            <w:pPr>
              <w:pStyle w:val="BodyText1"/>
              <w:spacing w:before="120" w:after="120"/>
              <w:rPr>
                <w:rFonts w:asciiTheme="minorHAnsi" w:hAnsiTheme="minorHAnsi" w:cs="Arial"/>
                <w:sz w:val="22"/>
                <w:szCs w:val="22"/>
              </w:rPr>
            </w:pPr>
            <w:r w:rsidRPr="005B3D67">
              <w:rPr>
                <w:rFonts w:asciiTheme="minorHAnsi" w:hAnsiTheme="minorHAnsi" w:cs="Arial"/>
                <w:sz w:val="22"/>
                <w:szCs w:val="22"/>
              </w:rPr>
              <w:t>The issuer has an acceptable ability to repay its short-term obligations. However, a substantial level of speculative characteristics is present.</w:t>
            </w:r>
          </w:p>
        </w:tc>
      </w:tr>
      <w:tr w:rsidR="005B3D67" w:rsidRPr="008404CE" w:rsidTr="002F528A">
        <w:tc>
          <w:tcPr>
            <w:tcW w:w="1418" w:type="dxa"/>
          </w:tcPr>
          <w:p w:rsidR="005B3D67" w:rsidRPr="005B3D67" w:rsidRDefault="005B3D67" w:rsidP="005B3D67">
            <w:pPr>
              <w:pStyle w:val="BodyText1"/>
              <w:spacing w:before="120" w:after="120"/>
              <w:jc w:val="center"/>
              <w:rPr>
                <w:rFonts w:asciiTheme="minorHAnsi" w:hAnsiTheme="minorHAnsi" w:cs="Arial"/>
                <w:sz w:val="22"/>
                <w:szCs w:val="22"/>
              </w:rPr>
            </w:pPr>
            <w:r w:rsidRPr="005B3D67">
              <w:rPr>
                <w:rFonts w:asciiTheme="minorHAnsi" w:hAnsiTheme="minorHAnsi" w:cs="Arial"/>
                <w:sz w:val="22"/>
                <w:szCs w:val="22"/>
              </w:rPr>
              <w:t>C</w:t>
            </w:r>
          </w:p>
        </w:tc>
        <w:tc>
          <w:tcPr>
            <w:tcW w:w="12332" w:type="dxa"/>
          </w:tcPr>
          <w:p w:rsidR="005B3D67" w:rsidRPr="005B3D67" w:rsidRDefault="005B3D67" w:rsidP="005B3D67">
            <w:pPr>
              <w:pStyle w:val="BodyText1"/>
              <w:spacing w:before="120" w:after="120"/>
              <w:rPr>
                <w:rFonts w:asciiTheme="minorHAnsi" w:hAnsiTheme="minorHAnsi" w:cs="Arial"/>
                <w:sz w:val="22"/>
                <w:szCs w:val="22"/>
              </w:rPr>
            </w:pPr>
            <w:r w:rsidRPr="005B3D67">
              <w:rPr>
                <w:rFonts w:asciiTheme="minorHAnsi" w:hAnsiTheme="minorHAnsi" w:cs="Arial"/>
                <w:sz w:val="22"/>
                <w:szCs w:val="22"/>
              </w:rPr>
              <w:t>The ability to pay short-term obligations is questionable and a default is plausible.</w:t>
            </w:r>
          </w:p>
        </w:tc>
      </w:tr>
      <w:tr w:rsidR="005B3D67" w:rsidRPr="008404CE" w:rsidTr="002F528A">
        <w:tc>
          <w:tcPr>
            <w:tcW w:w="1418" w:type="dxa"/>
          </w:tcPr>
          <w:p w:rsidR="005B3D67" w:rsidRPr="005B3D67" w:rsidRDefault="005B3D67" w:rsidP="005B3D67">
            <w:pPr>
              <w:pStyle w:val="BodyText1"/>
              <w:spacing w:before="120" w:after="120"/>
              <w:jc w:val="center"/>
              <w:rPr>
                <w:rFonts w:asciiTheme="minorHAnsi" w:hAnsiTheme="minorHAnsi" w:cs="Arial"/>
                <w:sz w:val="22"/>
                <w:szCs w:val="22"/>
              </w:rPr>
            </w:pPr>
            <w:r w:rsidRPr="005B3D67">
              <w:rPr>
                <w:rFonts w:asciiTheme="minorHAnsi" w:hAnsiTheme="minorHAnsi" w:cs="Arial"/>
                <w:sz w:val="22"/>
                <w:szCs w:val="22"/>
              </w:rPr>
              <w:t>D</w:t>
            </w:r>
          </w:p>
        </w:tc>
        <w:tc>
          <w:tcPr>
            <w:tcW w:w="12332" w:type="dxa"/>
          </w:tcPr>
          <w:p w:rsidR="005B3D67" w:rsidRPr="005B3D67" w:rsidRDefault="005B3D67" w:rsidP="005B3D67">
            <w:pPr>
              <w:pStyle w:val="BodyText1"/>
              <w:spacing w:before="120" w:after="120"/>
              <w:rPr>
                <w:rFonts w:asciiTheme="minorHAnsi" w:hAnsiTheme="minorHAnsi" w:cs="Arial"/>
                <w:sz w:val="22"/>
                <w:szCs w:val="22"/>
              </w:rPr>
            </w:pPr>
            <w:r w:rsidRPr="005B3D67">
              <w:rPr>
                <w:rFonts w:asciiTheme="minorHAnsi" w:hAnsiTheme="minorHAnsi" w:cs="Arial"/>
                <w:sz w:val="22"/>
                <w:szCs w:val="22"/>
              </w:rPr>
              <w:t>Default</w:t>
            </w:r>
          </w:p>
        </w:tc>
      </w:tr>
    </w:tbl>
    <w:p w:rsidR="00175032" w:rsidRDefault="005B3D67" w:rsidP="00F16A28">
      <w:pPr>
        <w:pStyle w:val="FootnoteText"/>
      </w:pPr>
      <w:r>
        <w:t>Source: Dagong</w:t>
      </w:r>
    </w:p>
    <w:p w:rsidR="00245FF8" w:rsidRPr="00397511" w:rsidRDefault="00245FF8" w:rsidP="00245FF8">
      <w:pPr>
        <w:pStyle w:val="Heading3"/>
        <w:rPr>
          <w:b/>
          <w:i/>
        </w:rPr>
      </w:pPr>
      <w:r w:rsidRPr="00397511">
        <w:rPr>
          <w:i/>
        </w:rPr>
        <w:br w:type="page"/>
      </w:r>
    </w:p>
    <w:p w:rsidR="00245FF8" w:rsidRPr="00AA7E36" w:rsidRDefault="0041788D" w:rsidP="00C45D4A">
      <w:pPr>
        <w:pStyle w:val="Figuretitle"/>
      </w:pPr>
      <w:bookmarkStart w:id="9" w:name="_Ref384802409"/>
      <w:r w:rsidRPr="0041788D">
        <w:rPr>
          <w:szCs w:val="22"/>
        </w:rPr>
        <w:lastRenderedPageBreak/>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9F2323">
        <w:rPr>
          <w:szCs w:val="22"/>
        </w:rPr>
        <w:t>5</w:t>
      </w:r>
      <w:r w:rsidRPr="0041788D">
        <w:rPr>
          <w:szCs w:val="22"/>
        </w:rPr>
        <w:fldChar w:fldCharType="end"/>
      </w:r>
      <w:bookmarkEnd w:id="9"/>
      <w:r w:rsidR="00C45D4A">
        <w:t>:</w:t>
      </w:r>
      <w:r w:rsidR="00245FF8" w:rsidRPr="002F528A">
        <w:t xml:space="preserve"> Internal relationship between </w:t>
      </w:r>
      <w:r w:rsidR="005B3D67">
        <w:t>Dagong</w:t>
      </w:r>
      <w:r w:rsidR="00245FF8" w:rsidRPr="002F528A">
        <w:t xml:space="preserve"> </w:t>
      </w:r>
      <w:r w:rsidR="00B778A1">
        <w:t>l</w:t>
      </w:r>
      <w:r w:rsidR="00245FF8" w:rsidRPr="002F528A">
        <w:t>ong-ter</w:t>
      </w:r>
      <w:r w:rsidR="00B778A1">
        <w:t xml:space="preserve">m and short-term </w:t>
      </w:r>
      <w:r w:rsidR="005B3D67">
        <w:t>credit</w:t>
      </w:r>
      <w:r w:rsidR="00B778A1">
        <w:t xml:space="preserve"> rating</w:t>
      </w:r>
      <w:r w:rsidR="00F21798">
        <w:t xml:space="preserve"> scales</w:t>
      </w:r>
    </w:p>
    <w:tbl>
      <w:tblPr>
        <w:tblW w:w="7922" w:type="dxa"/>
        <w:tblInd w:w="108" w:type="dxa"/>
        <w:tblLook w:val="04A0" w:firstRow="1" w:lastRow="0" w:firstColumn="1" w:lastColumn="0" w:noHBand="0" w:noVBand="1"/>
      </w:tblPr>
      <w:tblGrid>
        <w:gridCol w:w="3544"/>
        <w:gridCol w:w="851"/>
        <w:gridCol w:w="604"/>
        <w:gridCol w:w="604"/>
        <w:gridCol w:w="604"/>
        <w:gridCol w:w="670"/>
        <w:gridCol w:w="276"/>
        <w:gridCol w:w="334"/>
        <w:gridCol w:w="435"/>
      </w:tblGrid>
      <w:tr w:rsidR="005B3D67" w:rsidRPr="00AD0988" w:rsidTr="005B3D67">
        <w:trPr>
          <w:trHeight w:val="300"/>
        </w:trPr>
        <w:tc>
          <w:tcPr>
            <w:tcW w:w="3544" w:type="dxa"/>
            <w:tcBorders>
              <w:bottom w:val="single" w:sz="18" w:space="0" w:color="E98E31" w:themeColor="background2"/>
            </w:tcBorders>
            <w:shd w:val="clear" w:color="auto" w:fill="auto"/>
            <w:noWrap/>
            <w:vAlign w:val="bottom"/>
            <w:hideMark/>
          </w:tcPr>
          <w:p w:rsidR="005B3D67" w:rsidRPr="00AD0988" w:rsidRDefault="005B3D67" w:rsidP="005B3D67">
            <w:pPr>
              <w:spacing w:before="40" w:after="40"/>
              <w:jc w:val="center"/>
              <w:rPr>
                <w:rFonts w:asciiTheme="majorHAnsi" w:hAnsiTheme="majorHAnsi"/>
                <w:b/>
                <w:bCs/>
                <w:color w:val="000000"/>
                <w:szCs w:val="22"/>
              </w:rPr>
            </w:pPr>
            <w:r w:rsidRPr="00AD0988">
              <w:rPr>
                <w:rFonts w:asciiTheme="majorHAnsi" w:hAnsiTheme="majorHAnsi"/>
                <w:b/>
                <w:bCs/>
                <w:color w:val="000000"/>
                <w:szCs w:val="22"/>
              </w:rPr>
              <w:t>Long-term credit rating</w:t>
            </w:r>
            <w:r>
              <w:rPr>
                <w:rFonts w:asciiTheme="majorHAnsi" w:hAnsiTheme="majorHAnsi"/>
                <w:b/>
                <w:bCs/>
                <w:color w:val="000000"/>
                <w:szCs w:val="22"/>
              </w:rPr>
              <w:t xml:space="preserve"> scale</w:t>
            </w:r>
          </w:p>
        </w:tc>
        <w:tc>
          <w:tcPr>
            <w:tcW w:w="4378" w:type="dxa"/>
            <w:gridSpan w:val="8"/>
            <w:tcBorders>
              <w:bottom w:val="single" w:sz="18" w:space="0" w:color="E98E31" w:themeColor="background2"/>
            </w:tcBorders>
            <w:shd w:val="clear" w:color="auto" w:fill="auto"/>
            <w:noWrap/>
            <w:vAlign w:val="bottom"/>
            <w:hideMark/>
          </w:tcPr>
          <w:p w:rsidR="005B3D67" w:rsidRPr="00AD0988" w:rsidRDefault="005B3D67" w:rsidP="005B3D67">
            <w:pPr>
              <w:spacing w:before="40" w:after="40"/>
              <w:jc w:val="center"/>
              <w:rPr>
                <w:rFonts w:asciiTheme="majorHAnsi" w:hAnsiTheme="majorHAnsi"/>
                <w:b/>
                <w:bCs/>
                <w:color w:val="000000"/>
                <w:szCs w:val="22"/>
              </w:rPr>
            </w:pPr>
            <w:r>
              <w:rPr>
                <w:rFonts w:asciiTheme="majorHAnsi" w:hAnsiTheme="majorHAnsi"/>
                <w:b/>
                <w:bCs/>
                <w:color w:val="000000"/>
                <w:szCs w:val="22"/>
              </w:rPr>
              <w:t>Short</w:t>
            </w:r>
            <w:r w:rsidRPr="00AD0988">
              <w:rPr>
                <w:rFonts w:asciiTheme="majorHAnsi" w:hAnsiTheme="majorHAnsi"/>
                <w:b/>
                <w:bCs/>
                <w:color w:val="000000"/>
                <w:szCs w:val="22"/>
              </w:rPr>
              <w:t>-term credit rating</w:t>
            </w:r>
            <w:r>
              <w:rPr>
                <w:rFonts w:asciiTheme="majorHAnsi" w:hAnsiTheme="majorHAnsi"/>
                <w:b/>
                <w:bCs/>
                <w:color w:val="000000"/>
                <w:szCs w:val="22"/>
              </w:rPr>
              <w:t xml:space="preserve"> scale</w:t>
            </w:r>
          </w:p>
        </w:tc>
      </w:tr>
      <w:tr w:rsidR="005B3D67" w:rsidRPr="00AD0988" w:rsidTr="005B3D67">
        <w:trPr>
          <w:gridAfter w:val="1"/>
          <w:wAfter w:w="435" w:type="dxa"/>
          <w:trHeight w:val="300"/>
        </w:trPr>
        <w:tc>
          <w:tcPr>
            <w:tcW w:w="3544" w:type="dxa"/>
            <w:tcBorders>
              <w:top w:val="single" w:sz="18" w:space="0" w:color="E98E31" w:themeColor="background2"/>
            </w:tcBorders>
            <w:shd w:val="clear" w:color="auto" w:fill="auto"/>
            <w:noWrap/>
            <w:vAlign w:val="bottom"/>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AAA</w:t>
            </w:r>
          </w:p>
        </w:tc>
        <w:tc>
          <w:tcPr>
            <w:tcW w:w="851" w:type="dxa"/>
            <w:vMerge w:val="restart"/>
            <w:tcBorders>
              <w:top w:val="single" w:sz="18" w:space="0" w:color="E98E31" w:themeColor="background2"/>
            </w:tcBorders>
            <w:shd w:val="clear" w:color="auto" w:fill="auto"/>
            <w:noWrap/>
            <w:vAlign w:val="center"/>
            <w:hideMark/>
          </w:tcPr>
          <w:p w:rsidR="005B3D67" w:rsidRPr="00AD0988" w:rsidRDefault="005B3D67" w:rsidP="005B3D67">
            <w:pPr>
              <w:spacing w:before="40" w:after="40"/>
              <w:jc w:val="center"/>
              <w:rPr>
                <w:rFonts w:asciiTheme="majorHAnsi" w:hAnsiTheme="majorHAnsi"/>
                <w:color w:val="000000"/>
                <w:szCs w:val="22"/>
              </w:rPr>
            </w:pPr>
            <w:r w:rsidRPr="00AD0988">
              <w:rPr>
                <w:rFonts w:asciiTheme="majorHAnsi" w:hAnsiTheme="majorHAnsi"/>
                <w:color w:val="000000"/>
                <w:szCs w:val="22"/>
              </w:rPr>
              <w:t>A-1</w:t>
            </w:r>
          </w:p>
        </w:tc>
        <w:tc>
          <w:tcPr>
            <w:tcW w:w="604" w:type="dxa"/>
            <w:tcBorders>
              <w:top w:val="single" w:sz="18" w:space="0" w:color="E98E31" w:themeColor="background2"/>
            </w:tcBorders>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tcBorders>
              <w:top w:val="single" w:sz="18" w:space="0" w:color="E98E31" w:themeColor="background2"/>
            </w:tcBorders>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tcBorders>
              <w:top w:val="single" w:sz="18" w:space="0" w:color="E98E31" w:themeColor="background2"/>
            </w:tcBorders>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70" w:type="dxa"/>
            <w:tcBorders>
              <w:top w:val="single" w:sz="18" w:space="0" w:color="E98E31" w:themeColor="background2"/>
            </w:tcBorders>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10" w:type="dxa"/>
            <w:gridSpan w:val="2"/>
            <w:tcBorders>
              <w:top w:val="single" w:sz="18" w:space="0" w:color="E98E31" w:themeColor="background2"/>
            </w:tcBorders>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5B3D67" w:rsidRPr="00AD0988" w:rsidTr="005B3D67">
        <w:trPr>
          <w:gridAfter w:val="1"/>
          <w:wAfter w:w="435" w:type="dxa"/>
          <w:trHeight w:val="300"/>
        </w:trPr>
        <w:tc>
          <w:tcPr>
            <w:tcW w:w="3544" w:type="dxa"/>
            <w:tcBorders>
              <w:top w:val="nil"/>
            </w:tcBorders>
            <w:shd w:val="clear" w:color="auto" w:fill="auto"/>
            <w:noWrap/>
            <w:vAlign w:val="bottom"/>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AA+</w:t>
            </w:r>
          </w:p>
        </w:tc>
        <w:tc>
          <w:tcPr>
            <w:tcW w:w="851" w:type="dxa"/>
            <w:vMerge/>
            <w:vAlign w:val="center"/>
            <w:hideMark/>
          </w:tcPr>
          <w:p w:rsidR="005B3D67" w:rsidRPr="00AD0988" w:rsidRDefault="005B3D67" w:rsidP="002613A6">
            <w:pPr>
              <w:spacing w:before="40" w:after="40"/>
              <w:jc w:val="center"/>
              <w:rPr>
                <w:rFonts w:asciiTheme="majorHAnsi" w:hAnsiTheme="majorHAnsi"/>
                <w:color w:val="000000"/>
                <w:szCs w:val="22"/>
              </w:rPr>
            </w:pPr>
          </w:p>
        </w:tc>
        <w:tc>
          <w:tcPr>
            <w:tcW w:w="604" w:type="dxa"/>
            <w:tcBorders>
              <w:top w:val="nil"/>
            </w:tcBorders>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tcBorders>
              <w:top w:val="nil"/>
            </w:tcBorders>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tcBorders>
              <w:top w:val="nil"/>
            </w:tcBorders>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70" w:type="dxa"/>
            <w:tcBorders>
              <w:top w:val="nil"/>
            </w:tcBorders>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10" w:type="dxa"/>
            <w:gridSpan w:val="2"/>
            <w:tcBorders>
              <w:top w:val="nil"/>
            </w:tcBorders>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5B3D67" w:rsidRPr="00AD0988" w:rsidTr="005B3D67">
        <w:trPr>
          <w:gridAfter w:val="1"/>
          <w:wAfter w:w="435" w:type="dxa"/>
          <w:trHeight w:val="300"/>
        </w:trPr>
        <w:tc>
          <w:tcPr>
            <w:tcW w:w="3544" w:type="dxa"/>
            <w:tcBorders>
              <w:top w:val="nil"/>
            </w:tcBorders>
            <w:shd w:val="clear" w:color="auto" w:fill="auto"/>
            <w:noWrap/>
            <w:vAlign w:val="bottom"/>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AA</w:t>
            </w:r>
          </w:p>
        </w:tc>
        <w:tc>
          <w:tcPr>
            <w:tcW w:w="851" w:type="dxa"/>
            <w:vMerge/>
            <w:vAlign w:val="center"/>
            <w:hideMark/>
          </w:tcPr>
          <w:p w:rsidR="005B3D67" w:rsidRPr="00AD0988" w:rsidRDefault="005B3D67" w:rsidP="002613A6">
            <w:pPr>
              <w:spacing w:before="40" w:after="40"/>
              <w:jc w:val="center"/>
              <w:rPr>
                <w:rFonts w:asciiTheme="majorHAnsi" w:hAnsiTheme="majorHAnsi"/>
                <w:color w:val="000000"/>
                <w:szCs w:val="22"/>
              </w:rPr>
            </w:pPr>
          </w:p>
        </w:tc>
        <w:tc>
          <w:tcPr>
            <w:tcW w:w="604" w:type="dxa"/>
            <w:tcBorders>
              <w:top w:val="nil"/>
            </w:tcBorders>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tcBorders>
              <w:top w:val="nil"/>
            </w:tcBorders>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tcBorders>
              <w:top w:val="nil"/>
            </w:tcBorders>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70" w:type="dxa"/>
            <w:tcBorders>
              <w:top w:val="nil"/>
            </w:tcBorders>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10" w:type="dxa"/>
            <w:gridSpan w:val="2"/>
            <w:tcBorders>
              <w:top w:val="nil"/>
            </w:tcBorders>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5B3D67" w:rsidRPr="00AD0988" w:rsidTr="005B3D67">
        <w:trPr>
          <w:gridAfter w:val="1"/>
          <w:wAfter w:w="435" w:type="dxa"/>
          <w:trHeight w:val="300"/>
        </w:trPr>
        <w:tc>
          <w:tcPr>
            <w:tcW w:w="3544" w:type="dxa"/>
            <w:tcBorders>
              <w:top w:val="nil"/>
            </w:tcBorders>
            <w:shd w:val="clear" w:color="auto" w:fill="auto"/>
            <w:noWrap/>
            <w:vAlign w:val="bottom"/>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AA-</w:t>
            </w:r>
          </w:p>
        </w:tc>
        <w:tc>
          <w:tcPr>
            <w:tcW w:w="851" w:type="dxa"/>
            <w:vMerge/>
            <w:vAlign w:val="center"/>
            <w:hideMark/>
          </w:tcPr>
          <w:p w:rsidR="005B3D67" w:rsidRPr="00AD0988" w:rsidRDefault="005B3D67" w:rsidP="002613A6">
            <w:pPr>
              <w:spacing w:before="40" w:after="40"/>
              <w:jc w:val="center"/>
              <w:rPr>
                <w:rFonts w:asciiTheme="majorHAnsi" w:hAnsiTheme="majorHAnsi"/>
                <w:color w:val="000000"/>
                <w:szCs w:val="22"/>
              </w:rPr>
            </w:pPr>
          </w:p>
        </w:tc>
        <w:tc>
          <w:tcPr>
            <w:tcW w:w="604" w:type="dxa"/>
            <w:tcBorders>
              <w:top w:val="nil"/>
            </w:tcBorders>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tcBorders>
              <w:top w:val="nil"/>
            </w:tcBorders>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tcBorders>
              <w:top w:val="nil"/>
            </w:tcBorders>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70" w:type="dxa"/>
            <w:tcBorders>
              <w:top w:val="nil"/>
            </w:tcBorders>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10" w:type="dxa"/>
            <w:gridSpan w:val="2"/>
            <w:tcBorders>
              <w:top w:val="nil"/>
            </w:tcBorders>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5B3D67" w:rsidRPr="00AD0988" w:rsidTr="005B3D67">
        <w:trPr>
          <w:gridAfter w:val="1"/>
          <w:wAfter w:w="435" w:type="dxa"/>
          <w:trHeight w:val="300"/>
        </w:trPr>
        <w:tc>
          <w:tcPr>
            <w:tcW w:w="3544" w:type="dxa"/>
            <w:shd w:val="clear" w:color="auto" w:fill="auto"/>
            <w:noWrap/>
            <w:vAlign w:val="bottom"/>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A+</w:t>
            </w:r>
          </w:p>
        </w:tc>
        <w:tc>
          <w:tcPr>
            <w:tcW w:w="851" w:type="dxa"/>
            <w:vMerge/>
            <w:shd w:val="clear" w:color="000000" w:fill="F2F2F2"/>
            <w:noWrap/>
            <w:vAlign w:val="center"/>
            <w:hideMark/>
          </w:tcPr>
          <w:p w:rsidR="005B3D67" w:rsidRPr="00AD0988" w:rsidRDefault="005B3D67" w:rsidP="002613A6">
            <w:pPr>
              <w:spacing w:before="40" w:after="40"/>
              <w:jc w:val="center"/>
              <w:rPr>
                <w:rFonts w:asciiTheme="majorHAnsi" w:hAnsiTheme="majorHAnsi"/>
                <w:color w:val="000000"/>
                <w:szCs w:val="22"/>
              </w:rPr>
            </w:pPr>
          </w:p>
        </w:tc>
        <w:tc>
          <w:tcPr>
            <w:tcW w:w="604" w:type="dxa"/>
            <w:shd w:val="clear" w:color="auto" w:fill="D9D9D9" w:themeFill="background1" w:themeFillShade="D9"/>
            <w:noWrap/>
            <w:vAlign w:val="center"/>
            <w:hideMark/>
          </w:tcPr>
          <w:p w:rsidR="005B3D67" w:rsidRPr="00AD0988" w:rsidRDefault="005B3D67" w:rsidP="002613A6">
            <w:pPr>
              <w:spacing w:before="40" w:after="40"/>
              <w:jc w:val="center"/>
              <w:rPr>
                <w:rFonts w:asciiTheme="majorHAnsi" w:hAnsiTheme="majorHAnsi"/>
                <w:color w:val="000000"/>
                <w:szCs w:val="22"/>
              </w:rPr>
            </w:pP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70"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10" w:type="dxa"/>
            <w:gridSpan w:val="2"/>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5B3D67" w:rsidRPr="00AD0988" w:rsidTr="005B3D67">
        <w:trPr>
          <w:gridAfter w:val="1"/>
          <w:wAfter w:w="435" w:type="dxa"/>
          <w:trHeight w:val="300"/>
        </w:trPr>
        <w:tc>
          <w:tcPr>
            <w:tcW w:w="3544" w:type="dxa"/>
            <w:shd w:val="clear" w:color="auto" w:fill="auto"/>
            <w:noWrap/>
            <w:vAlign w:val="bottom"/>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A</w:t>
            </w:r>
          </w:p>
        </w:tc>
        <w:tc>
          <w:tcPr>
            <w:tcW w:w="851" w:type="dxa"/>
            <w:vMerge/>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p>
        </w:tc>
        <w:tc>
          <w:tcPr>
            <w:tcW w:w="604" w:type="dxa"/>
            <w:shd w:val="clear" w:color="auto" w:fill="D9D9D9" w:themeFill="background1" w:themeFillShade="D9"/>
            <w:vAlign w:val="center"/>
            <w:hideMark/>
          </w:tcPr>
          <w:p w:rsidR="005B3D67" w:rsidRPr="00AD0988" w:rsidRDefault="005B3D67" w:rsidP="002613A6">
            <w:pPr>
              <w:spacing w:before="40" w:after="40"/>
              <w:rPr>
                <w:rFonts w:asciiTheme="majorHAnsi" w:hAnsiTheme="majorHAnsi"/>
                <w:color w:val="000000"/>
                <w:szCs w:val="22"/>
              </w:rPr>
            </w:pPr>
          </w:p>
        </w:tc>
        <w:tc>
          <w:tcPr>
            <w:tcW w:w="604" w:type="dxa"/>
            <w:shd w:val="clear" w:color="auto" w:fill="D9D9D9" w:themeFill="background1" w:themeFillShade="D9"/>
            <w:noWrap/>
            <w:vAlign w:val="center"/>
            <w:hideMark/>
          </w:tcPr>
          <w:p w:rsidR="005B3D67" w:rsidRPr="00AD0988" w:rsidRDefault="005B3D67" w:rsidP="002613A6">
            <w:pPr>
              <w:spacing w:before="40" w:after="40"/>
              <w:jc w:val="center"/>
              <w:rPr>
                <w:rFonts w:asciiTheme="majorHAnsi" w:hAnsiTheme="majorHAnsi"/>
                <w:color w:val="000000"/>
                <w:szCs w:val="22"/>
              </w:rPr>
            </w:pP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70"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10" w:type="dxa"/>
            <w:gridSpan w:val="2"/>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5B3D67" w:rsidRPr="00AD0988" w:rsidTr="005B3D67">
        <w:trPr>
          <w:gridAfter w:val="1"/>
          <w:wAfter w:w="435" w:type="dxa"/>
          <w:trHeight w:val="300"/>
        </w:trPr>
        <w:tc>
          <w:tcPr>
            <w:tcW w:w="3544" w:type="dxa"/>
            <w:shd w:val="clear" w:color="auto" w:fill="auto"/>
            <w:noWrap/>
            <w:vAlign w:val="bottom"/>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A-</w:t>
            </w:r>
          </w:p>
        </w:tc>
        <w:tc>
          <w:tcPr>
            <w:tcW w:w="851" w:type="dxa"/>
            <w:vMerge/>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p>
        </w:tc>
        <w:tc>
          <w:tcPr>
            <w:tcW w:w="604" w:type="dxa"/>
            <w:vMerge w:val="restart"/>
            <w:shd w:val="clear" w:color="auto" w:fill="auto"/>
            <w:noWrap/>
            <w:vAlign w:val="center"/>
            <w:hideMark/>
          </w:tcPr>
          <w:p w:rsidR="005B3D67" w:rsidRPr="00AD0988" w:rsidRDefault="00926E53" w:rsidP="00B50A44">
            <w:pPr>
              <w:spacing w:before="40" w:after="40"/>
              <w:jc w:val="center"/>
              <w:rPr>
                <w:rFonts w:asciiTheme="majorHAnsi" w:hAnsiTheme="majorHAnsi"/>
                <w:color w:val="000000"/>
                <w:szCs w:val="22"/>
              </w:rPr>
            </w:pPr>
            <w:r>
              <w:rPr>
                <w:rFonts w:asciiTheme="majorHAnsi" w:hAnsiTheme="majorHAnsi"/>
                <w:color w:val="000000"/>
                <w:szCs w:val="22"/>
              </w:rPr>
              <w:t>A-2</w:t>
            </w:r>
          </w:p>
        </w:tc>
        <w:tc>
          <w:tcPr>
            <w:tcW w:w="604" w:type="dxa"/>
            <w:shd w:val="clear" w:color="auto" w:fill="D9D9D9" w:themeFill="background1" w:themeFillShade="D9"/>
            <w:vAlign w:val="center"/>
            <w:hideMark/>
          </w:tcPr>
          <w:p w:rsidR="005B3D67" w:rsidRPr="00AD0988" w:rsidRDefault="005B3D67" w:rsidP="002613A6">
            <w:pPr>
              <w:spacing w:before="40" w:after="40"/>
              <w:rPr>
                <w:rFonts w:asciiTheme="majorHAnsi" w:hAnsiTheme="majorHAnsi"/>
                <w:color w:val="000000"/>
                <w:szCs w:val="22"/>
              </w:rPr>
            </w:pP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70"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10" w:type="dxa"/>
            <w:gridSpan w:val="2"/>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5B3D67" w:rsidRPr="00AD0988" w:rsidTr="005B3D67">
        <w:trPr>
          <w:gridAfter w:val="1"/>
          <w:wAfter w:w="435" w:type="dxa"/>
          <w:trHeight w:val="300"/>
        </w:trPr>
        <w:tc>
          <w:tcPr>
            <w:tcW w:w="3544" w:type="dxa"/>
            <w:shd w:val="clear" w:color="auto" w:fill="auto"/>
            <w:noWrap/>
            <w:vAlign w:val="bottom"/>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BBB+</w:t>
            </w:r>
          </w:p>
        </w:tc>
        <w:tc>
          <w:tcPr>
            <w:tcW w:w="851"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vMerge/>
            <w:shd w:val="clear" w:color="auto" w:fill="auto"/>
            <w:noWrap/>
            <w:vAlign w:val="center"/>
            <w:hideMark/>
          </w:tcPr>
          <w:p w:rsidR="005B3D67" w:rsidRPr="00AD0988" w:rsidRDefault="005B3D67" w:rsidP="002613A6">
            <w:pPr>
              <w:spacing w:before="40" w:after="40"/>
              <w:jc w:val="center"/>
              <w:rPr>
                <w:rFonts w:asciiTheme="majorHAnsi" w:hAnsiTheme="majorHAnsi"/>
                <w:color w:val="000000"/>
                <w:szCs w:val="22"/>
              </w:rPr>
            </w:pPr>
          </w:p>
        </w:tc>
        <w:tc>
          <w:tcPr>
            <w:tcW w:w="604" w:type="dxa"/>
            <w:shd w:val="clear" w:color="auto" w:fill="D9D9D9" w:themeFill="background1" w:themeFillShade="D9"/>
            <w:vAlign w:val="center"/>
            <w:hideMark/>
          </w:tcPr>
          <w:p w:rsidR="005B3D67" w:rsidRPr="00AD0988" w:rsidRDefault="005B3D67" w:rsidP="002613A6">
            <w:pPr>
              <w:spacing w:before="40" w:after="40"/>
              <w:rPr>
                <w:rFonts w:asciiTheme="majorHAnsi" w:hAnsiTheme="majorHAnsi"/>
                <w:color w:val="000000"/>
                <w:szCs w:val="22"/>
              </w:rPr>
            </w:pP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70"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10" w:type="dxa"/>
            <w:gridSpan w:val="2"/>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5B3D67" w:rsidRPr="00AD0988" w:rsidTr="005B3D67">
        <w:trPr>
          <w:gridAfter w:val="1"/>
          <w:wAfter w:w="435" w:type="dxa"/>
          <w:trHeight w:val="300"/>
        </w:trPr>
        <w:tc>
          <w:tcPr>
            <w:tcW w:w="3544" w:type="dxa"/>
            <w:shd w:val="clear" w:color="auto" w:fill="auto"/>
            <w:noWrap/>
            <w:vAlign w:val="bottom"/>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BBB</w:t>
            </w:r>
          </w:p>
        </w:tc>
        <w:tc>
          <w:tcPr>
            <w:tcW w:w="851"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vMerge/>
            <w:shd w:val="clear" w:color="auto" w:fill="auto"/>
            <w:noWrap/>
            <w:vAlign w:val="center"/>
            <w:hideMark/>
          </w:tcPr>
          <w:p w:rsidR="005B3D67" w:rsidRPr="00AD0988" w:rsidRDefault="005B3D67" w:rsidP="002613A6">
            <w:pPr>
              <w:spacing w:before="40" w:after="40"/>
              <w:jc w:val="center"/>
              <w:rPr>
                <w:rFonts w:asciiTheme="majorHAnsi" w:hAnsiTheme="majorHAnsi"/>
                <w:color w:val="000000"/>
                <w:szCs w:val="22"/>
              </w:rPr>
            </w:pPr>
          </w:p>
        </w:tc>
        <w:tc>
          <w:tcPr>
            <w:tcW w:w="604" w:type="dxa"/>
            <w:vMerge w:val="restart"/>
            <w:shd w:val="clear" w:color="auto" w:fill="auto"/>
            <w:vAlign w:val="center"/>
            <w:hideMark/>
          </w:tcPr>
          <w:p w:rsidR="005B3D67" w:rsidRPr="00AD0988" w:rsidRDefault="005B3D67" w:rsidP="002613A6">
            <w:pPr>
              <w:spacing w:before="40" w:after="40"/>
              <w:jc w:val="center"/>
              <w:rPr>
                <w:rFonts w:asciiTheme="majorHAnsi" w:hAnsiTheme="majorHAnsi"/>
                <w:color w:val="000000"/>
                <w:szCs w:val="22"/>
              </w:rPr>
            </w:pPr>
            <w:r>
              <w:rPr>
                <w:rFonts w:asciiTheme="majorHAnsi" w:hAnsiTheme="majorHAnsi"/>
                <w:color w:val="000000"/>
                <w:szCs w:val="22"/>
              </w:rPr>
              <w:t>A-3</w:t>
            </w:r>
          </w:p>
        </w:tc>
        <w:tc>
          <w:tcPr>
            <w:tcW w:w="604" w:type="dxa"/>
            <w:shd w:val="clear" w:color="auto" w:fill="D9D9D9" w:themeFill="background1" w:themeFillShade="D9"/>
            <w:noWrap/>
            <w:vAlign w:val="center"/>
            <w:hideMark/>
          </w:tcPr>
          <w:p w:rsidR="005B3D67" w:rsidRPr="00AD0988" w:rsidRDefault="005B3D67" w:rsidP="002613A6">
            <w:pPr>
              <w:spacing w:before="40" w:after="40"/>
              <w:jc w:val="center"/>
              <w:rPr>
                <w:rFonts w:asciiTheme="majorHAnsi" w:hAnsiTheme="majorHAnsi"/>
                <w:color w:val="000000"/>
                <w:szCs w:val="22"/>
              </w:rPr>
            </w:pPr>
          </w:p>
        </w:tc>
        <w:tc>
          <w:tcPr>
            <w:tcW w:w="670"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10" w:type="dxa"/>
            <w:gridSpan w:val="2"/>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5B3D67" w:rsidRPr="00AD0988" w:rsidTr="005B3D67">
        <w:trPr>
          <w:gridAfter w:val="1"/>
          <w:wAfter w:w="435" w:type="dxa"/>
          <w:trHeight w:val="300"/>
        </w:trPr>
        <w:tc>
          <w:tcPr>
            <w:tcW w:w="3544" w:type="dxa"/>
            <w:shd w:val="clear" w:color="auto" w:fill="auto"/>
            <w:noWrap/>
            <w:vAlign w:val="bottom"/>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BBB-</w:t>
            </w:r>
          </w:p>
        </w:tc>
        <w:tc>
          <w:tcPr>
            <w:tcW w:w="851"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vMerge/>
            <w:shd w:val="clear" w:color="auto" w:fill="auto"/>
            <w:noWrap/>
            <w:vAlign w:val="center"/>
            <w:hideMark/>
          </w:tcPr>
          <w:p w:rsidR="005B3D67" w:rsidRPr="00AD0988" w:rsidRDefault="005B3D67" w:rsidP="002613A6">
            <w:pPr>
              <w:spacing w:before="40" w:after="40"/>
              <w:jc w:val="center"/>
              <w:rPr>
                <w:rFonts w:asciiTheme="majorHAnsi" w:hAnsiTheme="majorHAnsi"/>
                <w:color w:val="000000"/>
                <w:szCs w:val="22"/>
              </w:rPr>
            </w:pPr>
          </w:p>
        </w:tc>
        <w:tc>
          <w:tcPr>
            <w:tcW w:w="604" w:type="dxa"/>
            <w:shd w:val="clear" w:color="auto" w:fill="D9D9D9" w:themeFill="background1" w:themeFillShade="D9"/>
            <w:vAlign w:val="center"/>
            <w:hideMark/>
          </w:tcPr>
          <w:p w:rsidR="005B3D67" w:rsidRPr="00AD0988" w:rsidRDefault="005B3D67" w:rsidP="002613A6">
            <w:pPr>
              <w:spacing w:before="40" w:after="40"/>
              <w:rPr>
                <w:rFonts w:asciiTheme="majorHAnsi" w:hAnsiTheme="majorHAnsi"/>
                <w:color w:val="000000"/>
                <w:szCs w:val="22"/>
              </w:rPr>
            </w:pPr>
          </w:p>
        </w:tc>
        <w:tc>
          <w:tcPr>
            <w:tcW w:w="670"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10" w:type="dxa"/>
            <w:gridSpan w:val="2"/>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5B3D67" w:rsidRPr="00AD0988" w:rsidTr="005B3D67">
        <w:trPr>
          <w:gridAfter w:val="1"/>
          <w:wAfter w:w="435" w:type="dxa"/>
          <w:trHeight w:val="300"/>
        </w:trPr>
        <w:tc>
          <w:tcPr>
            <w:tcW w:w="3544" w:type="dxa"/>
            <w:shd w:val="clear" w:color="auto" w:fill="auto"/>
            <w:noWrap/>
            <w:vAlign w:val="bottom"/>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BB+</w:t>
            </w:r>
          </w:p>
        </w:tc>
        <w:tc>
          <w:tcPr>
            <w:tcW w:w="851"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vMerge w:val="restart"/>
            <w:shd w:val="clear" w:color="auto" w:fill="auto"/>
            <w:vAlign w:val="center"/>
            <w:hideMark/>
          </w:tcPr>
          <w:p w:rsidR="005B3D67" w:rsidRPr="00AD0988" w:rsidRDefault="005B3D67" w:rsidP="002613A6">
            <w:pPr>
              <w:spacing w:before="40" w:after="40"/>
              <w:jc w:val="center"/>
              <w:rPr>
                <w:rFonts w:asciiTheme="majorHAnsi" w:hAnsiTheme="majorHAnsi"/>
                <w:color w:val="000000"/>
                <w:szCs w:val="22"/>
              </w:rPr>
            </w:pPr>
            <w:r>
              <w:rPr>
                <w:rFonts w:asciiTheme="majorHAnsi" w:hAnsiTheme="majorHAnsi"/>
                <w:color w:val="000000"/>
                <w:szCs w:val="22"/>
              </w:rPr>
              <w:t>B</w:t>
            </w:r>
          </w:p>
        </w:tc>
        <w:tc>
          <w:tcPr>
            <w:tcW w:w="946" w:type="dxa"/>
            <w:gridSpan w:val="2"/>
            <w:shd w:val="clear" w:color="auto" w:fill="D9D9D9" w:themeFill="background1" w:themeFillShade="D9"/>
            <w:vAlign w:val="center"/>
          </w:tcPr>
          <w:p w:rsidR="005B3D67" w:rsidRPr="00AD0988" w:rsidRDefault="005B3D67" w:rsidP="002613A6">
            <w:pPr>
              <w:spacing w:before="40" w:after="40"/>
              <w:jc w:val="center"/>
              <w:rPr>
                <w:rFonts w:asciiTheme="majorHAnsi" w:hAnsiTheme="majorHAnsi"/>
                <w:color w:val="000000"/>
                <w:szCs w:val="22"/>
              </w:rPr>
            </w:pPr>
          </w:p>
        </w:tc>
        <w:tc>
          <w:tcPr>
            <w:tcW w:w="334" w:type="dxa"/>
            <w:shd w:val="clear" w:color="auto" w:fill="D9D9D9" w:themeFill="background1" w:themeFillShade="D9"/>
            <w:vAlign w:val="center"/>
          </w:tcPr>
          <w:p w:rsidR="005B3D67" w:rsidRPr="00AD0988" w:rsidRDefault="005B3D67" w:rsidP="002613A6">
            <w:pPr>
              <w:spacing w:before="40" w:after="40"/>
              <w:jc w:val="center"/>
              <w:rPr>
                <w:rFonts w:asciiTheme="majorHAnsi" w:hAnsiTheme="majorHAnsi"/>
                <w:color w:val="000000"/>
                <w:szCs w:val="22"/>
              </w:rPr>
            </w:pPr>
          </w:p>
        </w:tc>
      </w:tr>
      <w:tr w:rsidR="005B3D67" w:rsidRPr="00AD0988" w:rsidTr="005B3D67">
        <w:trPr>
          <w:gridAfter w:val="1"/>
          <w:wAfter w:w="435" w:type="dxa"/>
          <w:trHeight w:val="300"/>
        </w:trPr>
        <w:tc>
          <w:tcPr>
            <w:tcW w:w="3544" w:type="dxa"/>
            <w:shd w:val="clear" w:color="auto" w:fill="auto"/>
            <w:noWrap/>
            <w:vAlign w:val="bottom"/>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BB</w:t>
            </w:r>
          </w:p>
        </w:tc>
        <w:tc>
          <w:tcPr>
            <w:tcW w:w="851"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vMerge/>
            <w:shd w:val="clear" w:color="auto" w:fill="auto"/>
            <w:noWrap/>
            <w:vAlign w:val="center"/>
            <w:hideMark/>
          </w:tcPr>
          <w:p w:rsidR="005B3D67" w:rsidRPr="00AD0988" w:rsidRDefault="005B3D67" w:rsidP="002613A6">
            <w:pPr>
              <w:spacing w:before="40" w:after="40"/>
              <w:jc w:val="center"/>
              <w:rPr>
                <w:rFonts w:asciiTheme="majorHAnsi" w:hAnsiTheme="majorHAnsi"/>
                <w:color w:val="000000"/>
                <w:szCs w:val="22"/>
              </w:rPr>
            </w:pPr>
          </w:p>
        </w:tc>
        <w:tc>
          <w:tcPr>
            <w:tcW w:w="946" w:type="dxa"/>
            <w:gridSpan w:val="2"/>
            <w:shd w:val="clear" w:color="auto" w:fill="D9D9D9" w:themeFill="background1" w:themeFillShade="D9"/>
            <w:vAlign w:val="center"/>
          </w:tcPr>
          <w:p w:rsidR="005B3D67" w:rsidRPr="00AD0988" w:rsidRDefault="005B3D67" w:rsidP="002613A6">
            <w:pPr>
              <w:spacing w:before="40" w:after="40"/>
              <w:rPr>
                <w:rFonts w:asciiTheme="majorHAnsi" w:hAnsiTheme="majorHAnsi"/>
                <w:color w:val="000000"/>
                <w:szCs w:val="22"/>
              </w:rPr>
            </w:pPr>
          </w:p>
        </w:tc>
        <w:tc>
          <w:tcPr>
            <w:tcW w:w="334" w:type="dxa"/>
            <w:shd w:val="clear" w:color="auto" w:fill="D9D9D9" w:themeFill="background1" w:themeFillShade="D9"/>
            <w:vAlign w:val="center"/>
          </w:tcPr>
          <w:p w:rsidR="005B3D67" w:rsidRPr="00AD0988" w:rsidRDefault="005B3D67" w:rsidP="002613A6">
            <w:pPr>
              <w:spacing w:before="40" w:after="40"/>
              <w:rPr>
                <w:rFonts w:asciiTheme="majorHAnsi" w:hAnsiTheme="majorHAnsi"/>
                <w:color w:val="000000"/>
                <w:szCs w:val="22"/>
              </w:rPr>
            </w:pPr>
          </w:p>
        </w:tc>
      </w:tr>
      <w:tr w:rsidR="005B3D67" w:rsidRPr="00AD0988" w:rsidTr="005B3D67">
        <w:trPr>
          <w:gridAfter w:val="1"/>
          <w:wAfter w:w="435" w:type="dxa"/>
          <w:trHeight w:val="300"/>
        </w:trPr>
        <w:tc>
          <w:tcPr>
            <w:tcW w:w="3544" w:type="dxa"/>
            <w:shd w:val="clear" w:color="auto" w:fill="auto"/>
            <w:noWrap/>
            <w:vAlign w:val="bottom"/>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BB-</w:t>
            </w:r>
          </w:p>
        </w:tc>
        <w:tc>
          <w:tcPr>
            <w:tcW w:w="851"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vMerge/>
            <w:shd w:val="clear" w:color="auto" w:fill="auto"/>
            <w:noWrap/>
            <w:vAlign w:val="center"/>
            <w:hideMark/>
          </w:tcPr>
          <w:p w:rsidR="005B3D67" w:rsidRPr="00AD0988" w:rsidRDefault="005B3D67" w:rsidP="002613A6">
            <w:pPr>
              <w:spacing w:before="40" w:after="40"/>
              <w:jc w:val="center"/>
              <w:rPr>
                <w:rFonts w:asciiTheme="majorHAnsi" w:hAnsiTheme="majorHAnsi"/>
                <w:color w:val="000000"/>
                <w:szCs w:val="22"/>
              </w:rPr>
            </w:pPr>
          </w:p>
        </w:tc>
        <w:tc>
          <w:tcPr>
            <w:tcW w:w="946" w:type="dxa"/>
            <w:gridSpan w:val="2"/>
            <w:shd w:val="clear" w:color="auto" w:fill="D9D9D9" w:themeFill="background1" w:themeFillShade="D9"/>
            <w:vAlign w:val="center"/>
          </w:tcPr>
          <w:p w:rsidR="005B3D67" w:rsidRPr="00AD0988" w:rsidRDefault="005B3D67" w:rsidP="002613A6">
            <w:pPr>
              <w:spacing w:before="40" w:after="40"/>
              <w:rPr>
                <w:rFonts w:asciiTheme="majorHAnsi" w:hAnsiTheme="majorHAnsi"/>
                <w:color w:val="000000"/>
                <w:szCs w:val="22"/>
              </w:rPr>
            </w:pPr>
          </w:p>
        </w:tc>
        <w:tc>
          <w:tcPr>
            <w:tcW w:w="334" w:type="dxa"/>
            <w:shd w:val="clear" w:color="auto" w:fill="D9D9D9" w:themeFill="background1" w:themeFillShade="D9"/>
            <w:vAlign w:val="center"/>
          </w:tcPr>
          <w:p w:rsidR="005B3D67" w:rsidRPr="00AD0988" w:rsidRDefault="005B3D67" w:rsidP="002613A6">
            <w:pPr>
              <w:spacing w:before="40" w:after="40"/>
              <w:rPr>
                <w:rFonts w:asciiTheme="majorHAnsi" w:hAnsiTheme="majorHAnsi"/>
                <w:color w:val="000000"/>
                <w:szCs w:val="22"/>
              </w:rPr>
            </w:pPr>
          </w:p>
        </w:tc>
      </w:tr>
      <w:tr w:rsidR="005B3D67" w:rsidRPr="00AD0988" w:rsidTr="005B3D67">
        <w:trPr>
          <w:gridAfter w:val="1"/>
          <w:wAfter w:w="435" w:type="dxa"/>
          <w:trHeight w:val="300"/>
        </w:trPr>
        <w:tc>
          <w:tcPr>
            <w:tcW w:w="3544" w:type="dxa"/>
            <w:shd w:val="clear" w:color="auto" w:fill="auto"/>
            <w:noWrap/>
            <w:vAlign w:val="bottom"/>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B+</w:t>
            </w:r>
          </w:p>
        </w:tc>
        <w:tc>
          <w:tcPr>
            <w:tcW w:w="851"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vMerge/>
            <w:shd w:val="clear" w:color="auto" w:fill="auto"/>
            <w:noWrap/>
            <w:vAlign w:val="center"/>
            <w:hideMark/>
          </w:tcPr>
          <w:p w:rsidR="005B3D67" w:rsidRPr="00AD0988" w:rsidRDefault="005B3D67" w:rsidP="002613A6">
            <w:pPr>
              <w:spacing w:before="40" w:after="40"/>
              <w:jc w:val="center"/>
              <w:rPr>
                <w:rFonts w:asciiTheme="majorHAnsi" w:hAnsiTheme="majorHAnsi"/>
                <w:color w:val="000000"/>
                <w:szCs w:val="22"/>
              </w:rPr>
            </w:pPr>
          </w:p>
        </w:tc>
        <w:tc>
          <w:tcPr>
            <w:tcW w:w="946" w:type="dxa"/>
            <w:gridSpan w:val="2"/>
            <w:shd w:val="clear" w:color="auto" w:fill="D9D9D9" w:themeFill="background1" w:themeFillShade="D9"/>
            <w:vAlign w:val="center"/>
          </w:tcPr>
          <w:p w:rsidR="005B3D67" w:rsidRPr="00AD0988" w:rsidRDefault="005B3D67" w:rsidP="002613A6">
            <w:pPr>
              <w:spacing w:before="40" w:after="40"/>
              <w:rPr>
                <w:rFonts w:asciiTheme="majorHAnsi" w:hAnsiTheme="majorHAnsi"/>
                <w:color w:val="000000"/>
                <w:szCs w:val="22"/>
              </w:rPr>
            </w:pPr>
          </w:p>
        </w:tc>
        <w:tc>
          <w:tcPr>
            <w:tcW w:w="334" w:type="dxa"/>
            <w:shd w:val="clear" w:color="auto" w:fill="D9D9D9" w:themeFill="background1" w:themeFillShade="D9"/>
            <w:vAlign w:val="center"/>
          </w:tcPr>
          <w:p w:rsidR="005B3D67" w:rsidRPr="00AD0988" w:rsidRDefault="005B3D67" w:rsidP="002613A6">
            <w:pPr>
              <w:spacing w:before="40" w:after="40"/>
              <w:rPr>
                <w:rFonts w:asciiTheme="majorHAnsi" w:hAnsiTheme="majorHAnsi"/>
                <w:color w:val="000000"/>
                <w:szCs w:val="22"/>
              </w:rPr>
            </w:pPr>
          </w:p>
        </w:tc>
      </w:tr>
      <w:tr w:rsidR="005B3D67" w:rsidRPr="00AD0988" w:rsidTr="005B3D67">
        <w:trPr>
          <w:gridAfter w:val="1"/>
          <w:wAfter w:w="435" w:type="dxa"/>
          <w:trHeight w:val="300"/>
        </w:trPr>
        <w:tc>
          <w:tcPr>
            <w:tcW w:w="3544" w:type="dxa"/>
            <w:shd w:val="clear" w:color="auto" w:fill="auto"/>
            <w:noWrap/>
            <w:vAlign w:val="bottom"/>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B</w:t>
            </w:r>
          </w:p>
        </w:tc>
        <w:tc>
          <w:tcPr>
            <w:tcW w:w="851"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vMerge/>
            <w:shd w:val="clear" w:color="auto" w:fill="auto"/>
            <w:noWrap/>
            <w:vAlign w:val="center"/>
            <w:hideMark/>
          </w:tcPr>
          <w:p w:rsidR="005B3D67" w:rsidRPr="00AD0988" w:rsidRDefault="005B3D67" w:rsidP="002613A6">
            <w:pPr>
              <w:spacing w:before="40" w:after="40"/>
              <w:jc w:val="center"/>
              <w:rPr>
                <w:rFonts w:asciiTheme="majorHAnsi" w:hAnsiTheme="majorHAnsi"/>
                <w:color w:val="000000"/>
                <w:szCs w:val="22"/>
              </w:rPr>
            </w:pPr>
          </w:p>
        </w:tc>
        <w:tc>
          <w:tcPr>
            <w:tcW w:w="946" w:type="dxa"/>
            <w:gridSpan w:val="2"/>
            <w:shd w:val="clear" w:color="auto" w:fill="D9D9D9" w:themeFill="background1" w:themeFillShade="D9"/>
            <w:vAlign w:val="center"/>
          </w:tcPr>
          <w:p w:rsidR="005B3D67" w:rsidRPr="00AD0988" w:rsidRDefault="005B3D67" w:rsidP="002613A6">
            <w:pPr>
              <w:spacing w:before="40" w:after="40"/>
              <w:rPr>
                <w:rFonts w:asciiTheme="majorHAnsi" w:hAnsiTheme="majorHAnsi"/>
                <w:color w:val="000000"/>
                <w:szCs w:val="22"/>
              </w:rPr>
            </w:pPr>
          </w:p>
        </w:tc>
        <w:tc>
          <w:tcPr>
            <w:tcW w:w="334" w:type="dxa"/>
            <w:shd w:val="clear" w:color="auto" w:fill="D9D9D9" w:themeFill="background1" w:themeFillShade="D9"/>
            <w:vAlign w:val="center"/>
          </w:tcPr>
          <w:p w:rsidR="005B3D67" w:rsidRPr="00AD0988" w:rsidRDefault="005B3D67" w:rsidP="002613A6">
            <w:pPr>
              <w:spacing w:before="40" w:after="40"/>
              <w:rPr>
                <w:rFonts w:asciiTheme="majorHAnsi" w:hAnsiTheme="majorHAnsi"/>
                <w:color w:val="000000"/>
                <w:szCs w:val="22"/>
              </w:rPr>
            </w:pPr>
          </w:p>
        </w:tc>
      </w:tr>
      <w:tr w:rsidR="005B3D67" w:rsidRPr="00AD0988" w:rsidTr="005B3D67">
        <w:trPr>
          <w:gridAfter w:val="1"/>
          <w:wAfter w:w="435" w:type="dxa"/>
          <w:trHeight w:val="300"/>
        </w:trPr>
        <w:tc>
          <w:tcPr>
            <w:tcW w:w="3544" w:type="dxa"/>
            <w:shd w:val="clear" w:color="auto" w:fill="auto"/>
            <w:noWrap/>
            <w:vAlign w:val="bottom"/>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B-</w:t>
            </w:r>
          </w:p>
        </w:tc>
        <w:tc>
          <w:tcPr>
            <w:tcW w:w="851"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vMerge/>
            <w:shd w:val="clear" w:color="auto" w:fill="auto"/>
            <w:noWrap/>
            <w:vAlign w:val="center"/>
            <w:hideMark/>
          </w:tcPr>
          <w:p w:rsidR="005B3D67" w:rsidRPr="00AD0988" w:rsidRDefault="005B3D67" w:rsidP="002613A6">
            <w:pPr>
              <w:spacing w:before="40" w:after="40"/>
              <w:jc w:val="center"/>
              <w:rPr>
                <w:rFonts w:asciiTheme="majorHAnsi" w:hAnsiTheme="majorHAnsi"/>
                <w:color w:val="000000"/>
                <w:szCs w:val="22"/>
              </w:rPr>
            </w:pPr>
          </w:p>
        </w:tc>
        <w:tc>
          <w:tcPr>
            <w:tcW w:w="946" w:type="dxa"/>
            <w:gridSpan w:val="2"/>
            <w:shd w:val="clear" w:color="auto" w:fill="D9D9D9" w:themeFill="background1" w:themeFillShade="D9"/>
            <w:vAlign w:val="center"/>
          </w:tcPr>
          <w:p w:rsidR="005B3D67" w:rsidRPr="00AD0988" w:rsidRDefault="005B3D67" w:rsidP="002613A6">
            <w:pPr>
              <w:spacing w:before="40" w:after="40"/>
              <w:rPr>
                <w:rFonts w:asciiTheme="majorHAnsi" w:hAnsiTheme="majorHAnsi"/>
                <w:color w:val="000000"/>
                <w:szCs w:val="22"/>
              </w:rPr>
            </w:pPr>
          </w:p>
        </w:tc>
        <w:tc>
          <w:tcPr>
            <w:tcW w:w="334" w:type="dxa"/>
            <w:shd w:val="clear" w:color="auto" w:fill="D9D9D9" w:themeFill="background1" w:themeFillShade="D9"/>
            <w:vAlign w:val="center"/>
          </w:tcPr>
          <w:p w:rsidR="005B3D67" w:rsidRPr="00AD0988" w:rsidRDefault="005B3D67" w:rsidP="002613A6">
            <w:pPr>
              <w:spacing w:before="40" w:after="40"/>
              <w:rPr>
                <w:rFonts w:asciiTheme="majorHAnsi" w:hAnsiTheme="majorHAnsi"/>
                <w:color w:val="000000"/>
                <w:szCs w:val="22"/>
              </w:rPr>
            </w:pPr>
          </w:p>
        </w:tc>
      </w:tr>
      <w:tr w:rsidR="005B3D67" w:rsidRPr="00AD0988" w:rsidTr="005B3D67">
        <w:trPr>
          <w:gridAfter w:val="1"/>
          <w:wAfter w:w="435" w:type="dxa"/>
          <w:trHeight w:val="300"/>
        </w:trPr>
        <w:tc>
          <w:tcPr>
            <w:tcW w:w="3544" w:type="dxa"/>
            <w:shd w:val="clear" w:color="auto" w:fill="auto"/>
            <w:noWrap/>
            <w:vAlign w:val="bottom"/>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CCC+</w:t>
            </w:r>
          </w:p>
        </w:tc>
        <w:tc>
          <w:tcPr>
            <w:tcW w:w="851"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70" w:type="dxa"/>
            <w:vMerge w:val="restart"/>
            <w:shd w:val="clear" w:color="auto" w:fill="auto"/>
            <w:noWrap/>
            <w:vAlign w:val="center"/>
            <w:hideMark/>
          </w:tcPr>
          <w:p w:rsidR="005B3D67" w:rsidRPr="00AD0988" w:rsidRDefault="005B3D67" w:rsidP="002613A6">
            <w:pPr>
              <w:spacing w:before="40" w:after="40"/>
              <w:jc w:val="center"/>
              <w:rPr>
                <w:rFonts w:asciiTheme="majorHAnsi" w:hAnsiTheme="majorHAnsi"/>
                <w:color w:val="000000"/>
                <w:szCs w:val="22"/>
              </w:rPr>
            </w:pPr>
            <w:r>
              <w:rPr>
                <w:rFonts w:asciiTheme="majorHAnsi" w:hAnsiTheme="majorHAnsi"/>
                <w:color w:val="000000"/>
                <w:szCs w:val="22"/>
              </w:rPr>
              <w:t>C</w:t>
            </w:r>
          </w:p>
        </w:tc>
        <w:tc>
          <w:tcPr>
            <w:tcW w:w="610" w:type="dxa"/>
            <w:gridSpan w:val="2"/>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5B3D67" w:rsidRPr="00AD0988" w:rsidTr="005B3D67">
        <w:trPr>
          <w:gridAfter w:val="1"/>
          <w:wAfter w:w="435" w:type="dxa"/>
          <w:trHeight w:val="300"/>
        </w:trPr>
        <w:tc>
          <w:tcPr>
            <w:tcW w:w="3544" w:type="dxa"/>
            <w:shd w:val="clear" w:color="auto" w:fill="auto"/>
            <w:noWrap/>
            <w:vAlign w:val="bottom"/>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CCC</w:t>
            </w:r>
          </w:p>
        </w:tc>
        <w:tc>
          <w:tcPr>
            <w:tcW w:w="851"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70" w:type="dxa"/>
            <w:vMerge/>
            <w:shd w:val="clear" w:color="auto" w:fill="auto"/>
            <w:noWrap/>
            <w:vAlign w:val="center"/>
            <w:hideMark/>
          </w:tcPr>
          <w:p w:rsidR="005B3D67" w:rsidRPr="00AD0988" w:rsidRDefault="005B3D67" w:rsidP="002613A6">
            <w:pPr>
              <w:spacing w:before="40" w:after="40"/>
              <w:jc w:val="center"/>
              <w:rPr>
                <w:rFonts w:asciiTheme="majorHAnsi" w:hAnsiTheme="majorHAnsi"/>
                <w:color w:val="000000"/>
                <w:szCs w:val="22"/>
              </w:rPr>
            </w:pPr>
          </w:p>
        </w:tc>
        <w:tc>
          <w:tcPr>
            <w:tcW w:w="610" w:type="dxa"/>
            <w:gridSpan w:val="2"/>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5B3D67" w:rsidRPr="00AD0988" w:rsidTr="005B3D67">
        <w:trPr>
          <w:gridAfter w:val="1"/>
          <w:wAfter w:w="435" w:type="dxa"/>
          <w:trHeight w:val="300"/>
        </w:trPr>
        <w:tc>
          <w:tcPr>
            <w:tcW w:w="3544" w:type="dxa"/>
            <w:shd w:val="clear" w:color="auto" w:fill="auto"/>
            <w:noWrap/>
            <w:vAlign w:val="bottom"/>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CCC-</w:t>
            </w:r>
          </w:p>
        </w:tc>
        <w:tc>
          <w:tcPr>
            <w:tcW w:w="851"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70" w:type="dxa"/>
            <w:vMerge/>
            <w:shd w:val="clear" w:color="auto" w:fill="auto"/>
            <w:noWrap/>
            <w:vAlign w:val="center"/>
            <w:hideMark/>
          </w:tcPr>
          <w:p w:rsidR="005B3D67" w:rsidRPr="00AD0988" w:rsidRDefault="005B3D67" w:rsidP="002613A6">
            <w:pPr>
              <w:spacing w:before="40" w:after="40"/>
              <w:jc w:val="center"/>
              <w:rPr>
                <w:rFonts w:asciiTheme="majorHAnsi" w:hAnsiTheme="majorHAnsi"/>
                <w:color w:val="000000"/>
                <w:szCs w:val="22"/>
              </w:rPr>
            </w:pPr>
          </w:p>
        </w:tc>
        <w:tc>
          <w:tcPr>
            <w:tcW w:w="610" w:type="dxa"/>
            <w:gridSpan w:val="2"/>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5B3D67" w:rsidRPr="00AD0988" w:rsidTr="005B3D67">
        <w:trPr>
          <w:gridAfter w:val="1"/>
          <w:wAfter w:w="435" w:type="dxa"/>
          <w:trHeight w:val="300"/>
        </w:trPr>
        <w:tc>
          <w:tcPr>
            <w:tcW w:w="3544" w:type="dxa"/>
            <w:shd w:val="clear" w:color="auto" w:fill="auto"/>
            <w:noWrap/>
            <w:vAlign w:val="bottom"/>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CC</w:t>
            </w:r>
          </w:p>
        </w:tc>
        <w:tc>
          <w:tcPr>
            <w:tcW w:w="851"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70" w:type="dxa"/>
            <w:vMerge/>
            <w:shd w:val="clear" w:color="auto" w:fill="auto"/>
            <w:noWrap/>
            <w:vAlign w:val="center"/>
            <w:hideMark/>
          </w:tcPr>
          <w:p w:rsidR="005B3D67" w:rsidRPr="00AD0988" w:rsidRDefault="005B3D67" w:rsidP="002613A6">
            <w:pPr>
              <w:spacing w:before="40" w:after="40"/>
              <w:jc w:val="center"/>
              <w:rPr>
                <w:rFonts w:asciiTheme="majorHAnsi" w:hAnsiTheme="majorHAnsi"/>
                <w:color w:val="000000"/>
                <w:szCs w:val="22"/>
              </w:rPr>
            </w:pPr>
          </w:p>
        </w:tc>
        <w:tc>
          <w:tcPr>
            <w:tcW w:w="610" w:type="dxa"/>
            <w:gridSpan w:val="2"/>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5B3D67" w:rsidRPr="00AD0988" w:rsidTr="005B3D67">
        <w:trPr>
          <w:gridAfter w:val="1"/>
          <w:wAfter w:w="435" w:type="dxa"/>
          <w:trHeight w:val="300"/>
        </w:trPr>
        <w:tc>
          <w:tcPr>
            <w:tcW w:w="3544" w:type="dxa"/>
            <w:shd w:val="clear" w:color="auto" w:fill="auto"/>
            <w:noWrap/>
            <w:vAlign w:val="bottom"/>
            <w:hideMark/>
          </w:tcPr>
          <w:p w:rsidR="005B3D67" w:rsidRPr="00AD0988" w:rsidRDefault="005B3D67" w:rsidP="002613A6">
            <w:pPr>
              <w:spacing w:before="40" w:after="40"/>
              <w:jc w:val="center"/>
              <w:rPr>
                <w:rFonts w:asciiTheme="majorHAnsi" w:hAnsiTheme="majorHAnsi"/>
                <w:color w:val="000000"/>
                <w:szCs w:val="22"/>
              </w:rPr>
            </w:pPr>
            <w:r>
              <w:rPr>
                <w:rFonts w:asciiTheme="majorHAnsi" w:hAnsiTheme="majorHAnsi"/>
                <w:color w:val="000000"/>
                <w:szCs w:val="22"/>
              </w:rPr>
              <w:t>C</w:t>
            </w:r>
          </w:p>
        </w:tc>
        <w:tc>
          <w:tcPr>
            <w:tcW w:w="851"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70" w:type="dxa"/>
            <w:vMerge/>
            <w:shd w:val="clear" w:color="auto" w:fill="auto"/>
            <w:noWrap/>
            <w:vAlign w:val="center"/>
            <w:hideMark/>
          </w:tcPr>
          <w:p w:rsidR="005B3D67" w:rsidRPr="00AD0988" w:rsidRDefault="005B3D67" w:rsidP="002613A6">
            <w:pPr>
              <w:spacing w:before="40" w:after="40"/>
              <w:jc w:val="center"/>
              <w:rPr>
                <w:rFonts w:asciiTheme="majorHAnsi" w:hAnsiTheme="majorHAnsi"/>
                <w:color w:val="000000"/>
                <w:szCs w:val="22"/>
              </w:rPr>
            </w:pPr>
          </w:p>
        </w:tc>
        <w:tc>
          <w:tcPr>
            <w:tcW w:w="610" w:type="dxa"/>
            <w:gridSpan w:val="2"/>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5B3D67" w:rsidRPr="00AD0988" w:rsidTr="005B3D67">
        <w:trPr>
          <w:gridAfter w:val="1"/>
          <w:wAfter w:w="435" w:type="dxa"/>
          <w:trHeight w:val="300"/>
        </w:trPr>
        <w:tc>
          <w:tcPr>
            <w:tcW w:w="3544" w:type="dxa"/>
            <w:tcBorders>
              <w:bottom w:val="single" w:sz="2" w:space="0" w:color="auto"/>
            </w:tcBorders>
            <w:shd w:val="clear" w:color="auto" w:fill="auto"/>
            <w:noWrap/>
            <w:vAlign w:val="bottom"/>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D</w:t>
            </w:r>
          </w:p>
        </w:tc>
        <w:tc>
          <w:tcPr>
            <w:tcW w:w="851" w:type="dxa"/>
            <w:tcBorders>
              <w:bottom w:val="single" w:sz="2" w:space="0" w:color="auto"/>
            </w:tcBorders>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tcBorders>
              <w:bottom w:val="single" w:sz="2" w:space="0" w:color="auto"/>
            </w:tcBorders>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tcBorders>
              <w:bottom w:val="single" w:sz="2" w:space="0" w:color="auto"/>
            </w:tcBorders>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tcBorders>
              <w:bottom w:val="single" w:sz="2" w:space="0" w:color="auto"/>
            </w:tcBorders>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70" w:type="dxa"/>
            <w:tcBorders>
              <w:bottom w:val="single" w:sz="2" w:space="0" w:color="auto"/>
            </w:tcBorders>
            <w:shd w:val="clear" w:color="000000" w:fill="D9D9D9"/>
            <w:noWrap/>
            <w:vAlign w:val="center"/>
            <w:hideMark/>
          </w:tcPr>
          <w:p w:rsidR="005B3D67" w:rsidRPr="00AD0988" w:rsidRDefault="005B3D67"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10" w:type="dxa"/>
            <w:gridSpan w:val="2"/>
            <w:tcBorders>
              <w:bottom w:val="single" w:sz="2" w:space="0" w:color="auto"/>
            </w:tcBorders>
            <w:shd w:val="clear" w:color="auto" w:fill="auto"/>
            <w:noWrap/>
            <w:vAlign w:val="center"/>
            <w:hideMark/>
          </w:tcPr>
          <w:p w:rsidR="005B3D67" w:rsidRPr="00AD0988" w:rsidRDefault="005B3D67" w:rsidP="002613A6">
            <w:pPr>
              <w:spacing w:before="40" w:after="40"/>
              <w:jc w:val="center"/>
              <w:rPr>
                <w:rFonts w:asciiTheme="majorHAnsi" w:hAnsiTheme="majorHAnsi"/>
                <w:color w:val="000000"/>
                <w:szCs w:val="22"/>
              </w:rPr>
            </w:pPr>
            <w:r>
              <w:rPr>
                <w:rFonts w:asciiTheme="majorHAnsi" w:hAnsiTheme="majorHAnsi"/>
                <w:color w:val="000000"/>
                <w:szCs w:val="22"/>
              </w:rPr>
              <w:t>D</w:t>
            </w:r>
          </w:p>
        </w:tc>
      </w:tr>
    </w:tbl>
    <w:p w:rsidR="00175032" w:rsidRDefault="00BD0A9F" w:rsidP="00F16A28">
      <w:pPr>
        <w:pStyle w:val="FootnoteText"/>
      </w:pPr>
      <w:r>
        <w:t>Source: Dagong</w:t>
      </w:r>
    </w:p>
    <w:p w:rsidR="00175032" w:rsidRDefault="00175032" w:rsidP="00F16A28">
      <w:pPr>
        <w:pStyle w:val="FootnoteText"/>
        <w:sectPr w:rsidR="00175032" w:rsidSect="00175032">
          <w:headerReference w:type="even" r:id="rId14"/>
          <w:headerReference w:type="default" r:id="rId15"/>
          <w:footerReference w:type="even" r:id="rId16"/>
          <w:footerReference w:type="default" r:id="rId17"/>
          <w:headerReference w:type="first" r:id="rId18"/>
          <w:footerReference w:type="first" r:id="rId19"/>
          <w:pgSz w:w="16840" w:h="11900" w:orient="landscape"/>
          <w:pgMar w:top="1701" w:right="2268" w:bottom="1418" w:left="1134" w:header="709" w:footer="709" w:gutter="0"/>
          <w:cols w:space="708"/>
          <w:titlePg/>
          <w:docGrid w:linePitch="299"/>
        </w:sectPr>
      </w:pPr>
    </w:p>
    <w:p w:rsidR="00F434D1" w:rsidRPr="00BE6527" w:rsidRDefault="00F434D1" w:rsidP="00D84B53">
      <w:pPr>
        <w:pStyle w:val="Titlelevel2"/>
        <w:outlineLvl w:val="0"/>
      </w:pPr>
      <w:r w:rsidRPr="00BE6527">
        <w:lastRenderedPageBreak/>
        <w:t xml:space="preserve">Appendix 2: </w:t>
      </w:r>
      <w:r w:rsidRPr="007C7B33">
        <w:t>Definition</w:t>
      </w:r>
      <w:r w:rsidRPr="00BE6527">
        <w:t xml:space="preserve"> of </w:t>
      </w:r>
      <w:r w:rsidRPr="007C7B33">
        <w:t>default</w:t>
      </w:r>
    </w:p>
    <w:p w:rsidR="005B3D67" w:rsidRDefault="005B3D67" w:rsidP="005B3D67">
      <w:pPr>
        <w:pStyle w:val="numberedparagraph"/>
        <w:numPr>
          <w:ilvl w:val="0"/>
          <w:numId w:val="0"/>
        </w:numPr>
        <w:ind w:left="284" w:hanging="284"/>
      </w:pPr>
      <w:r>
        <w:t>Dagong Europe uses the following definition of default:</w:t>
      </w:r>
    </w:p>
    <w:p w:rsidR="005B3D67" w:rsidRDefault="005B3D67" w:rsidP="005B3D67">
      <w:pPr>
        <w:pStyle w:val="bullet2"/>
      </w:pPr>
      <w:r>
        <w:tab/>
        <w:t xml:space="preserve">Failed or delayed payment of interest and/or principal on any financial obligation except for the missed payment of interest on the due date provided that is remediated within the agreed grace </w:t>
      </w:r>
      <w:bookmarkStart w:id="10" w:name="_GoBack"/>
      <w:r>
        <w:t>period</w:t>
      </w:r>
      <w:bookmarkEnd w:id="10"/>
      <w:r>
        <w:t>.</w:t>
      </w:r>
    </w:p>
    <w:p w:rsidR="005B3D67" w:rsidRDefault="005B3D67" w:rsidP="005B3D67">
      <w:pPr>
        <w:pStyle w:val="bullet2"/>
      </w:pPr>
      <w:r>
        <w:tab/>
        <w:t>The issuer files for bankruptcy or legal receivership occurs or other legal impediment to the timely payment of the obligations.</w:t>
      </w:r>
    </w:p>
    <w:p w:rsidR="005B3D67" w:rsidRDefault="005B3D67" w:rsidP="005B3D67">
      <w:pPr>
        <w:pStyle w:val="bullet2"/>
      </w:pPr>
      <w:r>
        <w:tab/>
        <w:t>The creditors are forced to accept a distressed debt exchange with new security or package of securities that leads to a less valuable financial obligation (such as debt/equity swap or debt with a lower coupon or face value, lower seniority or with longer maturity) or the exchange seems aimed at avoiding the default of the issuer.</w:t>
      </w:r>
    </w:p>
    <w:p w:rsidR="00175032" w:rsidRDefault="00175032" w:rsidP="00F16A28">
      <w:pPr>
        <w:pStyle w:val="FootnoteText"/>
      </w:pPr>
      <w:r>
        <w:t>Source:</w:t>
      </w:r>
      <w:r w:rsidR="005B3D67">
        <w:t>Dagong</w:t>
      </w:r>
    </w:p>
    <w:p w:rsidR="00010D71" w:rsidRDefault="002C3E7A" w:rsidP="00010D71">
      <w:pPr>
        <w:sectPr w:rsidR="00010D71" w:rsidSect="00175032">
          <w:pgSz w:w="11900" w:h="16840"/>
          <w:pgMar w:top="2268" w:right="1418" w:bottom="1134" w:left="1701" w:header="709" w:footer="709" w:gutter="0"/>
          <w:cols w:space="708"/>
          <w:titlePg/>
          <w:docGrid w:linePitch="299"/>
        </w:sectPr>
      </w:pPr>
      <w:r>
        <w:br w:type="page"/>
      </w:r>
    </w:p>
    <w:p w:rsidR="00F434D1" w:rsidRPr="00BE6527" w:rsidRDefault="00F434D1" w:rsidP="00D84B53">
      <w:pPr>
        <w:pStyle w:val="Titlelevel2"/>
        <w:outlineLvl w:val="0"/>
      </w:pPr>
      <w:r w:rsidRPr="00BE6527">
        <w:lastRenderedPageBreak/>
        <w:t>Appendix 3: Default rates of each rating category</w:t>
      </w:r>
    </w:p>
    <w:p w:rsidR="00712571" w:rsidRDefault="00712571" w:rsidP="00712571">
      <w:pPr>
        <w:pStyle w:val="Figuretitle"/>
      </w:pPr>
      <w:bookmarkStart w:id="11" w:name="_Ref390262833"/>
      <w:bookmarkStart w:id="12" w:name="_Ref386554234"/>
      <w:r w:rsidRPr="0041788D">
        <w:t xml:space="preserve">Figure </w:t>
      </w:r>
      <w:r w:rsidRPr="0041788D">
        <w:fldChar w:fldCharType="begin"/>
      </w:r>
      <w:r w:rsidRPr="0041788D">
        <w:instrText xml:space="preserve"> SEQ Figure \* ARABIC </w:instrText>
      </w:r>
      <w:r w:rsidRPr="0041788D">
        <w:fldChar w:fldCharType="separate"/>
      </w:r>
      <w:r w:rsidR="009F2323">
        <w:t>6</w:t>
      </w:r>
      <w:r w:rsidRPr="0041788D">
        <w:fldChar w:fldCharType="end"/>
      </w:r>
      <w:bookmarkEnd w:id="11"/>
      <w:r w:rsidRPr="006A4A1D">
        <w:t xml:space="preserve">: </w:t>
      </w:r>
      <w:r w:rsidRPr="00BE6DB8">
        <w:t>Mapping proposal for rating categories with a non-sufficient number of credit ratings</w:t>
      </w:r>
    </w:p>
    <w:tbl>
      <w:tblPr>
        <w:tblW w:w="8788" w:type="dxa"/>
        <w:tblInd w:w="108" w:type="dxa"/>
        <w:tblLayout w:type="fixed"/>
        <w:tblLook w:val="04A0" w:firstRow="1" w:lastRow="0" w:firstColumn="1" w:lastColumn="0" w:noHBand="0" w:noVBand="1"/>
      </w:tblPr>
      <w:tblGrid>
        <w:gridCol w:w="2835"/>
        <w:gridCol w:w="992"/>
        <w:gridCol w:w="992"/>
        <w:gridCol w:w="992"/>
        <w:gridCol w:w="993"/>
        <w:gridCol w:w="992"/>
        <w:gridCol w:w="992"/>
      </w:tblGrid>
      <w:tr w:rsidR="00712571" w:rsidRPr="006A4A1D" w:rsidTr="00526647">
        <w:trPr>
          <w:trHeight w:val="435"/>
        </w:trPr>
        <w:tc>
          <w:tcPr>
            <w:tcW w:w="2835" w:type="dxa"/>
            <w:tcBorders>
              <w:bottom w:val="single" w:sz="18" w:space="0" w:color="E98E31" w:themeColor="background2"/>
            </w:tcBorders>
            <w:shd w:val="clear" w:color="auto" w:fill="auto"/>
            <w:noWrap/>
            <w:vAlign w:val="center"/>
          </w:tcPr>
          <w:p w:rsidR="00712571" w:rsidRPr="006A4A1D" w:rsidRDefault="00712571" w:rsidP="00712571">
            <w:pPr>
              <w:spacing w:before="120" w:after="120"/>
              <w:jc w:val="center"/>
              <w:rPr>
                <w:rFonts w:asciiTheme="majorHAnsi" w:hAnsiTheme="majorHAnsi"/>
                <w:b/>
                <w:color w:val="000000"/>
                <w:szCs w:val="22"/>
              </w:rPr>
            </w:pPr>
          </w:p>
        </w:tc>
        <w:tc>
          <w:tcPr>
            <w:tcW w:w="992" w:type="dxa"/>
            <w:tcBorders>
              <w:bottom w:val="single" w:sz="18" w:space="0" w:color="E98E31" w:themeColor="background2"/>
            </w:tcBorders>
            <w:shd w:val="clear" w:color="auto" w:fill="auto"/>
            <w:noWrap/>
            <w:vAlign w:val="center"/>
          </w:tcPr>
          <w:p w:rsidR="00712571" w:rsidRPr="006A4A1D" w:rsidRDefault="00712571" w:rsidP="00712571">
            <w:pPr>
              <w:spacing w:before="120" w:after="120"/>
              <w:jc w:val="center"/>
              <w:rPr>
                <w:rFonts w:asciiTheme="majorHAnsi" w:hAnsiTheme="majorHAnsi"/>
                <w:b/>
                <w:bCs/>
                <w:color w:val="000000"/>
                <w:szCs w:val="22"/>
              </w:rPr>
            </w:pPr>
            <w:r w:rsidRPr="006A4A1D">
              <w:rPr>
                <w:rFonts w:asciiTheme="majorHAnsi" w:hAnsiTheme="majorHAnsi"/>
                <w:b/>
                <w:bCs/>
                <w:color w:val="000000"/>
                <w:szCs w:val="22"/>
              </w:rPr>
              <w:t>AAA/AA</w:t>
            </w:r>
          </w:p>
        </w:tc>
        <w:tc>
          <w:tcPr>
            <w:tcW w:w="992" w:type="dxa"/>
            <w:tcBorders>
              <w:bottom w:val="single" w:sz="18" w:space="0" w:color="E98E31" w:themeColor="background2"/>
            </w:tcBorders>
            <w:vAlign w:val="center"/>
          </w:tcPr>
          <w:p w:rsidR="00712571" w:rsidRPr="006A4A1D" w:rsidRDefault="00712571" w:rsidP="00712571">
            <w:pPr>
              <w:spacing w:before="120" w:after="120"/>
              <w:jc w:val="center"/>
              <w:rPr>
                <w:rFonts w:asciiTheme="majorHAnsi" w:hAnsiTheme="majorHAnsi"/>
                <w:b/>
                <w:bCs/>
                <w:color w:val="000000"/>
                <w:szCs w:val="22"/>
              </w:rPr>
            </w:pPr>
            <w:r>
              <w:rPr>
                <w:rFonts w:asciiTheme="majorHAnsi" w:hAnsiTheme="majorHAnsi"/>
                <w:b/>
                <w:bCs/>
                <w:color w:val="000000"/>
                <w:szCs w:val="22"/>
              </w:rPr>
              <w:t>A</w:t>
            </w:r>
          </w:p>
        </w:tc>
        <w:tc>
          <w:tcPr>
            <w:tcW w:w="992" w:type="dxa"/>
            <w:tcBorders>
              <w:bottom w:val="single" w:sz="18" w:space="0" w:color="E98E31" w:themeColor="background2"/>
            </w:tcBorders>
            <w:vAlign w:val="center"/>
          </w:tcPr>
          <w:p w:rsidR="00712571" w:rsidRPr="006A4A1D" w:rsidRDefault="00712571" w:rsidP="00712571">
            <w:pPr>
              <w:spacing w:before="120" w:after="120"/>
              <w:jc w:val="center"/>
              <w:rPr>
                <w:rFonts w:asciiTheme="majorHAnsi" w:hAnsiTheme="majorHAnsi"/>
                <w:b/>
                <w:bCs/>
                <w:color w:val="000000"/>
                <w:szCs w:val="22"/>
              </w:rPr>
            </w:pPr>
            <w:r>
              <w:rPr>
                <w:rFonts w:asciiTheme="majorHAnsi" w:hAnsiTheme="majorHAnsi"/>
                <w:b/>
                <w:bCs/>
                <w:color w:val="000000"/>
                <w:szCs w:val="22"/>
              </w:rPr>
              <w:t>BBB</w:t>
            </w:r>
          </w:p>
        </w:tc>
        <w:tc>
          <w:tcPr>
            <w:tcW w:w="993" w:type="dxa"/>
            <w:tcBorders>
              <w:bottom w:val="single" w:sz="18" w:space="0" w:color="E98E31" w:themeColor="background2"/>
            </w:tcBorders>
            <w:vAlign w:val="center"/>
          </w:tcPr>
          <w:p w:rsidR="00712571" w:rsidRPr="006A4A1D" w:rsidRDefault="00712571" w:rsidP="00712571">
            <w:pPr>
              <w:spacing w:before="120" w:after="120"/>
              <w:jc w:val="center"/>
              <w:rPr>
                <w:rFonts w:asciiTheme="majorHAnsi" w:hAnsiTheme="majorHAnsi"/>
                <w:b/>
                <w:bCs/>
                <w:color w:val="000000"/>
                <w:szCs w:val="22"/>
              </w:rPr>
            </w:pPr>
            <w:r>
              <w:rPr>
                <w:rFonts w:asciiTheme="majorHAnsi" w:hAnsiTheme="majorHAnsi"/>
                <w:b/>
                <w:bCs/>
                <w:color w:val="000000"/>
                <w:szCs w:val="22"/>
              </w:rPr>
              <w:t>BB</w:t>
            </w:r>
          </w:p>
        </w:tc>
        <w:tc>
          <w:tcPr>
            <w:tcW w:w="992" w:type="dxa"/>
            <w:tcBorders>
              <w:bottom w:val="single" w:sz="18" w:space="0" w:color="E98E31" w:themeColor="background2"/>
            </w:tcBorders>
            <w:vAlign w:val="center"/>
          </w:tcPr>
          <w:p w:rsidR="00712571" w:rsidRPr="006A4A1D" w:rsidRDefault="00712571" w:rsidP="00712571">
            <w:pPr>
              <w:spacing w:before="120" w:after="120"/>
              <w:jc w:val="center"/>
              <w:rPr>
                <w:rFonts w:asciiTheme="majorHAnsi" w:hAnsiTheme="majorHAnsi"/>
                <w:b/>
                <w:bCs/>
                <w:color w:val="000000"/>
                <w:szCs w:val="22"/>
              </w:rPr>
            </w:pPr>
            <w:r>
              <w:rPr>
                <w:rFonts w:asciiTheme="majorHAnsi" w:hAnsiTheme="majorHAnsi"/>
                <w:b/>
                <w:bCs/>
                <w:color w:val="000000"/>
                <w:szCs w:val="22"/>
              </w:rPr>
              <w:t>B</w:t>
            </w:r>
          </w:p>
        </w:tc>
        <w:tc>
          <w:tcPr>
            <w:tcW w:w="992" w:type="dxa"/>
            <w:tcBorders>
              <w:bottom w:val="single" w:sz="18" w:space="0" w:color="E98E31" w:themeColor="background2"/>
            </w:tcBorders>
            <w:vAlign w:val="center"/>
          </w:tcPr>
          <w:p w:rsidR="00712571" w:rsidRPr="006A4A1D" w:rsidRDefault="00712571" w:rsidP="00712571">
            <w:pPr>
              <w:spacing w:before="120" w:after="120"/>
              <w:jc w:val="center"/>
              <w:rPr>
                <w:rFonts w:asciiTheme="majorHAnsi" w:hAnsiTheme="majorHAnsi"/>
                <w:b/>
                <w:bCs/>
                <w:color w:val="000000"/>
                <w:szCs w:val="22"/>
              </w:rPr>
            </w:pPr>
            <w:r>
              <w:rPr>
                <w:rFonts w:asciiTheme="majorHAnsi" w:hAnsiTheme="majorHAnsi"/>
                <w:b/>
                <w:bCs/>
                <w:color w:val="000000"/>
                <w:szCs w:val="22"/>
              </w:rPr>
              <w:t>CCC/ CC/C</w:t>
            </w:r>
          </w:p>
        </w:tc>
      </w:tr>
      <w:tr w:rsidR="00712571" w:rsidRPr="006A4A1D" w:rsidTr="00526647">
        <w:trPr>
          <w:trHeight w:val="397"/>
        </w:trPr>
        <w:tc>
          <w:tcPr>
            <w:tcW w:w="2835" w:type="dxa"/>
            <w:tcBorders>
              <w:top w:val="single" w:sz="18" w:space="0" w:color="E98E31" w:themeColor="background2"/>
            </w:tcBorders>
            <w:shd w:val="clear" w:color="auto" w:fill="auto"/>
            <w:noWrap/>
            <w:vAlign w:val="center"/>
            <w:hideMark/>
          </w:tcPr>
          <w:p w:rsidR="00712571" w:rsidRPr="006A4A1D" w:rsidRDefault="00712571" w:rsidP="00712571">
            <w:pPr>
              <w:spacing w:before="120" w:after="120"/>
              <w:rPr>
                <w:rFonts w:asciiTheme="majorHAnsi" w:hAnsiTheme="majorHAnsi"/>
                <w:color w:val="000000"/>
                <w:szCs w:val="22"/>
              </w:rPr>
            </w:pPr>
            <w:r>
              <w:rPr>
                <w:rFonts w:asciiTheme="majorHAnsi" w:hAnsiTheme="majorHAnsi"/>
                <w:color w:val="000000"/>
                <w:szCs w:val="22"/>
              </w:rPr>
              <w:t>CQS of equivalent international rating category</w:t>
            </w:r>
          </w:p>
        </w:tc>
        <w:tc>
          <w:tcPr>
            <w:tcW w:w="992" w:type="dxa"/>
            <w:tcBorders>
              <w:top w:val="single" w:sz="18" w:space="0" w:color="E98E31" w:themeColor="background2"/>
            </w:tcBorders>
            <w:shd w:val="clear" w:color="auto" w:fill="auto"/>
            <w:noWrap/>
            <w:vAlign w:val="center"/>
          </w:tcPr>
          <w:p w:rsidR="00712571" w:rsidRPr="006A4A1D" w:rsidRDefault="00712571" w:rsidP="00712571">
            <w:pPr>
              <w:spacing w:before="120" w:after="120"/>
              <w:jc w:val="center"/>
              <w:rPr>
                <w:rFonts w:asciiTheme="majorHAnsi" w:hAnsiTheme="majorHAnsi"/>
                <w:color w:val="000000"/>
                <w:szCs w:val="22"/>
              </w:rPr>
            </w:pPr>
            <w:r>
              <w:rPr>
                <w:rFonts w:asciiTheme="majorHAnsi" w:hAnsiTheme="majorHAnsi"/>
                <w:color w:val="000000"/>
                <w:szCs w:val="22"/>
              </w:rPr>
              <w:t>CQS 1</w:t>
            </w:r>
          </w:p>
        </w:tc>
        <w:tc>
          <w:tcPr>
            <w:tcW w:w="992" w:type="dxa"/>
            <w:tcBorders>
              <w:top w:val="single" w:sz="18" w:space="0" w:color="E98E31" w:themeColor="background2"/>
            </w:tcBorders>
            <w:vAlign w:val="center"/>
          </w:tcPr>
          <w:p w:rsidR="00712571" w:rsidRDefault="00712571" w:rsidP="00712571">
            <w:pPr>
              <w:spacing w:before="120" w:after="120"/>
              <w:jc w:val="center"/>
              <w:rPr>
                <w:rFonts w:asciiTheme="majorHAnsi" w:hAnsiTheme="majorHAnsi"/>
                <w:color w:val="000000"/>
                <w:szCs w:val="22"/>
              </w:rPr>
            </w:pPr>
            <w:r>
              <w:rPr>
                <w:rFonts w:asciiTheme="majorHAnsi" w:hAnsiTheme="majorHAnsi"/>
                <w:color w:val="000000"/>
                <w:szCs w:val="22"/>
              </w:rPr>
              <w:t>CQS 2</w:t>
            </w:r>
          </w:p>
        </w:tc>
        <w:tc>
          <w:tcPr>
            <w:tcW w:w="992" w:type="dxa"/>
            <w:tcBorders>
              <w:top w:val="single" w:sz="18" w:space="0" w:color="E98E31" w:themeColor="background2"/>
            </w:tcBorders>
            <w:vAlign w:val="center"/>
          </w:tcPr>
          <w:p w:rsidR="00712571" w:rsidRDefault="00712571" w:rsidP="00712571">
            <w:pPr>
              <w:spacing w:before="120" w:after="120"/>
              <w:jc w:val="center"/>
              <w:rPr>
                <w:rFonts w:asciiTheme="majorHAnsi" w:hAnsiTheme="majorHAnsi"/>
                <w:color w:val="000000"/>
                <w:szCs w:val="22"/>
              </w:rPr>
            </w:pPr>
            <w:r>
              <w:rPr>
                <w:rFonts w:asciiTheme="majorHAnsi" w:hAnsiTheme="majorHAnsi"/>
                <w:color w:val="000000"/>
                <w:szCs w:val="22"/>
              </w:rPr>
              <w:t>CQS 3</w:t>
            </w:r>
          </w:p>
        </w:tc>
        <w:tc>
          <w:tcPr>
            <w:tcW w:w="993" w:type="dxa"/>
            <w:tcBorders>
              <w:top w:val="single" w:sz="18" w:space="0" w:color="E98E31" w:themeColor="background2"/>
            </w:tcBorders>
            <w:vAlign w:val="center"/>
          </w:tcPr>
          <w:p w:rsidR="00712571" w:rsidRDefault="00712571" w:rsidP="00712571">
            <w:pPr>
              <w:spacing w:before="120" w:after="120"/>
              <w:jc w:val="center"/>
              <w:rPr>
                <w:rFonts w:asciiTheme="majorHAnsi" w:hAnsiTheme="majorHAnsi"/>
                <w:color w:val="000000"/>
                <w:szCs w:val="22"/>
              </w:rPr>
            </w:pPr>
            <w:r>
              <w:rPr>
                <w:rFonts w:asciiTheme="majorHAnsi" w:hAnsiTheme="majorHAnsi"/>
                <w:color w:val="000000"/>
                <w:szCs w:val="22"/>
              </w:rPr>
              <w:t>CQS 4</w:t>
            </w:r>
          </w:p>
        </w:tc>
        <w:tc>
          <w:tcPr>
            <w:tcW w:w="992" w:type="dxa"/>
            <w:tcBorders>
              <w:top w:val="single" w:sz="18" w:space="0" w:color="E98E31" w:themeColor="background2"/>
            </w:tcBorders>
            <w:vAlign w:val="center"/>
          </w:tcPr>
          <w:p w:rsidR="00712571" w:rsidRDefault="00712571" w:rsidP="00712571">
            <w:pPr>
              <w:spacing w:before="120" w:after="120"/>
              <w:jc w:val="center"/>
              <w:rPr>
                <w:rFonts w:asciiTheme="majorHAnsi" w:hAnsiTheme="majorHAnsi"/>
                <w:color w:val="000000"/>
                <w:szCs w:val="22"/>
              </w:rPr>
            </w:pPr>
            <w:r>
              <w:rPr>
                <w:rFonts w:asciiTheme="majorHAnsi" w:hAnsiTheme="majorHAnsi"/>
                <w:color w:val="000000"/>
                <w:szCs w:val="22"/>
              </w:rPr>
              <w:t>CQS</w:t>
            </w:r>
            <w:r w:rsidR="00927383">
              <w:rPr>
                <w:rFonts w:asciiTheme="majorHAnsi" w:hAnsiTheme="majorHAnsi"/>
                <w:color w:val="000000"/>
                <w:szCs w:val="22"/>
              </w:rPr>
              <w:t xml:space="preserve"> </w:t>
            </w:r>
            <w:r>
              <w:rPr>
                <w:rFonts w:asciiTheme="majorHAnsi" w:hAnsiTheme="majorHAnsi"/>
                <w:color w:val="000000"/>
                <w:szCs w:val="22"/>
              </w:rPr>
              <w:t>5</w:t>
            </w:r>
          </w:p>
        </w:tc>
        <w:tc>
          <w:tcPr>
            <w:tcW w:w="992" w:type="dxa"/>
            <w:tcBorders>
              <w:top w:val="single" w:sz="18" w:space="0" w:color="E98E31" w:themeColor="background2"/>
            </w:tcBorders>
            <w:vAlign w:val="center"/>
          </w:tcPr>
          <w:p w:rsidR="00712571" w:rsidRDefault="00712571" w:rsidP="00712571">
            <w:pPr>
              <w:spacing w:before="120" w:after="120"/>
              <w:jc w:val="center"/>
              <w:rPr>
                <w:rFonts w:asciiTheme="majorHAnsi" w:hAnsiTheme="majorHAnsi"/>
                <w:color w:val="000000"/>
                <w:szCs w:val="22"/>
              </w:rPr>
            </w:pPr>
            <w:r>
              <w:rPr>
                <w:rFonts w:ascii="Calibri" w:hAnsi="Calibri"/>
                <w:color w:val="000000"/>
                <w:szCs w:val="22"/>
              </w:rPr>
              <w:t>CQS 6</w:t>
            </w:r>
          </w:p>
        </w:tc>
      </w:tr>
      <w:tr w:rsidR="00712571" w:rsidRPr="006A4A1D" w:rsidTr="00526647">
        <w:trPr>
          <w:trHeight w:val="397"/>
        </w:trPr>
        <w:tc>
          <w:tcPr>
            <w:tcW w:w="2835" w:type="dxa"/>
            <w:shd w:val="clear" w:color="auto" w:fill="auto"/>
            <w:noWrap/>
            <w:vAlign w:val="center"/>
            <w:hideMark/>
          </w:tcPr>
          <w:p w:rsidR="00712571" w:rsidRPr="006A4A1D" w:rsidRDefault="00712571" w:rsidP="00712571">
            <w:pPr>
              <w:spacing w:before="120" w:after="120"/>
              <w:rPr>
                <w:rFonts w:asciiTheme="majorHAnsi" w:hAnsiTheme="majorHAnsi"/>
                <w:color w:val="000000"/>
                <w:szCs w:val="22"/>
              </w:rPr>
            </w:pPr>
            <w:r w:rsidRPr="006A4A1D">
              <w:rPr>
                <w:rFonts w:asciiTheme="majorHAnsi" w:hAnsiTheme="majorHAnsi"/>
                <w:color w:val="000000"/>
                <w:szCs w:val="22"/>
              </w:rPr>
              <w:t>N. observed defaulted items</w:t>
            </w:r>
          </w:p>
        </w:tc>
        <w:tc>
          <w:tcPr>
            <w:tcW w:w="992" w:type="dxa"/>
            <w:shd w:val="clear" w:color="auto" w:fill="auto"/>
            <w:noWrap/>
            <w:vAlign w:val="center"/>
          </w:tcPr>
          <w:p w:rsidR="00712571" w:rsidRPr="006A4A1D" w:rsidRDefault="00712571" w:rsidP="00712571">
            <w:pPr>
              <w:spacing w:before="120" w:after="120"/>
              <w:jc w:val="center"/>
              <w:rPr>
                <w:rFonts w:asciiTheme="majorHAnsi" w:hAnsiTheme="majorHAnsi"/>
                <w:color w:val="000000"/>
                <w:szCs w:val="22"/>
              </w:rPr>
            </w:pPr>
            <w:r>
              <w:rPr>
                <w:rFonts w:ascii="Calibri" w:hAnsi="Calibri"/>
                <w:color w:val="000000"/>
                <w:szCs w:val="22"/>
              </w:rPr>
              <w:t>0</w:t>
            </w:r>
          </w:p>
        </w:tc>
        <w:tc>
          <w:tcPr>
            <w:tcW w:w="992" w:type="dxa"/>
            <w:vAlign w:val="center"/>
          </w:tcPr>
          <w:p w:rsidR="00712571" w:rsidRDefault="00712571" w:rsidP="00712571">
            <w:pPr>
              <w:spacing w:before="120" w:after="120"/>
              <w:jc w:val="center"/>
              <w:rPr>
                <w:rFonts w:asciiTheme="majorHAnsi" w:hAnsiTheme="majorHAnsi"/>
                <w:color w:val="000000"/>
                <w:szCs w:val="22"/>
              </w:rPr>
            </w:pPr>
            <w:r>
              <w:rPr>
                <w:rFonts w:ascii="Calibri" w:hAnsi="Calibri"/>
                <w:color w:val="000000"/>
                <w:szCs w:val="22"/>
              </w:rPr>
              <w:t>0</w:t>
            </w:r>
          </w:p>
        </w:tc>
        <w:tc>
          <w:tcPr>
            <w:tcW w:w="992" w:type="dxa"/>
            <w:vAlign w:val="center"/>
          </w:tcPr>
          <w:p w:rsidR="00712571" w:rsidRDefault="00712571" w:rsidP="00712571">
            <w:pPr>
              <w:spacing w:before="120" w:after="120"/>
              <w:jc w:val="center"/>
              <w:rPr>
                <w:rFonts w:asciiTheme="majorHAnsi" w:hAnsiTheme="majorHAnsi"/>
                <w:color w:val="000000"/>
                <w:szCs w:val="22"/>
              </w:rPr>
            </w:pPr>
            <w:r>
              <w:rPr>
                <w:rFonts w:ascii="Calibri" w:hAnsi="Calibri"/>
                <w:color w:val="000000"/>
                <w:szCs w:val="22"/>
              </w:rPr>
              <w:t>0</w:t>
            </w:r>
          </w:p>
        </w:tc>
        <w:tc>
          <w:tcPr>
            <w:tcW w:w="993" w:type="dxa"/>
            <w:vAlign w:val="center"/>
          </w:tcPr>
          <w:p w:rsidR="00712571" w:rsidRDefault="00712571" w:rsidP="00712571">
            <w:pPr>
              <w:spacing w:before="120" w:after="120"/>
              <w:jc w:val="center"/>
              <w:rPr>
                <w:rFonts w:asciiTheme="majorHAnsi" w:hAnsiTheme="majorHAnsi"/>
                <w:color w:val="000000"/>
                <w:szCs w:val="22"/>
              </w:rPr>
            </w:pPr>
            <w:r>
              <w:rPr>
                <w:rFonts w:ascii="Calibri" w:hAnsi="Calibri"/>
                <w:color w:val="000000"/>
                <w:szCs w:val="22"/>
              </w:rPr>
              <w:t>0</w:t>
            </w:r>
          </w:p>
        </w:tc>
        <w:tc>
          <w:tcPr>
            <w:tcW w:w="992" w:type="dxa"/>
            <w:vAlign w:val="center"/>
          </w:tcPr>
          <w:p w:rsidR="00712571" w:rsidRDefault="00712571" w:rsidP="00712571">
            <w:pPr>
              <w:spacing w:before="120" w:after="120"/>
              <w:jc w:val="center"/>
              <w:rPr>
                <w:rFonts w:asciiTheme="majorHAnsi" w:hAnsiTheme="majorHAnsi"/>
                <w:color w:val="000000"/>
                <w:szCs w:val="22"/>
              </w:rPr>
            </w:pPr>
            <w:r>
              <w:rPr>
                <w:rFonts w:ascii="Calibri" w:hAnsi="Calibri"/>
                <w:color w:val="000000"/>
                <w:szCs w:val="22"/>
              </w:rPr>
              <w:t>0</w:t>
            </w:r>
          </w:p>
        </w:tc>
        <w:tc>
          <w:tcPr>
            <w:tcW w:w="992" w:type="dxa"/>
            <w:vAlign w:val="center"/>
          </w:tcPr>
          <w:p w:rsidR="00712571" w:rsidRDefault="00712571" w:rsidP="00712571">
            <w:pPr>
              <w:spacing w:before="120" w:after="120"/>
              <w:jc w:val="center"/>
              <w:rPr>
                <w:rFonts w:asciiTheme="majorHAnsi" w:hAnsiTheme="majorHAnsi"/>
                <w:color w:val="000000"/>
                <w:szCs w:val="22"/>
              </w:rPr>
            </w:pPr>
            <w:r>
              <w:rPr>
                <w:rFonts w:ascii="Calibri" w:hAnsi="Calibri"/>
                <w:color w:val="000000"/>
                <w:szCs w:val="22"/>
              </w:rPr>
              <w:t>0</w:t>
            </w:r>
          </w:p>
        </w:tc>
      </w:tr>
      <w:tr w:rsidR="00712571" w:rsidRPr="006A4A1D" w:rsidTr="00526647">
        <w:trPr>
          <w:trHeight w:val="397"/>
        </w:trPr>
        <w:tc>
          <w:tcPr>
            <w:tcW w:w="2835" w:type="dxa"/>
            <w:shd w:val="clear" w:color="auto" w:fill="auto"/>
            <w:noWrap/>
            <w:vAlign w:val="center"/>
            <w:hideMark/>
          </w:tcPr>
          <w:p w:rsidR="00712571" w:rsidRPr="006A4A1D" w:rsidRDefault="00712571" w:rsidP="00712571">
            <w:pPr>
              <w:spacing w:before="120" w:after="120"/>
              <w:rPr>
                <w:rFonts w:asciiTheme="majorHAnsi" w:hAnsiTheme="majorHAnsi"/>
                <w:color w:val="000000"/>
                <w:szCs w:val="22"/>
              </w:rPr>
            </w:pPr>
            <w:r w:rsidRPr="006A4A1D">
              <w:rPr>
                <w:rFonts w:asciiTheme="majorHAnsi" w:hAnsiTheme="majorHAnsi"/>
                <w:color w:val="000000"/>
                <w:szCs w:val="22"/>
              </w:rPr>
              <w:t>Minimum N. rated items</w:t>
            </w:r>
          </w:p>
        </w:tc>
        <w:tc>
          <w:tcPr>
            <w:tcW w:w="992" w:type="dxa"/>
            <w:shd w:val="clear" w:color="auto" w:fill="auto"/>
            <w:noWrap/>
            <w:vAlign w:val="center"/>
          </w:tcPr>
          <w:p w:rsidR="00712571" w:rsidRPr="006A4A1D" w:rsidRDefault="00A10505" w:rsidP="00712571">
            <w:pPr>
              <w:spacing w:before="120" w:after="120"/>
              <w:jc w:val="center"/>
              <w:rPr>
                <w:rFonts w:asciiTheme="majorHAnsi" w:hAnsiTheme="majorHAnsi"/>
                <w:color w:val="000000"/>
                <w:szCs w:val="22"/>
              </w:rPr>
            </w:pPr>
            <w:r>
              <w:rPr>
                <w:rFonts w:ascii="Calibri" w:hAnsi="Calibri"/>
                <w:color w:val="000000"/>
                <w:szCs w:val="22"/>
              </w:rPr>
              <w:t>0</w:t>
            </w:r>
          </w:p>
        </w:tc>
        <w:tc>
          <w:tcPr>
            <w:tcW w:w="992" w:type="dxa"/>
            <w:vAlign w:val="center"/>
          </w:tcPr>
          <w:p w:rsidR="00712571" w:rsidRPr="006A4A1D" w:rsidRDefault="00712571" w:rsidP="00712571">
            <w:pPr>
              <w:spacing w:before="120" w:after="120"/>
              <w:jc w:val="center"/>
              <w:rPr>
                <w:rFonts w:asciiTheme="majorHAnsi" w:hAnsiTheme="majorHAnsi"/>
                <w:color w:val="000000"/>
                <w:szCs w:val="22"/>
              </w:rPr>
            </w:pPr>
            <w:r>
              <w:rPr>
                <w:rFonts w:ascii="Calibri" w:hAnsi="Calibri"/>
                <w:color w:val="000000"/>
                <w:szCs w:val="22"/>
              </w:rPr>
              <w:t>0</w:t>
            </w:r>
          </w:p>
        </w:tc>
        <w:tc>
          <w:tcPr>
            <w:tcW w:w="992" w:type="dxa"/>
            <w:vAlign w:val="center"/>
          </w:tcPr>
          <w:p w:rsidR="00712571" w:rsidRPr="006A4A1D" w:rsidRDefault="00712571" w:rsidP="00712571">
            <w:pPr>
              <w:spacing w:before="120" w:after="120"/>
              <w:jc w:val="center"/>
              <w:rPr>
                <w:rFonts w:asciiTheme="majorHAnsi" w:hAnsiTheme="majorHAnsi"/>
                <w:color w:val="000000"/>
                <w:szCs w:val="22"/>
              </w:rPr>
            </w:pPr>
            <w:r>
              <w:rPr>
                <w:rFonts w:ascii="Calibri" w:hAnsi="Calibri"/>
                <w:color w:val="000000"/>
                <w:szCs w:val="22"/>
              </w:rPr>
              <w:t>0</w:t>
            </w:r>
          </w:p>
        </w:tc>
        <w:tc>
          <w:tcPr>
            <w:tcW w:w="993" w:type="dxa"/>
            <w:vAlign w:val="center"/>
          </w:tcPr>
          <w:p w:rsidR="00712571" w:rsidRPr="006A4A1D" w:rsidRDefault="00A10505" w:rsidP="00712571">
            <w:pPr>
              <w:spacing w:before="120" w:after="120"/>
              <w:jc w:val="center"/>
              <w:rPr>
                <w:rFonts w:asciiTheme="majorHAnsi" w:hAnsiTheme="majorHAnsi"/>
                <w:color w:val="000000"/>
                <w:szCs w:val="22"/>
              </w:rPr>
            </w:pPr>
            <w:r>
              <w:rPr>
                <w:rFonts w:ascii="Calibri" w:hAnsi="Calibri"/>
                <w:color w:val="000000"/>
                <w:szCs w:val="22"/>
              </w:rPr>
              <w:t>0</w:t>
            </w:r>
          </w:p>
        </w:tc>
        <w:tc>
          <w:tcPr>
            <w:tcW w:w="992" w:type="dxa"/>
            <w:vAlign w:val="center"/>
          </w:tcPr>
          <w:p w:rsidR="00712571" w:rsidRPr="006A4A1D" w:rsidRDefault="00A10505" w:rsidP="00712571">
            <w:pPr>
              <w:spacing w:before="120" w:after="120"/>
              <w:jc w:val="center"/>
              <w:rPr>
                <w:rFonts w:asciiTheme="majorHAnsi" w:hAnsiTheme="majorHAnsi"/>
                <w:color w:val="000000"/>
                <w:szCs w:val="22"/>
              </w:rPr>
            </w:pPr>
            <w:r>
              <w:rPr>
                <w:rFonts w:ascii="Calibri" w:hAnsi="Calibri"/>
                <w:color w:val="000000"/>
                <w:szCs w:val="22"/>
              </w:rPr>
              <w:t>0</w:t>
            </w:r>
          </w:p>
        </w:tc>
        <w:tc>
          <w:tcPr>
            <w:tcW w:w="992" w:type="dxa"/>
            <w:vAlign w:val="center"/>
          </w:tcPr>
          <w:p w:rsidR="00712571" w:rsidRPr="006A4A1D" w:rsidRDefault="00712571" w:rsidP="00712571">
            <w:pPr>
              <w:spacing w:before="120" w:after="120"/>
              <w:jc w:val="center"/>
              <w:rPr>
                <w:rFonts w:asciiTheme="majorHAnsi" w:hAnsiTheme="majorHAnsi"/>
                <w:color w:val="000000"/>
                <w:szCs w:val="22"/>
              </w:rPr>
            </w:pPr>
            <w:r>
              <w:rPr>
                <w:rFonts w:ascii="Calibri" w:hAnsi="Calibri"/>
                <w:color w:val="000000"/>
                <w:szCs w:val="22"/>
              </w:rPr>
              <w:t>n.a.</w:t>
            </w:r>
          </w:p>
        </w:tc>
      </w:tr>
      <w:tr w:rsidR="00712571" w:rsidRPr="006A4A1D" w:rsidTr="00526647">
        <w:trPr>
          <w:trHeight w:val="397"/>
        </w:trPr>
        <w:tc>
          <w:tcPr>
            <w:tcW w:w="2835" w:type="dxa"/>
            <w:tcBorders>
              <w:bottom w:val="single" w:sz="2" w:space="0" w:color="auto"/>
            </w:tcBorders>
            <w:shd w:val="clear" w:color="auto" w:fill="auto"/>
            <w:noWrap/>
            <w:vAlign w:val="center"/>
            <w:hideMark/>
          </w:tcPr>
          <w:p w:rsidR="00712571" w:rsidRPr="006A4A1D" w:rsidRDefault="00712571" w:rsidP="00712571">
            <w:pPr>
              <w:spacing w:before="120" w:after="120"/>
              <w:rPr>
                <w:rFonts w:asciiTheme="majorHAnsi" w:hAnsiTheme="majorHAnsi"/>
                <w:color w:val="000000"/>
                <w:szCs w:val="22"/>
              </w:rPr>
            </w:pPr>
            <w:r w:rsidRPr="006A4A1D">
              <w:rPr>
                <w:rFonts w:asciiTheme="majorHAnsi" w:hAnsiTheme="majorHAnsi"/>
                <w:color w:val="000000"/>
                <w:szCs w:val="22"/>
              </w:rPr>
              <w:t>Observed N. rated items</w:t>
            </w:r>
          </w:p>
        </w:tc>
        <w:tc>
          <w:tcPr>
            <w:tcW w:w="992" w:type="dxa"/>
            <w:tcBorders>
              <w:bottom w:val="single" w:sz="2" w:space="0" w:color="auto"/>
            </w:tcBorders>
            <w:shd w:val="clear" w:color="auto" w:fill="auto"/>
            <w:noWrap/>
            <w:vAlign w:val="center"/>
          </w:tcPr>
          <w:p w:rsidR="00712571" w:rsidRPr="006A4A1D" w:rsidRDefault="00712571" w:rsidP="00712571">
            <w:pPr>
              <w:spacing w:before="120" w:after="120"/>
              <w:jc w:val="center"/>
              <w:rPr>
                <w:rFonts w:asciiTheme="majorHAnsi" w:hAnsiTheme="majorHAnsi"/>
                <w:color w:val="000000"/>
                <w:szCs w:val="22"/>
              </w:rPr>
            </w:pPr>
            <w:r>
              <w:rPr>
                <w:rFonts w:ascii="Calibri" w:hAnsi="Calibri"/>
                <w:color w:val="000000"/>
                <w:szCs w:val="22"/>
              </w:rPr>
              <w:t>0</w:t>
            </w:r>
          </w:p>
        </w:tc>
        <w:tc>
          <w:tcPr>
            <w:tcW w:w="992" w:type="dxa"/>
            <w:tcBorders>
              <w:bottom w:val="single" w:sz="2" w:space="0" w:color="auto"/>
            </w:tcBorders>
            <w:vAlign w:val="center"/>
          </w:tcPr>
          <w:p w:rsidR="00712571" w:rsidRDefault="00712571" w:rsidP="00712571">
            <w:pPr>
              <w:spacing w:before="120" w:after="120"/>
              <w:jc w:val="center"/>
              <w:rPr>
                <w:rFonts w:asciiTheme="majorHAnsi" w:hAnsiTheme="majorHAnsi"/>
                <w:color w:val="000000"/>
                <w:szCs w:val="22"/>
              </w:rPr>
            </w:pPr>
            <w:r>
              <w:rPr>
                <w:rFonts w:asciiTheme="majorHAnsi" w:hAnsiTheme="majorHAnsi"/>
                <w:color w:val="000000"/>
                <w:szCs w:val="22"/>
              </w:rPr>
              <w:t>0</w:t>
            </w:r>
          </w:p>
        </w:tc>
        <w:tc>
          <w:tcPr>
            <w:tcW w:w="992" w:type="dxa"/>
            <w:tcBorders>
              <w:bottom w:val="single" w:sz="2" w:space="0" w:color="auto"/>
            </w:tcBorders>
            <w:vAlign w:val="center"/>
          </w:tcPr>
          <w:p w:rsidR="00712571" w:rsidRDefault="00712571" w:rsidP="00712571">
            <w:pPr>
              <w:spacing w:before="120" w:after="120"/>
              <w:jc w:val="center"/>
              <w:rPr>
                <w:rFonts w:asciiTheme="majorHAnsi" w:hAnsiTheme="majorHAnsi"/>
                <w:color w:val="000000"/>
                <w:szCs w:val="22"/>
              </w:rPr>
            </w:pPr>
            <w:r>
              <w:rPr>
                <w:rFonts w:asciiTheme="majorHAnsi" w:hAnsiTheme="majorHAnsi"/>
                <w:color w:val="000000"/>
                <w:szCs w:val="22"/>
              </w:rPr>
              <w:t>0</w:t>
            </w:r>
          </w:p>
        </w:tc>
        <w:tc>
          <w:tcPr>
            <w:tcW w:w="993" w:type="dxa"/>
            <w:tcBorders>
              <w:bottom w:val="single" w:sz="2" w:space="0" w:color="auto"/>
            </w:tcBorders>
            <w:vAlign w:val="center"/>
          </w:tcPr>
          <w:p w:rsidR="00712571" w:rsidRDefault="00712571" w:rsidP="00712571">
            <w:pPr>
              <w:spacing w:before="120" w:after="120"/>
              <w:jc w:val="center"/>
              <w:rPr>
                <w:rFonts w:asciiTheme="majorHAnsi" w:hAnsiTheme="majorHAnsi"/>
                <w:color w:val="000000"/>
                <w:szCs w:val="22"/>
              </w:rPr>
            </w:pPr>
            <w:r>
              <w:rPr>
                <w:rFonts w:asciiTheme="majorHAnsi" w:hAnsiTheme="majorHAnsi"/>
                <w:color w:val="000000"/>
                <w:szCs w:val="22"/>
              </w:rPr>
              <w:t>0</w:t>
            </w:r>
          </w:p>
        </w:tc>
        <w:tc>
          <w:tcPr>
            <w:tcW w:w="992" w:type="dxa"/>
            <w:tcBorders>
              <w:bottom w:val="single" w:sz="2" w:space="0" w:color="auto"/>
            </w:tcBorders>
            <w:vAlign w:val="center"/>
          </w:tcPr>
          <w:p w:rsidR="00712571" w:rsidRDefault="00712571" w:rsidP="00712571">
            <w:pPr>
              <w:spacing w:before="120" w:after="120"/>
              <w:jc w:val="center"/>
              <w:rPr>
                <w:rFonts w:asciiTheme="majorHAnsi" w:hAnsiTheme="majorHAnsi"/>
                <w:color w:val="000000"/>
                <w:szCs w:val="22"/>
              </w:rPr>
            </w:pPr>
            <w:r>
              <w:rPr>
                <w:rFonts w:asciiTheme="majorHAnsi" w:hAnsiTheme="majorHAnsi"/>
                <w:color w:val="000000"/>
                <w:szCs w:val="22"/>
              </w:rPr>
              <w:t>0</w:t>
            </w:r>
          </w:p>
        </w:tc>
        <w:tc>
          <w:tcPr>
            <w:tcW w:w="992" w:type="dxa"/>
            <w:tcBorders>
              <w:bottom w:val="single" w:sz="2" w:space="0" w:color="auto"/>
            </w:tcBorders>
            <w:vAlign w:val="center"/>
          </w:tcPr>
          <w:p w:rsidR="00712571" w:rsidRDefault="00712571" w:rsidP="00712571">
            <w:pPr>
              <w:spacing w:before="120" w:after="120"/>
              <w:jc w:val="center"/>
              <w:rPr>
                <w:rFonts w:asciiTheme="majorHAnsi" w:hAnsiTheme="majorHAnsi"/>
                <w:color w:val="000000"/>
                <w:szCs w:val="22"/>
              </w:rPr>
            </w:pPr>
            <w:r>
              <w:rPr>
                <w:rFonts w:ascii="Calibri" w:hAnsi="Calibri"/>
                <w:color w:val="000000"/>
                <w:szCs w:val="22"/>
              </w:rPr>
              <w:t>0</w:t>
            </w:r>
          </w:p>
        </w:tc>
      </w:tr>
      <w:tr w:rsidR="00712571" w:rsidRPr="00D2291E" w:rsidTr="00526647">
        <w:trPr>
          <w:trHeight w:val="397"/>
        </w:trPr>
        <w:tc>
          <w:tcPr>
            <w:tcW w:w="2835" w:type="dxa"/>
            <w:tcBorders>
              <w:top w:val="single" w:sz="2" w:space="0" w:color="auto"/>
              <w:bottom w:val="single" w:sz="2" w:space="0" w:color="auto"/>
            </w:tcBorders>
            <w:shd w:val="clear" w:color="auto" w:fill="auto"/>
            <w:noWrap/>
            <w:vAlign w:val="center"/>
            <w:hideMark/>
          </w:tcPr>
          <w:p w:rsidR="00712571" w:rsidRPr="00D2291E" w:rsidRDefault="00712571" w:rsidP="00712571">
            <w:pPr>
              <w:spacing w:before="120" w:after="120"/>
              <w:rPr>
                <w:rFonts w:asciiTheme="majorHAnsi" w:hAnsiTheme="majorHAnsi"/>
                <w:b/>
                <w:bCs/>
                <w:color w:val="000000"/>
                <w:szCs w:val="22"/>
              </w:rPr>
            </w:pPr>
            <w:r w:rsidRPr="00D2291E">
              <w:rPr>
                <w:rFonts w:asciiTheme="majorHAnsi" w:hAnsiTheme="majorHAnsi"/>
                <w:b/>
                <w:bCs/>
                <w:color w:val="000000"/>
                <w:szCs w:val="22"/>
              </w:rPr>
              <w:t>Mapping proposal</w:t>
            </w:r>
          </w:p>
        </w:tc>
        <w:tc>
          <w:tcPr>
            <w:tcW w:w="992" w:type="dxa"/>
            <w:tcBorders>
              <w:top w:val="single" w:sz="2" w:space="0" w:color="auto"/>
              <w:bottom w:val="single" w:sz="2" w:space="0" w:color="auto"/>
            </w:tcBorders>
            <w:shd w:val="clear" w:color="auto" w:fill="auto"/>
            <w:noWrap/>
            <w:vAlign w:val="center"/>
          </w:tcPr>
          <w:p w:rsidR="00712571" w:rsidRPr="00D2291E" w:rsidRDefault="00712571" w:rsidP="00712571">
            <w:pPr>
              <w:spacing w:before="120" w:after="120"/>
              <w:jc w:val="center"/>
              <w:rPr>
                <w:rFonts w:asciiTheme="majorHAnsi" w:hAnsiTheme="majorHAnsi"/>
                <w:b/>
                <w:bCs/>
                <w:color w:val="000000"/>
                <w:szCs w:val="22"/>
              </w:rPr>
            </w:pPr>
            <w:r>
              <w:rPr>
                <w:rFonts w:asciiTheme="majorHAnsi" w:hAnsiTheme="majorHAnsi"/>
                <w:b/>
                <w:bCs/>
                <w:color w:val="000000"/>
                <w:szCs w:val="22"/>
              </w:rPr>
              <w:t xml:space="preserve">CQS </w:t>
            </w:r>
            <w:r w:rsidR="006E264C">
              <w:rPr>
                <w:rFonts w:asciiTheme="majorHAnsi" w:hAnsiTheme="majorHAnsi"/>
                <w:b/>
                <w:bCs/>
                <w:color w:val="000000"/>
                <w:szCs w:val="22"/>
              </w:rPr>
              <w:t>1</w:t>
            </w:r>
          </w:p>
        </w:tc>
        <w:tc>
          <w:tcPr>
            <w:tcW w:w="992" w:type="dxa"/>
            <w:tcBorders>
              <w:top w:val="single" w:sz="2" w:space="0" w:color="auto"/>
              <w:bottom w:val="single" w:sz="2" w:space="0" w:color="auto"/>
            </w:tcBorders>
            <w:vAlign w:val="center"/>
          </w:tcPr>
          <w:p w:rsidR="00712571" w:rsidRPr="00E5783C" w:rsidRDefault="00712571" w:rsidP="00712571">
            <w:pPr>
              <w:spacing w:before="120" w:after="120"/>
              <w:jc w:val="center"/>
              <w:rPr>
                <w:rFonts w:asciiTheme="majorHAnsi" w:hAnsiTheme="majorHAnsi"/>
                <w:b/>
                <w:bCs/>
                <w:color w:val="000000"/>
                <w:szCs w:val="22"/>
              </w:rPr>
            </w:pPr>
            <w:r w:rsidRPr="00E219FB">
              <w:rPr>
                <w:rFonts w:ascii="Calibri" w:hAnsi="Calibri"/>
                <w:b/>
                <w:bCs/>
                <w:color w:val="000000"/>
                <w:szCs w:val="22"/>
              </w:rPr>
              <w:t>CQS 2</w:t>
            </w:r>
          </w:p>
        </w:tc>
        <w:tc>
          <w:tcPr>
            <w:tcW w:w="992" w:type="dxa"/>
            <w:tcBorders>
              <w:top w:val="single" w:sz="2" w:space="0" w:color="auto"/>
              <w:bottom w:val="single" w:sz="2" w:space="0" w:color="auto"/>
            </w:tcBorders>
            <w:vAlign w:val="center"/>
          </w:tcPr>
          <w:p w:rsidR="00712571" w:rsidRPr="00E5783C" w:rsidRDefault="00712571" w:rsidP="00712571">
            <w:pPr>
              <w:spacing w:before="120" w:after="120"/>
              <w:jc w:val="center"/>
              <w:rPr>
                <w:rFonts w:asciiTheme="majorHAnsi" w:hAnsiTheme="majorHAnsi"/>
                <w:b/>
                <w:bCs/>
                <w:color w:val="000000"/>
                <w:szCs w:val="22"/>
              </w:rPr>
            </w:pPr>
            <w:r w:rsidRPr="00E219FB">
              <w:rPr>
                <w:rFonts w:ascii="Calibri" w:hAnsi="Calibri"/>
                <w:b/>
                <w:color w:val="000000"/>
                <w:szCs w:val="22"/>
              </w:rPr>
              <w:t xml:space="preserve">CQS </w:t>
            </w:r>
            <w:r>
              <w:rPr>
                <w:rFonts w:ascii="Calibri" w:hAnsi="Calibri"/>
                <w:b/>
                <w:color w:val="000000"/>
                <w:szCs w:val="22"/>
              </w:rPr>
              <w:t>3</w:t>
            </w:r>
          </w:p>
        </w:tc>
        <w:tc>
          <w:tcPr>
            <w:tcW w:w="993" w:type="dxa"/>
            <w:tcBorders>
              <w:top w:val="single" w:sz="2" w:space="0" w:color="auto"/>
              <w:bottom w:val="single" w:sz="2" w:space="0" w:color="auto"/>
            </w:tcBorders>
            <w:vAlign w:val="center"/>
          </w:tcPr>
          <w:p w:rsidR="00712571" w:rsidRPr="00E5783C" w:rsidRDefault="00712571" w:rsidP="00712571">
            <w:pPr>
              <w:spacing w:before="120" w:after="120"/>
              <w:jc w:val="center"/>
              <w:rPr>
                <w:rFonts w:asciiTheme="majorHAnsi" w:hAnsiTheme="majorHAnsi"/>
                <w:b/>
                <w:bCs/>
                <w:color w:val="000000"/>
                <w:szCs w:val="22"/>
              </w:rPr>
            </w:pPr>
            <w:r w:rsidRPr="00E219FB">
              <w:rPr>
                <w:rFonts w:ascii="Calibri" w:hAnsi="Calibri"/>
                <w:b/>
                <w:bCs/>
                <w:color w:val="000000"/>
                <w:szCs w:val="22"/>
              </w:rPr>
              <w:t xml:space="preserve">CQS </w:t>
            </w:r>
            <w:r w:rsidR="006E264C">
              <w:rPr>
                <w:rFonts w:ascii="Calibri" w:hAnsi="Calibri"/>
                <w:b/>
                <w:bCs/>
                <w:color w:val="000000"/>
                <w:szCs w:val="22"/>
              </w:rPr>
              <w:t>4</w:t>
            </w:r>
          </w:p>
        </w:tc>
        <w:tc>
          <w:tcPr>
            <w:tcW w:w="992" w:type="dxa"/>
            <w:tcBorders>
              <w:top w:val="single" w:sz="2" w:space="0" w:color="auto"/>
              <w:bottom w:val="single" w:sz="2" w:space="0" w:color="auto"/>
            </w:tcBorders>
            <w:vAlign w:val="center"/>
          </w:tcPr>
          <w:p w:rsidR="00712571" w:rsidRPr="00E5783C" w:rsidRDefault="00712571" w:rsidP="00712571">
            <w:pPr>
              <w:spacing w:before="120" w:after="120"/>
              <w:jc w:val="center"/>
              <w:rPr>
                <w:rFonts w:asciiTheme="majorHAnsi" w:hAnsiTheme="majorHAnsi"/>
                <w:b/>
                <w:bCs/>
                <w:color w:val="000000"/>
                <w:szCs w:val="22"/>
              </w:rPr>
            </w:pPr>
            <w:r w:rsidRPr="00E219FB">
              <w:rPr>
                <w:rFonts w:ascii="Calibri" w:hAnsi="Calibri"/>
                <w:b/>
                <w:bCs/>
                <w:color w:val="000000"/>
                <w:szCs w:val="22"/>
              </w:rPr>
              <w:t xml:space="preserve">CQS </w:t>
            </w:r>
            <w:r w:rsidR="006E264C">
              <w:rPr>
                <w:rFonts w:ascii="Calibri" w:hAnsi="Calibri"/>
                <w:b/>
                <w:bCs/>
                <w:color w:val="000000"/>
                <w:szCs w:val="22"/>
              </w:rPr>
              <w:t>5</w:t>
            </w:r>
          </w:p>
        </w:tc>
        <w:tc>
          <w:tcPr>
            <w:tcW w:w="992" w:type="dxa"/>
            <w:tcBorders>
              <w:top w:val="single" w:sz="2" w:space="0" w:color="auto"/>
              <w:bottom w:val="single" w:sz="2" w:space="0" w:color="auto"/>
            </w:tcBorders>
            <w:vAlign w:val="center"/>
          </w:tcPr>
          <w:p w:rsidR="00712571" w:rsidRPr="00E5783C" w:rsidRDefault="00712571" w:rsidP="00712571">
            <w:pPr>
              <w:spacing w:before="120" w:after="120"/>
              <w:jc w:val="center"/>
              <w:rPr>
                <w:rFonts w:asciiTheme="majorHAnsi" w:hAnsiTheme="majorHAnsi"/>
                <w:b/>
                <w:bCs/>
                <w:color w:val="000000"/>
                <w:szCs w:val="22"/>
              </w:rPr>
            </w:pPr>
            <w:r w:rsidRPr="00E219FB">
              <w:rPr>
                <w:rFonts w:ascii="Calibri" w:hAnsi="Calibri"/>
                <w:b/>
                <w:bCs/>
                <w:color w:val="000000"/>
                <w:szCs w:val="22"/>
              </w:rPr>
              <w:t>CQS 6</w:t>
            </w:r>
          </w:p>
        </w:tc>
      </w:tr>
    </w:tbl>
    <w:p w:rsidR="00712571" w:rsidRDefault="00712571" w:rsidP="00F16A28">
      <w:pPr>
        <w:pStyle w:val="FootnoteText"/>
      </w:pPr>
      <w:r>
        <w:t xml:space="preserve">Source: </w:t>
      </w:r>
      <w:r w:rsidRPr="00B43366">
        <w:t xml:space="preserve">Joint Committee </w:t>
      </w:r>
      <w:r>
        <w:t>calculations</w:t>
      </w:r>
    </w:p>
    <w:p w:rsidR="00712571" w:rsidRDefault="00712571" w:rsidP="00F16A28">
      <w:pPr>
        <w:pStyle w:val="FootnoteText"/>
      </w:pPr>
    </w:p>
    <w:p w:rsidR="00A10505" w:rsidRDefault="00A10505" w:rsidP="00F16A28">
      <w:pPr>
        <w:pStyle w:val="FootnoteText"/>
      </w:pPr>
    </w:p>
    <w:p w:rsidR="00194933" w:rsidRPr="00036672" w:rsidRDefault="00194933" w:rsidP="00D84B53">
      <w:pPr>
        <w:sectPr w:rsidR="00194933" w:rsidRPr="00036672" w:rsidSect="00EF0693">
          <w:headerReference w:type="even" r:id="rId20"/>
          <w:headerReference w:type="default" r:id="rId21"/>
          <w:footerReference w:type="even" r:id="rId22"/>
          <w:footerReference w:type="default" r:id="rId23"/>
          <w:headerReference w:type="first" r:id="rId24"/>
          <w:footerReference w:type="first" r:id="rId25"/>
          <w:pgSz w:w="11900" w:h="16840"/>
          <w:pgMar w:top="2268" w:right="1418" w:bottom="1134" w:left="1701" w:header="709" w:footer="709" w:gutter="0"/>
          <w:cols w:space="708"/>
          <w:titlePg/>
          <w:docGrid w:linePitch="299"/>
        </w:sectPr>
      </w:pPr>
    </w:p>
    <w:p w:rsidR="00712571" w:rsidRPr="00BE6527" w:rsidRDefault="00712571" w:rsidP="00D84B53">
      <w:pPr>
        <w:pStyle w:val="Titlelevel2"/>
        <w:outlineLvl w:val="0"/>
      </w:pPr>
      <w:r w:rsidRPr="00BE6527">
        <w:lastRenderedPageBreak/>
        <w:t xml:space="preserve">Appendix </w:t>
      </w:r>
      <w:r>
        <w:t>4</w:t>
      </w:r>
      <w:r w:rsidRPr="00BE6527">
        <w:t xml:space="preserve">: </w:t>
      </w:r>
      <w:r w:rsidR="0060518B">
        <w:t>Benchmarking Dagong provisional ratings to Benchmark standalone ratings</w:t>
      </w:r>
    </w:p>
    <w:p w:rsidR="00D7173E" w:rsidRPr="00C16FAA" w:rsidRDefault="00D7173E" w:rsidP="00D7173E">
      <w:pPr>
        <w:pStyle w:val="Figuretitle"/>
      </w:pPr>
      <w:bookmarkStart w:id="13" w:name="_Ref390963816"/>
      <w:r w:rsidRPr="00C16FAA">
        <w:t xml:space="preserve">Figure </w:t>
      </w:r>
      <w:bookmarkEnd w:id="12"/>
      <w:bookmarkEnd w:id="13"/>
      <w:r w:rsidR="00985871">
        <w:t>7</w:t>
      </w:r>
      <w:r w:rsidRPr="00C16FAA">
        <w:t xml:space="preserve">: Observed </w:t>
      </w:r>
      <w:r>
        <w:t>relationship</w:t>
      </w:r>
      <w:r w:rsidRPr="00C16FAA">
        <w:t xml:space="preserve"> between </w:t>
      </w:r>
      <w:r>
        <w:t>Dagong</w:t>
      </w:r>
      <w:r w:rsidRPr="00C16FAA">
        <w:t xml:space="preserve"> </w:t>
      </w:r>
      <w:r>
        <w:t>and Benchmark ratings</w:t>
      </w:r>
    </w:p>
    <w:tbl>
      <w:tblPr>
        <w:tblStyle w:val="EBAtable"/>
        <w:tblW w:w="10154" w:type="dxa"/>
        <w:tblLook w:val="04A0" w:firstRow="1" w:lastRow="0" w:firstColumn="1" w:lastColumn="0" w:noHBand="0" w:noVBand="1"/>
      </w:tblPr>
      <w:tblGrid>
        <w:gridCol w:w="2027"/>
        <w:gridCol w:w="731"/>
        <w:gridCol w:w="732"/>
        <w:gridCol w:w="732"/>
        <w:gridCol w:w="732"/>
        <w:gridCol w:w="731"/>
        <w:gridCol w:w="732"/>
        <w:gridCol w:w="732"/>
        <w:gridCol w:w="732"/>
        <w:gridCol w:w="732"/>
        <w:gridCol w:w="1541"/>
      </w:tblGrid>
      <w:tr w:rsidR="0060518B" w:rsidRPr="009C0F76" w:rsidTr="0060518B">
        <w:trPr>
          <w:cnfStyle w:val="100000000000" w:firstRow="1" w:lastRow="0" w:firstColumn="0" w:lastColumn="0" w:oddVBand="0" w:evenVBand="0" w:oddHBand="0" w:evenHBand="0" w:firstRowFirstColumn="0" w:firstRowLastColumn="0" w:lastRowFirstColumn="0" w:lastRowLastColumn="0"/>
          <w:trHeight w:val="300"/>
        </w:trPr>
        <w:tc>
          <w:tcPr>
            <w:tcW w:w="2027" w:type="dxa"/>
            <w:noWrap/>
            <w:hideMark/>
          </w:tcPr>
          <w:p w:rsidR="0060518B" w:rsidRPr="006F79FA" w:rsidRDefault="0060518B" w:rsidP="00544BDB">
            <w:pPr>
              <w:spacing w:before="120" w:after="120"/>
              <w:rPr>
                <w:b/>
                <w:color w:val="000000"/>
                <w:szCs w:val="22"/>
              </w:rPr>
            </w:pPr>
            <w:r w:rsidRPr="006F79FA">
              <w:rPr>
                <w:b/>
                <w:color w:val="000000"/>
                <w:szCs w:val="22"/>
              </w:rPr>
              <w:t>Rating Benchmark</w:t>
            </w:r>
          </w:p>
        </w:tc>
        <w:tc>
          <w:tcPr>
            <w:tcW w:w="731" w:type="dxa"/>
            <w:noWrap/>
            <w:hideMark/>
          </w:tcPr>
          <w:p w:rsidR="0060518B" w:rsidRPr="009C0F76" w:rsidRDefault="0060518B" w:rsidP="0060518B">
            <w:pPr>
              <w:jc w:val="center"/>
              <w:rPr>
                <w:rFonts w:ascii="Calibri" w:hAnsi="Calibri"/>
                <w:b/>
                <w:bCs/>
                <w:color w:val="000000"/>
                <w:szCs w:val="22"/>
                <w:lang w:val="en-US" w:eastAsia="es-ES"/>
              </w:rPr>
            </w:pPr>
            <w:r>
              <w:rPr>
                <w:rFonts w:ascii="Calibri" w:hAnsi="Calibri"/>
                <w:b/>
                <w:bCs/>
                <w:color w:val="000000"/>
                <w:szCs w:val="22"/>
                <w:lang w:val="en-US" w:eastAsia="es-ES"/>
              </w:rPr>
              <w:t>AAA</w:t>
            </w:r>
          </w:p>
        </w:tc>
        <w:tc>
          <w:tcPr>
            <w:tcW w:w="732" w:type="dxa"/>
            <w:noWrap/>
            <w:hideMark/>
          </w:tcPr>
          <w:p w:rsidR="0060518B" w:rsidRPr="009C0F76" w:rsidRDefault="0060518B" w:rsidP="0060518B">
            <w:pPr>
              <w:jc w:val="center"/>
              <w:rPr>
                <w:rFonts w:ascii="Calibri" w:hAnsi="Calibri"/>
                <w:b/>
                <w:bCs/>
                <w:color w:val="000000"/>
                <w:szCs w:val="22"/>
                <w:lang w:val="en-US" w:eastAsia="es-ES"/>
              </w:rPr>
            </w:pPr>
            <w:r>
              <w:rPr>
                <w:rFonts w:ascii="Calibri" w:hAnsi="Calibri"/>
                <w:b/>
                <w:bCs/>
                <w:color w:val="000000"/>
                <w:szCs w:val="22"/>
                <w:lang w:val="en-US" w:eastAsia="es-ES"/>
              </w:rPr>
              <w:t>AA</w:t>
            </w:r>
          </w:p>
        </w:tc>
        <w:tc>
          <w:tcPr>
            <w:tcW w:w="732" w:type="dxa"/>
            <w:noWrap/>
            <w:hideMark/>
          </w:tcPr>
          <w:p w:rsidR="0060518B" w:rsidRPr="009C0F76" w:rsidRDefault="0060518B" w:rsidP="0060518B">
            <w:pPr>
              <w:jc w:val="center"/>
              <w:rPr>
                <w:rFonts w:ascii="Calibri" w:hAnsi="Calibri"/>
                <w:b/>
                <w:bCs/>
                <w:color w:val="000000"/>
                <w:szCs w:val="22"/>
                <w:lang w:val="en-US" w:eastAsia="es-ES"/>
              </w:rPr>
            </w:pPr>
            <w:r>
              <w:rPr>
                <w:rFonts w:ascii="Calibri" w:hAnsi="Calibri"/>
                <w:b/>
                <w:bCs/>
                <w:color w:val="000000"/>
                <w:szCs w:val="22"/>
                <w:lang w:val="en-US" w:eastAsia="es-ES"/>
              </w:rPr>
              <w:t>A</w:t>
            </w:r>
          </w:p>
        </w:tc>
        <w:tc>
          <w:tcPr>
            <w:tcW w:w="732" w:type="dxa"/>
            <w:noWrap/>
            <w:hideMark/>
          </w:tcPr>
          <w:p w:rsidR="0060518B" w:rsidRPr="009C0F76" w:rsidRDefault="0060518B" w:rsidP="0060518B">
            <w:pPr>
              <w:jc w:val="center"/>
              <w:rPr>
                <w:rFonts w:ascii="Calibri" w:hAnsi="Calibri"/>
                <w:b/>
                <w:bCs/>
                <w:color w:val="000000"/>
                <w:szCs w:val="22"/>
                <w:lang w:val="en-US" w:eastAsia="es-ES"/>
              </w:rPr>
            </w:pPr>
            <w:r>
              <w:rPr>
                <w:rFonts w:ascii="Calibri" w:hAnsi="Calibri"/>
                <w:b/>
                <w:bCs/>
                <w:color w:val="000000"/>
                <w:szCs w:val="22"/>
                <w:lang w:val="en-US" w:eastAsia="es-ES"/>
              </w:rPr>
              <w:t>BBB</w:t>
            </w:r>
          </w:p>
        </w:tc>
        <w:tc>
          <w:tcPr>
            <w:tcW w:w="731" w:type="dxa"/>
            <w:noWrap/>
            <w:hideMark/>
          </w:tcPr>
          <w:p w:rsidR="0060518B" w:rsidRPr="009C0F76" w:rsidRDefault="0060518B" w:rsidP="0060518B">
            <w:pPr>
              <w:jc w:val="center"/>
              <w:rPr>
                <w:rFonts w:ascii="Calibri" w:hAnsi="Calibri"/>
                <w:b/>
                <w:bCs/>
                <w:color w:val="000000"/>
                <w:szCs w:val="22"/>
                <w:lang w:val="en-US" w:eastAsia="es-ES"/>
              </w:rPr>
            </w:pPr>
            <w:r>
              <w:rPr>
                <w:rFonts w:ascii="Calibri" w:hAnsi="Calibri"/>
                <w:b/>
                <w:bCs/>
                <w:color w:val="000000"/>
                <w:szCs w:val="22"/>
                <w:lang w:val="en-US" w:eastAsia="es-ES"/>
              </w:rPr>
              <w:t>BB</w:t>
            </w:r>
          </w:p>
        </w:tc>
        <w:tc>
          <w:tcPr>
            <w:tcW w:w="732" w:type="dxa"/>
            <w:noWrap/>
            <w:hideMark/>
          </w:tcPr>
          <w:p w:rsidR="0060518B" w:rsidRPr="009C0F76" w:rsidRDefault="0060518B" w:rsidP="0060518B">
            <w:pPr>
              <w:jc w:val="center"/>
              <w:rPr>
                <w:rFonts w:ascii="Calibri" w:hAnsi="Calibri"/>
                <w:b/>
                <w:bCs/>
                <w:color w:val="000000"/>
                <w:szCs w:val="22"/>
                <w:lang w:val="en-US" w:eastAsia="es-ES"/>
              </w:rPr>
            </w:pPr>
            <w:r>
              <w:rPr>
                <w:rFonts w:ascii="Calibri" w:hAnsi="Calibri"/>
                <w:b/>
                <w:bCs/>
                <w:color w:val="000000"/>
                <w:szCs w:val="22"/>
                <w:lang w:val="en-US" w:eastAsia="es-ES"/>
              </w:rPr>
              <w:t>B</w:t>
            </w:r>
          </w:p>
        </w:tc>
        <w:tc>
          <w:tcPr>
            <w:tcW w:w="732" w:type="dxa"/>
          </w:tcPr>
          <w:p w:rsidR="0060518B" w:rsidRPr="009C0F76" w:rsidRDefault="0060518B" w:rsidP="0060518B">
            <w:pPr>
              <w:jc w:val="center"/>
              <w:rPr>
                <w:rFonts w:ascii="Calibri" w:hAnsi="Calibri"/>
                <w:b/>
                <w:bCs/>
                <w:color w:val="000000"/>
                <w:szCs w:val="22"/>
                <w:lang w:val="en-US" w:eastAsia="es-ES"/>
              </w:rPr>
            </w:pPr>
            <w:r>
              <w:rPr>
                <w:rFonts w:ascii="Calibri" w:hAnsi="Calibri"/>
                <w:b/>
                <w:bCs/>
                <w:color w:val="000000"/>
                <w:szCs w:val="22"/>
                <w:lang w:val="en-US" w:eastAsia="es-ES"/>
              </w:rPr>
              <w:t>CCC</w:t>
            </w:r>
          </w:p>
        </w:tc>
        <w:tc>
          <w:tcPr>
            <w:tcW w:w="732" w:type="dxa"/>
          </w:tcPr>
          <w:p w:rsidR="0060518B" w:rsidRPr="009C0F76" w:rsidRDefault="0060518B" w:rsidP="0060518B">
            <w:pPr>
              <w:jc w:val="center"/>
              <w:rPr>
                <w:rFonts w:ascii="Calibri" w:hAnsi="Calibri"/>
                <w:b/>
                <w:bCs/>
                <w:color w:val="000000"/>
                <w:szCs w:val="22"/>
                <w:lang w:val="en-US" w:eastAsia="es-ES"/>
              </w:rPr>
            </w:pPr>
            <w:r>
              <w:rPr>
                <w:rFonts w:ascii="Calibri" w:hAnsi="Calibri"/>
                <w:b/>
                <w:bCs/>
                <w:color w:val="000000"/>
                <w:szCs w:val="22"/>
                <w:lang w:val="en-US" w:eastAsia="es-ES"/>
              </w:rPr>
              <w:t>CC</w:t>
            </w:r>
          </w:p>
        </w:tc>
        <w:tc>
          <w:tcPr>
            <w:tcW w:w="732" w:type="dxa"/>
            <w:tcBorders>
              <w:right w:val="single" w:sz="4" w:space="0" w:color="auto"/>
            </w:tcBorders>
          </w:tcPr>
          <w:p w:rsidR="0060518B" w:rsidRPr="009C0F76" w:rsidRDefault="0060518B" w:rsidP="0060518B">
            <w:pPr>
              <w:jc w:val="center"/>
              <w:rPr>
                <w:rFonts w:ascii="Calibri" w:hAnsi="Calibri"/>
                <w:b/>
                <w:bCs/>
                <w:color w:val="000000"/>
                <w:szCs w:val="22"/>
                <w:lang w:val="en-US" w:eastAsia="es-ES"/>
              </w:rPr>
            </w:pPr>
            <w:r>
              <w:rPr>
                <w:rFonts w:ascii="Calibri" w:hAnsi="Calibri"/>
                <w:b/>
                <w:bCs/>
                <w:color w:val="000000"/>
                <w:szCs w:val="22"/>
                <w:lang w:val="en-US" w:eastAsia="es-ES"/>
              </w:rPr>
              <w:t>C</w:t>
            </w:r>
          </w:p>
        </w:tc>
        <w:tc>
          <w:tcPr>
            <w:tcW w:w="1541" w:type="dxa"/>
            <w:tcBorders>
              <w:left w:val="single" w:sz="4" w:space="0" w:color="auto"/>
            </w:tcBorders>
          </w:tcPr>
          <w:p w:rsidR="0060518B" w:rsidRDefault="004C6F41" w:rsidP="004C6F41">
            <w:pPr>
              <w:jc w:val="center"/>
              <w:rPr>
                <w:rFonts w:ascii="Calibri" w:hAnsi="Calibri"/>
                <w:b/>
                <w:bCs/>
                <w:color w:val="000000"/>
                <w:szCs w:val="22"/>
                <w:lang w:val="en-US" w:eastAsia="es-ES"/>
              </w:rPr>
            </w:pPr>
            <w:r>
              <w:rPr>
                <w:rFonts w:ascii="Calibri" w:hAnsi="Calibri"/>
                <w:b/>
                <w:bCs/>
                <w:color w:val="000000"/>
                <w:szCs w:val="22"/>
                <w:lang w:val="en-US" w:eastAsia="es-ES"/>
              </w:rPr>
              <w:t>Implied default rate</w:t>
            </w:r>
          </w:p>
        </w:tc>
      </w:tr>
      <w:tr w:rsidR="0060518B" w:rsidRPr="009C0F76" w:rsidTr="00640542">
        <w:trPr>
          <w:trHeight w:val="300"/>
        </w:trPr>
        <w:tc>
          <w:tcPr>
            <w:tcW w:w="2027" w:type="dxa"/>
            <w:tcBorders>
              <w:bottom w:val="nil"/>
            </w:tcBorders>
            <w:noWrap/>
          </w:tcPr>
          <w:p w:rsidR="0060518B" w:rsidRPr="006F79FA" w:rsidRDefault="0060518B" w:rsidP="00D7173E">
            <w:pPr>
              <w:spacing w:before="120" w:after="120"/>
              <w:rPr>
                <w:b/>
                <w:color w:val="000000"/>
                <w:szCs w:val="22"/>
              </w:rPr>
            </w:pPr>
            <w:r w:rsidRPr="006F79FA">
              <w:rPr>
                <w:b/>
                <w:color w:val="000000"/>
                <w:szCs w:val="22"/>
              </w:rPr>
              <w:t xml:space="preserve">Rating </w:t>
            </w:r>
            <w:r>
              <w:rPr>
                <w:b/>
                <w:color w:val="000000"/>
                <w:szCs w:val="22"/>
              </w:rPr>
              <w:t>Dagong</w:t>
            </w:r>
          </w:p>
        </w:tc>
        <w:tc>
          <w:tcPr>
            <w:tcW w:w="731" w:type="dxa"/>
            <w:tcBorders>
              <w:bottom w:val="nil"/>
            </w:tcBorders>
            <w:noWrap/>
          </w:tcPr>
          <w:p w:rsidR="0060518B" w:rsidRDefault="0060518B" w:rsidP="0060518B">
            <w:pPr>
              <w:jc w:val="center"/>
              <w:rPr>
                <w:rFonts w:ascii="Calibri" w:hAnsi="Calibri"/>
                <w:color w:val="000000"/>
                <w:szCs w:val="22"/>
              </w:rPr>
            </w:pPr>
            <w:r>
              <w:rPr>
                <w:rFonts w:ascii="Calibri" w:hAnsi="Calibri"/>
                <w:color w:val="000000"/>
                <w:szCs w:val="22"/>
              </w:rPr>
              <w:t>0</w:t>
            </w:r>
          </w:p>
        </w:tc>
        <w:tc>
          <w:tcPr>
            <w:tcW w:w="732" w:type="dxa"/>
            <w:tcBorders>
              <w:bottom w:val="nil"/>
            </w:tcBorders>
            <w:noWrap/>
          </w:tcPr>
          <w:p w:rsidR="0060518B" w:rsidRDefault="0060518B" w:rsidP="0060518B">
            <w:pPr>
              <w:jc w:val="center"/>
              <w:rPr>
                <w:rFonts w:ascii="Calibri" w:hAnsi="Calibri"/>
                <w:color w:val="000000"/>
                <w:szCs w:val="22"/>
              </w:rPr>
            </w:pPr>
            <w:r>
              <w:rPr>
                <w:rFonts w:ascii="Calibri" w:hAnsi="Calibri"/>
                <w:color w:val="000000"/>
                <w:szCs w:val="22"/>
              </w:rPr>
              <w:t>0</w:t>
            </w:r>
          </w:p>
        </w:tc>
        <w:tc>
          <w:tcPr>
            <w:tcW w:w="732" w:type="dxa"/>
            <w:tcBorders>
              <w:bottom w:val="nil"/>
            </w:tcBorders>
            <w:noWrap/>
          </w:tcPr>
          <w:p w:rsidR="0060518B" w:rsidRDefault="0060518B" w:rsidP="0060518B">
            <w:pPr>
              <w:jc w:val="center"/>
              <w:rPr>
                <w:rFonts w:ascii="Calibri" w:hAnsi="Calibri"/>
                <w:color w:val="000000"/>
                <w:szCs w:val="22"/>
              </w:rPr>
            </w:pPr>
            <w:r>
              <w:rPr>
                <w:rFonts w:ascii="Calibri" w:hAnsi="Calibri"/>
                <w:color w:val="000000"/>
                <w:szCs w:val="22"/>
              </w:rPr>
              <w:t>0</w:t>
            </w:r>
          </w:p>
        </w:tc>
        <w:tc>
          <w:tcPr>
            <w:tcW w:w="732" w:type="dxa"/>
            <w:tcBorders>
              <w:bottom w:val="nil"/>
            </w:tcBorders>
            <w:noWrap/>
          </w:tcPr>
          <w:p w:rsidR="0060518B" w:rsidRDefault="0060518B" w:rsidP="0060518B">
            <w:pPr>
              <w:jc w:val="center"/>
              <w:rPr>
                <w:rFonts w:ascii="Calibri" w:hAnsi="Calibri"/>
                <w:color w:val="000000"/>
                <w:szCs w:val="22"/>
              </w:rPr>
            </w:pPr>
            <w:r>
              <w:rPr>
                <w:rFonts w:ascii="Calibri" w:hAnsi="Calibri"/>
                <w:color w:val="000000"/>
                <w:szCs w:val="22"/>
              </w:rPr>
              <w:t>0</w:t>
            </w:r>
          </w:p>
        </w:tc>
        <w:tc>
          <w:tcPr>
            <w:tcW w:w="731" w:type="dxa"/>
            <w:tcBorders>
              <w:bottom w:val="nil"/>
            </w:tcBorders>
            <w:noWrap/>
          </w:tcPr>
          <w:p w:rsidR="0060518B" w:rsidRDefault="0060518B" w:rsidP="0060518B">
            <w:pPr>
              <w:jc w:val="center"/>
              <w:rPr>
                <w:rFonts w:ascii="Calibri" w:hAnsi="Calibri"/>
                <w:color w:val="000000"/>
                <w:szCs w:val="22"/>
              </w:rPr>
            </w:pPr>
            <w:r>
              <w:rPr>
                <w:rFonts w:ascii="Calibri" w:hAnsi="Calibri"/>
                <w:color w:val="000000"/>
                <w:szCs w:val="22"/>
              </w:rPr>
              <w:t>0</w:t>
            </w:r>
          </w:p>
        </w:tc>
        <w:tc>
          <w:tcPr>
            <w:tcW w:w="732" w:type="dxa"/>
            <w:tcBorders>
              <w:bottom w:val="nil"/>
            </w:tcBorders>
            <w:noWrap/>
          </w:tcPr>
          <w:p w:rsidR="0060518B" w:rsidRDefault="0060518B" w:rsidP="0060518B">
            <w:pPr>
              <w:jc w:val="center"/>
              <w:rPr>
                <w:rFonts w:ascii="Calibri" w:hAnsi="Calibri"/>
                <w:color w:val="000000"/>
                <w:szCs w:val="22"/>
              </w:rPr>
            </w:pPr>
            <w:r>
              <w:rPr>
                <w:rFonts w:ascii="Calibri" w:hAnsi="Calibri"/>
                <w:color w:val="000000"/>
                <w:szCs w:val="22"/>
              </w:rPr>
              <w:t>0</w:t>
            </w:r>
          </w:p>
        </w:tc>
        <w:tc>
          <w:tcPr>
            <w:tcW w:w="732" w:type="dxa"/>
            <w:tcBorders>
              <w:bottom w:val="nil"/>
            </w:tcBorders>
          </w:tcPr>
          <w:p w:rsidR="0060518B" w:rsidRDefault="0060518B" w:rsidP="0060518B">
            <w:pPr>
              <w:jc w:val="center"/>
              <w:rPr>
                <w:rFonts w:ascii="Calibri" w:hAnsi="Calibri"/>
                <w:color w:val="000000"/>
                <w:szCs w:val="22"/>
              </w:rPr>
            </w:pPr>
            <w:r>
              <w:rPr>
                <w:rFonts w:ascii="Calibri" w:hAnsi="Calibri"/>
                <w:color w:val="000000"/>
                <w:szCs w:val="22"/>
              </w:rPr>
              <w:t>0</w:t>
            </w:r>
          </w:p>
        </w:tc>
        <w:tc>
          <w:tcPr>
            <w:tcW w:w="732" w:type="dxa"/>
            <w:tcBorders>
              <w:bottom w:val="nil"/>
            </w:tcBorders>
          </w:tcPr>
          <w:p w:rsidR="0060518B" w:rsidRDefault="0060518B" w:rsidP="0060518B">
            <w:pPr>
              <w:jc w:val="center"/>
              <w:rPr>
                <w:rFonts w:ascii="Calibri" w:hAnsi="Calibri"/>
                <w:color w:val="000000"/>
                <w:szCs w:val="22"/>
              </w:rPr>
            </w:pPr>
            <w:r>
              <w:rPr>
                <w:rFonts w:ascii="Calibri" w:hAnsi="Calibri"/>
                <w:color w:val="000000"/>
                <w:szCs w:val="22"/>
              </w:rPr>
              <w:t>0</w:t>
            </w:r>
          </w:p>
        </w:tc>
        <w:tc>
          <w:tcPr>
            <w:tcW w:w="732" w:type="dxa"/>
            <w:tcBorders>
              <w:bottom w:val="nil"/>
              <w:right w:val="single" w:sz="4" w:space="0" w:color="auto"/>
            </w:tcBorders>
          </w:tcPr>
          <w:p w:rsidR="0060518B" w:rsidRDefault="0060518B" w:rsidP="0060518B">
            <w:pPr>
              <w:jc w:val="center"/>
              <w:rPr>
                <w:rFonts w:ascii="Calibri" w:hAnsi="Calibri"/>
                <w:color w:val="000000"/>
                <w:szCs w:val="22"/>
              </w:rPr>
            </w:pPr>
            <w:r>
              <w:rPr>
                <w:rFonts w:ascii="Calibri" w:hAnsi="Calibri"/>
                <w:color w:val="000000"/>
                <w:szCs w:val="22"/>
              </w:rPr>
              <w:t>0</w:t>
            </w:r>
          </w:p>
        </w:tc>
        <w:tc>
          <w:tcPr>
            <w:tcW w:w="1541" w:type="dxa"/>
            <w:tcBorders>
              <w:left w:val="single" w:sz="4" w:space="0" w:color="auto"/>
              <w:bottom w:val="nil"/>
            </w:tcBorders>
          </w:tcPr>
          <w:p w:rsidR="0060518B" w:rsidRPr="0060518B" w:rsidRDefault="0060518B" w:rsidP="00640542">
            <w:pPr>
              <w:jc w:val="center"/>
              <w:rPr>
                <w:rFonts w:ascii="Calibri" w:hAnsi="Calibri"/>
                <w:b/>
                <w:color w:val="000000"/>
                <w:szCs w:val="22"/>
                <w:lang w:val="en-US" w:eastAsia="es-ES"/>
              </w:rPr>
            </w:pPr>
            <w:r w:rsidRPr="0060518B">
              <w:rPr>
                <w:rFonts w:ascii="Calibri" w:hAnsi="Calibri"/>
                <w:b/>
                <w:color w:val="000000"/>
                <w:szCs w:val="22"/>
                <w:lang w:val="en-US" w:eastAsia="es-ES"/>
              </w:rPr>
              <w:t>-</w:t>
            </w:r>
          </w:p>
        </w:tc>
      </w:tr>
      <w:tr w:rsidR="00530125" w:rsidRPr="009C0F76" w:rsidTr="00530125">
        <w:trPr>
          <w:trHeight w:val="300"/>
        </w:trPr>
        <w:tc>
          <w:tcPr>
            <w:tcW w:w="2027" w:type="dxa"/>
            <w:tcBorders>
              <w:top w:val="nil"/>
              <w:bottom w:val="nil"/>
            </w:tcBorders>
            <w:noWrap/>
          </w:tcPr>
          <w:p w:rsidR="00530125" w:rsidRPr="006F79FA" w:rsidRDefault="00530125" w:rsidP="00544BDB">
            <w:pPr>
              <w:spacing w:before="120" w:after="120"/>
              <w:rPr>
                <w:b/>
                <w:color w:val="000000"/>
                <w:szCs w:val="22"/>
              </w:rPr>
            </w:pPr>
            <w:r>
              <w:rPr>
                <w:b/>
                <w:color w:val="000000"/>
                <w:szCs w:val="22"/>
              </w:rPr>
              <w:t>AAA</w:t>
            </w:r>
          </w:p>
        </w:tc>
        <w:tc>
          <w:tcPr>
            <w:tcW w:w="731" w:type="dxa"/>
            <w:tcBorders>
              <w:top w:val="nil"/>
              <w:bottom w:val="nil"/>
            </w:tcBorders>
            <w:noWrap/>
          </w:tcPr>
          <w:p w:rsidR="00530125" w:rsidRDefault="00530125" w:rsidP="00530125">
            <w:pPr>
              <w:jc w:val="center"/>
            </w:pPr>
            <w:r w:rsidRPr="005524E4">
              <w:rPr>
                <w:rFonts w:ascii="Calibri" w:hAnsi="Calibri"/>
                <w:color w:val="000000"/>
                <w:szCs w:val="22"/>
              </w:rPr>
              <w:t>0</w:t>
            </w:r>
          </w:p>
        </w:tc>
        <w:tc>
          <w:tcPr>
            <w:tcW w:w="732" w:type="dxa"/>
            <w:tcBorders>
              <w:top w:val="nil"/>
              <w:bottom w:val="nil"/>
            </w:tcBorders>
            <w:noWrap/>
          </w:tcPr>
          <w:p w:rsidR="00530125" w:rsidRDefault="00530125" w:rsidP="00530125">
            <w:pPr>
              <w:jc w:val="center"/>
            </w:pPr>
            <w:r w:rsidRPr="005524E4">
              <w:rPr>
                <w:rFonts w:ascii="Calibri" w:hAnsi="Calibri"/>
                <w:color w:val="000000"/>
                <w:szCs w:val="22"/>
              </w:rPr>
              <w:t>0</w:t>
            </w:r>
          </w:p>
        </w:tc>
        <w:tc>
          <w:tcPr>
            <w:tcW w:w="732" w:type="dxa"/>
            <w:tcBorders>
              <w:top w:val="nil"/>
              <w:bottom w:val="nil"/>
            </w:tcBorders>
            <w:noWrap/>
          </w:tcPr>
          <w:p w:rsidR="00530125" w:rsidRDefault="00530125" w:rsidP="00530125">
            <w:pPr>
              <w:jc w:val="center"/>
            </w:pPr>
            <w:r w:rsidRPr="005524E4">
              <w:rPr>
                <w:rFonts w:ascii="Calibri" w:hAnsi="Calibri"/>
                <w:color w:val="000000"/>
                <w:szCs w:val="22"/>
              </w:rPr>
              <w:t>0</w:t>
            </w:r>
          </w:p>
        </w:tc>
        <w:tc>
          <w:tcPr>
            <w:tcW w:w="732" w:type="dxa"/>
            <w:tcBorders>
              <w:top w:val="nil"/>
              <w:bottom w:val="nil"/>
            </w:tcBorders>
            <w:noWrap/>
          </w:tcPr>
          <w:p w:rsidR="00530125" w:rsidRDefault="00530125" w:rsidP="00530125">
            <w:pPr>
              <w:jc w:val="center"/>
            </w:pPr>
            <w:r w:rsidRPr="005524E4">
              <w:rPr>
                <w:rFonts w:ascii="Calibri" w:hAnsi="Calibri"/>
                <w:color w:val="000000"/>
                <w:szCs w:val="22"/>
              </w:rPr>
              <w:t>0</w:t>
            </w:r>
          </w:p>
        </w:tc>
        <w:tc>
          <w:tcPr>
            <w:tcW w:w="731" w:type="dxa"/>
            <w:tcBorders>
              <w:top w:val="nil"/>
              <w:bottom w:val="nil"/>
            </w:tcBorders>
            <w:noWrap/>
          </w:tcPr>
          <w:p w:rsidR="00530125" w:rsidRDefault="00530125" w:rsidP="00530125">
            <w:pPr>
              <w:jc w:val="center"/>
            </w:pPr>
            <w:r w:rsidRPr="005524E4">
              <w:rPr>
                <w:rFonts w:ascii="Calibri" w:hAnsi="Calibri"/>
                <w:color w:val="000000"/>
                <w:szCs w:val="22"/>
              </w:rPr>
              <w:t>0</w:t>
            </w:r>
          </w:p>
        </w:tc>
        <w:tc>
          <w:tcPr>
            <w:tcW w:w="732" w:type="dxa"/>
            <w:tcBorders>
              <w:top w:val="nil"/>
              <w:bottom w:val="nil"/>
            </w:tcBorders>
            <w:noWrap/>
          </w:tcPr>
          <w:p w:rsidR="00530125" w:rsidRDefault="00530125" w:rsidP="00530125">
            <w:pPr>
              <w:jc w:val="center"/>
            </w:pPr>
            <w:r w:rsidRPr="005524E4">
              <w:rPr>
                <w:rFonts w:ascii="Calibri" w:hAnsi="Calibri"/>
                <w:color w:val="000000"/>
                <w:szCs w:val="22"/>
              </w:rPr>
              <w:t>0</w:t>
            </w:r>
          </w:p>
        </w:tc>
        <w:tc>
          <w:tcPr>
            <w:tcW w:w="732" w:type="dxa"/>
            <w:tcBorders>
              <w:top w:val="nil"/>
              <w:bottom w:val="nil"/>
            </w:tcBorders>
          </w:tcPr>
          <w:p w:rsidR="00530125" w:rsidRDefault="00530125" w:rsidP="0060518B">
            <w:pPr>
              <w:jc w:val="center"/>
              <w:rPr>
                <w:rFonts w:ascii="Calibri" w:hAnsi="Calibri"/>
                <w:color w:val="000000"/>
                <w:szCs w:val="22"/>
              </w:rPr>
            </w:pPr>
            <w:r>
              <w:rPr>
                <w:rFonts w:ascii="Calibri" w:hAnsi="Calibri"/>
                <w:color w:val="000000"/>
                <w:szCs w:val="22"/>
              </w:rPr>
              <w:t>0</w:t>
            </w:r>
          </w:p>
        </w:tc>
        <w:tc>
          <w:tcPr>
            <w:tcW w:w="732" w:type="dxa"/>
            <w:tcBorders>
              <w:top w:val="nil"/>
              <w:bottom w:val="nil"/>
            </w:tcBorders>
          </w:tcPr>
          <w:p w:rsidR="00530125" w:rsidRDefault="00530125" w:rsidP="0060518B">
            <w:pPr>
              <w:jc w:val="center"/>
              <w:rPr>
                <w:rFonts w:ascii="Calibri" w:hAnsi="Calibri"/>
                <w:color w:val="000000"/>
                <w:szCs w:val="22"/>
              </w:rPr>
            </w:pPr>
            <w:r>
              <w:rPr>
                <w:rFonts w:ascii="Calibri" w:hAnsi="Calibri"/>
                <w:color w:val="000000"/>
                <w:szCs w:val="22"/>
              </w:rPr>
              <w:t>0</w:t>
            </w:r>
          </w:p>
        </w:tc>
        <w:tc>
          <w:tcPr>
            <w:tcW w:w="732" w:type="dxa"/>
            <w:tcBorders>
              <w:top w:val="nil"/>
              <w:bottom w:val="nil"/>
              <w:right w:val="single" w:sz="4" w:space="0" w:color="auto"/>
            </w:tcBorders>
          </w:tcPr>
          <w:p w:rsidR="00530125" w:rsidRDefault="00530125" w:rsidP="0060518B">
            <w:pPr>
              <w:jc w:val="center"/>
              <w:rPr>
                <w:rFonts w:ascii="Calibri" w:hAnsi="Calibri"/>
                <w:color w:val="000000"/>
                <w:szCs w:val="22"/>
              </w:rPr>
            </w:pPr>
            <w:r>
              <w:rPr>
                <w:rFonts w:ascii="Calibri" w:hAnsi="Calibri"/>
                <w:color w:val="000000"/>
                <w:szCs w:val="22"/>
              </w:rPr>
              <w:t>0</w:t>
            </w:r>
          </w:p>
        </w:tc>
        <w:tc>
          <w:tcPr>
            <w:tcW w:w="1541" w:type="dxa"/>
            <w:tcBorders>
              <w:top w:val="nil"/>
              <w:left w:val="single" w:sz="4" w:space="0" w:color="auto"/>
              <w:bottom w:val="nil"/>
            </w:tcBorders>
          </w:tcPr>
          <w:p w:rsidR="00530125" w:rsidRDefault="00530125" w:rsidP="00640542">
            <w:pPr>
              <w:jc w:val="center"/>
              <w:rPr>
                <w:rFonts w:ascii="Calibri" w:hAnsi="Calibri"/>
                <w:b/>
                <w:bCs/>
                <w:color w:val="000000"/>
                <w:szCs w:val="22"/>
              </w:rPr>
            </w:pPr>
            <w:r>
              <w:rPr>
                <w:rFonts w:ascii="Calibri" w:hAnsi="Calibri"/>
                <w:b/>
                <w:bCs/>
                <w:color w:val="000000"/>
                <w:szCs w:val="22"/>
              </w:rPr>
              <w:t>-</w:t>
            </w:r>
          </w:p>
        </w:tc>
      </w:tr>
      <w:tr w:rsidR="00530125" w:rsidRPr="009C0F76" w:rsidTr="00640542">
        <w:trPr>
          <w:trHeight w:val="300"/>
        </w:trPr>
        <w:tc>
          <w:tcPr>
            <w:tcW w:w="2027" w:type="dxa"/>
            <w:tcBorders>
              <w:top w:val="nil"/>
              <w:bottom w:val="nil"/>
            </w:tcBorders>
            <w:noWrap/>
          </w:tcPr>
          <w:p w:rsidR="00530125" w:rsidRPr="006F79FA" w:rsidRDefault="00530125" w:rsidP="00544BDB">
            <w:pPr>
              <w:spacing w:before="120" w:after="120"/>
              <w:rPr>
                <w:b/>
                <w:color w:val="000000"/>
                <w:szCs w:val="22"/>
              </w:rPr>
            </w:pPr>
            <w:r>
              <w:rPr>
                <w:b/>
                <w:color w:val="000000"/>
                <w:szCs w:val="22"/>
              </w:rPr>
              <w:t>AA</w:t>
            </w:r>
          </w:p>
        </w:tc>
        <w:tc>
          <w:tcPr>
            <w:tcW w:w="731" w:type="dxa"/>
            <w:tcBorders>
              <w:top w:val="nil"/>
              <w:bottom w:val="nil"/>
            </w:tcBorders>
            <w:noWrap/>
          </w:tcPr>
          <w:p w:rsidR="00530125" w:rsidRDefault="00530125" w:rsidP="00E91181">
            <w:pPr>
              <w:jc w:val="center"/>
              <w:rPr>
                <w:rFonts w:ascii="Calibri" w:hAnsi="Calibri"/>
                <w:color w:val="000000"/>
                <w:szCs w:val="22"/>
              </w:rPr>
            </w:pPr>
            <w:r>
              <w:rPr>
                <w:rFonts w:ascii="Calibri" w:hAnsi="Calibri"/>
                <w:color w:val="000000"/>
                <w:szCs w:val="22"/>
              </w:rPr>
              <w:t>0</w:t>
            </w:r>
          </w:p>
        </w:tc>
        <w:tc>
          <w:tcPr>
            <w:tcW w:w="732" w:type="dxa"/>
            <w:tcBorders>
              <w:top w:val="nil"/>
              <w:bottom w:val="nil"/>
            </w:tcBorders>
            <w:noWrap/>
          </w:tcPr>
          <w:p w:rsidR="00530125" w:rsidRDefault="00530125" w:rsidP="00E91181">
            <w:pPr>
              <w:jc w:val="center"/>
              <w:rPr>
                <w:rFonts w:ascii="Calibri" w:hAnsi="Calibri"/>
                <w:color w:val="000000"/>
                <w:szCs w:val="22"/>
              </w:rPr>
            </w:pPr>
            <w:r>
              <w:rPr>
                <w:rFonts w:ascii="Calibri" w:hAnsi="Calibri"/>
                <w:color w:val="000000"/>
                <w:szCs w:val="22"/>
              </w:rPr>
              <w:t>2</w:t>
            </w:r>
          </w:p>
        </w:tc>
        <w:tc>
          <w:tcPr>
            <w:tcW w:w="732" w:type="dxa"/>
            <w:tcBorders>
              <w:top w:val="nil"/>
              <w:bottom w:val="nil"/>
            </w:tcBorders>
            <w:noWrap/>
          </w:tcPr>
          <w:p w:rsidR="00530125" w:rsidRDefault="00530125" w:rsidP="00E91181">
            <w:pPr>
              <w:jc w:val="center"/>
              <w:rPr>
                <w:rFonts w:ascii="Calibri" w:hAnsi="Calibri"/>
                <w:color w:val="000000"/>
                <w:szCs w:val="22"/>
              </w:rPr>
            </w:pPr>
            <w:r>
              <w:rPr>
                <w:rFonts w:ascii="Calibri" w:hAnsi="Calibri"/>
                <w:color w:val="000000"/>
                <w:szCs w:val="22"/>
              </w:rPr>
              <w:t>0</w:t>
            </w:r>
          </w:p>
        </w:tc>
        <w:tc>
          <w:tcPr>
            <w:tcW w:w="732" w:type="dxa"/>
            <w:tcBorders>
              <w:top w:val="nil"/>
              <w:bottom w:val="nil"/>
            </w:tcBorders>
            <w:noWrap/>
          </w:tcPr>
          <w:p w:rsidR="00530125" w:rsidRDefault="00530125" w:rsidP="00E91181">
            <w:pPr>
              <w:jc w:val="center"/>
              <w:rPr>
                <w:rFonts w:ascii="Calibri" w:hAnsi="Calibri"/>
                <w:color w:val="000000"/>
                <w:szCs w:val="22"/>
              </w:rPr>
            </w:pPr>
            <w:r>
              <w:rPr>
                <w:rFonts w:ascii="Calibri" w:hAnsi="Calibri"/>
                <w:color w:val="000000"/>
                <w:szCs w:val="22"/>
              </w:rPr>
              <w:t>0</w:t>
            </w:r>
          </w:p>
        </w:tc>
        <w:tc>
          <w:tcPr>
            <w:tcW w:w="731" w:type="dxa"/>
            <w:tcBorders>
              <w:top w:val="nil"/>
              <w:bottom w:val="nil"/>
            </w:tcBorders>
            <w:noWrap/>
          </w:tcPr>
          <w:p w:rsidR="00530125" w:rsidRDefault="00530125" w:rsidP="00E91181">
            <w:pPr>
              <w:jc w:val="center"/>
              <w:rPr>
                <w:rFonts w:ascii="Calibri" w:hAnsi="Calibri"/>
                <w:color w:val="000000"/>
                <w:szCs w:val="22"/>
              </w:rPr>
            </w:pPr>
            <w:r>
              <w:rPr>
                <w:rFonts w:ascii="Calibri" w:hAnsi="Calibri"/>
                <w:color w:val="000000"/>
                <w:szCs w:val="22"/>
              </w:rPr>
              <w:t>0</w:t>
            </w:r>
          </w:p>
        </w:tc>
        <w:tc>
          <w:tcPr>
            <w:tcW w:w="732" w:type="dxa"/>
            <w:tcBorders>
              <w:top w:val="nil"/>
              <w:bottom w:val="nil"/>
            </w:tcBorders>
            <w:noWrap/>
          </w:tcPr>
          <w:p w:rsidR="00530125" w:rsidRDefault="00530125" w:rsidP="00E91181">
            <w:pPr>
              <w:jc w:val="center"/>
              <w:rPr>
                <w:rFonts w:ascii="Calibri" w:hAnsi="Calibri"/>
                <w:color w:val="000000"/>
                <w:szCs w:val="22"/>
              </w:rPr>
            </w:pPr>
            <w:r>
              <w:rPr>
                <w:rFonts w:ascii="Calibri" w:hAnsi="Calibri"/>
                <w:color w:val="000000"/>
                <w:szCs w:val="22"/>
              </w:rPr>
              <w:t>0</w:t>
            </w:r>
          </w:p>
        </w:tc>
        <w:tc>
          <w:tcPr>
            <w:tcW w:w="732" w:type="dxa"/>
            <w:tcBorders>
              <w:top w:val="nil"/>
              <w:bottom w:val="nil"/>
            </w:tcBorders>
          </w:tcPr>
          <w:p w:rsidR="00530125" w:rsidRDefault="00530125" w:rsidP="0060518B">
            <w:pPr>
              <w:jc w:val="center"/>
              <w:rPr>
                <w:rFonts w:ascii="Calibri" w:hAnsi="Calibri"/>
                <w:color w:val="000000"/>
                <w:szCs w:val="22"/>
              </w:rPr>
            </w:pPr>
            <w:r>
              <w:rPr>
                <w:rFonts w:ascii="Calibri" w:hAnsi="Calibri"/>
                <w:color w:val="000000"/>
                <w:szCs w:val="22"/>
              </w:rPr>
              <w:t>0</w:t>
            </w:r>
          </w:p>
        </w:tc>
        <w:tc>
          <w:tcPr>
            <w:tcW w:w="732" w:type="dxa"/>
            <w:tcBorders>
              <w:top w:val="nil"/>
              <w:bottom w:val="nil"/>
            </w:tcBorders>
          </w:tcPr>
          <w:p w:rsidR="00530125" w:rsidRDefault="00530125" w:rsidP="0060518B">
            <w:pPr>
              <w:jc w:val="center"/>
              <w:rPr>
                <w:rFonts w:ascii="Calibri" w:hAnsi="Calibri"/>
                <w:color w:val="000000"/>
                <w:szCs w:val="22"/>
              </w:rPr>
            </w:pPr>
            <w:r>
              <w:rPr>
                <w:rFonts w:ascii="Calibri" w:hAnsi="Calibri"/>
                <w:color w:val="000000"/>
                <w:szCs w:val="22"/>
              </w:rPr>
              <w:t>0</w:t>
            </w:r>
          </w:p>
        </w:tc>
        <w:tc>
          <w:tcPr>
            <w:tcW w:w="732" w:type="dxa"/>
            <w:tcBorders>
              <w:top w:val="nil"/>
              <w:bottom w:val="nil"/>
              <w:right w:val="single" w:sz="4" w:space="0" w:color="auto"/>
            </w:tcBorders>
          </w:tcPr>
          <w:p w:rsidR="00530125" w:rsidRDefault="00530125" w:rsidP="0060518B">
            <w:pPr>
              <w:jc w:val="center"/>
              <w:rPr>
                <w:rFonts w:ascii="Calibri" w:hAnsi="Calibri"/>
                <w:color w:val="000000"/>
                <w:szCs w:val="22"/>
              </w:rPr>
            </w:pPr>
            <w:r>
              <w:rPr>
                <w:rFonts w:ascii="Calibri" w:hAnsi="Calibri"/>
                <w:color w:val="000000"/>
                <w:szCs w:val="22"/>
              </w:rPr>
              <w:t>0</w:t>
            </w:r>
          </w:p>
        </w:tc>
        <w:tc>
          <w:tcPr>
            <w:tcW w:w="1541" w:type="dxa"/>
            <w:tcBorders>
              <w:top w:val="nil"/>
              <w:left w:val="single" w:sz="4" w:space="0" w:color="auto"/>
              <w:bottom w:val="nil"/>
            </w:tcBorders>
          </w:tcPr>
          <w:p w:rsidR="00530125" w:rsidRDefault="00530125" w:rsidP="00640542">
            <w:pPr>
              <w:jc w:val="center"/>
              <w:rPr>
                <w:rFonts w:ascii="Calibri" w:hAnsi="Calibri"/>
                <w:b/>
                <w:bCs/>
                <w:color w:val="000000"/>
                <w:szCs w:val="22"/>
              </w:rPr>
            </w:pPr>
            <w:r>
              <w:rPr>
                <w:rFonts w:ascii="Calibri" w:hAnsi="Calibri"/>
                <w:b/>
                <w:bCs/>
                <w:color w:val="000000"/>
                <w:szCs w:val="22"/>
              </w:rPr>
              <w:t>0.10</w:t>
            </w:r>
          </w:p>
        </w:tc>
      </w:tr>
      <w:tr w:rsidR="00530125" w:rsidRPr="009C0F76" w:rsidTr="00640542">
        <w:trPr>
          <w:trHeight w:val="300"/>
        </w:trPr>
        <w:tc>
          <w:tcPr>
            <w:tcW w:w="2027" w:type="dxa"/>
            <w:tcBorders>
              <w:top w:val="nil"/>
              <w:bottom w:val="nil"/>
            </w:tcBorders>
            <w:noWrap/>
          </w:tcPr>
          <w:p w:rsidR="00530125" w:rsidRPr="006F79FA" w:rsidRDefault="00530125" w:rsidP="00544BDB">
            <w:pPr>
              <w:spacing w:before="120" w:after="120"/>
              <w:rPr>
                <w:b/>
                <w:color w:val="000000"/>
                <w:szCs w:val="22"/>
              </w:rPr>
            </w:pPr>
            <w:r w:rsidRPr="006F79FA">
              <w:rPr>
                <w:b/>
                <w:color w:val="000000"/>
                <w:szCs w:val="22"/>
              </w:rPr>
              <w:t>A</w:t>
            </w:r>
          </w:p>
        </w:tc>
        <w:tc>
          <w:tcPr>
            <w:tcW w:w="731" w:type="dxa"/>
            <w:tcBorders>
              <w:top w:val="nil"/>
              <w:bottom w:val="nil"/>
            </w:tcBorders>
            <w:noWrap/>
          </w:tcPr>
          <w:p w:rsidR="00530125" w:rsidRDefault="00530125" w:rsidP="00E91181">
            <w:pPr>
              <w:jc w:val="center"/>
              <w:rPr>
                <w:rFonts w:ascii="Calibri" w:hAnsi="Calibri"/>
                <w:color w:val="000000"/>
                <w:szCs w:val="22"/>
              </w:rPr>
            </w:pPr>
            <w:r>
              <w:rPr>
                <w:rFonts w:ascii="Calibri" w:hAnsi="Calibri"/>
                <w:color w:val="000000"/>
                <w:szCs w:val="22"/>
              </w:rPr>
              <w:t>0</w:t>
            </w:r>
          </w:p>
        </w:tc>
        <w:tc>
          <w:tcPr>
            <w:tcW w:w="732" w:type="dxa"/>
            <w:tcBorders>
              <w:top w:val="nil"/>
              <w:bottom w:val="nil"/>
            </w:tcBorders>
            <w:noWrap/>
          </w:tcPr>
          <w:p w:rsidR="00530125" w:rsidRDefault="00530125" w:rsidP="00E91181">
            <w:pPr>
              <w:jc w:val="center"/>
              <w:rPr>
                <w:rFonts w:ascii="Calibri" w:hAnsi="Calibri"/>
                <w:color w:val="000000"/>
                <w:szCs w:val="22"/>
              </w:rPr>
            </w:pPr>
            <w:r>
              <w:rPr>
                <w:rFonts w:ascii="Calibri" w:hAnsi="Calibri"/>
                <w:color w:val="000000"/>
                <w:szCs w:val="22"/>
              </w:rPr>
              <w:t>14</w:t>
            </w:r>
          </w:p>
        </w:tc>
        <w:tc>
          <w:tcPr>
            <w:tcW w:w="732" w:type="dxa"/>
            <w:tcBorders>
              <w:top w:val="nil"/>
              <w:bottom w:val="nil"/>
            </w:tcBorders>
            <w:noWrap/>
          </w:tcPr>
          <w:p w:rsidR="00530125" w:rsidRDefault="00530125" w:rsidP="00E91181">
            <w:pPr>
              <w:jc w:val="center"/>
              <w:rPr>
                <w:rFonts w:ascii="Calibri" w:hAnsi="Calibri"/>
                <w:color w:val="000000"/>
                <w:szCs w:val="22"/>
              </w:rPr>
            </w:pPr>
            <w:r>
              <w:rPr>
                <w:rFonts w:ascii="Calibri" w:hAnsi="Calibri"/>
                <w:color w:val="000000"/>
                <w:szCs w:val="22"/>
              </w:rPr>
              <w:t>37</w:t>
            </w:r>
          </w:p>
        </w:tc>
        <w:tc>
          <w:tcPr>
            <w:tcW w:w="732" w:type="dxa"/>
            <w:tcBorders>
              <w:top w:val="nil"/>
              <w:bottom w:val="nil"/>
            </w:tcBorders>
            <w:noWrap/>
          </w:tcPr>
          <w:p w:rsidR="00530125" w:rsidRDefault="00530125" w:rsidP="00E91181">
            <w:pPr>
              <w:jc w:val="center"/>
              <w:rPr>
                <w:rFonts w:ascii="Calibri" w:hAnsi="Calibri"/>
                <w:color w:val="000000"/>
                <w:szCs w:val="22"/>
              </w:rPr>
            </w:pPr>
            <w:r>
              <w:rPr>
                <w:rFonts w:ascii="Calibri" w:hAnsi="Calibri"/>
                <w:color w:val="000000"/>
                <w:szCs w:val="22"/>
              </w:rPr>
              <w:t>6</w:t>
            </w:r>
          </w:p>
        </w:tc>
        <w:tc>
          <w:tcPr>
            <w:tcW w:w="731" w:type="dxa"/>
            <w:tcBorders>
              <w:top w:val="nil"/>
              <w:bottom w:val="nil"/>
            </w:tcBorders>
            <w:noWrap/>
          </w:tcPr>
          <w:p w:rsidR="00530125" w:rsidRDefault="00530125" w:rsidP="00E91181">
            <w:pPr>
              <w:jc w:val="center"/>
              <w:rPr>
                <w:rFonts w:ascii="Calibri" w:hAnsi="Calibri"/>
                <w:color w:val="000000"/>
                <w:szCs w:val="22"/>
              </w:rPr>
            </w:pPr>
            <w:r>
              <w:rPr>
                <w:rFonts w:ascii="Calibri" w:hAnsi="Calibri"/>
                <w:color w:val="000000"/>
                <w:szCs w:val="22"/>
              </w:rPr>
              <w:t>0</w:t>
            </w:r>
          </w:p>
        </w:tc>
        <w:tc>
          <w:tcPr>
            <w:tcW w:w="732" w:type="dxa"/>
            <w:tcBorders>
              <w:top w:val="nil"/>
              <w:bottom w:val="nil"/>
            </w:tcBorders>
            <w:noWrap/>
          </w:tcPr>
          <w:p w:rsidR="00530125" w:rsidRDefault="00530125" w:rsidP="00E91181">
            <w:pPr>
              <w:jc w:val="center"/>
              <w:rPr>
                <w:rFonts w:ascii="Calibri" w:hAnsi="Calibri"/>
                <w:color w:val="000000"/>
                <w:szCs w:val="22"/>
              </w:rPr>
            </w:pPr>
            <w:r>
              <w:rPr>
                <w:rFonts w:ascii="Calibri" w:hAnsi="Calibri"/>
                <w:color w:val="000000"/>
                <w:szCs w:val="22"/>
              </w:rPr>
              <w:t>0</w:t>
            </w:r>
          </w:p>
        </w:tc>
        <w:tc>
          <w:tcPr>
            <w:tcW w:w="732" w:type="dxa"/>
            <w:tcBorders>
              <w:top w:val="nil"/>
              <w:bottom w:val="nil"/>
            </w:tcBorders>
          </w:tcPr>
          <w:p w:rsidR="00530125" w:rsidRDefault="00530125" w:rsidP="0060518B">
            <w:pPr>
              <w:jc w:val="center"/>
              <w:rPr>
                <w:rFonts w:ascii="Calibri" w:hAnsi="Calibri"/>
                <w:color w:val="000000"/>
                <w:szCs w:val="22"/>
              </w:rPr>
            </w:pPr>
            <w:r>
              <w:rPr>
                <w:rFonts w:ascii="Calibri" w:hAnsi="Calibri"/>
                <w:color w:val="000000"/>
                <w:szCs w:val="22"/>
              </w:rPr>
              <w:t>0</w:t>
            </w:r>
          </w:p>
        </w:tc>
        <w:tc>
          <w:tcPr>
            <w:tcW w:w="732" w:type="dxa"/>
            <w:tcBorders>
              <w:top w:val="nil"/>
              <w:bottom w:val="nil"/>
            </w:tcBorders>
          </w:tcPr>
          <w:p w:rsidR="00530125" w:rsidRDefault="00530125" w:rsidP="0060518B">
            <w:pPr>
              <w:jc w:val="center"/>
              <w:rPr>
                <w:rFonts w:ascii="Calibri" w:hAnsi="Calibri"/>
                <w:color w:val="000000"/>
                <w:szCs w:val="22"/>
              </w:rPr>
            </w:pPr>
            <w:r>
              <w:rPr>
                <w:rFonts w:ascii="Calibri" w:hAnsi="Calibri"/>
                <w:color w:val="000000"/>
                <w:szCs w:val="22"/>
              </w:rPr>
              <w:t>0</w:t>
            </w:r>
          </w:p>
        </w:tc>
        <w:tc>
          <w:tcPr>
            <w:tcW w:w="732" w:type="dxa"/>
            <w:tcBorders>
              <w:top w:val="nil"/>
              <w:bottom w:val="nil"/>
              <w:right w:val="single" w:sz="4" w:space="0" w:color="auto"/>
            </w:tcBorders>
          </w:tcPr>
          <w:p w:rsidR="00530125" w:rsidRDefault="00530125" w:rsidP="0060518B">
            <w:pPr>
              <w:jc w:val="center"/>
              <w:rPr>
                <w:rFonts w:ascii="Calibri" w:hAnsi="Calibri"/>
                <w:color w:val="000000"/>
                <w:szCs w:val="22"/>
              </w:rPr>
            </w:pPr>
            <w:r>
              <w:rPr>
                <w:rFonts w:ascii="Calibri" w:hAnsi="Calibri"/>
                <w:color w:val="000000"/>
                <w:szCs w:val="22"/>
              </w:rPr>
              <w:t>0</w:t>
            </w:r>
          </w:p>
        </w:tc>
        <w:tc>
          <w:tcPr>
            <w:tcW w:w="1541" w:type="dxa"/>
            <w:tcBorders>
              <w:top w:val="nil"/>
              <w:left w:val="single" w:sz="4" w:space="0" w:color="auto"/>
              <w:bottom w:val="nil"/>
            </w:tcBorders>
          </w:tcPr>
          <w:p w:rsidR="00530125" w:rsidRDefault="00530125" w:rsidP="00640542">
            <w:pPr>
              <w:jc w:val="center"/>
              <w:rPr>
                <w:rFonts w:ascii="Calibri" w:hAnsi="Calibri"/>
                <w:b/>
                <w:bCs/>
                <w:color w:val="000000"/>
                <w:szCs w:val="22"/>
              </w:rPr>
            </w:pPr>
            <w:r>
              <w:rPr>
                <w:rFonts w:ascii="Calibri" w:hAnsi="Calibri"/>
                <w:b/>
                <w:bCs/>
                <w:color w:val="000000"/>
                <w:szCs w:val="22"/>
              </w:rPr>
              <w:t>0.29</w:t>
            </w:r>
          </w:p>
        </w:tc>
      </w:tr>
      <w:tr w:rsidR="00530125" w:rsidRPr="009C0F76" w:rsidTr="00640542">
        <w:trPr>
          <w:trHeight w:val="300"/>
        </w:trPr>
        <w:tc>
          <w:tcPr>
            <w:tcW w:w="2027" w:type="dxa"/>
            <w:tcBorders>
              <w:top w:val="nil"/>
              <w:bottom w:val="nil"/>
            </w:tcBorders>
            <w:noWrap/>
          </w:tcPr>
          <w:p w:rsidR="00530125" w:rsidRPr="006F79FA" w:rsidRDefault="00530125" w:rsidP="00544BDB">
            <w:pPr>
              <w:spacing w:before="120" w:after="120"/>
              <w:rPr>
                <w:b/>
                <w:color w:val="000000"/>
                <w:szCs w:val="22"/>
              </w:rPr>
            </w:pPr>
            <w:r w:rsidRPr="006F79FA">
              <w:rPr>
                <w:b/>
                <w:color w:val="000000"/>
                <w:szCs w:val="22"/>
              </w:rPr>
              <w:t>BBB</w:t>
            </w:r>
          </w:p>
        </w:tc>
        <w:tc>
          <w:tcPr>
            <w:tcW w:w="731" w:type="dxa"/>
            <w:tcBorders>
              <w:top w:val="nil"/>
              <w:bottom w:val="nil"/>
            </w:tcBorders>
            <w:noWrap/>
          </w:tcPr>
          <w:p w:rsidR="00530125" w:rsidRDefault="00530125" w:rsidP="00E91181">
            <w:pPr>
              <w:jc w:val="center"/>
              <w:rPr>
                <w:rFonts w:ascii="Calibri" w:hAnsi="Calibri"/>
                <w:color w:val="000000"/>
                <w:szCs w:val="22"/>
              </w:rPr>
            </w:pPr>
            <w:r>
              <w:rPr>
                <w:rFonts w:ascii="Calibri" w:hAnsi="Calibri"/>
                <w:color w:val="000000"/>
                <w:szCs w:val="22"/>
              </w:rPr>
              <w:t>2</w:t>
            </w:r>
          </w:p>
        </w:tc>
        <w:tc>
          <w:tcPr>
            <w:tcW w:w="732" w:type="dxa"/>
            <w:tcBorders>
              <w:top w:val="nil"/>
              <w:bottom w:val="nil"/>
            </w:tcBorders>
            <w:noWrap/>
          </w:tcPr>
          <w:p w:rsidR="00530125" w:rsidRDefault="00530125" w:rsidP="00E91181">
            <w:pPr>
              <w:jc w:val="center"/>
              <w:rPr>
                <w:rFonts w:ascii="Calibri" w:hAnsi="Calibri"/>
                <w:color w:val="000000"/>
                <w:szCs w:val="22"/>
              </w:rPr>
            </w:pPr>
            <w:r>
              <w:rPr>
                <w:rFonts w:ascii="Calibri" w:hAnsi="Calibri"/>
                <w:color w:val="000000"/>
                <w:szCs w:val="22"/>
              </w:rPr>
              <w:t>13</w:t>
            </w:r>
          </w:p>
        </w:tc>
        <w:tc>
          <w:tcPr>
            <w:tcW w:w="732" w:type="dxa"/>
            <w:tcBorders>
              <w:top w:val="nil"/>
              <w:bottom w:val="nil"/>
            </w:tcBorders>
            <w:noWrap/>
          </w:tcPr>
          <w:p w:rsidR="00530125" w:rsidRDefault="00530125" w:rsidP="00E91181">
            <w:pPr>
              <w:jc w:val="center"/>
              <w:rPr>
                <w:rFonts w:ascii="Calibri" w:hAnsi="Calibri"/>
                <w:color w:val="000000"/>
                <w:szCs w:val="22"/>
              </w:rPr>
            </w:pPr>
            <w:r>
              <w:rPr>
                <w:rFonts w:ascii="Calibri" w:hAnsi="Calibri"/>
                <w:color w:val="000000"/>
                <w:szCs w:val="22"/>
              </w:rPr>
              <w:t>53</w:t>
            </w:r>
          </w:p>
        </w:tc>
        <w:tc>
          <w:tcPr>
            <w:tcW w:w="732" w:type="dxa"/>
            <w:tcBorders>
              <w:top w:val="nil"/>
              <w:bottom w:val="nil"/>
            </w:tcBorders>
            <w:noWrap/>
          </w:tcPr>
          <w:p w:rsidR="00530125" w:rsidRDefault="00530125" w:rsidP="00E91181">
            <w:pPr>
              <w:jc w:val="center"/>
              <w:rPr>
                <w:rFonts w:ascii="Calibri" w:hAnsi="Calibri"/>
                <w:color w:val="000000"/>
                <w:szCs w:val="22"/>
              </w:rPr>
            </w:pPr>
            <w:r>
              <w:rPr>
                <w:rFonts w:ascii="Calibri" w:hAnsi="Calibri"/>
                <w:color w:val="000000"/>
                <w:szCs w:val="22"/>
              </w:rPr>
              <w:t>54</w:t>
            </w:r>
          </w:p>
        </w:tc>
        <w:tc>
          <w:tcPr>
            <w:tcW w:w="731" w:type="dxa"/>
            <w:tcBorders>
              <w:top w:val="nil"/>
              <w:bottom w:val="nil"/>
            </w:tcBorders>
            <w:noWrap/>
          </w:tcPr>
          <w:p w:rsidR="00530125" w:rsidRDefault="00530125" w:rsidP="00E91181">
            <w:pPr>
              <w:jc w:val="center"/>
              <w:rPr>
                <w:rFonts w:ascii="Calibri" w:hAnsi="Calibri"/>
                <w:color w:val="000000"/>
                <w:szCs w:val="22"/>
              </w:rPr>
            </w:pPr>
            <w:r>
              <w:rPr>
                <w:rFonts w:ascii="Calibri" w:hAnsi="Calibri"/>
                <w:color w:val="000000"/>
                <w:szCs w:val="22"/>
              </w:rPr>
              <w:t>11</w:t>
            </w:r>
          </w:p>
        </w:tc>
        <w:tc>
          <w:tcPr>
            <w:tcW w:w="732" w:type="dxa"/>
            <w:tcBorders>
              <w:top w:val="nil"/>
              <w:bottom w:val="nil"/>
            </w:tcBorders>
            <w:noWrap/>
          </w:tcPr>
          <w:p w:rsidR="00530125" w:rsidRDefault="00530125" w:rsidP="00E91181">
            <w:pPr>
              <w:jc w:val="center"/>
              <w:rPr>
                <w:rFonts w:ascii="Calibri" w:hAnsi="Calibri"/>
                <w:color w:val="000000"/>
                <w:szCs w:val="22"/>
              </w:rPr>
            </w:pPr>
            <w:r>
              <w:rPr>
                <w:rFonts w:ascii="Calibri" w:hAnsi="Calibri"/>
                <w:color w:val="000000"/>
                <w:szCs w:val="22"/>
              </w:rPr>
              <w:t>1</w:t>
            </w:r>
          </w:p>
        </w:tc>
        <w:tc>
          <w:tcPr>
            <w:tcW w:w="732" w:type="dxa"/>
            <w:tcBorders>
              <w:top w:val="nil"/>
              <w:bottom w:val="nil"/>
            </w:tcBorders>
          </w:tcPr>
          <w:p w:rsidR="00530125" w:rsidRDefault="00530125" w:rsidP="0060518B">
            <w:pPr>
              <w:jc w:val="center"/>
              <w:rPr>
                <w:rFonts w:ascii="Calibri" w:hAnsi="Calibri"/>
                <w:color w:val="000000"/>
                <w:szCs w:val="22"/>
              </w:rPr>
            </w:pPr>
            <w:r>
              <w:rPr>
                <w:rFonts w:ascii="Calibri" w:hAnsi="Calibri"/>
                <w:color w:val="000000"/>
                <w:szCs w:val="22"/>
              </w:rPr>
              <w:t>0</w:t>
            </w:r>
          </w:p>
        </w:tc>
        <w:tc>
          <w:tcPr>
            <w:tcW w:w="732" w:type="dxa"/>
            <w:tcBorders>
              <w:top w:val="nil"/>
              <w:bottom w:val="nil"/>
            </w:tcBorders>
          </w:tcPr>
          <w:p w:rsidR="00530125" w:rsidRDefault="00530125" w:rsidP="0060518B">
            <w:pPr>
              <w:jc w:val="center"/>
              <w:rPr>
                <w:rFonts w:ascii="Calibri" w:hAnsi="Calibri"/>
                <w:color w:val="000000"/>
                <w:szCs w:val="22"/>
              </w:rPr>
            </w:pPr>
            <w:r>
              <w:rPr>
                <w:rFonts w:ascii="Calibri" w:hAnsi="Calibri"/>
                <w:color w:val="000000"/>
                <w:szCs w:val="22"/>
              </w:rPr>
              <w:t>0</w:t>
            </w:r>
          </w:p>
        </w:tc>
        <w:tc>
          <w:tcPr>
            <w:tcW w:w="732" w:type="dxa"/>
            <w:tcBorders>
              <w:top w:val="nil"/>
              <w:bottom w:val="nil"/>
              <w:right w:val="single" w:sz="4" w:space="0" w:color="auto"/>
            </w:tcBorders>
          </w:tcPr>
          <w:p w:rsidR="00530125" w:rsidRDefault="00530125" w:rsidP="0060518B">
            <w:pPr>
              <w:jc w:val="center"/>
              <w:rPr>
                <w:rFonts w:ascii="Calibri" w:hAnsi="Calibri"/>
                <w:color w:val="000000"/>
                <w:szCs w:val="22"/>
              </w:rPr>
            </w:pPr>
            <w:r>
              <w:rPr>
                <w:rFonts w:ascii="Calibri" w:hAnsi="Calibri"/>
                <w:color w:val="000000"/>
                <w:szCs w:val="22"/>
              </w:rPr>
              <w:t>0</w:t>
            </w:r>
          </w:p>
        </w:tc>
        <w:tc>
          <w:tcPr>
            <w:tcW w:w="1541" w:type="dxa"/>
            <w:tcBorders>
              <w:top w:val="nil"/>
              <w:left w:val="single" w:sz="4" w:space="0" w:color="auto"/>
              <w:bottom w:val="nil"/>
            </w:tcBorders>
          </w:tcPr>
          <w:p w:rsidR="00530125" w:rsidRDefault="00530125" w:rsidP="00640542">
            <w:pPr>
              <w:jc w:val="center"/>
              <w:rPr>
                <w:rFonts w:ascii="Calibri" w:hAnsi="Calibri"/>
                <w:b/>
                <w:bCs/>
                <w:color w:val="000000"/>
                <w:szCs w:val="22"/>
              </w:rPr>
            </w:pPr>
            <w:r>
              <w:rPr>
                <w:rFonts w:ascii="Calibri" w:hAnsi="Calibri"/>
                <w:b/>
                <w:bCs/>
                <w:color w:val="000000"/>
                <w:szCs w:val="22"/>
              </w:rPr>
              <w:t>1.28</w:t>
            </w:r>
          </w:p>
        </w:tc>
      </w:tr>
      <w:tr w:rsidR="00530125" w:rsidRPr="009C0F76" w:rsidTr="00640542">
        <w:trPr>
          <w:trHeight w:val="300"/>
        </w:trPr>
        <w:tc>
          <w:tcPr>
            <w:tcW w:w="2027" w:type="dxa"/>
            <w:tcBorders>
              <w:top w:val="nil"/>
              <w:bottom w:val="nil"/>
            </w:tcBorders>
            <w:noWrap/>
          </w:tcPr>
          <w:p w:rsidR="00530125" w:rsidRPr="006F79FA" w:rsidRDefault="00530125" w:rsidP="00544BDB">
            <w:pPr>
              <w:spacing w:before="120" w:after="120"/>
              <w:rPr>
                <w:b/>
                <w:color w:val="000000"/>
                <w:szCs w:val="22"/>
              </w:rPr>
            </w:pPr>
            <w:r w:rsidRPr="006F79FA">
              <w:rPr>
                <w:b/>
                <w:color w:val="000000"/>
                <w:szCs w:val="22"/>
              </w:rPr>
              <w:t>BB</w:t>
            </w:r>
          </w:p>
        </w:tc>
        <w:tc>
          <w:tcPr>
            <w:tcW w:w="731" w:type="dxa"/>
            <w:tcBorders>
              <w:top w:val="nil"/>
              <w:bottom w:val="nil"/>
            </w:tcBorders>
            <w:noWrap/>
          </w:tcPr>
          <w:p w:rsidR="00530125" w:rsidRDefault="00530125" w:rsidP="00E91181">
            <w:pPr>
              <w:jc w:val="center"/>
              <w:rPr>
                <w:rFonts w:ascii="Calibri" w:hAnsi="Calibri"/>
                <w:color w:val="000000"/>
                <w:szCs w:val="22"/>
              </w:rPr>
            </w:pPr>
            <w:r>
              <w:rPr>
                <w:rFonts w:ascii="Calibri" w:hAnsi="Calibri"/>
                <w:color w:val="000000"/>
                <w:szCs w:val="22"/>
              </w:rPr>
              <w:t>0</w:t>
            </w:r>
          </w:p>
        </w:tc>
        <w:tc>
          <w:tcPr>
            <w:tcW w:w="732" w:type="dxa"/>
            <w:tcBorders>
              <w:top w:val="nil"/>
              <w:bottom w:val="nil"/>
            </w:tcBorders>
            <w:noWrap/>
          </w:tcPr>
          <w:p w:rsidR="00530125" w:rsidRDefault="00530125" w:rsidP="00E91181">
            <w:pPr>
              <w:jc w:val="center"/>
              <w:rPr>
                <w:rFonts w:ascii="Calibri" w:hAnsi="Calibri"/>
                <w:color w:val="000000"/>
                <w:szCs w:val="22"/>
              </w:rPr>
            </w:pPr>
            <w:r>
              <w:rPr>
                <w:rFonts w:ascii="Calibri" w:hAnsi="Calibri"/>
                <w:color w:val="000000"/>
                <w:szCs w:val="22"/>
              </w:rPr>
              <w:t>1</w:t>
            </w:r>
          </w:p>
        </w:tc>
        <w:tc>
          <w:tcPr>
            <w:tcW w:w="732" w:type="dxa"/>
            <w:tcBorders>
              <w:top w:val="nil"/>
              <w:bottom w:val="nil"/>
            </w:tcBorders>
            <w:noWrap/>
          </w:tcPr>
          <w:p w:rsidR="00530125" w:rsidRDefault="00530125" w:rsidP="00E91181">
            <w:pPr>
              <w:jc w:val="center"/>
              <w:rPr>
                <w:rFonts w:ascii="Calibri" w:hAnsi="Calibri"/>
                <w:color w:val="000000"/>
                <w:szCs w:val="22"/>
              </w:rPr>
            </w:pPr>
            <w:r>
              <w:rPr>
                <w:rFonts w:ascii="Calibri" w:hAnsi="Calibri"/>
                <w:color w:val="000000"/>
                <w:szCs w:val="22"/>
              </w:rPr>
              <w:t>18</w:t>
            </w:r>
          </w:p>
        </w:tc>
        <w:tc>
          <w:tcPr>
            <w:tcW w:w="732" w:type="dxa"/>
            <w:tcBorders>
              <w:top w:val="nil"/>
              <w:bottom w:val="nil"/>
            </w:tcBorders>
            <w:noWrap/>
          </w:tcPr>
          <w:p w:rsidR="00530125" w:rsidRDefault="00530125" w:rsidP="00E91181">
            <w:pPr>
              <w:jc w:val="center"/>
              <w:rPr>
                <w:rFonts w:ascii="Calibri" w:hAnsi="Calibri"/>
                <w:color w:val="000000"/>
                <w:szCs w:val="22"/>
              </w:rPr>
            </w:pPr>
            <w:r>
              <w:rPr>
                <w:rFonts w:ascii="Calibri" w:hAnsi="Calibri"/>
                <w:color w:val="000000"/>
                <w:szCs w:val="22"/>
              </w:rPr>
              <w:t>12</w:t>
            </w:r>
          </w:p>
        </w:tc>
        <w:tc>
          <w:tcPr>
            <w:tcW w:w="731" w:type="dxa"/>
            <w:tcBorders>
              <w:top w:val="nil"/>
              <w:bottom w:val="nil"/>
            </w:tcBorders>
            <w:noWrap/>
          </w:tcPr>
          <w:p w:rsidR="00530125" w:rsidRDefault="00530125" w:rsidP="00E91181">
            <w:pPr>
              <w:jc w:val="center"/>
              <w:rPr>
                <w:rFonts w:ascii="Calibri" w:hAnsi="Calibri"/>
                <w:color w:val="000000"/>
                <w:szCs w:val="22"/>
              </w:rPr>
            </w:pPr>
            <w:r>
              <w:rPr>
                <w:rFonts w:ascii="Calibri" w:hAnsi="Calibri"/>
                <w:color w:val="000000"/>
                <w:szCs w:val="22"/>
              </w:rPr>
              <w:t>12</w:t>
            </w:r>
          </w:p>
        </w:tc>
        <w:tc>
          <w:tcPr>
            <w:tcW w:w="732" w:type="dxa"/>
            <w:tcBorders>
              <w:top w:val="nil"/>
              <w:bottom w:val="nil"/>
            </w:tcBorders>
            <w:noWrap/>
          </w:tcPr>
          <w:p w:rsidR="00530125" w:rsidRDefault="00530125" w:rsidP="00E91181">
            <w:pPr>
              <w:jc w:val="center"/>
              <w:rPr>
                <w:rFonts w:ascii="Calibri" w:hAnsi="Calibri"/>
                <w:color w:val="000000"/>
                <w:szCs w:val="22"/>
              </w:rPr>
            </w:pPr>
            <w:r>
              <w:rPr>
                <w:rFonts w:ascii="Calibri" w:hAnsi="Calibri"/>
                <w:color w:val="000000"/>
                <w:szCs w:val="22"/>
              </w:rPr>
              <w:t>1</w:t>
            </w:r>
          </w:p>
        </w:tc>
        <w:tc>
          <w:tcPr>
            <w:tcW w:w="732" w:type="dxa"/>
            <w:tcBorders>
              <w:top w:val="nil"/>
              <w:bottom w:val="nil"/>
            </w:tcBorders>
          </w:tcPr>
          <w:p w:rsidR="00530125" w:rsidRDefault="00530125" w:rsidP="0060518B">
            <w:pPr>
              <w:jc w:val="center"/>
              <w:rPr>
                <w:rFonts w:ascii="Calibri" w:hAnsi="Calibri"/>
                <w:color w:val="000000"/>
                <w:szCs w:val="22"/>
              </w:rPr>
            </w:pPr>
            <w:r>
              <w:rPr>
                <w:rFonts w:ascii="Calibri" w:hAnsi="Calibri"/>
                <w:color w:val="000000"/>
                <w:szCs w:val="22"/>
              </w:rPr>
              <w:t>0</w:t>
            </w:r>
          </w:p>
        </w:tc>
        <w:tc>
          <w:tcPr>
            <w:tcW w:w="732" w:type="dxa"/>
            <w:tcBorders>
              <w:top w:val="nil"/>
              <w:bottom w:val="nil"/>
            </w:tcBorders>
          </w:tcPr>
          <w:p w:rsidR="00530125" w:rsidRDefault="00530125" w:rsidP="0060518B">
            <w:pPr>
              <w:jc w:val="center"/>
              <w:rPr>
                <w:rFonts w:ascii="Calibri" w:hAnsi="Calibri"/>
                <w:color w:val="000000"/>
                <w:szCs w:val="22"/>
              </w:rPr>
            </w:pPr>
            <w:r>
              <w:rPr>
                <w:rFonts w:ascii="Calibri" w:hAnsi="Calibri"/>
                <w:color w:val="000000"/>
                <w:szCs w:val="22"/>
              </w:rPr>
              <w:t>0</w:t>
            </w:r>
          </w:p>
        </w:tc>
        <w:tc>
          <w:tcPr>
            <w:tcW w:w="732" w:type="dxa"/>
            <w:tcBorders>
              <w:top w:val="nil"/>
              <w:bottom w:val="nil"/>
              <w:right w:val="single" w:sz="4" w:space="0" w:color="auto"/>
            </w:tcBorders>
          </w:tcPr>
          <w:p w:rsidR="00530125" w:rsidRDefault="00530125" w:rsidP="0060518B">
            <w:pPr>
              <w:jc w:val="center"/>
              <w:rPr>
                <w:rFonts w:ascii="Calibri" w:hAnsi="Calibri"/>
                <w:color w:val="000000"/>
                <w:szCs w:val="22"/>
              </w:rPr>
            </w:pPr>
            <w:r>
              <w:rPr>
                <w:rFonts w:ascii="Calibri" w:hAnsi="Calibri"/>
                <w:color w:val="000000"/>
                <w:szCs w:val="22"/>
              </w:rPr>
              <w:t>0</w:t>
            </w:r>
          </w:p>
        </w:tc>
        <w:tc>
          <w:tcPr>
            <w:tcW w:w="1541" w:type="dxa"/>
            <w:tcBorders>
              <w:top w:val="nil"/>
              <w:left w:val="single" w:sz="4" w:space="0" w:color="auto"/>
              <w:bottom w:val="nil"/>
            </w:tcBorders>
          </w:tcPr>
          <w:p w:rsidR="00530125" w:rsidRDefault="00530125" w:rsidP="00640542">
            <w:pPr>
              <w:jc w:val="center"/>
              <w:rPr>
                <w:rFonts w:ascii="Calibri" w:hAnsi="Calibri"/>
                <w:b/>
                <w:bCs/>
                <w:color w:val="000000"/>
                <w:szCs w:val="22"/>
              </w:rPr>
            </w:pPr>
            <w:r>
              <w:rPr>
                <w:rFonts w:ascii="Calibri" w:hAnsi="Calibri"/>
                <w:b/>
                <w:bCs/>
                <w:color w:val="000000"/>
                <w:szCs w:val="22"/>
              </w:rPr>
              <w:t>2.88</w:t>
            </w:r>
          </w:p>
        </w:tc>
      </w:tr>
      <w:tr w:rsidR="00530125" w:rsidRPr="009C0F76" w:rsidTr="00640542">
        <w:trPr>
          <w:trHeight w:val="300"/>
        </w:trPr>
        <w:tc>
          <w:tcPr>
            <w:tcW w:w="2027" w:type="dxa"/>
            <w:tcBorders>
              <w:top w:val="nil"/>
              <w:bottom w:val="nil"/>
            </w:tcBorders>
            <w:noWrap/>
          </w:tcPr>
          <w:p w:rsidR="00530125" w:rsidRPr="006F79FA" w:rsidRDefault="00530125" w:rsidP="00544BDB">
            <w:pPr>
              <w:spacing w:before="120" w:after="120"/>
              <w:rPr>
                <w:b/>
                <w:color w:val="000000"/>
                <w:szCs w:val="22"/>
              </w:rPr>
            </w:pPr>
            <w:r>
              <w:rPr>
                <w:b/>
                <w:color w:val="000000"/>
                <w:szCs w:val="22"/>
              </w:rPr>
              <w:t>B</w:t>
            </w:r>
          </w:p>
        </w:tc>
        <w:tc>
          <w:tcPr>
            <w:tcW w:w="731" w:type="dxa"/>
            <w:tcBorders>
              <w:top w:val="nil"/>
              <w:bottom w:val="nil"/>
            </w:tcBorders>
            <w:noWrap/>
          </w:tcPr>
          <w:p w:rsidR="00530125" w:rsidRDefault="00530125" w:rsidP="00E91181">
            <w:pPr>
              <w:jc w:val="center"/>
              <w:rPr>
                <w:rFonts w:ascii="Calibri" w:hAnsi="Calibri"/>
                <w:color w:val="000000"/>
                <w:szCs w:val="22"/>
              </w:rPr>
            </w:pPr>
            <w:r>
              <w:rPr>
                <w:rFonts w:ascii="Calibri" w:hAnsi="Calibri"/>
                <w:color w:val="000000"/>
                <w:szCs w:val="22"/>
              </w:rPr>
              <w:t>0</w:t>
            </w:r>
          </w:p>
        </w:tc>
        <w:tc>
          <w:tcPr>
            <w:tcW w:w="732" w:type="dxa"/>
            <w:tcBorders>
              <w:top w:val="nil"/>
              <w:bottom w:val="nil"/>
            </w:tcBorders>
            <w:noWrap/>
          </w:tcPr>
          <w:p w:rsidR="00530125" w:rsidRDefault="00530125" w:rsidP="00E91181">
            <w:pPr>
              <w:jc w:val="center"/>
              <w:rPr>
                <w:rFonts w:ascii="Calibri" w:hAnsi="Calibri"/>
                <w:color w:val="000000"/>
                <w:szCs w:val="22"/>
              </w:rPr>
            </w:pPr>
            <w:r>
              <w:rPr>
                <w:rFonts w:ascii="Calibri" w:hAnsi="Calibri"/>
                <w:color w:val="000000"/>
                <w:szCs w:val="22"/>
              </w:rPr>
              <w:t>0</w:t>
            </w:r>
          </w:p>
        </w:tc>
        <w:tc>
          <w:tcPr>
            <w:tcW w:w="732" w:type="dxa"/>
            <w:tcBorders>
              <w:top w:val="nil"/>
              <w:bottom w:val="nil"/>
            </w:tcBorders>
            <w:noWrap/>
          </w:tcPr>
          <w:p w:rsidR="00530125" w:rsidRDefault="00530125" w:rsidP="00E91181">
            <w:pPr>
              <w:jc w:val="center"/>
              <w:rPr>
                <w:rFonts w:ascii="Calibri" w:hAnsi="Calibri"/>
                <w:color w:val="000000"/>
                <w:szCs w:val="22"/>
              </w:rPr>
            </w:pPr>
            <w:r>
              <w:rPr>
                <w:rFonts w:ascii="Calibri" w:hAnsi="Calibri"/>
                <w:color w:val="000000"/>
                <w:szCs w:val="22"/>
              </w:rPr>
              <w:t>0</w:t>
            </w:r>
          </w:p>
        </w:tc>
        <w:tc>
          <w:tcPr>
            <w:tcW w:w="732" w:type="dxa"/>
            <w:tcBorders>
              <w:top w:val="nil"/>
              <w:bottom w:val="nil"/>
            </w:tcBorders>
            <w:noWrap/>
          </w:tcPr>
          <w:p w:rsidR="00530125" w:rsidRDefault="00530125" w:rsidP="00E91181">
            <w:pPr>
              <w:jc w:val="center"/>
              <w:rPr>
                <w:rFonts w:ascii="Calibri" w:hAnsi="Calibri"/>
                <w:color w:val="000000"/>
                <w:szCs w:val="22"/>
              </w:rPr>
            </w:pPr>
            <w:r>
              <w:rPr>
                <w:rFonts w:ascii="Calibri" w:hAnsi="Calibri"/>
                <w:color w:val="000000"/>
                <w:szCs w:val="22"/>
              </w:rPr>
              <w:t>0</w:t>
            </w:r>
          </w:p>
        </w:tc>
        <w:tc>
          <w:tcPr>
            <w:tcW w:w="731" w:type="dxa"/>
            <w:tcBorders>
              <w:top w:val="nil"/>
              <w:bottom w:val="nil"/>
            </w:tcBorders>
            <w:noWrap/>
          </w:tcPr>
          <w:p w:rsidR="00530125" w:rsidRDefault="00530125" w:rsidP="00E91181">
            <w:pPr>
              <w:jc w:val="center"/>
              <w:rPr>
                <w:rFonts w:ascii="Calibri" w:hAnsi="Calibri"/>
                <w:color w:val="000000"/>
                <w:szCs w:val="22"/>
              </w:rPr>
            </w:pPr>
            <w:r>
              <w:rPr>
                <w:rFonts w:ascii="Calibri" w:hAnsi="Calibri"/>
                <w:color w:val="000000"/>
                <w:szCs w:val="22"/>
              </w:rPr>
              <w:t>2</w:t>
            </w:r>
          </w:p>
        </w:tc>
        <w:tc>
          <w:tcPr>
            <w:tcW w:w="732" w:type="dxa"/>
            <w:tcBorders>
              <w:top w:val="nil"/>
              <w:bottom w:val="nil"/>
            </w:tcBorders>
            <w:noWrap/>
          </w:tcPr>
          <w:p w:rsidR="00530125" w:rsidRDefault="00530125" w:rsidP="00E91181">
            <w:pPr>
              <w:jc w:val="center"/>
              <w:rPr>
                <w:rFonts w:ascii="Calibri" w:hAnsi="Calibri"/>
                <w:color w:val="000000"/>
                <w:szCs w:val="22"/>
              </w:rPr>
            </w:pPr>
            <w:r>
              <w:rPr>
                <w:rFonts w:ascii="Calibri" w:hAnsi="Calibri"/>
                <w:color w:val="000000"/>
                <w:szCs w:val="22"/>
              </w:rPr>
              <w:t>2</w:t>
            </w:r>
          </w:p>
        </w:tc>
        <w:tc>
          <w:tcPr>
            <w:tcW w:w="732" w:type="dxa"/>
            <w:tcBorders>
              <w:top w:val="nil"/>
              <w:bottom w:val="nil"/>
            </w:tcBorders>
          </w:tcPr>
          <w:p w:rsidR="00530125" w:rsidRDefault="00530125" w:rsidP="0060518B">
            <w:pPr>
              <w:jc w:val="center"/>
              <w:rPr>
                <w:rFonts w:ascii="Calibri" w:hAnsi="Calibri"/>
                <w:color w:val="000000"/>
                <w:szCs w:val="22"/>
              </w:rPr>
            </w:pPr>
            <w:r>
              <w:rPr>
                <w:rFonts w:ascii="Calibri" w:hAnsi="Calibri"/>
                <w:color w:val="000000"/>
                <w:szCs w:val="22"/>
              </w:rPr>
              <w:t>0</w:t>
            </w:r>
          </w:p>
        </w:tc>
        <w:tc>
          <w:tcPr>
            <w:tcW w:w="732" w:type="dxa"/>
            <w:tcBorders>
              <w:top w:val="nil"/>
              <w:bottom w:val="nil"/>
            </w:tcBorders>
          </w:tcPr>
          <w:p w:rsidR="00530125" w:rsidRDefault="00530125" w:rsidP="0060518B">
            <w:pPr>
              <w:jc w:val="center"/>
              <w:rPr>
                <w:rFonts w:ascii="Calibri" w:hAnsi="Calibri"/>
                <w:color w:val="000000"/>
                <w:szCs w:val="22"/>
              </w:rPr>
            </w:pPr>
            <w:r>
              <w:rPr>
                <w:rFonts w:ascii="Calibri" w:hAnsi="Calibri"/>
                <w:color w:val="000000"/>
                <w:szCs w:val="22"/>
              </w:rPr>
              <w:t>0</w:t>
            </w:r>
          </w:p>
        </w:tc>
        <w:tc>
          <w:tcPr>
            <w:tcW w:w="732" w:type="dxa"/>
            <w:tcBorders>
              <w:top w:val="nil"/>
              <w:bottom w:val="nil"/>
              <w:right w:val="single" w:sz="4" w:space="0" w:color="auto"/>
            </w:tcBorders>
          </w:tcPr>
          <w:p w:rsidR="00530125" w:rsidRDefault="00530125" w:rsidP="0060518B">
            <w:pPr>
              <w:jc w:val="center"/>
              <w:rPr>
                <w:rFonts w:ascii="Calibri" w:hAnsi="Calibri"/>
                <w:color w:val="000000"/>
                <w:szCs w:val="22"/>
              </w:rPr>
            </w:pPr>
            <w:r>
              <w:rPr>
                <w:rFonts w:ascii="Calibri" w:hAnsi="Calibri"/>
                <w:color w:val="000000"/>
                <w:szCs w:val="22"/>
              </w:rPr>
              <w:t>0</w:t>
            </w:r>
          </w:p>
        </w:tc>
        <w:tc>
          <w:tcPr>
            <w:tcW w:w="1541" w:type="dxa"/>
            <w:tcBorders>
              <w:top w:val="nil"/>
              <w:left w:val="single" w:sz="4" w:space="0" w:color="auto"/>
              <w:bottom w:val="nil"/>
            </w:tcBorders>
          </w:tcPr>
          <w:p w:rsidR="00530125" w:rsidRDefault="00530125" w:rsidP="00640542">
            <w:pPr>
              <w:jc w:val="center"/>
              <w:rPr>
                <w:rFonts w:ascii="Calibri" w:hAnsi="Calibri"/>
                <w:b/>
                <w:bCs/>
                <w:color w:val="000000"/>
                <w:szCs w:val="22"/>
              </w:rPr>
            </w:pPr>
            <w:r>
              <w:rPr>
                <w:rFonts w:ascii="Calibri" w:hAnsi="Calibri"/>
                <w:b/>
                <w:bCs/>
                <w:color w:val="000000"/>
                <w:szCs w:val="22"/>
              </w:rPr>
              <w:t>13.75</w:t>
            </w:r>
          </w:p>
        </w:tc>
      </w:tr>
      <w:tr w:rsidR="0060518B" w:rsidRPr="009C0F76" w:rsidTr="00640542">
        <w:trPr>
          <w:trHeight w:val="300"/>
        </w:trPr>
        <w:tc>
          <w:tcPr>
            <w:tcW w:w="2027" w:type="dxa"/>
            <w:tcBorders>
              <w:top w:val="nil"/>
              <w:bottom w:val="nil"/>
            </w:tcBorders>
            <w:noWrap/>
          </w:tcPr>
          <w:p w:rsidR="0060518B" w:rsidRPr="006F79FA" w:rsidRDefault="0060518B" w:rsidP="00544BDB">
            <w:pPr>
              <w:spacing w:before="120" w:after="120"/>
              <w:rPr>
                <w:b/>
                <w:color w:val="000000"/>
                <w:szCs w:val="22"/>
              </w:rPr>
            </w:pPr>
            <w:r>
              <w:rPr>
                <w:b/>
                <w:color w:val="000000"/>
                <w:szCs w:val="22"/>
              </w:rPr>
              <w:t>CCC</w:t>
            </w:r>
          </w:p>
        </w:tc>
        <w:tc>
          <w:tcPr>
            <w:tcW w:w="731" w:type="dxa"/>
            <w:tcBorders>
              <w:top w:val="nil"/>
              <w:bottom w:val="nil"/>
            </w:tcBorders>
            <w:noWrap/>
          </w:tcPr>
          <w:p w:rsidR="0060518B" w:rsidRDefault="0060518B" w:rsidP="0060518B">
            <w:pPr>
              <w:jc w:val="center"/>
              <w:rPr>
                <w:rFonts w:ascii="Calibri" w:hAnsi="Calibri"/>
                <w:color w:val="000000"/>
                <w:szCs w:val="22"/>
              </w:rPr>
            </w:pPr>
            <w:r>
              <w:rPr>
                <w:rFonts w:ascii="Calibri" w:hAnsi="Calibri"/>
                <w:color w:val="000000"/>
                <w:szCs w:val="22"/>
              </w:rPr>
              <w:t>0</w:t>
            </w:r>
          </w:p>
        </w:tc>
        <w:tc>
          <w:tcPr>
            <w:tcW w:w="732" w:type="dxa"/>
            <w:tcBorders>
              <w:top w:val="nil"/>
              <w:bottom w:val="nil"/>
            </w:tcBorders>
            <w:noWrap/>
          </w:tcPr>
          <w:p w:rsidR="0060518B" w:rsidRDefault="0060518B" w:rsidP="0060518B">
            <w:pPr>
              <w:jc w:val="center"/>
              <w:rPr>
                <w:rFonts w:ascii="Calibri" w:hAnsi="Calibri"/>
                <w:color w:val="000000"/>
                <w:szCs w:val="22"/>
              </w:rPr>
            </w:pPr>
            <w:r>
              <w:rPr>
                <w:rFonts w:ascii="Calibri" w:hAnsi="Calibri"/>
                <w:color w:val="000000"/>
                <w:szCs w:val="22"/>
              </w:rPr>
              <w:t>0</w:t>
            </w:r>
          </w:p>
        </w:tc>
        <w:tc>
          <w:tcPr>
            <w:tcW w:w="732" w:type="dxa"/>
            <w:tcBorders>
              <w:top w:val="nil"/>
              <w:bottom w:val="nil"/>
            </w:tcBorders>
            <w:noWrap/>
          </w:tcPr>
          <w:p w:rsidR="0060518B" w:rsidRDefault="0060518B" w:rsidP="0060518B">
            <w:pPr>
              <w:jc w:val="center"/>
              <w:rPr>
                <w:rFonts w:ascii="Calibri" w:hAnsi="Calibri"/>
                <w:color w:val="000000"/>
                <w:szCs w:val="22"/>
              </w:rPr>
            </w:pPr>
            <w:r>
              <w:rPr>
                <w:rFonts w:ascii="Calibri" w:hAnsi="Calibri"/>
                <w:color w:val="000000"/>
                <w:szCs w:val="22"/>
              </w:rPr>
              <w:t>0</w:t>
            </w:r>
          </w:p>
        </w:tc>
        <w:tc>
          <w:tcPr>
            <w:tcW w:w="732" w:type="dxa"/>
            <w:tcBorders>
              <w:top w:val="nil"/>
              <w:bottom w:val="nil"/>
            </w:tcBorders>
            <w:noWrap/>
          </w:tcPr>
          <w:p w:rsidR="0060518B" w:rsidRDefault="0060518B" w:rsidP="0060518B">
            <w:pPr>
              <w:jc w:val="center"/>
              <w:rPr>
                <w:rFonts w:ascii="Calibri" w:hAnsi="Calibri"/>
                <w:color w:val="000000"/>
                <w:szCs w:val="22"/>
              </w:rPr>
            </w:pPr>
            <w:r>
              <w:rPr>
                <w:rFonts w:ascii="Calibri" w:hAnsi="Calibri"/>
                <w:color w:val="000000"/>
                <w:szCs w:val="22"/>
              </w:rPr>
              <w:t>0</w:t>
            </w:r>
          </w:p>
        </w:tc>
        <w:tc>
          <w:tcPr>
            <w:tcW w:w="731" w:type="dxa"/>
            <w:tcBorders>
              <w:top w:val="nil"/>
              <w:bottom w:val="nil"/>
            </w:tcBorders>
            <w:noWrap/>
          </w:tcPr>
          <w:p w:rsidR="0060518B" w:rsidRDefault="0060518B" w:rsidP="0060518B">
            <w:pPr>
              <w:jc w:val="center"/>
              <w:rPr>
                <w:rFonts w:ascii="Calibri" w:hAnsi="Calibri"/>
                <w:color w:val="000000"/>
                <w:szCs w:val="22"/>
              </w:rPr>
            </w:pPr>
            <w:r>
              <w:rPr>
                <w:rFonts w:ascii="Calibri" w:hAnsi="Calibri"/>
                <w:color w:val="000000"/>
                <w:szCs w:val="22"/>
              </w:rPr>
              <w:t>0</w:t>
            </w:r>
          </w:p>
        </w:tc>
        <w:tc>
          <w:tcPr>
            <w:tcW w:w="732" w:type="dxa"/>
            <w:tcBorders>
              <w:top w:val="nil"/>
              <w:bottom w:val="nil"/>
            </w:tcBorders>
            <w:noWrap/>
          </w:tcPr>
          <w:p w:rsidR="0060518B" w:rsidRDefault="0060518B" w:rsidP="0060518B">
            <w:pPr>
              <w:jc w:val="center"/>
              <w:rPr>
                <w:rFonts w:ascii="Calibri" w:hAnsi="Calibri"/>
                <w:color w:val="000000"/>
                <w:szCs w:val="22"/>
              </w:rPr>
            </w:pPr>
            <w:r>
              <w:rPr>
                <w:rFonts w:ascii="Calibri" w:hAnsi="Calibri"/>
                <w:color w:val="000000"/>
                <w:szCs w:val="22"/>
              </w:rPr>
              <w:t>0</w:t>
            </w:r>
          </w:p>
        </w:tc>
        <w:tc>
          <w:tcPr>
            <w:tcW w:w="732" w:type="dxa"/>
            <w:tcBorders>
              <w:top w:val="nil"/>
              <w:bottom w:val="nil"/>
            </w:tcBorders>
          </w:tcPr>
          <w:p w:rsidR="0060518B" w:rsidRDefault="0060518B" w:rsidP="0060518B">
            <w:pPr>
              <w:jc w:val="center"/>
              <w:rPr>
                <w:rFonts w:ascii="Calibri" w:hAnsi="Calibri"/>
                <w:color w:val="000000"/>
                <w:szCs w:val="22"/>
              </w:rPr>
            </w:pPr>
            <w:r>
              <w:rPr>
                <w:rFonts w:ascii="Calibri" w:hAnsi="Calibri"/>
                <w:color w:val="000000"/>
                <w:szCs w:val="22"/>
              </w:rPr>
              <w:t>0</w:t>
            </w:r>
          </w:p>
        </w:tc>
        <w:tc>
          <w:tcPr>
            <w:tcW w:w="732" w:type="dxa"/>
            <w:tcBorders>
              <w:top w:val="nil"/>
              <w:bottom w:val="nil"/>
            </w:tcBorders>
          </w:tcPr>
          <w:p w:rsidR="0060518B" w:rsidRDefault="0060518B" w:rsidP="0060518B">
            <w:pPr>
              <w:jc w:val="center"/>
              <w:rPr>
                <w:rFonts w:ascii="Calibri" w:hAnsi="Calibri"/>
                <w:color w:val="000000"/>
                <w:szCs w:val="22"/>
              </w:rPr>
            </w:pPr>
            <w:r>
              <w:rPr>
                <w:rFonts w:ascii="Calibri" w:hAnsi="Calibri"/>
                <w:color w:val="000000"/>
                <w:szCs w:val="22"/>
              </w:rPr>
              <w:t>0</w:t>
            </w:r>
          </w:p>
        </w:tc>
        <w:tc>
          <w:tcPr>
            <w:tcW w:w="732" w:type="dxa"/>
            <w:tcBorders>
              <w:top w:val="nil"/>
              <w:bottom w:val="nil"/>
              <w:right w:val="single" w:sz="4" w:space="0" w:color="auto"/>
            </w:tcBorders>
          </w:tcPr>
          <w:p w:rsidR="0060518B" w:rsidRDefault="0060518B" w:rsidP="0060518B">
            <w:pPr>
              <w:jc w:val="center"/>
              <w:rPr>
                <w:rFonts w:ascii="Calibri" w:hAnsi="Calibri"/>
                <w:color w:val="000000"/>
                <w:szCs w:val="22"/>
              </w:rPr>
            </w:pPr>
            <w:r>
              <w:rPr>
                <w:rFonts w:ascii="Calibri" w:hAnsi="Calibri"/>
                <w:color w:val="000000"/>
                <w:szCs w:val="22"/>
              </w:rPr>
              <w:t>0</w:t>
            </w:r>
          </w:p>
        </w:tc>
        <w:tc>
          <w:tcPr>
            <w:tcW w:w="1541" w:type="dxa"/>
            <w:tcBorders>
              <w:top w:val="nil"/>
              <w:left w:val="single" w:sz="4" w:space="0" w:color="auto"/>
              <w:bottom w:val="nil"/>
            </w:tcBorders>
          </w:tcPr>
          <w:p w:rsidR="0060518B" w:rsidRDefault="0060518B" w:rsidP="00640542">
            <w:pPr>
              <w:jc w:val="center"/>
              <w:rPr>
                <w:rFonts w:ascii="Calibri" w:hAnsi="Calibri"/>
                <w:b/>
                <w:bCs/>
                <w:color w:val="000000"/>
                <w:szCs w:val="22"/>
              </w:rPr>
            </w:pPr>
            <w:r>
              <w:rPr>
                <w:rFonts w:ascii="Calibri" w:hAnsi="Calibri"/>
                <w:b/>
                <w:bCs/>
                <w:color w:val="000000"/>
                <w:szCs w:val="22"/>
              </w:rPr>
              <w:t>-</w:t>
            </w:r>
          </w:p>
        </w:tc>
      </w:tr>
      <w:tr w:rsidR="0060518B" w:rsidRPr="009C0F76" w:rsidTr="00640542">
        <w:trPr>
          <w:trHeight w:val="300"/>
        </w:trPr>
        <w:tc>
          <w:tcPr>
            <w:tcW w:w="2027" w:type="dxa"/>
            <w:tcBorders>
              <w:top w:val="nil"/>
              <w:bottom w:val="nil"/>
            </w:tcBorders>
            <w:noWrap/>
          </w:tcPr>
          <w:p w:rsidR="0060518B" w:rsidRPr="006F79FA" w:rsidRDefault="0060518B" w:rsidP="00544BDB">
            <w:pPr>
              <w:spacing w:before="120" w:after="120"/>
              <w:rPr>
                <w:b/>
                <w:color w:val="000000"/>
                <w:szCs w:val="22"/>
              </w:rPr>
            </w:pPr>
            <w:r>
              <w:rPr>
                <w:b/>
                <w:color w:val="000000"/>
                <w:szCs w:val="22"/>
              </w:rPr>
              <w:t>CC</w:t>
            </w:r>
          </w:p>
        </w:tc>
        <w:tc>
          <w:tcPr>
            <w:tcW w:w="731" w:type="dxa"/>
            <w:tcBorders>
              <w:top w:val="nil"/>
              <w:bottom w:val="nil"/>
            </w:tcBorders>
            <w:noWrap/>
          </w:tcPr>
          <w:p w:rsidR="0060518B" w:rsidRDefault="0060518B" w:rsidP="0060518B">
            <w:pPr>
              <w:jc w:val="center"/>
              <w:rPr>
                <w:rFonts w:ascii="Calibri" w:hAnsi="Calibri"/>
                <w:color w:val="000000"/>
                <w:szCs w:val="22"/>
              </w:rPr>
            </w:pPr>
            <w:r>
              <w:rPr>
                <w:rFonts w:ascii="Calibri" w:hAnsi="Calibri"/>
                <w:color w:val="000000"/>
                <w:szCs w:val="22"/>
              </w:rPr>
              <w:t>0</w:t>
            </w:r>
          </w:p>
        </w:tc>
        <w:tc>
          <w:tcPr>
            <w:tcW w:w="732" w:type="dxa"/>
            <w:tcBorders>
              <w:top w:val="nil"/>
              <w:bottom w:val="nil"/>
            </w:tcBorders>
            <w:noWrap/>
          </w:tcPr>
          <w:p w:rsidR="0060518B" w:rsidRDefault="0060518B" w:rsidP="0060518B">
            <w:pPr>
              <w:jc w:val="center"/>
              <w:rPr>
                <w:rFonts w:ascii="Calibri" w:hAnsi="Calibri"/>
                <w:color w:val="000000"/>
                <w:szCs w:val="22"/>
              </w:rPr>
            </w:pPr>
            <w:r>
              <w:rPr>
                <w:rFonts w:ascii="Calibri" w:hAnsi="Calibri"/>
                <w:color w:val="000000"/>
                <w:szCs w:val="22"/>
              </w:rPr>
              <w:t>0</w:t>
            </w:r>
          </w:p>
        </w:tc>
        <w:tc>
          <w:tcPr>
            <w:tcW w:w="732" w:type="dxa"/>
            <w:tcBorders>
              <w:top w:val="nil"/>
              <w:bottom w:val="nil"/>
            </w:tcBorders>
            <w:noWrap/>
          </w:tcPr>
          <w:p w:rsidR="0060518B" w:rsidRDefault="0060518B" w:rsidP="0060518B">
            <w:pPr>
              <w:jc w:val="center"/>
              <w:rPr>
                <w:rFonts w:ascii="Calibri" w:hAnsi="Calibri"/>
                <w:color w:val="000000"/>
                <w:szCs w:val="22"/>
              </w:rPr>
            </w:pPr>
            <w:r>
              <w:rPr>
                <w:rFonts w:ascii="Calibri" w:hAnsi="Calibri"/>
                <w:color w:val="000000"/>
                <w:szCs w:val="22"/>
              </w:rPr>
              <w:t>0</w:t>
            </w:r>
          </w:p>
        </w:tc>
        <w:tc>
          <w:tcPr>
            <w:tcW w:w="732" w:type="dxa"/>
            <w:tcBorders>
              <w:top w:val="nil"/>
              <w:bottom w:val="nil"/>
            </w:tcBorders>
            <w:noWrap/>
          </w:tcPr>
          <w:p w:rsidR="0060518B" w:rsidRDefault="0060518B" w:rsidP="0060518B">
            <w:pPr>
              <w:jc w:val="center"/>
              <w:rPr>
                <w:rFonts w:ascii="Calibri" w:hAnsi="Calibri"/>
                <w:color w:val="000000"/>
                <w:szCs w:val="22"/>
              </w:rPr>
            </w:pPr>
            <w:r>
              <w:rPr>
                <w:rFonts w:ascii="Calibri" w:hAnsi="Calibri"/>
                <w:color w:val="000000"/>
                <w:szCs w:val="22"/>
              </w:rPr>
              <w:t>0</w:t>
            </w:r>
          </w:p>
        </w:tc>
        <w:tc>
          <w:tcPr>
            <w:tcW w:w="731" w:type="dxa"/>
            <w:tcBorders>
              <w:top w:val="nil"/>
              <w:bottom w:val="nil"/>
            </w:tcBorders>
            <w:noWrap/>
          </w:tcPr>
          <w:p w:rsidR="0060518B" w:rsidRDefault="0060518B" w:rsidP="0060518B">
            <w:pPr>
              <w:jc w:val="center"/>
              <w:rPr>
                <w:rFonts w:ascii="Calibri" w:hAnsi="Calibri"/>
                <w:color w:val="000000"/>
                <w:szCs w:val="22"/>
              </w:rPr>
            </w:pPr>
            <w:r>
              <w:rPr>
                <w:rFonts w:ascii="Calibri" w:hAnsi="Calibri"/>
                <w:color w:val="000000"/>
                <w:szCs w:val="22"/>
              </w:rPr>
              <w:t>0</w:t>
            </w:r>
          </w:p>
        </w:tc>
        <w:tc>
          <w:tcPr>
            <w:tcW w:w="732" w:type="dxa"/>
            <w:tcBorders>
              <w:top w:val="nil"/>
              <w:bottom w:val="nil"/>
            </w:tcBorders>
            <w:noWrap/>
          </w:tcPr>
          <w:p w:rsidR="0060518B" w:rsidRDefault="0060518B" w:rsidP="0060518B">
            <w:pPr>
              <w:jc w:val="center"/>
              <w:rPr>
                <w:rFonts w:ascii="Calibri" w:hAnsi="Calibri"/>
                <w:color w:val="000000"/>
                <w:szCs w:val="22"/>
              </w:rPr>
            </w:pPr>
            <w:r>
              <w:rPr>
                <w:rFonts w:ascii="Calibri" w:hAnsi="Calibri"/>
                <w:color w:val="000000"/>
                <w:szCs w:val="22"/>
              </w:rPr>
              <w:t>0</w:t>
            </w:r>
          </w:p>
        </w:tc>
        <w:tc>
          <w:tcPr>
            <w:tcW w:w="732" w:type="dxa"/>
            <w:tcBorders>
              <w:top w:val="nil"/>
              <w:bottom w:val="nil"/>
            </w:tcBorders>
          </w:tcPr>
          <w:p w:rsidR="0060518B" w:rsidRDefault="00E80B02" w:rsidP="0060518B">
            <w:pPr>
              <w:jc w:val="center"/>
              <w:rPr>
                <w:rFonts w:ascii="Calibri" w:hAnsi="Calibri"/>
                <w:color w:val="000000"/>
                <w:szCs w:val="22"/>
              </w:rPr>
            </w:pPr>
            <w:r>
              <w:rPr>
                <w:rFonts w:ascii="Calibri" w:hAnsi="Calibri"/>
                <w:color w:val="000000"/>
                <w:szCs w:val="22"/>
              </w:rPr>
              <w:t xml:space="preserve"> </w:t>
            </w:r>
            <w:r w:rsidR="0060518B">
              <w:rPr>
                <w:rFonts w:ascii="Calibri" w:hAnsi="Calibri"/>
                <w:color w:val="000000"/>
                <w:szCs w:val="22"/>
              </w:rPr>
              <w:t>0</w:t>
            </w:r>
          </w:p>
        </w:tc>
        <w:tc>
          <w:tcPr>
            <w:tcW w:w="732" w:type="dxa"/>
            <w:tcBorders>
              <w:top w:val="nil"/>
              <w:bottom w:val="nil"/>
            </w:tcBorders>
          </w:tcPr>
          <w:p w:rsidR="0060518B" w:rsidRDefault="0060518B" w:rsidP="0060518B">
            <w:pPr>
              <w:jc w:val="center"/>
              <w:rPr>
                <w:rFonts w:ascii="Calibri" w:hAnsi="Calibri"/>
                <w:color w:val="000000"/>
                <w:szCs w:val="22"/>
              </w:rPr>
            </w:pPr>
            <w:r>
              <w:rPr>
                <w:rFonts w:ascii="Calibri" w:hAnsi="Calibri"/>
                <w:color w:val="000000"/>
                <w:szCs w:val="22"/>
              </w:rPr>
              <w:t>0</w:t>
            </w:r>
          </w:p>
        </w:tc>
        <w:tc>
          <w:tcPr>
            <w:tcW w:w="732" w:type="dxa"/>
            <w:tcBorders>
              <w:top w:val="nil"/>
              <w:bottom w:val="nil"/>
              <w:right w:val="single" w:sz="4" w:space="0" w:color="auto"/>
            </w:tcBorders>
          </w:tcPr>
          <w:p w:rsidR="0060518B" w:rsidRDefault="0060518B" w:rsidP="0060518B">
            <w:pPr>
              <w:jc w:val="center"/>
              <w:rPr>
                <w:rFonts w:ascii="Calibri" w:hAnsi="Calibri"/>
                <w:color w:val="000000"/>
                <w:szCs w:val="22"/>
              </w:rPr>
            </w:pPr>
            <w:r>
              <w:rPr>
                <w:rFonts w:ascii="Calibri" w:hAnsi="Calibri"/>
                <w:color w:val="000000"/>
                <w:szCs w:val="22"/>
              </w:rPr>
              <w:t>0</w:t>
            </w:r>
          </w:p>
        </w:tc>
        <w:tc>
          <w:tcPr>
            <w:tcW w:w="1541" w:type="dxa"/>
            <w:tcBorders>
              <w:top w:val="nil"/>
              <w:left w:val="single" w:sz="4" w:space="0" w:color="auto"/>
              <w:bottom w:val="nil"/>
            </w:tcBorders>
          </w:tcPr>
          <w:p w:rsidR="0060518B" w:rsidRDefault="0060518B" w:rsidP="00640542">
            <w:pPr>
              <w:jc w:val="center"/>
              <w:rPr>
                <w:rFonts w:ascii="Calibri" w:hAnsi="Calibri"/>
                <w:b/>
                <w:bCs/>
                <w:color w:val="000000"/>
                <w:szCs w:val="22"/>
              </w:rPr>
            </w:pPr>
            <w:r>
              <w:rPr>
                <w:rFonts w:ascii="Calibri" w:hAnsi="Calibri"/>
                <w:b/>
                <w:bCs/>
                <w:color w:val="000000"/>
                <w:szCs w:val="22"/>
              </w:rPr>
              <w:t>-</w:t>
            </w:r>
          </w:p>
        </w:tc>
      </w:tr>
      <w:tr w:rsidR="0060518B" w:rsidRPr="009C0F76" w:rsidTr="00640542">
        <w:trPr>
          <w:trHeight w:val="300"/>
        </w:trPr>
        <w:tc>
          <w:tcPr>
            <w:tcW w:w="2027" w:type="dxa"/>
            <w:tcBorders>
              <w:top w:val="nil"/>
              <w:bottom w:val="single" w:sz="4" w:space="0" w:color="auto"/>
            </w:tcBorders>
            <w:noWrap/>
          </w:tcPr>
          <w:p w:rsidR="0060518B" w:rsidRPr="006F79FA" w:rsidRDefault="0060518B" w:rsidP="00544BDB">
            <w:pPr>
              <w:spacing w:before="120" w:after="120"/>
              <w:rPr>
                <w:b/>
                <w:color w:val="000000"/>
                <w:szCs w:val="22"/>
              </w:rPr>
            </w:pPr>
            <w:r>
              <w:rPr>
                <w:b/>
                <w:color w:val="000000"/>
                <w:szCs w:val="22"/>
              </w:rPr>
              <w:t>C</w:t>
            </w:r>
          </w:p>
        </w:tc>
        <w:tc>
          <w:tcPr>
            <w:tcW w:w="731" w:type="dxa"/>
            <w:tcBorders>
              <w:top w:val="nil"/>
              <w:bottom w:val="single" w:sz="4" w:space="0" w:color="auto"/>
            </w:tcBorders>
            <w:noWrap/>
          </w:tcPr>
          <w:p w:rsidR="0060518B" w:rsidRDefault="0060518B" w:rsidP="0060518B">
            <w:pPr>
              <w:jc w:val="center"/>
              <w:rPr>
                <w:rFonts w:ascii="Calibri" w:hAnsi="Calibri"/>
                <w:color w:val="000000"/>
                <w:szCs w:val="22"/>
              </w:rPr>
            </w:pPr>
            <w:r>
              <w:rPr>
                <w:rFonts w:ascii="Calibri" w:hAnsi="Calibri"/>
                <w:color w:val="000000"/>
                <w:szCs w:val="22"/>
              </w:rPr>
              <w:t>0</w:t>
            </w:r>
          </w:p>
        </w:tc>
        <w:tc>
          <w:tcPr>
            <w:tcW w:w="732" w:type="dxa"/>
            <w:tcBorders>
              <w:top w:val="nil"/>
              <w:bottom w:val="single" w:sz="4" w:space="0" w:color="auto"/>
            </w:tcBorders>
            <w:noWrap/>
          </w:tcPr>
          <w:p w:rsidR="0060518B" w:rsidRDefault="0060518B" w:rsidP="0060518B">
            <w:pPr>
              <w:jc w:val="center"/>
              <w:rPr>
                <w:rFonts w:ascii="Calibri" w:hAnsi="Calibri"/>
                <w:color w:val="000000"/>
                <w:szCs w:val="22"/>
              </w:rPr>
            </w:pPr>
            <w:r>
              <w:rPr>
                <w:rFonts w:ascii="Calibri" w:hAnsi="Calibri"/>
                <w:color w:val="000000"/>
                <w:szCs w:val="22"/>
              </w:rPr>
              <w:t>0</w:t>
            </w:r>
          </w:p>
        </w:tc>
        <w:tc>
          <w:tcPr>
            <w:tcW w:w="732" w:type="dxa"/>
            <w:tcBorders>
              <w:top w:val="nil"/>
              <w:bottom w:val="single" w:sz="4" w:space="0" w:color="auto"/>
            </w:tcBorders>
            <w:noWrap/>
          </w:tcPr>
          <w:p w:rsidR="0060518B" w:rsidRDefault="0060518B" w:rsidP="0060518B">
            <w:pPr>
              <w:jc w:val="center"/>
              <w:rPr>
                <w:rFonts w:ascii="Calibri" w:hAnsi="Calibri"/>
                <w:color w:val="000000"/>
                <w:szCs w:val="22"/>
              </w:rPr>
            </w:pPr>
            <w:r>
              <w:rPr>
                <w:rFonts w:ascii="Calibri" w:hAnsi="Calibri"/>
                <w:color w:val="000000"/>
                <w:szCs w:val="22"/>
              </w:rPr>
              <w:t>0</w:t>
            </w:r>
          </w:p>
        </w:tc>
        <w:tc>
          <w:tcPr>
            <w:tcW w:w="732" w:type="dxa"/>
            <w:tcBorders>
              <w:top w:val="nil"/>
              <w:bottom w:val="single" w:sz="4" w:space="0" w:color="auto"/>
            </w:tcBorders>
            <w:noWrap/>
          </w:tcPr>
          <w:p w:rsidR="0060518B" w:rsidRDefault="0060518B" w:rsidP="0060518B">
            <w:pPr>
              <w:jc w:val="center"/>
              <w:rPr>
                <w:rFonts w:ascii="Calibri" w:hAnsi="Calibri"/>
                <w:color w:val="000000"/>
                <w:szCs w:val="22"/>
              </w:rPr>
            </w:pPr>
            <w:r>
              <w:rPr>
                <w:rFonts w:ascii="Calibri" w:hAnsi="Calibri"/>
                <w:color w:val="000000"/>
                <w:szCs w:val="22"/>
              </w:rPr>
              <w:t>0</w:t>
            </w:r>
          </w:p>
        </w:tc>
        <w:tc>
          <w:tcPr>
            <w:tcW w:w="731" w:type="dxa"/>
            <w:tcBorders>
              <w:top w:val="nil"/>
              <w:bottom w:val="single" w:sz="4" w:space="0" w:color="auto"/>
            </w:tcBorders>
            <w:noWrap/>
          </w:tcPr>
          <w:p w:rsidR="0060518B" w:rsidRDefault="0060518B" w:rsidP="0060518B">
            <w:pPr>
              <w:jc w:val="center"/>
              <w:rPr>
                <w:rFonts w:ascii="Calibri" w:hAnsi="Calibri"/>
                <w:color w:val="000000"/>
                <w:szCs w:val="22"/>
              </w:rPr>
            </w:pPr>
            <w:r>
              <w:rPr>
                <w:rFonts w:ascii="Calibri" w:hAnsi="Calibri"/>
                <w:color w:val="000000"/>
                <w:szCs w:val="22"/>
              </w:rPr>
              <w:t>0</w:t>
            </w:r>
          </w:p>
        </w:tc>
        <w:tc>
          <w:tcPr>
            <w:tcW w:w="732" w:type="dxa"/>
            <w:tcBorders>
              <w:top w:val="nil"/>
              <w:bottom w:val="single" w:sz="4" w:space="0" w:color="auto"/>
            </w:tcBorders>
            <w:noWrap/>
          </w:tcPr>
          <w:p w:rsidR="0060518B" w:rsidRDefault="0060518B" w:rsidP="0060518B">
            <w:pPr>
              <w:jc w:val="center"/>
              <w:rPr>
                <w:rFonts w:ascii="Calibri" w:hAnsi="Calibri"/>
                <w:color w:val="000000"/>
                <w:szCs w:val="22"/>
              </w:rPr>
            </w:pPr>
            <w:r>
              <w:rPr>
                <w:rFonts w:ascii="Calibri" w:hAnsi="Calibri"/>
                <w:color w:val="000000"/>
                <w:szCs w:val="22"/>
              </w:rPr>
              <w:t>0</w:t>
            </w:r>
          </w:p>
        </w:tc>
        <w:tc>
          <w:tcPr>
            <w:tcW w:w="732" w:type="dxa"/>
            <w:tcBorders>
              <w:top w:val="nil"/>
              <w:bottom w:val="single" w:sz="4" w:space="0" w:color="auto"/>
            </w:tcBorders>
          </w:tcPr>
          <w:p w:rsidR="0060518B" w:rsidRDefault="0060518B" w:rsidP="0060518B">
            <w:pPr>
              <w:jc w:val="center"/>
              <w:rPr>
                <w:rFonts w:ascii="Calibri" w:hAnsi="Calibri"/>
                <w:color w:val="000000"/>
                <w:szCs w:val="22"/>
              </w:rPr>
            </w:pPr>
            <w:r>
              <w:rPr>
                <w:rFonts w:ascii="Calibri" w:hAnsi="Calibri"/>
                <w:color w:val="000000"/>
                <w:szCs w:val="22"/>
              </w:rPr>
              <w:t>0</w:t>
            </w:r>
          </w:p>
        </w:tc>
        <w:tc>
          <w:tcPr>
            <w:tcW w:w="732" w:type="dxa"/>
            <w:tcBorders>
              <w:top w:val="nil"/>
              <w:bottom w:val="single" w:sz="4" w:space="0" w:color="auto"/>
            </w:tcBorders>
          </w:tcPr>
          <w:p w:rsidR="0060518B" w:rsidRDefault="0060518B" w:rsidP="0060518B">
            <w:pPr>
              <w:jc w:val="center"/>
              <w:rPr>
                <w:rFonts w:ascii="Calibri" w:hAnsi="Calibri"/>
                <w:color w:val="000000"/>
                <w:szCs w:val="22"/>
              </w:rPr>
            </w:pPr>
            <w:r>
              <w:rPr>
                <w:rFonts w:ascii="Calibri" w:hAnsi="Calibri"/>
                <w:color w:val="000000"/>
                <w:szCs w:val="22"/>
              </w:rPr>
              <w:t>0</w:t>
            </w:r>
          </w:p>
        </w:tc>
        <w:tc>
          <w:tcPr>
            <w:tcW w:w="732" w:type="dxa"/>
            <w:tcBorders>
              <w:top w:val="nil"/>
              <w:bottom w:val="single" w:sz="4" w:space="0" w:color="auto"/>
              <w:right w:val="single" w:sz="4" w:space="0" w:color="auto"/>
            </w:tcBorders>
          </w:tcPr>
          <w:p w:rsidR="0060518B" w:rsidRDefault="0060518B" w:rsidP="0060518B">
            <w:pPr>
              <w:jc w:val="center"/>
              <w:rPr>
                <w:rFonts w:ascii="Calibri" w:hAnsi="Calibri"/>
                <w:color w:val="000000"/>
                <w:szCs w:val="22"/>
              </w:rPr>
            </w:pPr>
            <w:r>
              <w:rPr>
                <w:rFonts w:ascii="Calibri" w:hAnsi="Calibri"/>
                <w:color w:val="000000"/>
                <w:szCs w:val="22"/>
              </w:rPr>
              <w:t>0</w:t>
            </w:r>
          </w:p>
        </w:tc>
        <w:tc>
          <w:tcPr>
            <w:tcW w:w="1541" w:type="dxa"/>
            <w:tcBorders>
              <w:top w:val="nil"/>
              <w:left w:val="single" w:sz="4" w:space="0" w:color="auto"/>
              <w:bottom w:val="single" w:sz="4" w:space="0" w:color="auto"/>
            </w:tcBorders>
          </w:tcPr>
          <w:p w:rsidR="0060518B" w:rsidRDefault="0060518B" w:rsidP="00640542">
            <w:pPr>
              <w:jc w:val="center"/>
              <w:rPr>
                <w:rFonts w:ascii="Calibri" w:hAnsi="Calibri"/>
                <w:b/>
                <w:bCs/>
                <w:color w:val="000000"/>
                <w:szCs w:val="22"/>
              </w:rPr>
            </w:pPr>
            <w:r>
              <w:rPr>
                <w:rFonts w:ascii="Calibri" w:hAnsi="Calibri"/>
                <w:b/>
                <w:bCs/>
                <w:color w:val="000000"/>
                <w:szCs w:val="22"/>
              </w:rPr>
              <w:t>-</w:t>
            </w:r>
          </w:p>
        </w:tc>
      </w:tr>
      <w:tr w:rsidR="0060518B" w:rsidRPr="009C0F76" w:rsidTr="00D84B53">
        <w:trPr>
          <w:trHeight w:val="300"/>
        </w:trPr>
        <w:tc>
          <w:tcPr>
            <w:tcW w:w="2027" w:type="dxa"/>
            <w:tcBorders>
              <w:top w:val="single" w:sz="4" w:space="0" w:color="auto"/>
              <w:bottom w:val="single" w:sz="4" w:space="0" w:color="auto"/>
            </w:tcBorders>
            <w:noWrap/>
          </w:tcPr>
          <w:p w:rsidR="0060518B" w:rsidRDefault="0060518B" w:rsidP="00544BDB">
            <w:pPr>
              <w:spacing w:before="120" w:after="120"/>
              <w:rPr>
                <w:b/>
                <w:color w:val="000000"/>
                <w:szCs w:val="22"/>
              </w:rPr>
            </w:pPr>
            <w:r>
              <w:rPr>
                <w:b/>
                <w:color w:val="000000"/>
                <w:szCs w:val="22"/>
              </w:rPr>
              <w:t>Total</w:t>
            </w:r>
          </w:p>
        </w:tc>
        <w:tc>
          <w:tcPr>
            <w:tcW w:w="731" w:type="dxa"/>
            <w:tcBorders>
              <w:top w:val="single" w:sz="4" w:space="0" w:color="auto"/>
              <w:bottom w:val="single" w:sz="4" w:space="0" w:color="auto"/>
            </w:tcBorders>
            <w:noWrap/>
          </w:tcPr>
          <w:p w:rsidR="0060518B" w:rsidRDefault="0060518B" w:rsidP="0060518B">
            <w:pPr>
              <w:jc w:val="center"/>
              <w:rPr>
                <w:rFonts w:ascii="Calibri" w:hAnsi="Calibri"/>
                <w:color w:val="000000"/>
                <w:szCs w:val="22"/>
              </w:rPr>
            </w:pPr>
            <w:r>
              <w:rPr>
                <w:rFonts w:ascii="Calibri" w:hAnsi="Calibri"/>
                <w:color w:val="000000"/>
                <w:szCs w:val="22"/>
              </w:rPr>
              <w:t>2</w:t>
            </w:r>
          </w:p>
        </w:tc>
        <w:tc>
          <w:tcPr>
            <w:tcW w:w="732" w:type="dxa"/>
            <w:tcBorders>
              <w:top w:val="single" w:sz="4" w:space="0" w:color="auto"/>
              <w:bottom w:val="single" w:sz="4" w:space="0" w:color="auto"/>
            </w:tcBorders>
            <w:noWrap/>
          </w:tcPr>
          <w:p w:rsidR="0060518B" w:rsidRDefault="0060518B" w:rsidP="0060518B">
            <w:pPr>
              <w:jc w:val="center"/>
              <w:rPr>
                <w:rFonts w:ascii="Calibri" w:hAnsi="Calibri"/>
                <w:color w:val="000000"/>
                <w:szCs w:val="22"/>
              </w:rPr>
            </w:pPr>
            <w:r>
              <w:rPr>
                <w:rFonts w:ascii="Calibri" w:hAnsi="Calibri"/>
                <w:color w:val="000000"/>
                <w:szCs w:val="22"/>
              </w:rPr>
              <w:t>30</w:t>
            </w:r>
          </w:p>
        </w:tc>
        <w:tc>
          <w:tcPr>
            <w:tcW w:w="732" w:type="dxa"/>
            <w:tcBorders>
              <w:top w:val="single" w:sz="4" w:space="0" w:color="auto"/>
              <w:bottom w:val="single" w:sz="4" w:space="0" w:color="auto"/>
            </w:tcBorders>
            <w:noWrap/>
          </w:tcPr>
          <w:p w:rsidR="0060518B" w:rsidRDefault="0060518B" w:rsidP="0060518B">
            <w:pPr>
              <w:jc w:val="center"/>
              <w:rPr>
                <w:rFonts w:ascii="Calibri" w:hAnsi="Calibri"/>
                <w:color w:val="000000"/>
                <w:szCs w:val="22"/>
              </w:rPr>
            </w:pPr>
            <w:r>
              <w:rPr>
                <w:rFonts w:ascii="Calibri" w:hAnsi="Calibri"/>
                <w:color w:val="000000"/>
                <w:szCs w:val="22"/>
              </w:rPr>
              <w:t>108</w:t>
            </w:r>
          </w:p>
        </w:tc>
        <w:tc>
          <w:tcPr>
            <w:tcW w:w="732" w:type="dxa"/>
            <w:tcBorders>
              <w:top w:val="single" w:sz="4" w:space="0" w:color="auto"/>
              <w:bottom w:val="single" w:sz="4" w:space="0" w:color="auto"/>
            </w:tcBorders>
            <w:noWrap/>
          </w:tcPr>
          <w:p w:rsidR="0060518B" w:rsidRDefault="0060518B" w:rsidP="0060518B">
            <w:pPr>
              <w:jc w:val="center"/>
              <w:rPr>
                <w:rFonts w:ascii="Calibri" w:hAnsi="Calibri"/>
                <w:color w:val="000000"/>
                <w:szCs w:val="22"/>
              </w:rPr>
            </w:pPr>
            <w:r>
              <w:rPr>
                <w:rFonts w:ascii="Calibri" w:hAnsi="Calibri"/>
                <w:color w:val="000000"/>
                <w:szCs w:val="22"/>
              </w:rPr>
              <w:t>72</w:t>
            </w:r>
          </w:p>
        </w:tc>
        <w:tc>
          <w:tcPr>
            <w:tcW w:w="731" w:type="dxa"/>
            <w:tcBorders>
              <w:top w:val="single" w:sz="4" w:space="0" w:color="auto"/>
              <w:bottom w:val="single" w:sz="4" w:space="0" w:color="auto"/>
            </w:tcBorders>
            <w:noWrap/>
          </w:tcPr>
          <w:p w:rsidR="0060518B" w:rsidRDefault="0060518B" w:rsidP="0060518B">
            <w:pPr>
              <w:jc w:val="center"/>
              <w:rPr>
                <w:rFonts w:ascii="Calibri" w:hAnsi="Calibri"/>
                <w:color w:val="000000"/>
                <w:szCs w:val="22"/>
              </w:rPr>
            </w:pPr>
            <w:r>
              <w:rPr>
                <w:rFonts w:ascii="Calibri" w:hAnsi="Calibri"/>
                <w:color w:val="000000"/>
                <w:szCs w:val="22"/>
              </w:rPr>
              <w:t>25</w:t>
            </w:r>
          </w:p>
        </w:tc>
        <w:tc>
          <w:tcPr>
            <w:tcW w:w="732" w:type="dxa"/>
            <w:tcBorders>
              <w:top w:val="single" w:sz="4" w:space="0" w:color="auto"/>
              <w:bottom w:val="single" w:sz="4" w:space="0" w:color="auto"/>
            </w:tcBorders>
            <w:noWrap/>
          </w:tcPr>
          <w:p w:rsidR="0060518B" w:rsidRDefault="0060518B" w:rsidP="0060518B">
            <w:pPr>
              <w:jc w:val="center"/>
              <w:rPr>
                <w:rFonts w:ascii="Calibri" w:hAnsi="Calibri"/>
                <w:color w:val="000000"/>
                <w:szCs w:val="22"/>
              </w:rPr>
            </w:pPr>
            <w:r>
              <w:rPr>
                <w:rFonts w:ascii="Calibri" w:hAnsi="Calibri"/>
                <w:color w:val="000000"/>
                <w:szCs w:val="22"/>
              </w:rPr>
              <w:t>4</w:t>
            </w:r>
          </w:p>
        </w:tc>
        <w:tc>
          <w:tcPr>
            <w:tcW w:w="732" w:type="dxa"/>
            <w:tcBorders>
              <w:top w:val="single" w:sz="4" w:space="0" w:color="auto"/>
              <w:bottom w:val="single" w:sz="4" w:space="0" w:color="auto"/>
            </w:tcBorders>
          </w:tcPr>
          <w:p w:rsidR="0060518B" w:rsidRDefault="0060518B" w:rsidP="0060518B">
            <w:pPr>
              <w:jc w:val="center"/>
              <w:rPr>
                <w:rFonts w:ascii="Calibri" w:hAnsi="Calibri"/>
                <w:color w:val="000000"/>
                <w:szCs w:val="22"/>
              </w:rPr>
            </w:pPr>
            <w:r>
              <w:rPr>
                <w:rFonts w:ascii="Calibri" w:hAnsi="Calibri"/>
                <w:color w:val="000000"/>
                <w:szCs w:val="22"/>
              </w:rPr>
              <w:t>0</w:t>
            </w:r>
          </w:p>
        </w:tc>
        <w:tc>
          <w:tcPr>
            <w:tcW w:w="732" w:type="dxa"/>
            <w:tcBorders>
              <w:top w:val="single" w:sz="4" w:space="0" w:color="auto"/>
              <w:bottom w:val="single" w:sz="4" w:space="0" w:color="auto"/>
            </w:tcBorders>
          </w:tcPr>
          <w:p w:rsidR="0060518B" w:rsidRDefault="0060518B" w:rsidP="0060518B">
            <w:pPr>
              <w:jc w:val="center"/>
              <w:rPr>
                <w:rFonts w:ascii="Calibri" w:hAnsi="Calibri"/>
                <w:color w:val="000000"/>
                <w:szCs w:val="22"/>
              </w:rPr>
            </w:pPr>
            <w:r>
              <w:rPr>
                <w:rFonts w:ascii="Calibri" w:hAnsi="Calibri"/>
                <w:color w:val="000000"/>
                <w:szCs w:val="22"/>
              </w:rPr>
              <w:t>0</w:t>
            </w:r>
          </w:p>
        </w:tc>
        <w:tc>
          <w:tcPr>
            <w:tcW w:w="732" w:type="dxa"/>
            <w:tcBorders>
              <w:top w:val="single" w:sz="4" w:space="0" w:color="auto"/>
              <w:bottom w:val="single" w:sz="4" w:space="0" w:color="auto"/>
              <w:right w:val="single" w:sz="4" w:space="0" w:color="auto"/>
            </w:tcBorders>
          </w:tcPr>
          <w:p w:rsidR="0060518B" w:rsidRDefault="0060518B" w:rsidP="0060518B">
            <w:pPr>
              <w:jc w:val="center"/>
              <w:rPr>
                <w:rFonts w:ascii="Calibri" w:hAnsi="Calibri"/>
                <w:color w:val="000000"/>
                <w:szCs w:val="22"/>
              </w:rPr>
            </w:pPr>
            <w:r>
              <w:rPr>
                <w:rFonts w:ascii="Calibri" w:hAnsi="Calibri"/>
                <w:color w:val="000000"/>
                <w:szCs w:val="22"/>
              </w:rPr>
              <w:t>0</w:t>
            </w:r>
          </w:p>
        </w:tc>
        <w:tc>
          <w:tcPr>
            <w:tcW w:w="1541" w:type="dxa"/>
            <w:tcBorders>
              <w:top w:val="single" w:sz="4" w:space="0" w:color="auto"/>
              <w:left w:val="single" w:sz="4" w:space="0" w:color="auto"/>
              <w:bottom w:val="single" w:sz="4" w:space="0" w:color="auto"/>
            </w:tcBorders>
          </w:tcPr>
          <w:p w:rsidR="0060518B" w:rsidRDefault="0060518B">
            <w:pPr>
              <w:jc w:val="center"/>
              <w:rPr>
                <w:rFonts w:ascii="Calibri" w:hAnsi="Calibri"/>
                <w:b/>
                <w:bCs/>
                <w:color w:val="000000"/>
                <w:szCs w:val="22"/>
              </w:rPr>
            </w:pPr>
            <w:r>
              <w:rPr>
                <w:rFonts w:ascii="Calibri" w:hAnsi="Calibri"/>
                <w:b/>
                <w:bCs/>
                <w:color w:val="000000"/>
                <w:szCs w:val="22"/>
              </w:rPr>
              <w:t>1.53</w:t>
            </w:r>
          </w:p>
        </w:tc>
      </w:tr>
    </w:tbl>
    <w:p w:rsidR="00403889" w:rsidRDefault="00403889" w:rsidP="00F16A28">
      <w:pPr>
        <w:pStyle w:val="FootnoteText"/>
      </w:pPr>
      <w:r w:rsidRPr="006C6CA8">
        <w:t>Note: Rating benchmark i</w:t>
      </w:r>
      <w:r>
        <w:t>s</w:t>
      </w:r>
      <w:r w:rsidRPr="006C6CA8">
        <w:t xml:space="preserve"> based on the </w:t>
      </w:r>
      <w:r>
        <w:t xml:space="preserve">standalone </w:t>
      </w:r>
      <w:r w:rsidRPr="006C6CA8">
        <w:t>ratings assigned by the three international rating agencies (S&amp;P, Moody’s and Fitch)</w:t>
      </w:r>
    </w:p>
    <w:p w:rsidR="008019A5" w:rsidRDefault="00D7173E" w:rsidP="00F16A28">
      <w:pPr>
        <w:pStyle w:val="FootnoteText"/>
        <w:rPr>
          <w:i/>
        </w:rPr>
      </w:pPr>
      <w:r>
        <w:t>Source:</w:t>
      </w:r>
      <w:r w:rsidRPr="005C1F8E">
        <w:t xml:space="preserve"> </w:t>
      </w:r>
      <w:r>
        <w:t xml:space="preserve">Joint Committee analysis based on </w:t>
      </w:r>
      <w:r w:rsidR="007A63D3">
        <w:t>data provided by Dagong</w:t>
      </w:r>
      <w:r w:rsidRPr="00716BF7" w:rsidDel="00831E3E">
        <w:rPr>
          <w:i/>
        </w:rPr>
        <w:t xml:space="preserve"> </w:t>
      </w:r>
      <w:bookmarkStart w:id="14" w:name="_Ref385248078"/>
    </w:p>
    <w:bookmarkEnd w:id="14"/>
    <w:p w:rsidR="001B5755" w:rsidRDefault="001B5755" w:rsidP="00DB634B">
      <w:pPr>
        <w:sectPr w:rsidR="001B5755" w:rsidSect="00EF0693">
          <w:pgSz w:w="16840" w:h="11900" w:orient="landscape"/>
          <w:pgMar w:top="1701" w:right="2268" w:bottom="1418" w:left="1134" w:header="709" w:footer="709" w:gutter="0"/>
          <w:cols w:space="708"/>
          <w:titlePg/>
          <w:docGrid w:linePitch="299"/>
        </w:sectPr>
      </w:pPr>
    </w:p>
    <w:p w:rsidR="001B5755" w:rsidRDefault="00DF76E0" w:rsidP="00DF76E0">
      <w:pPr>
        <w:pStyle w:val="Figuretitle"/>
      </w:pPr>
      <w:bookmarkStart w:id="15" w:name="_Ref391022817"/>
      <w:r w:rsidRPr="0041788D">
        <w:rPr>
          <w:szCs w:val="22"/>
        </w:rPr>
        <w:lastRenderedPageBreak/>
        <w:t xml:space="preserve">Figure </w:t>
      </w:r>
      <w:bookmarkEnd w:id="15"/>
      <w:r w:rsidR="00985871">
        <w:rPr>
          <w:szCs w:val="22"/>
        </w:rPr>
        <w:t>8</w:t>
      </w:r>
      <w:r>
        <w:t>:</w:t>
      </w:r>
      <w:r w:rsidRPr="00E25C65">
        <w:t xml:space="preserve"> </w:t>
      </w:r>
      <w:r w:rsidR="001B5755">
        <w:t>Differences in distribution of Dagong indicative ratings and Benchmark standalone ratings</w:t>
      </w:r>
    </w:p>
    <w:p w:rsidR="004C1A52" w:rsidRDefault="000D365C" w:rsidP="00DB634B">
      <w:r>
        <w:rPr>
          <w:noProof/>
          <w:lang w:eastAsia="en-GB"/>
        </w:rPr>
        <w:drawing>
          <wp:inline distT="0" distB="0" distL="0" distR="0" wp14:anchorId="1E293D22" wp14:editId="2F1AFEA5">
            <wp:extent cx="2562045" cy="3821502"/>
            <wp:effectExtent l="0" t="0" r="10160" b="266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B5755" w:rsidRDefault="001B5755" w:rsidP="00F16A28">
      <w:pPr>
        <w:pStyle w:val="FootnoteText"/>
      </w:pPr>
      <w:r>
        <w:t>Source: JC analysis based on data provided by Dagong</w:t>
      </w:r>
    </w:p>
    <w:p w:rsidR="001B5755" w:rsidRDefault="001B5755" w:rsidP="00F16A28">
      <w:pPr>
        <w:pStyle w:val="FootnoteText"/>
      </w:pPr>
    </w:p>
    <w:p w:rsidR="00B96946" w:rsidRDefault="006D59E9" w:rsidP="00B96946">
      <w:r>
        <w:fldChar w:fldCharType="begin"/>
      </w:r>
      <w:r>
        <w:instrText xml:space="preserve"> REF _Ref391022817 \h </w:instrText>
      </w:r>
      <w:r>
        <w:fldChar w:fldCharType="separate"/>
      </w:r>
      <w:r w:rsidR="009F2323" w:rsidRPr="0041788D">
        <w:rPr>
          <w:szCs w:val="22"/>
        </w:rPr>
        <w:t xml:space="preserve">Figure </w:t>
      </w:r>
      <w:r w:rsidR="009F2323">
        <w:rPr>
          <w:noProof/>
          <w:szCs w:val="22"/>
        </w:rPr>
        <w:t>9</w:t>
      </w:r>
      <w:r>
        <w:fldChar w:fldCharType="end"/>
      </w:r>
      <w:r>
        <w:t xml:space="preserve"> </w:t>
      </w:r>
      <w:r w:rsidR="00B96946">
        <w:t>shows the distribution of Dagong indicative ratings and standalone ratings of Benchmark ECAIS by rating category for the same sample of rated companies.</w:t>
      </w:r>
    </w:p>
    <w:p w:rsidR="00B96946" w:rsidRDefault="00B96946" w:rsidP="00B96946"/>
    <w:p w:rsidR="00B96946" w:rsidRDefault="00B96946" w:rsidP="00B96946">
      <w:r>
        <w:t>As can be observed on the chart, the indicative ratings are less favourable compared to the standalone benchmark ratings. The ratings are mostly in the investment grade, due to the concentration of the sample in the leading companies in the industries included in the sample.</w:t>
      </w:r>
    </w:p>
    <w:p w:rsidR="00B96946" w:rsidRDefault="00B96946" w:rsidP="00B96946"/>
    <w:p w:rsidR="00B96946" w:rsidRPr="00FC5912" w:rsidRDefault="00B96946" w:rsidP="00B96946">
      <w:pPr>
        <w:sectPr w:rsidR="00B96946" w:rsidRPr="00FC5912" w:rsidSect="001B5755">
          <w:pgSz w:w="11900" w:h="16840"/>
          <w:pgMar w:top="2268" w:right="1418" w:bottom="1134" w:left="1701" w:header="709" w:footer="709" w:gutter="0"/>
          <w:cols w:space="708"/>
          <w:titlePg/>
          <w:docGrid w:linePitch="299"/>
        </w:sectPr>
      </w:pPr>
    </w:p>
    <w:p w:rsidR="00F815E0" w:rsidRDefault="00F434D1" w:rsidP="00D84B53">
      <w:pPr>
        <w:pStyle w:val="Titlelevel2"/>
        <w:outlineLvl w:val="0"/>
      </w:pPr>
      <w:r w:rsidRPr="00BE6527">
        <w:lastRenderedPageBreak/>
        <w:t xml:space="preserve">Appendix </w:t>
      </w:r>
      <w:r w:rsidR="00E96524">
        <w:t>5</w:t>
      </w:r>
      <w:r w:rsidRPr="00BE6527">
        <w:t>: Mappings of each rating scale</w:t>
      </w:r>
    </w:p>
    <w:p w:rsidR="00157D76" w:rsidRPr="00E25C65" w:rsidRDefault="0041788D" w:rsidP="00157D76">
      <w:pPr>
        <w:pStyle w:val="Figuretitle"/>
      </w:pPr>
      <w:bookmarkStart w:id="16" w:name="_Ref384809626"/>
      <w:r w:rsidRPr="0041788D">
        <w:rPr>
          <w:szCs w:val="22"/>
        </w:rPr>
        <w:t>Figure</w:t>
      </w:r>
      <w:bookmarkEnd w:id="16"/>
      <w:r w:rsidR="00985871">
        <w:rPr>
          <w:szCs w:val="22"/>
        </w:rPr>
        <w:t xml:space="preserve"> 9</w:t>
      </w:r>
      <w:r w:rsidR="00157D76">
        <w:t>:</w:t>
      </w:r>
      <w:r w:rsidR="00157D76" w:rsidRPr="00E25C65">
        <w:t xml:space="preserve"> Mapping of </w:t>
      </w:r>
      <w:r w:rsidR="00EF0693">
        <w:t>Dagong</w:t>
      </w:r>
      <w:r w:rsidR="00157D76" w:rsidRPr="00E25C65">
        <w:t>’s Long-term credit rating scale</w:t>
      </w:r>
    </w:p>
    <w:tbl>
      <w:tblPr>
        <w:tblStyle w:val="TableGrid"/>
        <w:tblW w:w="14034" w:type="dxa"/>
        <w:tblInd w:w="108" w:type="dxa"/>
        <w:tblLayout w:type="fixed"/>
        <w:tblLook w:val="04A0" w:firstRow="1" w:lastRow="0" w:firstColumn="1" w:lastColumn="0" w:noHBand="0" w:noVBand="1"/>
      </w:tblPr>
      <w:tblGrid>
        <w:gridCol w:w="1418"/>
        <w:gridCol w:w="1417"/>
        <w:gridCol w:w="1418"/>
        <w:gridCol w:w="1417"/>
        <w:gridCol w:w="8364"/>
      </w:tblGrid>
      <w:tr w:rsidR="00157D76" w:rsidRPr="00157D76" w:rsidTr="00157D76">
        <w:trPr>
          <w:cnfStyle w:val="100000000000" w:firstRow="1" w:lastRow="0" w:firstColumn="0" w:lastColumn="0" w:oddVBand="0" w:evenVBand="0" w:oddHBand="0" w:evenHBand="0" w:firstRowFirstColumn="0" w:firstRowLastColumn="0" w:lastRowFirstColumn="0" w:lastRowLastColumn="0"/>
          <w:trHeight w:val="567"/>
        </w:trPr>
        <w:tc>
          <w:tcPr>
            <w:tcW w:w="1418" w:type="dxa"/>
            <w:tcBorders>
              <w:bottom w:val="single" w:sz="18" w:space="0" w:color="E98E31" w:themeColor="background2"/>
            </w:tcBorders>
          </w:tcPr>
          <w:p w:rsidR="00157D76" w:rsidRPr="00157D76" w:rsidRDefault="00157D76" w:rsidP="00157D76">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assessment</w:t>
            </w:r>
          </w:p>
        </w:tc>
        <w:tc>
          <w:tcPr>
            <w:tcW w:w="1417" w:type="dxa"/>
            <w:tcBorders>
              <w:bottom w:val="single" w:sz="18" w:space="0" w:color="E98E31" w:themeColor="background2"/>
            </w:tcBorders>
          </w:tcPr>
          <w:p w:rsidR="00157D76" w:rsidRPr="00157D76" w:rsidRDefault="00157D76" w:rsidP="00485855">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 xml:space="preserve">Initial mapping </w:t>
            </w:r>
            <w:r w:rsidRPr="00157D76">
              <w:rPr>
                <w:rFonts w:asciiTheme="majorHAnsi" w:hAnsiTheme="majorHAnsi" w:cs="Arial"/>
                <w:b/>
                <w:i/>
                <w:sz w:val="22"/>
                <w:szCs w:val="22"/>
              </w:rPr>
              <w:t>based on LR DR</w:t>
            </w:r>
            <w:r w:rsidR="00485855">
              <w:rPr>
                <w:rFonts w:asciiTheme="majorHAnsi" w:hAnsiTheme="majorHAnsi" w:cs="Arial"/>
                <w:b/>
                <w:i/>
                <w:sz w:val="22"/>
                <w:szCs w:val="22"/>
              </w:rPr>
              <w:t xml:space="preserve"> </w:t>
            </w:r>
            <w:r w:rsidRPr="00157D76">
              <w:rPr>
                <w:rFonts w:asciiTheme="majorHAnsi" w:hAnsiTheme="majorHAnsi" w:cs="Arial"/>
                <w:b/>
                <w:sz w:val="22"/>
                <w:szCs w:val="22"/>
              </w:rPr>
              <w:t>(CQS)</w:t>
            </w:r>
          </w:p>
        </w:tc>
        <w:tc>
          <w:tcPr>
            <w:tcW w:w="1418" w:type="dxa"/>
            <w:tcBorders>
              <w:bottom w:val="single" w:sz="18" w:space="0" w:color="E98E31" w:themeColor="background2"/>
            </w:tcBorders>
          </w:tcPr>
          <w:p w:rsidR="00157D76" w:rsidRPr="00157D76" w:rsidRDefault="00157D76" w:rsidP="00485855">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 xml:space="preserve">Review </w:t>
            </w:r>
            <w:r w:rsidRPr="00157D76">
              <w:rPr>
                <w:rFonts w:asciiTheme="majorHAnsi" w:hAnsiTheme="majorHAnsi" w:cs="Arial"/>
                <w:b/>
                <w:i/>
                <w:sz w:val="22"/>
                <w:szCs w:val="22"/>
              </w:rPr>
              <w:t>based on SR DR</w:t>
            </w:r>
            <w:r w:rsidR="00485855">
              <w:rPr>
                <w:rFonts w:asciiTheme="majorHAnsi" w:hAnsiTheme="majorHAnsi" w:cs="Arial"/>
                <w:b/>
                <w:i/>
                <w:sz w:val="22"/>
                <w:szCs w:val="22"/>
              </w:rPr>
              <w:t xml:space="preserve"> </w:t>
            </w:r>
            <w:r w:rsidRPr="00157D76">
              <w:rPr>
                <w:rFonts w:asciiTheme="majorHAnsi" w:hAnsiTheme="majorHAnsi" w:cs="Arial"/>
                <w:b/>
                <w:sz w:val="22"/>
                <w:szCs w:val="22"/>
              </w:rPr>
              <w:t>(CQS)</w:t>
            </w:r>
          </w:p>
        </w:tc>
        <w:tc>
          <w:tcPr>
            <w:tcW w:w="1417" w:type="dxa"/>
            <w:tcBorders>
              <w:bottom w:val="single" w:sz="18" w:space="0" w:color="E98E31" w:themeColor="background2"/>
            </w:tcBorders>
          </w:tcPr>
          <w:p w:rsidR="00157D76" w:rsidRPr="00157D76" w:rsidRDefault="00157D76" w:rsidP="00485855">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 xml:space="preserve">Final review </w:t>
            </w:r>
            <w:r w:rsidRPr="00157D76">
              <w:rPr>
                <w:rFonts w:asciiTheme="majorHAnsi" w:hAnsiTheme="majorHAnsi" w:cs="Arial"/>
                <w:b/>
                <w:i/>
                <w:sz w:val="22"/>
                <w:szCs w:val="22"/>
              </w:rPr>
              <w:t>based on qualitative factors</w:t>
            </w:r>
            <w:r w:rsidRPr="00157D76">
              <w:rPr>
                <w:rFonts w:asciiTheme="majorHAnsi" w:hAnsiTheme="majorHAnsi" w:cs="Arial"/>
                <w:b/>
                <w:sz w:val="22"/>
                <w:szCs w:val="22"/>
              </w:rPr>
              <w:t xml:space="preserve"> (CQS)</w:t>
            </w:r>
          </w:p>
        </w:tc>
        <w:tc>
          <w:tcPr>
            <w:tcW w:w="8364" w:type="dxa"/>
            <w:tcBorders>
              <w:bottom w:val="single" w:sz="18" w:space="0" w:color="E98E31" w:themeColor="background2"/>
            </w:tcBorders>
          </w:tcPr>
          <w:p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Main reason for the mapping</w:t>
            </w:r>
          </w:p>
        </w:tc>
      </w:tr>
      <w:tr w:rsidR="00D74683" w:rsidRPr="00157D76" w:rsidTr="00157D76">
        <w:trPr>
          <w:trHeight w:val="567"/>
        </w:trPr>
        <w:tc>
          <w:tcPr>
            <w:tcW w:w="1418" w:type="dxa"/>
            <w:tcBorders>
              <w:top w:val="single" w:sz="18" w:space="0" w:color="E98E31" w:themeColor="background2"/>
              <w:bottom w:val="dashed" w:sz="4" w:space="0" w:color="auto"/>
            </w:tcBorders>
          </w:tcPr>
          <w:p w:rsidR="00D74683" w:rsidRPr="00157D76" w:rsidRDefault="00D74683"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AAA</w:t>
            </w:r>
          </w:p>
        </w:tc>
        <w:tc>
          <w:tcPr>
            <w:tcW w:w="1417" w:type="dxa"/>
            <w:tcBorders>
              <w:top w:val="single" w:sz="18" w:space="0" w:color="E98E31" w:themeColor="background2"/>
              <w:bottom w:val="dashed" w:sz="4" w:space="0" w:color="auto"/>
            </w:tcBorders>
          </w:tcPr>
          <w:p w:rsidR="00D74683" w:rsidRPr="00157D76" w:rsidRDefault="006D59E9"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1</w:t>
            </w:r>
          </w:p>
        </w:tc>
        <w:tc>
          <w:tcPr>
            <w:tcW w:w="1418" w:type="dxa"/>
            <w:tcBorders>
              <w:top w:val="single" w:sz="18" w:space="0" w:color="E98E31" w:themeColor="background2"/>
              <w:bottom w:val="dashed" w:sz="4" w:space="0" w:color="auto"/>
            </w:tcBorders>
          </w:tcPr>
          <w:p w:rsidR="00D74683" w:rsidRPr="00157D76" w:rsidRDefault="00D74683"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18" w:space="0" w:color="E98E31" w:themeColor="background2"/>
              <w:bottom w:val="single" w:sz="4" w:space="0" w:color="auto"/>
            </w:tcBorders>
          </w:tcPr>
          <w:p w:rsidR="00D74683" w:rsidRPr="00157D76" w:rsidRDefault="006D59E9" w:rsidP="00D7468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c>
          <w:tcPr>
            <w:tcW w:w="8364" w:type="dxa"/>
            <w:vMerge w:val="restart"/>
            <w:tcBorders>
              <w:top w:val="single" w:sz="18" w:space="0" w:color="E98E31" w:themeColor="background2"/>
            </w:tcBorders>
          </w:tcPr>
          <w:p w:rsidR="00D74683" w:rsidRPr="00157D76" w:rsidRDefault="00EF0693" w:rsidP="0049465C">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r w:rsidR="006D59E9">
              <w:rPr>
                <w:rFonts w:asciiTheme="majorHAnsi" w:hAnsiTheme="majorHAnsi"/>
                <w:sz w:val="22"/>
                <w:szCs w:val="22"/>
              </w:rPr>
              <w:t xml:space="preserve"> The benchmarking confirms this.</w:t>
            </w:r>
          </w:p>
        </w:tc>
      </w:tr>
      <w:tr w:rsidR="00D74683" w:rsidRPr="00157D76" w:rsidTr="00157D76">
        <w:trPr>
          <w:trHeight w:val="567"/>
        </w:trPr>
        <w:tc>
          <w:tcPr>
            <w:tcW w:w="1418" w:type="dxa"/>
            <w:tcBorders>
              <w:bottom w:val="dashed" w:sz="4" w:space="0" w:color="auto"/>
            </w:tcBorders>
          </w:tcPr>
          <w:p w:rsidR="00D74683" w:rsidRPr="00157D76" w:rsidRDefault="00D74683"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w:t>
            </w:r>
          </w:p>
        </w:tc>
        <w:tc>
          <w:tcPr>
            <w:tcW w:w="1417" w:type="dxa"/>
            <w:tcBorders>
              <w:bottom w:val="dashed" w:sz="4" w:space="0" w:color="auto"/>
            </w:tcBorders>
          </w:tcPr>
          <w:p w:rsidR="00D74683" w:rsidRPr="00157D76" w:rsidRDefault="006D59E9"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1</w:t>
            </w:r>
          </w:p>
        </w:tc>
        <w:tc>
          <w:tcPr>
            <w:tcW w:w="1418" w:type="dxa"/>
            <w:tcBorders>
              <w:bottom w:val="dashed" w:sz="4" w:space="0" w:color="auto"/>
            </w:tcBorders>
          </w:tcPr>
          <w:p w:rsidR="00D74683" w:rsidRPr="00157D76" w:rsidRDefault="00D74683"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bottom w:val="single" w:sz="4" w:space="0" w:color="auto"/>
            </w:tcBorders>
          </w:tcPr>
          <w:p w:rsidR="00D74683" w:rsidRPr="00157D76" w:rsidRDefault="006D59E9" w:rsidP="00D7468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c>
          <w:tcPr>
            <w:tcW w:w="8364" w:type="dxa"/>
            <w:vMerge/>
            <w:tcBorders>
              <w:bottom w:val="dashed" w:sz="4" w:space="0" w:color="auto"/>
            </w:tcBorders>
          </w:tcPr>
          <w:p w:rsidR="00D74683" w:rsidRPr="00157D76" w:rsidRDefault="00D74683" w:rsidP="00D74683">
            <w:pPr>
              <w:pStyle w:val="BodyText1"/>
              <w:spacing w:before="120" w:after="120"/>
              <w:rPr>
                <w:rFonts w:asciiTheme="majorHAnsi" w:hAnsiTheme="majorHAnsi"/>
                <w:sz w:val="22"/>
                <w:szCs w:val="22"/>
              </w:rPr>
            </w:pPr>
          </w:p>
        </w:tc>
      </w:tr>
      <w:tr w:rsidR="00EF0693" w:rsidRPr="00157D76" w:rsidTr="00EF0693">
        <w:trPr>
          <w:trHeight w:val="567"/>
        </w:trPr>
        <w:tc>
          <w:tcPr>
            <w:tcW w:w="1418" w:type="dxa"/>
            <w:tcBorders>
              <w:bottom w:val="dashed" w:sz="4" w:space="0" w:color="auto"/>
            </w:tcBorders>
          </w:tcPr>
          <w:p w:rsidR="00EF0693" w:rsidRPr="00157D76" w:rsidRDefault="00EF0693"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w:t>
            </w:r>
          </w:p>
        </w:tc>
        <w:tc>
          <w:tcPr>
            <w:tcW w:w="1417" w:type="dxa"/>
            <w:tcBorders>
              <w:bottom w:val="dashed" w:sz="4" w:space="0" w:color="auto"/>
            </w:tcBorders>
          </w:tcPr>
          <w:p w:rsidR="00EF0693" w:rsidRPr="00157D76" w:rsidRDefault="00EF0693"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2</w:t>
            </w:r>
          </w:p>
        </w:tc>
        <w:tc>
          <w:tcPr>
            <w:tcW w:w="1418" w:type="dxa"/>
            <w:tcBorders>
              <w:bottom w:val="dashed" w:sz="4" w:space="0" w:color="auto"/>
            </w:tcBorders>
          </w:tcPr>
          <w:p w:rsidR="00EF0693" w:rsidRDefault="00EF0693" w:rsidP="00EF0693">
            <w:pPr>
              <w:jc w:val="center"/>
            </w:pPr>
            <w:r w:rsidRPr="0061029F">
              <w:rPr>
                <w:rFonts w:asciiTheme="majorHAnsi" w:hAnsiTheme="majorHAnsi" w:cs="Arial"/>
                <w:szCs w:val="22"/>
              </w:rPr>
              <w:t>n.a.</w:t>
            </w:r>
          </w:p>
        </w:tc>
        <w:tc>
          <w:tcPr>
            <w:tcW w:w="1417" w:type="dxa"/>
            <w:tcBorders>
              <w:top w:val="single" w:sz="4" w:space="0" w:color="auto"/>
              <w:bottom w:val="single" w:sz="4" w:space="0" w:color="auto"/>
            </w:tcBorders>
          </w:tcPr>
          <w:p w:rsidR="00EF0693" w:rsidRPr="00157D76" w:rsidRDefault="00EF0693"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2</w:t>
            </w:r>
          </w:p>
        </w:tc>
        <w:tc>
          <w:tcPr>
            <w:tcW w:w="8364" w:type="dxa"/>
            <w:tcBorders>
              <w:bottom w:val="dashed" w:sz="4" w:space="0" w:color="auto"/>
            </w:tcBorders>
          </w:tcPr>
          <w:p w:rsidR="00EF0693" w:rsidRPr="00157D76" w:rsidRDefault="00EF0693" w:rsidP="00D74683">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r w:rsidR="001324EB">
              <w:rPr>
                <w:rFonts w:asciiTheme="majorHAnsi" w:hAnsiTheme="majorHAnsi"/>
                <w:sz w:val="22"/>
                <w:szCs w:val="22"/>
              </w:rPr>
              <w:t xml:space="preserve"> The benchmarking confirms this.</w:t>
            </w:r>
          </w:p>
        </w:tc>
      </w:tr>
      <w:tr w:rsidR="00EF0693" w:rsidRPr="00157D76" w:rsidTr="00EF0693">
        <w:trPr>
          <w:trHeight w:val="567"/>
        </w:trPr>
        <w:tc>
          <w:tcPr>
            <w:tcW w:w="1418" w:type="dxa"/>
          </w:tcPr>
          <w:p w:rsidR="00EF0693" w:rsidRPr="00157D76" w:rsidRDefault="00EF0693"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BBB</w:t>
            </w:r>
          </w:p>
        </w:tc>
        <w:tc>
          <w:tcPr>
            <w:tcW w:w="1417" w:type="dxa"/>
          </w:tcPr>
          <w:p w:rsidR="00EF0693" w:rsidRPr="00157D76" w:rsidRDefault="00EF0693"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3</w:t>
            </w:r>
          </w:p>
        </w:tc>
        <w:tc>
          <w:tcPr>
            <w:tcW w:w="1418" w:type="dxa"/>
          </w:tcPr>
          <w:p w:rsidR="00EF0693" w:rsidRDefault="00EF0693" w:rsidP="00EF0693">
            <w:pPr>
              <w:jc w:val="center"/>
            </w:pPr>
            <w:r w:rsidRPr="0061029F">
              <w:rPr>
                <w:rFonts w:asciiTheme="majorHAnsi" w:hAnsiTheme="majorHAnsi" w:cs="Arial"/>
                <w:szCs w:val="22"/>
              </w:rPr>
              <w:t>n.a.</w:t>
            </w:r>
          </w:p>
        </w:tc>
        <w:tc>
          <w:tcPr>
            <w:tcW w:w="1417" w:type="dxa"/>
            <w:tcBorders>
              <w:top w:val="single" w:sz="4" w:space="0" w:color="auto"/>
            </w:tcBorders>
          </w:tcPr>
          <w:p w:rsidR="00EF0693" w:rsidRPr="00157D76" w:rsidRDefault="00EF0693"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3</w:t>
            </w:r>
          </w:p>
        </w:tc>
        <w:tc>
          <w:tcPr>
            <w:tcW w:w="8364" w:type="dxa"/>
          </w:tcPr>
          <w:p w:rsidR="00EF0693" w:rsidRPr="00157D76" w:rsidRDefault="00EF0693" w:rsidP="00D74683">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r w:rsidR="001324EB">
              <w:rPr>
                <w:rFonts w:asciiTheme="majorHAnsi" w:hAnsiTheme="majorHAnsi"/>
                <w:sz w:val="22"/>
                <w:szCs w:val="22"/>
              </w:rPr>
              <w:t xml:space="preserve"> The benchmarking confirms this.</w:t>
            </w:r>
          </w:p>
        </w:tc>
      </w:tr>
      <w:tr w:rsidR="00EF0693" w:rsidRPr="00157D76" w:rsidTr="00EF0693">
        <w:trPr>
          <w:trHeight w:val="567"/>
        </w:trPr>
        <w:tc>
          <w:tcPr>
            <w:tcW w:w="1418" w:type="dxa"/>
          </w:tcPr>
          <w:p w:rsidR="00EF0693" w:rsidRPr="00157D76" w:rsidRDefault="00EF0693"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w:t>
            </w:r>
          </w:p>
        </w:tc>
        <w:tc>
          <w:tcPr>
            <w:tcW w:w="1417" w:type="dxa"/>
          </w:tcPr>
          <w:p w:rsidR="00EF0693" w:rsidRPr="00157D76" w:rsidRDefault="006D59E9"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4</w:t>
            </w:r>
          </w:p>
        </w:tc>
        <w:tc>
          <w:tcPr>
            <w:tcW w:w="1418" w:type="dxa"/>
          </w:tcPr>
          <w:p w:rsidR="00EF0693" w:rsidRDefault="00EF0693" w:rsidP="00EF0693">
            <w:pPr>
              <w:jc w:val="center"/>
            </w:pPr>
            <w:r w:rsidRPr="0061029F">
              <w:rPr>
                <w:rFonts w:asciiTheme="majorHAnsi" w:hAnsiTheme="majorHAnsi" w:cs="Arial"/>
                <w:szCs w:val="22"/>
              </w:rPr>
              <w:t>n.a.</w:t>
            </w:r>
          </w:p>
        </w:tc>
        <w:tc>
          <w:tcPr>
            <w:tcW w:w="1417" w:type="dxa"/>
            <w:tcBorders>
              <w:top w:val="single" w:sz="4" w:space="0" w:color="auto"/>
            </w:tcBorders>
          </w:tcPr>
          <w:p w:rsidR="00EF0693" w:rsidRPr="00157D76" w:rsidRDefault="00347F69" w:rsidP="00D7468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4</w:t>
            </w:r>
          </w:p>
        </w:tc>
        <w:tc>
          <w:tcPr>
            <w:tcW w:w="8364" w:type="dxa"/>
          </w:tcPr>
          <w:p w:rsidR="00EF0693" w:rsidRPr="00157D76" w:rsidRDefault="006D59E9" w:rsidP="00F660D4">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r w:rsidR="00347F69">
              <w:rPr>
                <w:rFonts w:asciiTheme="majorHAnsi" w:hAnsiTheme="majorHAnsi"/>
                <w:sz w:val="22"/>
                <w:szCs w:val="22"/>
              </w:rPr>
              <w:t xml:space="preserve"> </w:t>
            </w:r>
            <w:r>
              <w:rPr>
                <w:rFonts w:asciiTheme="majorHAnsi" w:hAnsiTheme="majorHAnsi"/>
                <w:sz w:val="22"/>
                <w:szCs w:val="22"/>
              </w:rPr>
              <w:t>The benchmarking confirms this.</w:t>
            </w:r>
          </w:p>
        </w:tc>
      </w:tr>
      <w:tr w:rsidR="00EF0693" w:rsidRPr="00157D76" w:rsidTr="00EF0693">
        <w:trPr>
          <w:trHeight w:val="567"/>
        </w:trPr>
        <w:tc>
          <w:tcPr>
            <w:tcW w:w="1418" w:type="dxa"/>
          </w:tcPr>
          <w:p w:rsidR="00EF0693" w:rsidRPr="00157D76" w:rsidRDefault="00EF0693"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w:t>
            </w:r>
          </w:p>
        </w:tc>
        <w:tc>
          <w:tcPr>
            <w:tcW w:w="1417" w:type="dxa"/>
          </w:tcPr>
          <w:p w:rsidR="00EF0693" w:rsidRPr="00157D76" w:rsidRDefault="006D59E9"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5</w:t>
            </w:r>
          </w:p>
        </w:tc>
        <w:tc>
          <w:tcPr>
            <w:tcW w:w="1418" w:type="dxa"/>
          </w:tcPr>
          <w:p w:rsidR="00EF0693" w:rsidRDefault="00EF0693" w:rsidP="00EF0693">
            <w:pPr>
              <w:jc w:val="center"/>
            </w:pPr>
            <w:r w:rsidRPr="0061029F">
              <w:rPr>
                <w:rFonts w:asciiTheme="majorHAnsi" w:hAnsiTheme="majorHAnsi" w:cs="Arial"/>
                <w:szCs w:val="22"/>
              </w:rPr>
              <w:t>n.a.</w:t>
            </w:r>
          </w:p>
        </w:tc>
        <w:tc>
          <w:tcPr>
            <w:tcW w:w="1417" w:type="dxa"/>
            <w:tcBorders>
              <w:top w:val="single" w:sz="4" w:space="0" w:color="auto"/>
            </w:tcBorders>
          </w:tcPr>
          <w:p w:rsidR="00EF0693" w:rsidRPr="00157D76" w:rsidRDefault="0060518B" w:rsidP="00D7468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5</w:t>
            </w:r>
          </w:p>
        </w:tc>
        <w:tc>
          <w:tcPr>
            <w:tcW w:w="8364" w:type="dxa"/>
          </w:tcPr>
          <w:p w:rsidR="00EF0693" w:rsidRPr="00157D76" w:rsidRDefault="006D59E9" w:rsidP="001324EB">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r>
              <w:rPr>
                <w:rFonts w:asciiTheme="majorHAnsi" w:hAnsiTheme="majorHAnsi"/>
                <w:sz w:val="22"/>
                <w:szCs w:val="22"/>
              </w:rPr>
              <w:t xml:space="preserve"> The benchmarking confirms this.</w:t>
            </w:r>
          </w:p>
        </w:tc>
      </w:tr>
      <w:tr w:rsidR="00EF0693" w:rsidRPr="00157D76" w:rsidTr="00EF0693">
        <w:trPr>
          <w:trHeight w:val="567"/>
        </w:trPr>
        <w:tc>
          <w:tcPr>
            <w:tcW w:w="1418" w:type="dxa"/>
          </w:tcPr>
          <w:p w:rsidR="00EF0693" w:rsidRPr="00157D76" w:rsidRDefault="00EF0693"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CCC</w:t>
            </w:r>
          </w:p>
        </w:tc>
        <w:tc>
          <w:tcPr>
            <w:tcW w:w="1417" w:type="dxa"/>
          </w:tcPr>
          <w:p w:rsidR="00EF0693" w:rsidRPr="00157D76" w:rsidRDefault="00EF0693"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6</w:t>
            </w:r>
          </w:p>
        </w:tc>
        <w:tc>
          <w:tcPr>
            <w:tcW w:w="1418" w:type="dxa"/>
          </w:tcPr>
          <w:p w:rsidR="00EF0693" w:rsidRDefault="00EF0693" w:rsidP="00EF0693">
            <w:pPr>
              <w:jc w:val="center"/>
            </w:pPr>
            <w:r w:rsidRPr="0061029F">
              <w:rPr>
                <w:rFonts w:asciiTheme="majorHAnsi" w:hAnsiTheme="majorHAnsi" w:cs="Arial"/>
                <w:szCs w:val="22"/>
              </w:rPr>
              <w:t>n.a.</w:t>
            </w:r>
          </w:p>
        </w:tc>
        <w:tc>
          <w:tcPr>
            <w:tcW w:w="1417" w:type="dxa"/>
            <w:tcBorders>
              <w:top w:val="single" w:sz="4" w:space="0" w:color="auto"/>
            </w:tcBorders>
          </w:tcPr>
          <w:p w:rsidR="00EF0693" w:rsidRPr="00157D76" w:rsidRDefault="00EF0693"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c>
          <w:tcPr>
            <w:tcW w:w="8364" w:type="dxa"/>
            <w:vMerge w:val="restart"/>
          </w:tcPr>
          <w:p w:rsidR="00EF0693" w:rsidRPr="00157D76" w:rsidRDefault="00EF0693" w:rsidP="00EF0693">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EF0693" w:rsidRPr="00157D76" w:rsidTr="00EF0693">
        <w:trPr>
          <w:trHeight w:val="567"/>
        </w:trPr>
        <w:tc>
          <w:tcPr>
            <w:tcW w:w="1418" w:type="dxa"/>
          </w:tcPr>
          <w:p w:rsidR="00EF0693" w:rsidRPr="00157D76" w:rsidRDefault="00EF0693"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CC</w:t>
            </w:r>
          </w:p>
        </w:tc>
        <w:tc>
          <w:tcPr>
            <w:tcW w:w="1417" w:type="dxa"/>
          </w:tcPr>
          <w:p w:rsidR="00EF0693" w:rsidRPr="00157D76" w:rsidRDefault="00EF0693"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6</w:t>
            </w:r>
          </w:p>
        </w:tc>
        <w:tc>
          <w:tcPr>
            <w:tcW w:w="1418" w:type="dxa"/>
          </w:tcPr>
          <w:p w:rsidR="00EF0693" w:rsidRDefault="00EF0693" w:rsidP="00EF0693">
            <w:pPr>
              <w:jc w:val="center"/>
            </w:pPr>
            <w:r w:rsidRPr="0061029F">
              <w:rPr>
                <w:rFonts w:asciiTheme="majorHAnsi" w:hAnsiTheme="majorHAnsi" w:cs="Arial"/>
                <w:szCs w:val="22"/>
              </w:rPr>
              <w:t>n.a.</w:t>
            </w:r>
          </w:p>
        </w:tc>
        <w:tc>
          <w:tcPr>
            <w:tcW w:w="1417" w:type="dxa"/>
            <w:tcBorders>
              <w:top w:val="single" w:sz="4" w:space="0" w:color="auto"/>
            </w:tcBorders>
          </w:tcPr>
          <w:p w:rsidR="00EF0693" w:rsidRPr="00157D76" w:rsidRDefault="00EF0693"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c>
          <w:tcPr>
            <w:tcW w:w="8364" w:type="dxa"/>
            <w:vMerge/>
          </w:tcPr>
          <w:p w:rsidR="00EF0693" w:rsidRPr="00157D76" w:rsidRDefault="00EF0693" w:rsidP="00D74683">
            <w:pPr>
              <w:pStyle w:val="BodyText1"/>
              <w:spacing w:before="120" w:after="120"/>
              <w:rPr>
                <w:rFonts w:asciiTheme="majorHAnsi" w:hAnsiTheme="majorHAnsi"/>
                <w:sz w:val="22"/>
                <w:szCs w:val="22"/>
              </w:rPr>
            </w:pPr>
          </w:p>
        </w:tc>
      </w:tr>
      <w:tr w:rsidR="00EF0693" w:rsidRPr="00157D76" w:rsidTr="00EF0693">
        <w:trPr>
          <w:trHeight w:val="567"/>
        </w:trPr>
        <w:tc>
          <w:tcPr>
            <w:tcW w:w="1418" w:type="dxa"/>
          </w:tcPr>
          <w:p w:rsidR="00EF0693" w:rsidRPr="00157D76" w:rsidRDefault="00EF0693" w:rsidP="00D74683">
            <w:pPr>
              <w:pStyle w:val="BodyText1"/>
              <w:spacing w:before="120" w:after="120"/>
              <w:jc w:val="center"/>
              <w:rPr>
                <w:rFonts w:asciiTheme="majorHAnsi" w:hAnsiTheme="majorHAnsi" w:cs="Arial"/>
                <w:b/>
                <w:sz w:val="22"/>
                <w:szCs w:val="22"/>
              </w:rPr>
            </w:pPr>
            <w:r>
              <w:rPr>
                <w:rFonts w:asciiTheme="majorHAnsi" w:hAnsiTheme="majorHAnsi" w:cs="Arial"/>
                <w:b/>
                <w:sz w:val="22"/>
                <w:szCs w:val="22"/>
              </w:rPr>
              <w:lastRenderedPageBreak/>
              <w:t>C</w:t>
            </w:r>
          </w:p>
        </w:tc>
        <w:tc>
          <w:tcPr>
            <w:tcW w:w="1417" w:type="dxa"/>
          </w:tcPr>
          <w:p w:rsidR="00EF0693" w:rsidRPr="00157D76" w:rsidRDefault="00EF0693"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6</w:t>
            </w:r>
          </w:p>
        </w:tc>
        <w:tc>
          <w:tcPr>
            <w:tcW w:w="1418" w:type="dxa"/>
          </w:tcPr>
          <w:p w:rsidR="00EF0693" w:rsidRDefault="00EF0693" w:rsidP="00EF0693">
            <w:pPr>
              <w:jc w:val="center"/>
            </w:pPr>
            <w:r w:rsidRPr="0061029F">
              <w:rPr>
                <w:rFonts w:asciiTheme="majorHAnsi" w:hAnsiTheme="majorHAnsi" w:cs="Arial"/>
                <w:szCs w:val="22"/>
              </w:rPr>
              <w:t>n.a.</w:t>
            </w:r>
          </w:p>
        </w:tc>
        <w:tc>
          <w:tcPr>
            <w:tcW w:w="1417" w:type="dxa"/>
            <w:tcBorders>
              <w:top w:val="single" w:sz="4" w:space="0" w:color="auto"/>
            </w:tcBorders>
          </w:tcPr>
          <w:p w:rsidR="00EF0693" w:rsidRPr="00157D76" w:rsidRDefault="00EF0693"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c>
          <w:tcPr>
            <w:tcW w:w="8364" w:type="dxa"/>
            <w:vMerge/>
          </w:tcPr>
          <w:p w:rsidR="00EF0693" w:rsidRPr="00157D76" w:rsidRDefault="00EF0693" w:rsidP="00D74683">
            <w:pPr>
              <w:pStyle w:val="BodyText1"/>
              <w:spacing w:before="120" w:after="120"/>
              <w:rPr>
                <w:rFonts w:asciiTheme="majorHAnsi" w:hAnsiTheme="majorHAnsi"/>
                <w:sz w:val="22"/>
                <w:szCs w:val="22"/>
              </w:rPr>
            </w:pPr>
          </w:p>
        </w:tc>
      </w:tr>
      <w:tr w:rsidR="00EF0693" w:rsidRPr="00157D76" w:rsidTr="00EF0693">
        <w:trPr>
          <w:trHeight w:val="567"/>
        </w:trPr>
        <w:tc>
          <w:tcPr>
            <w:tcW w:w="1418" w:type="dxa"/>
          </w:tcPr>
          <w:p w:rsidR="00EF0693" w:rsidRPr="00157D76" w:rsidRDefault="00EF0693"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D</w:t>
            </w:r>
          </w:p>
        </w:tc>
        <w:tc>
          <w:tcPr>
            <w:tcW w:w="1417" w:type="dxa"/>
          </w:tcPr>
          <w:p w:rsidR="00EF0693" w:rsidRPr="00157D76" w:rsidRDefault="00485855"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8" w:type="dxa"/>
          </w:tcPr>
          <w:p w:rsidR="00EF0693" w:rsidRDefault="00EF0693" w:rsidP="00EF0693">
            <w:pPr>
              <w:jc w:val="center"/>
            </w:pPr>
            <w:r w:rsidRPr="0061029F">
              <w:rPr>
                <w:rFonts w:asciiTheme="majorHAnsi" w:hAnsiTheme="majorHAnsi" w:cs="Arial"/>
                <w:szCs w:val="22"/>
              </w:rPr>
              <w:t>n.a.</w:t>
            </w:r>
          </w:p>
        </w:tc>
        <w:tc>
          <w:tcPr>
            <w:tcW w:w="1417" w:type="dxa"/>
            <w:tcBorders>
              <w:top w:val="single" w:sz="4" w:space="0" w:color="auto"/>
            </w:tcBorders>
          </w:tcPr>
          <w:p w:rsidR="00EF0693" w:rsidRPr="00157D76" w:rsidRDefault="00EF0693"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c>
          <w:tcPr>
            <w:tcW w:w="8364" w:type="dxa"/>
          </w:tcPr>
          <w:p w:rsidR="00EF0693" w:rsidRPr="00157D76" w:rsidRDefault="00EF0693" w:rsidP="00D74683">
            <w:pPr>
              <w:pStyle w:val="BodyText1"/>
              <w:spacing w:before="120" w:after="120"/>
              <w:rPr>
                <w:rFonts w:asciiTheme="majorHAnsi" w:hAnsiTheme="majorHAnsi"/>
                <w:sz w:val="22"/>
                <w:szCs w:val="22"/>
              </w:rPr>
            </w:pPr>
            <w:r>
              <w:rPr>
                <w:rFonts w:asciiTheme="majorHAnsi" w:hAnsiTheme="majorHAnsi"/>
                <w:sz w:val="22"/>
                <w:szCs w:val="22"/>
              </w:rPr>
              <w:t>T</w:t>
            </w:r>
            <w:r w:rsidRPr="00DE79E9">
              <w:rPr>
                <w:rFonts w:asciiTheme="majorHAnsi" w:hAnsiTheme="majorHAnsi"/>
                <w:sz w:val="22"/>
                <w:szCs w:val="22"/>
              </w:rPr>
              <w:t xml:space="preserve">he meaning </w:t>
            </w:r>
            <w:r>
              <w:rPr>
                <w:rFonts w:asciiTheme="majorHAnsi" w:hAnsiTheme="majorHAnsi"/>
                <w:sz w:val="22"/>
                <w:szCs w:val="22"/>
              </w:rPr>
              <w:t xml:space="preserve">and relative position of the rating category </w:t>
            </w:r>
            <w:r w:rsidRPr="00DE79E9">
              <w:rPr>
                <w:rFonts w:asciiTheme="majorHAnsi" w:hAnsiTheme="majorHAnsi"/>
                <w:sz w:val="22"/>
                <w:szCs w:val="22"/>
              </w:rPr>
              <w:t xml:space="preserve">is </w:t>
            </w:r>
            <w:r>
              <w:rPr>
                <w:rFonts w:asciiTheme="majorHAnsi" w:hAnsiTheme="majorHAnsi"/>
                <w:sz w:val="22"/>
                <w:szCs w:val="22"/>
              </w:rPr>
              <w:t xml:space="preserve">representative </w:t>
            </w:r>
            <w:r w:rsidRPr="00DE79E9">
              <w:rPr>
                <w:rFonts w:asciiTheme="majorHAnsi" w:hAnsiTheme="majorHAnsi"/>
                <w:sz w:val="22"/>
                <w:szCs w:val="22"/>
              </w:rPr>
              <w:t xml:space="preserve">of </w:t>
            </w:r>
            <w:r>
              <w:rPr>
                <w:rFonts w:asciiTheme="majorHAnsi" w:hAnsiTheme="majorHAnsi"/>
                <w:sz w:val="22"/>
                <w:szCs w:val="22"/>
              </w:rPr>
              <w:t xml:space="preserve">the final </w:t>
            </w:r>
            <w:r w:rsidRPr="00DE79E9">
              <w:rPr>
                <w:rFonts w:asciiTheme="majorHAnsi" w:hAnsiTheme="majorHAnsi"/>
                <w:sz w:val="22"/>
                <w:szCs w:val="22"/>
              </w:rPr>
              <w:t>CQS</w:t>
            </w:r>
            <w:r>
              <w:rPr>
                <w:rFonts w:asciiTheme="majorHAnsi" w:hAnsiTheme="majorHAnsi"/>
                <w:sz w:val="22"/>
                <w:szCs w:val="22"/>
              </w:rPr>
              <w:t>.</w:t>
            </w:r>
          </w:p>
        </w:tc>
      </w:tr>
    </w:tbl>
    <w:p w:rsidR="008D51B0" w:rsidRDefault="008D51B0" w:rsidP="00157D76">
      <w:pPr>
        <w:pStyle w:val="Figuretitle"/>
        <w:rPr>
          <w:szCs w:val="22"/>
        </w:rPr>
      </w:pPr>
      <w:bookmarkStart w:id="17" w:name="_Ref384834744"/>
    </w:p>
    <w:p w:rsidR="00985871" w:rsidRDefault="00985871">
      <w:pPr>
        <w:rPr>
          <w:rFonts w:eastAsia="Times New Roman" w:cs="Times New Roman"/>
          <w:bCs/>
          <w:noProof/>
          <w:color w:val="2F5773" w:themeColor="text2"/>
          <w:szCs w:val="22"/>
          <w:lang w:eastAsia="en-GB"/>
        </w:rPr>
      </w:pPr>
      <w:bookmarkStart w:id="18" w:name="_Ref391022855"/>
      <w:r>
        <w:rPr>
          <w:szCs w:val="22"/>
        </w:rPr>
        <w:br w:type="page"/>
      </w:r>
    </w:p>
    <w:p w:rsidR="00157D76" w:rsidRDefault="0041788D" w:rsidP="00157D76">
      <w:pPr>
        <w:pStyle w:val="Figuretitle"/>
      </w:pPr>
      <w:r w:rsidRPr="0041788D">
        <w:rPr>
          <w:szCs w:val="22"/>
        </w:rPr>
        <w:lastRenderedPageBreak/>
        <w:t xml:space="preserve">Figure </w:t>
      </w:r>
      <w:bookmarkEnd w:id="17"/>
      <w:bookmarkEnd w:id="18"/>
      <w:r w:rsidR="00985871">
        <w:rPr>
          <w:szCs w:val="22"/>
        </w:rPr>
        <w:t>10</w:t>
      </w:r>
      <w:r w:rsidR="00157D76">
        <w:t>:</w:t>
      </w:r>
      <w:r w:rsidR="00157D76" w:rsidRPr="00E25C65">
        <w:t xml:space="preserve"> Mapping of </w:t>
      </w:r>
      <w:r w:rsidR="00EF0693">
        <w:t>Dagong</w:t>
      </w:r>
      <w:r w:rsidR="00157D76" w:rsidRPr="00E25C65">
        <w:t>’s Short-term credit rating scale</w:t>
      </w:r>
    </w:p>
    <w:tbl>
      <w:tblPr>
        <w:tblStyle w:val="TableGrid"/>
        <w:tblW w:w="14034" w:type="dxa"/>
        <w:tblInd w:w="108" w:type="dxa"/>
        <w:tblLayout w:type="fixed"/>
        <w:tblLook w:val="04A0" w:firstRow="1" w:lastRow="0" w:firstColumn="1" w:lastColumn="0" w:noHBand="0" w:noVBand="1"/>
      </w:tblPr>
      <w:tblGrid>
        <w:gridCol w:w="1418"/>
        <w:gridCol w:w="1843"/>
        <w:gridCol w:w="1701"/>
        <w:gridCol w:w="1304"/>
        <w:gridCol w:w="7768"/>
      </w:tblGrid>
      <w:tr w:rsidR="00157D76" w:rsidRPr="004F73DB" w:rsidTr="00CD1257">
        <w:trPr>
          <w:cnfStyle w:val="100000000000" w:firstRow="1" w:lastRow="0" w:firstColumn="0" w:lastColumn="0" w:oddVBand="0" w:evenVBand="0" w:oddHBand="0" w:evenHBand="0" w:firstRowFirstColumn="0" w:firstRowLastColumn="0" w:lastRowFirstColumn="0" w:lastRowLastColumn="0"/>
          <w:trHeight w:val="1985"/>
        </w:trPr>
        <w:tc>
          <w:tcPr>
            <w:tcW w:w="1418" w:type="dxa"/>
            <w:tcBorders>
              <w:bottom w:val="single" w:sz="18" w:space="0" w:color="E98E31" w:themeColor="background2"/>
            </w:tcBorders>
          </w:tcPr>
          <w:p w:rsidR="00157D76" w:rsidRPr="004F73DB" w:rsidRDefault="00157D76" w:rsidP="00157D76">
            <w:pPr>
              <w:pStyle w:val="BodyText1"/>
              <w:spacing w:before="60" w:after="60"/>
              <w:jc w:val="center"/>
              <w:rPr>
                <w:rFonts w:asciiTheme="majorHAnsi" w:hAnsiTheme="majorHAnsi" w:cs="Arial"/>
                <w:b/>
                <w:sz w:val="22"/>
                <w:szCs w:val="22"/>
              </w:rPr>
            </w:pPr>
            <w:r w:rsidRPr="004F73DB">
              <w:rPr>
                <w:rFonts w:asciiTheme="majorHAnsi" w:hAnsiTheme="majorHAnsi" w:cs="Arial"/>
                <w:b/>
                <w:sz w:val="22"/>
                <w:szCs w:val="22"/>
              </w:rPr>
              <w:t>Credit assessment</w:t>
            </w:r>
          </w:p>
        </w:tc>
        <w:tc>
          <w:tcPr>
            <w:tcW w:w="1843" w:type="dxa"/>
            <w:tcBorders>
              <w:bottom w:val="single" w:sz="18" w:space="0" w:color="E98E31" w:themeColor="background2"/>
            </w:tcBorders>
          </w:tcPr>
          <w:p w:rsidR="00157D76" w:rsidRPr="004F73DB" w:rsidRDefault="00157D76" w:rsidP="00EF0693">
            <w:pPr>
              <w:pStyle w:val="BodyText1"/>
              <w:spacing w:before="60" w:after="60" w:line="240" w:lineRule="exact"/>
              <w:jc w:val="center"/>
              <w:rPr>
                <w:rFonts w:asciiTheme="majorHAnsi" w:hAnsiTheme="majorHAnsi" w:cs="Arial"/>
                <w:b/>
                <w:sz w:val="22"/>
                <w:szCs w:val="22"/>
              </w:rPr>
            </w:pPr>
            <w:r w:rsidRPr="004F73DB">
              <w:rPr>
                <w:rFonts w:asciiTheme="majorHAnsi" w:hAnsiTheme="majorHAnsi" w:cs="Arial"/>
                <w:b/>
                <w:sz w:val="22"/>
                <w:szCs w:val="22"/>
              </w:rPr>
              <w:t>Corresponding Long-term credit rating scale assessment (established by</w:t>
            </w:r>
            <w:r w:rsidR="00EF0693">
              <w:rPr>
                <w:rFonts w:asciiTheme="majorHAnsi" w:hAnsiTheme="majorHAnsi" w:cs="Arial"/>
                <w:b/>
                <w:sz w:val="22"/>
                <w:szCs w:val="22"/>
              </w:rPr>
              <w:t xml:space="preserve"> Dagong</w:t>
            </w:r>
            <w:r w:rsidRPr="004F73DB">
              <w:rPr>
                <w:rFonts w:asciiTheme="majorHAnsi" w:hAnsiTheme="majorHAnsi" w:cs="Arial"/>
                <w:b/>
                <w:sz w:val="22"/>
                <w:szCs w:val="22"/>
              </w:rPr>
              <w:t>)</w:t>
            </w:r>
          </w:p>
        </w:tc>
        <w:tc>
          <w:tcPr>
            <w:tcW w:w="1701" w:type="dxa"/>
            <w:tcBorders>
              <w:bottom w:val="single" w:sz="18" w:space="0" w:color="E98E31" w:themeColor="background2"/>
            </w:tcBorders>
          </w:tcPr>
          <w:p w:rsidR="00157D76" w:rsidRPr="004F73DB" w:rsidRDefault="00157D76" w:rsidP="00EF0693">
            <w:pPr>
              <w:pStyle w:val="BodyText1"/>
              <w:spacing w:before="60" w:after="60" w:line="240" w:lineRule="exact"/>
              <w:jc w:val="center"/>
              <w:rPr>
                <w:rFonts w:asciiTheme="majorHAnsi" w:hAnsiTheme="majorHAnsi" w:cs="Arial"/>
                <w:b/>
                <w:sz w:val="22"/>
                <w:szCs w:val="22"/>
              </w:rPr>
            </w:pPr>
            <w:r w:rsidRPr="004F73DB">
              <w:rPr>
                <w:rFonts w:asciiTheme="majorHAnsi" w:hAnsiTheme="majorHAnsi" w:cs="Arial"/>
                <w:b/>
                <w:sz w:val="22"/>
                <w:szCs w:val="22"/>
              </w:rPr>
              <w:t xml:space="preserve">Range of CQS of corresponding Long-term </w:t>
            </w:r>
            <w:r w:rsidR="00EF0693">
              <w:rPr>
                <w:rFonts w:asciiTheme="majorHAnsi" w:hAnsiTheme="majorHAnsi" w:cs="Arial"/>
                <w:b/>
                <w:sz w:val="22"/>
                <w:szCs w:val="22"/>
              </w:rPr>
              <w:t>credit rating</w:t>
            </w:r>
            <w:r w:rsidRPr="004F73DB">
              <w:rPr>
                <w:rFonts w:asciiTheme="majorHAnsi" w:hAnsiTheme="majorHAnsi" w:cs="Arial"/>
                <w:b/>
                <w:sz w:val="22"/>
                <w:szCs w:val="22"/>
              </w:rPr>
              <w:t xml:space="preserve"> scale</w:t>
            </w:r>
          </w:p>
        </w:tc>
        <w:tc>
          <w:tcPr>
            <w:tcW w:w="1304" w:type="dxa"/>
            <w:tcBorders>
              <w:bottom w:val="single" w:sz="18" w:space="0" w:color="E98E31" w:themeColor="background2"/>
            </w:tcBorders>
            <w:shd w:val="clear" w:color="auto" w:fill="auto"/>
          </w:tcPr>
          <w:p w:rsidR="00157D76" w:rsidRPr="004F73DB" w:rsidRDefault="00157D76" w:rsidP="009B673B">
            <w:pPr>
              <w:pStyle w:val="BodyText1"/>
              <w:spacing w:before="60" w:after="60" w:line="240" w:lineRule="exact"/>
              <w:jc w:val="center"/>
              <w:rPr>
                <w:rFonts w:asciiTheme="majorHAnsi" w:hAnsiTheme="majorHAnsi" w:cs="Arial"/>
                <w:b/>
                <w:sz w:val="22"/>
                <w:szCs w:val="22"/>
              </w:rPr>
            </w:pPr>
            <w:r w:rsidRPr="004F73DB">
              <w:rPr>
                <w:rFonts w:asciiTheme="majorHAnsi" w:hAnsiTheme="majorHAnsi" w:cs="Arial"/>
                <w:b/>
                <w:sz w:val="22"/>
                <w:szCs w:val="22"/>
              </w:rPr>
              <w:t xml:space="preserve">Final review </w:t>
            </w:r>
            <w:r w:rsidRPr="004F73DB">
              <w:rPr>
                <w:rFonts w:asciiTheme="majorHAnsi" w:hAnsiTheme="majorHAnsi" w:cs="Arial"/>
                <w:b/>
                <w:i/>
                <w:sz w:val="22"/>
                <w:szCs w:val="22"/>
              </w:rPr>
              <w:t>based on qualitative factors</w:t>
            </w:r>
            <w:r w:rsidRPr="004F73DB">
              <w:rPr>
                <w:rFonts w:asciiTheme="majorHAnsi" w:hAnsiTheme="majorHAnsi" w:cs="Arial"/>
                <w:b/>
                <w:sz w:val="22"/>
                <w:szCs w:val="22"/>
              </w:rPr>
              <w:t xml:space="preserve"> (CQS)</w:t>
            </w:r>
          </w:p>
        </w:tc>
        <w:tc>
          <w:tcPr>
            <w:tcW w:w="7768" w:type="dxa"/>
            <w:tcBorders>
              <w:bottom w:val="single" w:sz="18" w:space="0" w:color="E98E31" w:themeColor="background2"/>
            </w:tcBorders>
          </w:tcPr>
          <w:p w:rsidR="00157D76" w:rsidRPr="004F73DB" w:rsidRDefault="00157D76" w:rsidP="00D63A88">
            <w:pPr>
              <w:pStyle w:val="BodyText1"/>
              <w:spacing w:before="60" w:after="60" w:line="240" w:lineRule="exact"/>
              <w:jc w:val="center"/>
              <w:rPr>
                <w:rFonts w:asciiTheme="majorHAnsi" w:hAnsiTheme="majorHAnsi" w:cs="Arial"/>
                <w:b/>
                <w:sz w:val="22"/>
                <w:szCs w:val="22"/>
              </w:rPr>
            </w:pPr>
            <w:r w:rsidRPr="004F73DB">
              <w:rPr>
                <w:rFonts w:asciiTheme="majorHAnsi" w:hAnsiTheme="majorHAnsi" w:cs="Arial"/>
                <w:b/>
                <w:sz w:val="22"/>
                <w:szCs w:val="22"/>
              </w:rPr>
              <w:t>Main reason for the mapping</w:t>
            </w:r>
          </w:p>
        </w:tc>
      </w:tr>
      <w:tr w:rsidR="00157D76" w:rsidRPr="00157D76" w:rsidTr="00CD1257">
        <w:trPr>
          <w:trHeight w:val="397"/>
        </w:trPr>
        <w:tc>
          <w:tcPr>
            <w:tcW w:w="1418" w:type="dxa"/>
            <w:tcBorders>
              <w:top w:val="single" w:sz="18" w:space="0" w:color="E98E31" w:themeColor="background2"/>
              <w:bottom w:val="dashed" w:sz="4" w:space="0" w:color="auto"/>
            </w:tcBorders>
          </w:tcPr>
          <w:p w:rsidR="00157D76" w:rsidRPr="00157D76" w:rsidRDefault="00347F69" w:rsidP="004F73DB">
            <w:pPr>
              <w:pStyle w:val="BodyText1"/>
              <w:spacing w:before="120" w:after="120"/>
              <w:jc w:val="center"/>
              <w:rPr>
                <w:rFonts w:asciiTheme="majorHAnsi" w:hAnsiTheme="majorHAnsi" w:cs="Arial"/>
                <w:b/>
                <w:sz w:val="22"/>
                <w:szCs w:val="22"/>
              </w:rPr>
            </w:pPr>
            <w:r>
              <w:rPr>
                <w:rFonts w:asciiTheme="majorHAnsi" w:hAnsiTheme="majorHAnsi" w:cs="Arial"/>
                <w:b/>
                <w:sz w:val="22"/>
                <w:szCs w:val="22"/>
              </w:rPr>
              <w:t>A-1</w:t>
            </w:r>
          </w:p>
        </w:tc>
        <w:tc>
          <w:tcPr>
            <w:tcW w:w="1843" w:type="dxa"/>
            <w:tcBorders>
              <w:top w:val="single" w:sz="18" w:space="0" w:color="E98E31" w:themeColor="background2"/>
              <w:bottom w:val="dashed" w:sz="4" w:space="0" w:color="auto"/>
            </w:tcBorders>
          </w:tcPr>
          <w:p w:rsidR="00157D76" w:rsidRPr="00157D76" w:rsidRDefault="00347F69" w:rsidP="004F73DB">
            <w:pPr>
              <w:pStyle w:val="BodyText1"/>
              <w:spacing w:before="120" w:after="120"/>
              <w:jc w:val="center"/>
              <w:rPr>
                <w:rFonts w:asciiTheme="majorHAnsi" w:hAnsiTheme="majorHAnsi" w:cs="Arial"/>
                <w:b/>
                <w:sz w:val="22"/>
                <w:szCs w:val="22"/>
              </w:rPr>
            </w:pPr>
            <w:r>
              <w:rPr>
                <w:rFonts w:asciiTheme="majorHAnsi" w:hAnsiTheme="majorHAnsi" w:cs="Arial"/>
                <w:b/>
                <w:sz w:val="22"/>
                <w:szCs w:val="22"/>
              </w:rPr>
              <w:t>AAA/A-</w:t>
            </w:r>
          </w:p>
        </w:tc>
        <w:tc>
          <w:tcPr>
            <w:tcW w:w="1701" w:type="dxa"/>
            <w:tcBorders>
              <w:top w:val="single" w:sz="18" w:space="0" w:color="E98E31" w:themeColor="background2"/>
              <w:bottom w:val="single" w:sz="4" w:space="0" w:color="auto"/>
            </w:tcBorders>
          </w:tcPr>
          <w:p w:rsidR="00157D76" w:rsidRPr="00157D76" w:rsidRDefault="00983F85" w:rsidP="004F73DB">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 xml:space="preserve">1 - </w:t>
            </w:r>
            <w:r w:rsidR="00347F69">
              <w:rPr>
                <w:rFonts w:asciiTheme="majorHAnsi" w:hAnsiTheme="majorHAnsi" w:cs="Arial"/>
                <w:b/>
                <w:sz w:val="22"/>
                <w:szCs w:val="22"/>
              </w:rPr>
              <w:t>2</w:t>
            </w:r>
          </w:p>
        </w:tc>
        <w:tc>
          <w:tcPr>
            <w:tcW w:w="1304" w:type="dxa"/>
            <w:tcBorders>
              <w:top w:val="single" w:sz="18" w:space="0" w:color="E98E31" w:themeColor="background2"/>
              <w:bottom w:val="single" w:sz="4" w:space="0" w:color="auto"/>
            </w:tcBorders>
          </w:tcPr>
          <w:p w:rsidR="00157D76" w:rsidRPr="00157D76" w:rsidRDefault="00983F85" w:rsidP="004F73DB">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c>
          <w:tcPr>
            <w:tcW w:w="7768" w:type="dxa"/>
            <w:tcBorders>
              <w:top w:val="single" w:sz="18" w:space="0" w:color="E98E31" w:themeColor="background2"/>
              <w:bottom w:val="single" w:sz="4" w:space="0" w:color="auto"/>
            </w:tcBorders>
          </w:tcPr>
          <w:p w:rsidR="00157D76" w:rsidRPr="00157D76" w:rsidRDefault="00157D76" w:rsidP="00CC6198">
            <w:pPr>
              <w:pStyle w:val="BodyText1"/>
              <w:spacing w:before="120" w:after="120" w:line="240" w:lineRule="exact"/>
              <w:rPr>
                <w:rFonts w:asciiTheme="majorHAnsi" w:hAnsiTheme="majorHAnsi"/>
                <w:sz w:val="22"/>
                <w:szCs w:val="22"/>
              </w:rPr>
            </w:pPr>
            <w:r w:rsidRPr="00157D76">
              <w:rPr>
                <w:rFonts w:asciiTheme="majorHAnsi" w:hAnsiTheme="majorHAnsi"/>
                <w:sz w:val="22"/>
                <w:szCs w:val="22"/>
              </w:rPr>
              <w:t xml:space="preserve">The final CQS </w:t>
            </w:r>
            <w:r w:rsidR="00CC6198">
              <w:rPr>
                <w:rFonts w:asciiTheme="majorHAnsi" w:hAnsiTheme="majorHAnsi"/>
                <w:sz w:val="22"/>
                <w:szCs w:val="22"/>
              </w:rPr>
              <w:t xml:space="preserve">has been </w:t>
            </w:r>
            <w:r w:rsidRPr="00157D76">
              <w:rPr>
                <w:rFonts w:asciiTheme="majorHAnsi" w:hAnsiTheme="majorHAnsi"/>
                <w:sz w:val="22"/>
                <w:szCs w:val="22"/>
              </w:rPr>
              <w:t xml:space="preserve">determined based on the most frequent step associated with the corresponding long-term credit rating category. </w:t>
            </w:r>
          </w:p>
        </w:tc>
      </w:tr>
      <w:tr w:rsidR="00157D76" w:rsidRPr="00157D76" w:rsidTr="00CD1257">
        <w:trPr>
          <w:trHeight w:val="397"/>
        </w:trPr>
        <w:tc>
          <w:tcPr>
            <w:tcW w:w="1418" w:type="dxa"/>
            <w:tcBorders>
              <w:bottom w:val="dashed" w:sz="4" w:space="0" w:color="auto"/>
            </w:tcBorders>
          </w:tcPr>
          <w:p w:rsidR="00157D76" w:rsidRPr="00157D76" w:rsidRDefault="00347F69" w:rsidP="004F73DB">
            <w:pPr>
              <w:pStyle w:val="BodyText1"/>
              <w:spacing w:before="120" w:after="120"/>
              <w:jc w:val="center"/>
              <w:rPr>
                <w:rFonts w:asciiTheme="majorHAnsi" w:hAnsiTheme="majorHAnsi" w:cs="Arial"/>
                <w:b/>
                <w:sz w:val="22"/>
                <w:szCs w:val="22"/>
              </w:rPr>
            </w:pPr>
            <w:r>
              <w:rPr>
                <w:rFonts w:asciiTheme="majorHAnsi" w:hAnsiTheme="majorHAnsi" w:cs="Arial"/>
                <w:b/>
                <w:sz w:val="22"/>
                <w:szCs w:val="22"/>
              </w:rPr>
              <w:t>A-2</w:t>
            </w:r>
          </w:p>
        </w:tc>
        <w:tc>
          <w:tcPr>
            <w:tcW w:w="1843" w:type="dxa"/>
            <w:tcBorders>
              <w:bottom w:val="dashed" w:sz="4" w:space="0" w:color="auto"/>
            </w:tcBorders>
          </w:tcPr>
          <w:p w:rsidR="00157D76" w:rsidRPr="00157D76" w:rsidRDefault="00157D76" w:rsidP="004F73DB">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w:t>
            </w:r>
            <w:r w:rsidR="00347F69">
              <w:rPr>
                <w:rFonts w:asciiTheme="majorHAnsi" w:hAnsiTheme="majorHAnsi" w:cs="Arial"/>
                <w:b/>
                <w:sz w:val="22"/>
                <w:szCs w:val="22"/>
              </w:rPr>
              <w:t>-/BBB</w:t>
            </w:r>
          </w:p>
        </w:tc>
        <w:tc>
          <w:tcPr>
            <w:tcW w:w="1701" w:type="dxa"/>
            <w:tcBorders>
              <w:bottom w:val="single" w:sz="4" w:space="0" w:color="auto"/>
            </w:tcBorders>
          </w:tcPr>
          <w:p w:rsidR="00157D76" w:rsidRPr="00157D76" w:rsidRDefault="00157D76" w:rsidP="004F73DB">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2</w:t>
            </w:r>
            <w:r w:rsidR="00926E53">
              <w:rPr>
                <w:rFonts w:asciiTheme="majorHAnsi" w:hAnsiTheme="majorHAnsi" w:cs="Arial"/>
                <w:b/>
                <w:sz w:val="22"/>
                <w:szCs w:val="22"/>
              </w:rPr>
              <w:t xml:space="preserve"> - 3</w:t>
            </w:r>
          </w:p>
        </w:tc>
        <w:tc>
          <w:tcPr>
            <w:tcW w:w="1304" w:type="dxa"/>
            <w:tcBorders>
              <w:bottom w:val="single" w:sz="4" w:space="0" w:color="auto"/>
            </w:tcBorders>
          </w:tcPr>
          <w:p w:rsidR="00157D76" w:rsidRPr="00157D76" w:rsidRDefault="00926E53" w:rsidP="004F73DB">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3</w:t>
            </w:r>
          </w:p>
        </w:tc>
        <w:tc>
          <w:tcPr>
            <w:tcW w:w="7768" w:type="dxa"/>
            <w:tcBorders>
              <w:bottom w:val="single" w:sz="4" w:space="0" w:color="auto"/>
            </w:tcBorders>
          </w:tcPr>
          <w:p w:rsidR="00157D76" w:rsidRPr="00157D76" w:rsidRDefault="00CC6198" w:rsidP="004F73DB">
            <w:pPr>
              <w:pStyle w:val="BodyText1"/>
              <w:spacing w:before="120" w:after="120" w:line="240" w:lineRule="exact"/>
              <w:rPr>
                <w:rFonts w:asciiTheme="majorHAnsi" w:hAnsiTheme="majorHAnsi"/>
                <w:sz w:val="22"/>
                <w:szCs w:val="22"/>
              </w:rPr>
            </w:pPr>
            <w:r w:rsidRPr="00157D76">
              <w:rPr>
                <w:rFonts w:asciiTheme="majorHAnsi" w:hAnsiTheme="majorHAnsi"/>
                <w:sz w:val="22"/>
                <w:szCs w:val="22"/>
              </w:rPr>
              <w:t xml:space="preserve">The final CQS </w:t>
            </w:r>
            <w:r>
              <w:rPr>
                <w:rFonts w:asciiTheme="majorHAnsi" w:hAnsiTheme="majorHAnsi"/>
                <w:sz w:val="22"/>
                <w:szCs w:val="22"/>
              </w:rPr>
              <w:t xml:space="preserve">has been </w:t>
            </w:r>
            <w:r w:rsidRPr="00157D76">
              <w:rPr>
                <w:rFonts w:asciiTheme="majorHAnsi" w:hAnsiTheme="majorHAnsi"/>
                <w:sz w:val="22"/>
                <w:szCs w:val="22"/>
              </w:rPr>
              <w:t>determined based on the most frequent step associated with the corresponding long-term credit rating category.</w:t>
            </w:r>
          </w:p>
        </w:tc>
      </w:tr>
      <w:tr w:rsidR="00157D76" w:rsidRPr="00157D76" w:rsidTr="00CD1257">
        <w:trPr>
          <w:trHeight w:val="397"/>
        </w:trPr>
        <w:tc>
          <w:tcPr>
            <w:tcW w:w="1418" w:type="dxa"/>
            <w:tcBorders>
              <w:bottom w:val="dashed" w:sz="4" w:space="0" w:color="auto"/>
            </w:tcBorders>
          </w:tcPr>
          <w:p w:rsidR="00157D76" w:rsidRPr="00157D76" w:rsidRDefault="00347F69" w:rsidP="004F73DB">
            <w:pPr>
              <w:pStyle w:val="BodyText1"/>
              <w:spacing w:before="120" w:after="120"/>
              <w:jc w:val="center"/>
              <w:rPr>
                <w:rFonts w:asciiTheme="majorHAnsi" w:hAnsiTheme="majorHAnsi" w:cs="Arial"/>
                <w:b/>
                <w:sz w:val="22"/>
                <w:szCs w:val="22"/>
              </w:rPr>
            </w:pPr>
            <w:r>
              <w:rPr>
                <w:rFonts w:asciiTheme="majorHAnsi" w:hAnsiTheme="majorHAnsi" w:cs="Arial"/>
                <w:b/>
                <w:sz w:val="22"/>
                <w:szCs w:val="22"/>
              </w:rPr>
              <w:t>A-3</w:t>
            </w:r>
          </w:p>
        </w:tc>
        <w:tc>
          <w:tcPr>
            <w:tcW w:w="1843" w:type="dxa"/>
            <w:tcBorders>
              <w:bottom w:val="dashed" w:sz="4" w:space="0" w:color="auto"/>
            </w:tcBorders>
          </w:tcPr>
          <w:p w:rsidR="00157D76" w:rsidRPr="00157D76" w:rsidRDefault="00347F69" w:rsidP="004F73DB">
            <w:pPr>
              <w:pStyle w:val="BodyText1"/>
              <w:spacing w:before="120" w:after="120"/>
              <w:jc w:val="center"/>
              <w:rPr>
                <w:rFonts w:asciiTheme="majorHAnsi" w:hAnsiTheme="majorHAnsi" w:cs="Arial"/>
                <w:b/>
                <w:sz w:val="22"/>
                <w:szCs w:val="22"/>
              </w:rPr>
            </w:pPr>
            <w:r>
              <w:rPr>
                <w:rFonts w:asciiTheme="majorHAnsi" w:hAnsiTheme="majorHAnsi" w:cs="Arial"/>
                <w:b/>
                <w:sz w:val="22"/>
                <w:szCs w:val="22"/>
              </w:rPr>
              <w:t>BBB</w:t>
            </w:r>
            <w:r w:rsidR="00157D76" w:rsidRPr="00157D76">
              <w:rPr>
                <w:rFonts w:asciiTheme="majorHAnsi" w:hAnsiTheme="majorHAnsi" w:cs="Arial"/>
                <w:b/>
                <w:sz w:val="22"/>
                <w:szCs w:val="22"/>
              </w:rPr>
              <w:t>/BBB</w:t>
            </w:r>
            <w:r>
              <w:rPr>
                <w:rFonts w:asciiTheme="majorHAnsi" w:hAnsiTheme="majorHAnsi" w:cs="Arial"/>
                <w:b/>
                <w:sz w:val="22"/>
                <w:szCs w:val="22"/>
              </w:rPr>
              <w:t>-</w:t>
            </w:r>
          </w:p>
        </w:tc>
        <w:tc>
          <w:tcPr>
            <w:tcW w:w="1701" w:type="dxa"/>
            <w:tcBorders>
              <w:bottom w:val="single" w:sz="4" w:space="0" w:color="auto"/>
            </w:tcBorders>
          </w:tcPr>
          <w:p w:rsidR="00157D76" w:rsidRPr="00157D76" w:rsidRDefault="00157D76" w:rsidP="004F73DB">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3</w:t>
            </w:r>
          </w:p>
        </w:tc>
        <w:tc>
          <w:tcPr>
            <w:tcW w:w="1304" w:type="dxa"/>
            <w:tcBorders>
              <w:bottom w:val="single" w:sz="4" w:space="0" w:color="auto"/>
            </w:tcBorders>
          </w:tcPr>
          <w:p w:rsidR="00157D76" w:rsidRPr="00157D76" w:rsidRDefault="00157D76" w:rsidP="004F73DB">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3</w:t>
            </w:r>
          </w:p>
        </w:tc>
        <w:tc>
          <w:tcPr>
            <w:tcW w:w="7768" w:type="dxa"/>
            <w:tcBorders>
              <w:bottom w:val="single" w:sz="4" w:space="0" w:color="auto"/>
            </w:tcBorders>
          </w:tcPr>
          <w:p w:rsidR="00157D76" w:rsidRPr="00157D76" w:rsidRDefault="00157D76" w:rsidP="00926E53">
            <w:pPr>
              <w:pStyle w:val="BodyText1"/>
              <w:spacing w:before="120" w:after="120" w:line="240" w:lineRule="exact"/>
              <w:rPr>
                <w:rFonts w:asciiTheme="majorHAnsi" w:hAnsiTheme="majorHAnsi"/>
                <w:sz w:val="22"/>
                <w:szCs w:val="22"/>
              </w:rPr>
            </w:pPr>
            <w:r w:rsidRPr="00157D76">
              <w:rPr>
                <w:rFonts w:asciiTheme="majorHAnsi" w:hAnsiTheme="majorHAnsi"/>
                <w:sz w:val="22"/>
                <w:szCs w:val="22"/>
              </w:rPr>
              <w:t xml:space="preserve">The final CQS </w:t>
            </w:r>
            <w:r w:rsidR="00CC6198">
              <w:rPr>
                <w:rFonts w:asciiTheme="majorHAnsi" w:hAnsiTheme="majorHAnsi"/>
                <w:sz w:val="22"/>
                <w:szCs w:val="22"/>
              </w:rPr>
              <w:t xml:space="preserve">has been </w:t>
            </w:r>
            <w:r w:rsidRPr="00157D76">
              <w:rPr>
                <w:rFonts w:asciiTheme="majorHAnsi" w:hAnsiTheme="majorHAnsi"/>
                <w:sz w:val="22"/>
                <w:szCs w:val="22"/>
              </w:rPr>
              <w:t>determined based on the most frequent step associated with the corresponding lo</w:t>
            </w:r>
            <w:r w:rsidR="00926E53">
              <w:rPr>
                <w:rFonts w:asciiTheme="majorHAnsi" w:hAnsiTheme="majorHAnsi"/>
                <w:sz w:val="22"/>
                <w:szCs w:val="22"/>
              </w:rPr>
              <w:t>ng-term credit rating category.</w:t>
            </w:r>
          </w:p>
        </w:tc>
      </w:tr>
      <w:tr w:rsidR="00157D76" w:rsidRPr="00157D76" w:rsidTr="00CD1257">
        <w:trPr>
          <w:trHeight w:val="397"/>
        </w:trPr>
        <w:tc>
          <w:tcPr>
            <w:tcW w:w="1418" w:type="dxa"/>
          </w:tcPr>
          <w:p w:rsidR="00157D76" w:rsidRPr="00157D76" w:rsidRDefault="00157D76" w:rsidP="004F73DB">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w:t>
            </w:r>
          </w:p>
        </w:tc>
        <w:tc>
          <w:tcPr>
            <w:tcW w:w="1843" w:type="dxa"/>
          </w:tcPr>
          <w:p w:rsidR="00157D76" w:rsidRPr="00157D76" w:rsidRDefault="00157D76" w:rsidP="00347F69">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w:t>
            </w:r>
            <w:r w:rsidR="00347F69">
              <w:rPr>
                <w:rFonts w:asciiTheme="majorHAnsi" w:hAnsiTheme="majorHAnsi" w:cs="Arial"/>
                <w:b/>
                <w:sz w:val="22"/>
                <w:szCs w:val="22"/>
              </w:rPr>
              <w:t>B</w:t>
            </w:r>
            <w:r w:rsidRPr="00157D76">
              <w:rPr>
                <w:rFonts w:asciiTheme="majorHAnsi" w:hAnsiTheme="majorHAnsi" w:cs="Arial"/>
                <w:b/>
                <w:sz w:val="22"/>
                <w:szCs w:val="22"/>
              </w:rPr>
              <w:t>+/</w:t>
            </w:r>
            <w:r w:rsidR="00347F69">
              <w:rPr>
                <w:rFonts w:asciiTheme="majorHAnsi" w:hAnsiTheme="majorHAnsi" w:cs="Arial"/>
                <w:b/>
                <w:sz w:val="22"/>
                <w:szCs w:val="22"/>
              </w:rPr>
              <w:t>B-</w:t>
            </w:r>
          </w:p>
        </w:tc>
        <w:tc>
          <w:tcPr>
            <w:tcW w:w="1701" w:type="dxa"/>
          </w:tcPr>
          <w:p w:rsidR="00157D76" w:rsidRPr="00157D76" w:rsidRDefault="00031188" w:rsidP="004F73DB">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4 - 5</w:t>
            </w:r>
          </w:p>
        </w:tc>
        <w:tc>
          <w:tcPr>
            <w:tcW w:w="1304" w:type="dxa"/>
          </w:tcPr>
          <w:p w:rsidR="00157D76" w:rsidRPr="00157D76" w:rsidRDefault="00157D76" w:rsidP="004F73DB">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4</w:t>
            </w:r>
          </w:p>
        </w:tc>
        <w:tc>
          <w:tcPr>
            <w:tcW w:w="7768" w:type="dxa"/>
          </w:tcPr>
          <w:p w:rsidR="00157D76" w:rsidRPr="00157D76" w:rsidRDefault="00157D76" w:rsidP="00330C5F">
            <w:pPr>
              <w:pStyle w:val="BodyText1"/>
              <w:spacing w:before="120" w:after="120" w:line="240" w:lineRule="exact"/>
              <w:rPr>
                <w:rFonts w:asciiTheme="majorHAnsi" w:hAnsiTheme="majorHAnsi"/>
                <w:sz w:val="22"/>
                <w:szCs w:val="22"/>
              </w:rPr>
            </w:pPr>
            <w:r w:rsidRPr="00157D76">
              <w:rPr>
                <w:rFonts w:asciiTheme="majorHAnsi" w:hAnsiTheme="majorHAnsi"/>
                <w:sz w:val="22"/>
                <w:szCs w:val="22"/>
              </w:rPr>
              <w:t xml:space="preserve">The final CQS </w:t>
            </w:r>
            <w:r w:rsidR="00CC6198">
              <w:rPr>
                <w:rFonts w:asciiTheme="majorHAnsi" w:hAnsiTheme="majorHAnsi"/>
                <w:sz w:val="22"/>
                <w:szCs w:val="22"/>
              </w:rPr>
              <w:t xml:space="preserve">has been </w:t>
            </w:r>
            <w:r w:rsidRPr="00157D76">
              <w:rPr>
                <w:rFonts w:asciiTheme="majorHAnsi" w:hAnsiTheme="majorHAnsi"/>
                <w:sz w:val="22"/>
                <w:szCs w:val="22"/>
              </w:rPr>
              <w:t xml:space="preserve">determined based on the </w:t>
            </w:r>
            <w:r w:rsidR="00330C5F">
              <w:rPr>
                <w:rFonts w:asciiTheme="majorHAnsi" w:hAnsiTheme="majorHAnsi"/>
                <w:sz w:val="22"/>
                <w:szCs w:val="22"/>
              </w:rPr>
              <w:t>range of</w:t>
            </w:r>
            <w:r w:rsidRPr="00157D76">
              <w:rPr>
                <w:rFonts w:asciiTheme="majorHAnsi" w:hAnsiTheme="majorHAnsi"/>
                <w:sz w:val="22"/>
                <w:szCs w:val="22"/>
              </w:rPr>
              <w:t xml:space="preserve"> step</w:t>
            </w:r>
            <w:r w:rsidR="00330C5F">
              <w:rPr>
                <w:rFonts w:asciiTheme="majorHAnsi" w:hAnsiTheme="majorHAnsi"/>
                <w:sz w:val="22"/>
                <w:szCs w:val="22"/>
              </w:rPr>
              <w:t>s</w:t>
            </w:r>
            <w:r w:rsidRPr="00157D76">
              <w:rPr>
                <w:rFonts w:asciiTheme="majorHAnsi" w:hAnsiTheme="majorHAnsi"/>
                <w:sz w:val="22"/>
                <w:szCs w:val="22"/>
              </w:rPr>
              <w:t xml:space="preserve"> associated with the corresponding long-term credit rating category. The risk weights assigned to CQS 4 to 6 are all 150%, therefore CQS 4.</w:t>
            </w:r>
          </w:p>
        </w:tc>
      </w:tr>
      <w:tr w:rsidR="00CC6198" w:rsidRPr="00157D76" w:rsidTr="00CD1257">
        <w:trPr>
          <w:trHeight w:val="397"/>
        </w:trPr>
        <w:tc>
          <w:tcPr>
            <w:tcW w:w="1418" w:type="dxa"/>
          </w:tcPr>
          <w:p w:rsidR="00CC6198" w:rsidRPr="00157D76" w:rsidRDefault="00CC6198" w:rsidP="004F73DB">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C</w:t>
            </w:r>
          </w:p>
        </w:tc>
        <w:tc>
          <w:tcPr>
            <w:tcW w:w="1843" w:type="dxa"/>
          </w:tcPr>
          <w:p w:rsidR="00CC6198" w:rsidRPr="00157D76" w:rsidRDefault="00347F69" w:rsidP="00347F69">
            <w:pPr>
              <w:pStyle w:val="BodyText1"/>
              <w:spacing w:before="120" w:after="120"/>
              <w:jc w:val="center"/>
              <w:rPr>
                <w:rFonts w:asciiTheme="majorHAnsi" w:hAnsiTheme="majorHAnsi" w:cs="Arial"/>
                <w:b/>
                <w:sz w:val="22"/>
                <w:szCs w:val="22"/>
              </w:rPr>
            </w:pPr>
            <w:r>
              <w:rPr>
                <w:rFonts w:asciiTheme="majorHAnsi" w:hAnsiTheme="majorHAnsi" w:cs="Arial"/>
                <w:b/>
                <w:sz w:val="22"/>
                <w:szCs w:val="22"/>
              </w:rPr>
              <w:t>CCC+</w:t>
            </w:r>
            <w:r w:rsidR="00CC6198" w:rsidRPr="00157D76">
              <w:rPr>
                <w:rFonts w:asciiTheme="majorHAnsi" w:hAnsiTheme="majorHAnsi" w:cs="Arial"/>
                <w:b/>
                <w:sz w:val="22"/>
                <w:szCs w:val="22"/>
              </w:rPr>
              <w:t>/C</w:t>
            </w:r>
          </w:p>
        </w:tc>
        <w:tc>
          <w:tcPr>
            <w:tcW w:w="1701" w:type="dxa"/>
          </w:tcPr>
          <w:p w:rsidR="00CC6198" w:rsidRPr="00157D76" w:rsidRDefault="00CC6198" w:rsidP="004F73DB">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c>
          <w:tcPr>
            <w:tcW w:w="1304" w:type="dxa"/>
          </w:tcPr>
          <w:p w:rsidR="00CC6198" w:rsidRPr="00157D76" w:rsidRDefault="00CC6198" w:rsidP="004F73DB">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4</w:t>
            </w:r>
          </w:p>
        </w:tc>
        <w:tc>
          <w:tcPr>
            <w:tcW w:w="7768" w:type="dxa"/>
          </w:tcPr>
          <w:p w:rsidR="00CC6198" w:rsidRPr="00157D76" w:rsidRDefault="00CC6198" w:rsidP="00330C5F">
            <w:pPr>
              <w:pStyle w:val="BodyText1"/>
              <w:spacing w:before="120" w:after="120" w:line="240" w:lineRule="exact"/>
              <w:rPr>
                <w:rFonts w:asciiTheme="majorHAnsi" w:hAnsiTheme="majorHAnsi"/>
                <w:sz w:val="22"/>
                <w:szCs w:val="22"/>
              </w:rPr>
            </w:pPr>
            <w:r w:rsidRPr="00157D76">
              <w:rPr>
                <w:rFonts w:asciiTheme="majorHAnsi" w:hAnsiTheme="majorHAnsi"/>
                <w:sz w:val="22"/>
                <w:szCs w:val="22"/>
              </w:rPr>
              <w:t xml:space="preserve">The final CQS </w:t>
            </w:r>
            <w:r>
              <w:rPr>
                <w:rFonts w:asciiTheme="majorHAnsi" w:hAnsiTheme="majorHAnsi"/>
                <w:sz w:val="22"/>
                <w:szCs w:val="22"/>
              </w:rPr>
              <w:t xml:space="preserve">has been </w:t>
            </w:r>
            <w:r w:rsidRPr="00157D76">
              <w:rPr>
                <w:rFonts w:asciiTheme="majorHAnsi" w:hAnsiTheme="majorHAnsi"/>
                <w:sz w:val="22"/>
                <w:szCs w:val="22"/>
              </w:rPr>
              <w:t xml:space="preserve">determined based on the </w:t>
            </w:r>
            <w:r w:rsidR="00330C5F">
              <w:rPr>
                <w:rFonts w:asciiTheme="majorHAnsi" w:hAnsiTheme="majorHAnsi"/>
                <w:sz w:val="22"/>
                <w:szCs w:val="22"/>
              </w:rPr>
              <w:t xml:space="preserve">range of </w:t>
            </w:r>
            <w:r w:rsidRPr="00157D76">
              <w:rPr>
                <w:rFonts w:asciiTheme="majorHAnsi" w:hAnsiTheme="majorHAnsi"/>
                <w:sz w:val="22"/>
                <w:szCs w:val="22"/>
              </w:rPr>
              <w:t>step</w:t>
            </w:r>
            <w:r w:rsidR="00330C5F">
              <w:rPr>
                <w:rFonts w:asciiTheme="majorHAnsi" w:hAnsiTheme="majorHAnsi"/>
                <w:sz w:val="22"/>
                <w:szCs w:val="22"/>
              </w:rPr>
              <w:t>s</w:t>
            </w:r>
            <w:r w:rsidRPr="00157D76">
              <w:rPr>
                <w:rFonts w:asciiTheme="majorHAnsi" w:hAnsiTheme="majorHAnsi"/>
                <w:sz w:val="22"/>
                <w:szCs w:val="22"/>
              </w:rPr>
              <w:t xml:space="preserve"> associated with the corresponding long-term credit rating category. The risk weights assigned to CQS 4 to 6 are all 150%, therefore CQS 4.</w:t>
            </w:r>
          </w:p>
        </w:tc>
      </w:tr>
      <w:tr w:rsidR="00CC6198" w:rsidRPr="00157D76" w:rsidTr="00CD1257">
        <w:trPr>
          <w:trHeight w:val="397"/>
        </w:trPr>
        <w:tc>
          <w:tcPr>
            <w:tcW w:w="1418" w:type="dxa"/>
          </w:tcPr>
          <w:p w:rsidR="00CC6198" w:rsidRPr="00157D76" w:rsidRDefault="00347F69" w:rsidP="004F73DB">
            <w:pPr>
              <w:pStyle w:val="BodyText1"/>
              <w:spacing w:before="120" w:after="120"/>
              <w:jc w:val="center"/>
              <w:rPr>
                <w:rFonts w:asciiTheme="majorHAnsi" w:hAnsiTheme="majorHAnsi" w:cs="Arial"/>
                <w:b/>
                <w:sz w:val="22"/>
                <w:szCs w:val="22"/>
              </w:rPr>
            </w:pPr>
            <w:r>
              <w:rPr>
                <w:rFonts w:asciiTheme="majorHAnsi" w:hAnsiTheme="majorHAnsi" w:cs="Arial"/>
                <w:b/>
                <w:sz w:val="22"/>
                <w:szCs w:val="22"/>
              </w:rPr>
              <w:t>D</w:t>
            </w:r>
          </w:p>
        </w:tc>
        <w:tc>
          <w:tcPr>
            <w:tcW w:w="1843" w:type="dxa"/>
          </w:tcPr>
          <w:p w:rsidR="00CC6198" w:rsidRPr="00157D76" w:rsidRDefault="00347F69" w:rsidP="004F73DB">
            <w:pPr>
              <w:pStyle w:val="BodyText1"/>
              <w:spacing w:before="120" w:after="120"/>
              <w:jc w:val="center"/>
              <w:rPr>
                <w:rFonts w:asciiTheme="majorHAnsi" w:hAnsiTheme="majorHAnsi" w:cs="Arial"/>
                <w:b/>
                <w:sz w:val="22"/>
                <w:szCs w:val="22"/>
              </w:rPr>
            </w:pPr>
            <w:r>
              <w:rPr>
                <w:rFonts w:asciiTheme="majorHAnsi" w:hAnsiTheme="majorHAnsi" w:cs="Arial"/>
                <w:b/>
                <w:sz w:val="22"/>
                <w:szCs w:val="22"/>
              </w:rPr>
              <w:t>D</w:t>
            </w:r>
          </w:p>
        </w:tc>
        <w:tc>
          <w:tcPr>
            <w:tcW w:w="1701" w:type="dxa"/>
          </w:tcPr>
          <w:p w:rsidR="00CC6198" w:rsidRPr="00157D76" w:rsidRDefault="00CC6198" w:rsidP="004F73DB">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c>
          <w:tcPr>
            <w:tcW w:w="1304" w:type="dxa"/>
          </w:tcPr>
          <w:p w:rsidR="00CC6198" w:rsidRPr="00157D76" w:rsidRDefault="00CC6198" w:rsidP="004F73DB">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4</w:t>
            </w:r>
          </w:p>
        </w:tc>
        <w:tc>
          <w:tcPr>
            <w:tcW w:w="7768" w:type="dxa"/>
          </w:tcPr>
          <w:p w:rsidR="00CC6198" w:rsidRPr="00157D76" w:rsidRDefault="00CC6198" w:rsidP="00330C5F">
            <w:pPr>
              <w:pStyle w:val="BodyText1"/>
              <w:spacing w:before="120" w:after="120" w:line="240" w:lineRule="exact"/>
              <w:rPr>
                <w:rFonts w:asciiTheme="majorHAnsi" w:hAnsiTheme="majorHAnsi"/>
                <w:sz w:val="22"/>
                <w:szCs w:val="22"/>
              </w:rPr>
            </w:pPr>
            <w:r w:rsidRPr="00157D76">
              <w:rPr>
                <w:rFonts w:asciiTheme="majorHAnsi" w:hAnsiTheme="majorHAnsi"/>
                <w:sz w:val="22"/>
                <w:szCs w:val="22"/>
              </w:rPr>
              <w:t xml:space="preserve">The final CQS </w:t>
            </w:r>
            <w:r>
              <w:rPr>
                <w:rFonts w:asciiTheme="majorHAnsi" w:hAnsiTheme="majorHAnsi"/>
                <w:sz w:val="22"/>
                <w:szCs w:val="22"/>
              </w:rPr>
              <w:t xml:space="preserve">has been </w:t>
            </w:r>
            <w:r w:rsidRPr="00157D76">
              <w:rPr>
                <w:rFonts w:asciiTheme="majorHAnsi" w:hAnsiTheme="majorHAnsi"/>
                <w:sz w:val="22"/>
                <w:szCs w:val="22"/>
              </w:rPr>
              <w:t xml:space="preserve">determined based on the </w:t>
            </w:r>
            <w:r w:rsidR="00330C5F">
              <w:rPr>
                <w:rFonts w:asciiTheme="majorHAnsi" w:hAnsiTheme="majorHAnsi"/>
                <w:sz w:val="22"/>
                <w:szCs w:val="22"/>
              </w:rPr>
              <w:t xml:space="preserve">range of </w:t>
            </w:r>
            <w:r w:rsidR="00330C5F" w:rsidRPr="00157D76">
              <w:rPr>
                <w:rFonts w:asciiTheme="majorHAnsi" w:hAnsiTheme="majorHAnsi"/>
                <w:sz w:val="22"/>
                <w:szCs w:val="22"/>
              </w:rPr>
              <w:t>step</w:t>
            </w:r>
            <w:r w:rsidR="00330C5F">
              <w:rPr>
                <w:rFonts w:asciiTheme="majorHAnsi" w:hAnsiTheme="majorHAnsi"/>
                <w:sz w:val="22"/>
                <w:szCs w:val="22"/>
              </w:rPr>
              <w:t>s</w:t>
            </w:r>
            <w:r w:rsidR="00330C5F" w:rsidRPr="00157D76">
              <w:rPr>
                <w:rFonts w:asciiTheme="majorHAnsi" w:hAnsiTheme="majorHAnsi"/>
                <w:sz w:val="22"/>
                <w:szCs w:val="22"/>
              </w:rPr>
              <w:t xml:space="preserve"> </w:t>
            </w:r>
            <w:r w:rsidRPr="00157D76">
              <w:rPr>
                <w:rFonts w:asciiTheme="majorHAnsi" w:hAnsiTheme="majorHAnsi"/>
                <w:sz w:val="22"/>
                <w:szCs w:val="22"/>
              </w:rPr>
              <w:t>associated with the corresponding long-term credit rating category. The risk weights assigned to CQS 4 to 6 are all 150%, therefore CQS 4.</w:t>
            </w:r>
          </w:p>
        </w:tc>
      </w:tr>
    </w:tbl>
    <w:p w:rsidR="00157D76" w:rsidRDefault="00157D76" w:rsidP="00B50A44">
      <w:pPr>
        <w:pStyle w:val="body"/>
        <w:rPr>
          <w:rFonts w:asciiTheme="majorHAnsi" w:eastAsiaTheme="majorEastAsia" w:hAnsiTheme="majorHAnsi" w:cstheme="majorBidi"/>
          <w:color w:val="2F5773" w:themeColor="text2"/>
          <w:sz w:val="32"/>
        </w:rPr>
      </w:pPr>
    </w:p>
    <w:p w:rsidR="008D51B0" w:rsidRDefault="008D51B0" w:rsidP="008D51B0">
      <w:pPr>
        <w:pStyle w:val="Figuretitle"/>
        <w:rPr>
          <w:szCs w:val="22"/>
        </w:rPr>
      </w:pPr>
    </w:p>
    <w:sectPr w:rsidR="008D51B0" w:rsidSect="00010D71">
      <w:pgSz w:w="16840" w:h="11900" w:orient="landscape"/>
      <w:pgMar w:top="1701" w:right="2268" w:bottom="1418" w:left="113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FA2" w:rsidRDefault="00971FA2" w:rsidP="00A00E34">
      <w:r>
        <w:separator/>
      </w:r>
    </w:p>
    <w:p w:rsidR="00971FA2" w:rsidRDefault="00971FA2"/>
  </w:endnote>
  <w:endnote w:type="continuationSeparator" w:id="0">
    <w:p w:rsidR="00971FA2" w:rsidRDefault="00971FA2" w:rsidP="00A00E34">
      <w:r>
        <w:continuationSeparator/>
      </w:r>
    </w:p>
    <w:p w:rsidR="00971FA2" w:rsidRDefault="00971F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A2" w:rsidRDefault="00971FA2"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1FA2" w:rsidRDefault="00971FA2" w:rsidP="006103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A2" w:rsidRDefault="00971FA2"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09DD">
      <w:rPr>
        <w:rStyle w:val="PageNumber"/>
        <w:noProof/>
      </w:rPr>
      <w:t>9</w:t>
    </w:r>
    <w:r>
      <w:rPr>
        <w:rStyle w:val="PageNumber"/>
      </w:rPr>
      <w:fldChar w:fldCharType="end"/>
    </w:r>
  </w:p>
  <w:p w:rsidR="00971FA2" w:rsidRDefault="00971FA2" w:rsidP="00610305">
    <w:pPr>
      <w:pStyle w:val="Footer"/>
      <w:ind w:right="360"/>
    </w:pPr>
    <w:r>
      <w:rPr>
        <w:noProof/>
        <w:lang w:eastAsia="en-GB"/>
      </w:rPr>
      <mc:AlternateContent>
        <mc:Choice Requires="wps">
          <w:drawing>
            <wp:anchor distT="4294967295" distB="4294967295" distL="114300" distR="114300" simplePos="0" relativeHeight="251662336" behindDoc="1" locked="1" layoutInCell="1" allowOverlap="1" wp14:anchorId="55D84EF1" wp14:editId="6659467F">
              <wp:simplePos x="0" y="0"/>
              <wp:positionH relativeFrom="column">
                <wp:posOffset>-71120</wp:posOffset>
              </wp:positionH>
              <wp:positionV relativeFrom="page">
                <wp:posOffset>9973309</wp:posOffset>
              </wp:positionV>
              <wp:extent cx="572389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D822C9" id="Straight Connector 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Ly/lEj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A2" w:rsidRDefault="00971FA2"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09DD">
      <w:rPr>
        <w:rStyle w:val="PageNumber"/>
        <w:noProof/>
      </w:rPr>
      <w:t>1</w:t>
    </w:r>
    <w:r>
      <w:rPr>
        <w:rStyle w:val="PageNumber"/>
      </w:rPr>
      <w:fldChar w:fldCharType="end"/>
    </w:r>
  </w:p>
  <w:p w:rsidR="00971FA2" w:rsidRDefault="00971FA2" w:rsidP="002F6CF0">
    <w:pPr>
      <w:pStyle w:val="Footer"/>
      <w:ind w:right="360"/>
    </w:pPr>
    <w:r>
      <w:rPr>
        <w:noProof/>
        <w:lang w:eastAsia="en-GB"/>
      </w:rPr>
      <mc:AlternateContent>
        <mc:Choice Requires="wps">
          <w:drawing>
            <wp:anchor distT="4294967295" distB="4294967295" distL="114300" distR="114300" simplePos="0" relativeHeight="251664384" behindDoc="1" locked="1" layoutInCell="1" allowOverlap="1" wp14:anchorId="64610BE6" wp14:editId="7A125363">
              <wp:simplePos x="0" y="0"/>
              <wp:positionH relativeFrom="column">
                <wp:posOffset>-71120</wp:posOffset>
              </wp:positionH>
              <wp:positionV relativeFrom="page">
                <wp:posOffset>9973309</wp:posOffset>
              </wp:positionV>
              <wp:extent cx="5723890" cy="0"/>
              <wp:effectExtent l="0" t="0" r="101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981A24" id="Straight Connector 3"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JnYAsT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A2" w:rsidRDefault="00971FA2"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1FA2" w:rsidRDefault="00971FA2" w:rsidP="0061030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A2" w:rsidRDefault="00971FA2"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09DD">
      <w:rPr>
        <w:rStyle w:val="PageNumber"/>
        <w:noProof/>
      </w:rPr>
      <w:t>14</w:t>
    </w:r>
    <w:r>
      <w:rPr>
        <w:rStyle w:val="PageNumber"/>
      </w:rPr>
      <w:fldChar w:fldCharType="end"/>
    </w:r>
  </w:p>
  <w:p w:rsidR="00971FA2" w:rsidRDefault="00971FA2" w:rsidP="00610305">
    <w:pPr>
      <w:pStyle w:val="Footer"/>
      <w:ind w:right="360"/>
    </w:pPr>
    <w:r>
      <w:rPr>
        <w:noProof/>
        <w:lang w:eastAsia="en-GB"/>
      </w:rPr>
      <mc:AlternateContent>
        <mc:Choice Requires="wps">
          <w:drawing>
            <wp:anchor distT="4294967295" distB="4294967295" distL="114300" distR="114300" simplePos="0" relativeHeight="251669504" behindDoc="1" locked="1" layoutInCell="1" allowOverlap="1" wp14:anchorId="0E1AB695" wp14:editId="31DB289A">
              <wp:simplePos x="0" y="0"/>
              <wp:positionH relativeFrom="column">
                <wp:posOffset>-71120</wp:posOffset>
              </wp:positionH>
              <wp:positionV relativeFrom="page">
                <wp:posOffset>9973309</wp:posOffset>
              </wp:positionV>
              <wp:extent cx="5723890" cy="0"/>
              <wp:effectExtent l="0" t="0" r="1016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DDBF03" id="Straight Connector 14"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S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C/zEE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A2" w:rsidRDefault="00971FA2"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09DD">
      <w:rPr>
        <w:rStyle w:val="PageNumber"/>
        <w:noProof/>
      </w:rPr>
      <w:t>15</w:t>
    </w:r>
    <w:r>
      <w:rPr>
        <w:rStyle w:val="PageNumber"/>
      </w:rPr>
      <w:fldChar w:fldCharType="end"/>
    </w:r>
  </w:p>
  <w:p w:rsidR="00971FA2" w:rsidRDefault="00971FA2" w:rsidP="002F6CF0">
    <w:pPr>
      <w:pStyle w:val="Footer"/>
      <w:ind w:right="360"/>
    </w:pPr>
    <w:r>
      <w:rPr>
        <w:noProof/>
        <w:lang w:eastAsia="en-GB"/>
      </w:rPr>
      <mc:AlternateContent>
        <mc:Choice Requires="wps">
          <w:drawing>
            <wp:anchor distT="4294967295" distB="4294967295" distL="114300" distR="114300" simplePos="0" relativeHeight="251670528" behindDoc="1" locked="1" layoutInCell="1" allowOverlap="1" wp14:anchorId="4B8397BD" wp14:editId="12610601">
              <wp:simplePos x="0" y="0"/>
              <wp:positionH relativeFrom="column">
                <wp:posOffset>-71120</wp:posOffset>
              </wp:positionH>
              <wp:positionV relativeFrom="page">
                <wp:posOffset>9973309</wp:posOffset>
              </wp:positionV>
              <wp:extent cx="5723890" cy="0"/>
              <wp:effectExtent l="0" t="0" r="1016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669B8" id="Straight Connector 15"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gENQ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Fo52AQ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A2" w:rsidRDefault="00971FA2"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1FA2" w:rsidRDefault="00971FA2" w:rsidP="00610305">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A2" w:rsidRDefault="00971FA2"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09DD">
      <w:rPr>
        <w:rStyle w:val="PageNumber"/>
        <w:noProof/>
      </w:rPr>
      <w:t>21</w:t>
    </w:r>
    <w:r>
      <w:rPr>
        <w:rStyle w:val="PageNumber"/>
      </w:rPr>
      <w:fldChar w:fldCharType="end"/>
    </w:r>
  </w:p>
  <w:p w:rsidR="00971FA2" w:rsidRDefault="00971FA2" w:rsidP="00610305">
    <w:pPr>
      <w:pStyle w:val="Footer"/>
      <w:ind w:right="360"/>
    </w:pPr>
    <w:r>
      <w:rPr>
        <w:noProof/>
        <w:lang w:eastAsia="en-GB"/>
      </w:rPr>
      <mc:AlternateContent>
        <mc:Choice Requires="wps">
          <w:drawing>
            <wp:anchor distT="4294967295" distB="4294967295" distL="114300" distR="114300" simplePos="0" relativeHeight="251672576" behindDoc="1" locked="1" layoutInCell="1" allowOverlap="1" wp14:anchorId="193CA540" wp14:editId="469C5055">
              <wp:simplePos x="0" y="0"/>
              <wp:positionH relativeFrom="column">
                <wp:posOffset>-71120</wp:posOffset>
              </wp:positionH>
              <wp:positionV relativeFrom="page">
                <wp:posOffset>9973309</wp:posOffset>
              </wp:positionV>
              <wp:extent cx="5723890" cy="0"/>
              <wp:effectExtent l="0" t="0" r="1016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18F80" id="Straight Connector 18"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H6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x8NR+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A2" w:rsidRDefault="00971FA2"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09DD">
      <w:rPr>
        <w:rStyle w:val="PageNumber"/>
        <w:noProof/>
      </w:rPr>
      <w:t>16</w:t>
    </w:r>
    <w:r>
      <w:rPr>
        <w:rStyle w:val="PageNumber"/>
      </w:rPr>
      <w:fldChar w:fldCharType="end"/>
    </w:r>
  </w:p>
  <w:p w:rsidR="00971FA2" w:rsidRDefault="00971FA2" w:rsidP="002F6CF0">
    <w:pPr>
      <w:pStyle w:val="Footer"/>
      <w:ind w:right="360"/>
    </w:pPr>
    <w:r>
      <w:rPr>
        <w:noProof/>
        <w:lang w:eastAsia="en-GB"/>
      </w:rPr>
      <mc:AlternateContent>
        <mc:Choice Requires="wps">
          <w:drawing>
            <wp:anchor distT="4294967295" distB="4294967295" distL="114300" distR="114300" simplePos="0" relativeHeight="251673600" behindDoc="1" locked="1" layoutInCell="1" allowOverlap="1" wp14:anchorId="432BDDFE" wp14:editId="04F04207">
              <wp:simplePos x="0" y="0"/>
              <wp:positionH relativeFrom="column">
                <wp:posOffset>-71120</wp:posOffset>
              </wp:positionH>
              <wp:positionV relativeFrom="page">
                <wp:posOffset>9973309</wp:posOffset>
              </wp:positionV>
              <wp:extent cx="5723890" cy="0"/>
              <wp:effectExtent l="0" t="0" r="1016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61C43" id="Straight Connector 19"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3sNQ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JYGTew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FA2" w:rsidRPr="00DB5E8F" w:rsidRDefault="00971FA2">
      <w:pPr>
        <w:rPr>
          <w:sz w:val="12"/>
          <w:szCs w:val="12"/>
        </w:rPr>
      </w:pPr>
      <w:r w:rsidRPr="00DB5E8F">
        <w:rPr>
          <w:sz w:val="12"/>
          <w:szCs w:val="12"/>
        </w:rPr>
        <w:separator/>
      </w:r>
    </w:p>
  </w:footnote>
  <w:footnote w:type="continuationSeparator" w:id="0">
    <w:p w:rsidR="00971FA2" w:rsidRDefault="00971FA2" w:rsidP="00A00E34">
      <w:r>
        <w:continuationSeparator/>
      </w:r>
    </w:p>
    <w:p w:rsidR="00971FA2" w:rsidRDefault="00971FA2"/>
  </w:footnote>
  <w:footnote w:type="continuationNotice" w:id="1">
    <w:p w:rsidR="00971FA2" w:rsidRDefault="00971FA2"/>
  </w:footnote>
  <w:footnote w:id="2">
    <w:p w:rsidR="00971FA2" w:rsidRPr="00873D40" w:rsidRDefault="00971FA2" w:rsidP="00F16A28">
      <w:pPr>
        <w:pStyle w:val="FootnoteText"/>
      </w:pPr>
      <w:r>
        <w:rPr>
          <w:rStyle w:val="FootnoteReference"/>
        </w:rPr>
        <w:footnoteRef/>
      </w:r>
      <w:r>
        <w:t xml:space="preserve"> According to Article 136(1), the ‘mapping’ is the correspondence between the credit assessments of and ECAI and </w:t>
      </w:r>
      <w:r w:rsidRPr="00540BB7">
        <w:t>the credit quality steps set out in Regulation (EU) No 575/2013 (Capital Requirements Regulation – CRR)</w:t>
      </w:r>
      <w:r>
        <w:t>.</w:t>
      </w:r>
    </w:p>
  </w:footnote>
  <w:footnote w:id="3">
    <w:p w:rsidR="00F16A28" w:rsidRPr="00F16A28" w:rsidRDefault="00F16A28" w:rsidP="00F16A28">
      <w:pPr>
        <w:pStyle w:val="FootnoteText"/>
        <w:rPr>
          <w:lang w:val="en-GB"/>
        </w:rPr>
      </w:pPr>
      <w:r>
        <w:rPr>
          <w:rStyle w:val="FootnoteReference"/>
        </w:rPr>
        <w:footnoteRef/>
      </w:r>
      <w:r>
        <w:t xml:space="preserve"> In this regard please consider http://www.esma.europa.eu/system/files/esma__2015-1473_report_on_the_possibility_of_establishing_one_or_more_mapping....pdf.</w:t>
      </w:r>
    </w:p>
  </w:footnote>
  <w:footnote w:id="4">
    <w:p w:rsidR="00971FA2" w:rsidRPr="008B7151" w:rsidRDefault="00971FA2" w:rsidP="00F16A28">
      <w:pPr>
        <w:pStyle w:val="FootnoteText"/>
      </w:pPr>
      <w:r>
        <w:rPr>
          <w:rStyle w:val="FootnoteReference"/>
        </w:rPr>
        <w:footnoteRef/>
      </w:r>
      <w:r>
        <w:t xml:space="preserve"> </w:t>
      </w:r>
      <w:r w:rsidRPr="00540BB7">
        <w:t>It</w:t>
      </w:r>
      <w:r>
        <w:t xml:space="preserve"> is important to note that the mapping </w:t>
      </w:r>
      <w:r w:rsidRPr="00540BB7">
        <w:t xml:space="preserve">does not contain any assessment of the registration process of </w:t>
      </w:r>
      <w:r>
        <w:t>Dagong</w:t>
      </w:r>
      <w:r w:rsidRPr="00540BB7">
        <w:t xml:space="preserve"> carried out by ESMA.</w:t>
      </w:r>
    </w:p>
  </w:footnote>
  <w:footnote w:id="5">
    <w:p w:rsidR="00AC068A" w:rsidRPr="00D84B53" w:rsidRDefault="00AC068A" w:rsidP="00F16A28">
      <w:pPr>
        <w:pStyle w:val="FootnoteText"/>
        <w:rPr>
          <w:lang w:val="en-GB"/>
        </w:rPr>
      </w:pPr>
      <w:r>
        <w:rPr>
          <w:rStyle w:val="FootnoteReference"/>
        </w:rPr>
        <w:footnoteRef/>
      </w:r>
      <w:r>
        <w:t xml:space="preserve"> CEREP is the central repository owned by ESMA to which all registered/certified CRAs have to report their credit assessments. </w:t>
      </w:r>
      <w:r w:rsidRPr="006F008A">
        <w:t>http://cerep.esma.europa.eu/cerep-web/</w:t>
      </w:r>
      <w:r>
        <w:t>.</w:t>
      </w:r>
    </w:p>
  </w:footnote>
  <w:footnote w:id="6">
    <w:p w:rsidR="00971FA2" w:rsidRDefault="00971FA2" w:rsidP="00F16A28">
      <w:pPr>
        <w:pStyle w:val="FootnoteText"/>
      </w:pPr>
      <w:r>
        <w:rPr>
          <w:rStyle w:val="FootnoteReference"/>
        </w:rPr>
        <w:footnoteRef/>
      </w:r>
      <w:r>
        <w:t xml:space="preserve"> As explained in recital </w:t>
      </w:r>
      <w:r w:rsidR="00B75E26">
        <w:t>4</w:t>
      </w:r>
      <w:r>
        <w:t xml:space="preserve"> ITS, Article 4(1) CRA allows the use of the credit assessments for the determination of the risk-weighted exposure amounts as specified in Article 113(1) CRR as long as they meet the definition of credit rating in Article 3(1)(a) CRA.</w:t>
      </w:r>
    </w:p>
  </w:footnote>
  <w:footnote w:id="7">
    <w:p w:rsidR="00971FA2" w:rsidRPr="00D84B53" w:rsidRDefault="00971FA2" w:rsidP="00F16A28">
      <w:pPr>
        <w:pStyle w:val="FootnoteText"/>
        <w:rPr>
          <w:lang w:val="en-GB"/>
        </w:rPr>
      </w:pPr>
      <w:r>
        <w:rPr>
          <w:rStyle w:val="FootnoteReference"/>
        </w:rPr>
        <w:footnoteRef/>
      </w:r>
      <w:r>
        <w:t xml:space="preserve"> </w:t>
      </w:r>
      <w:r w:rsidRPr="00330628">
        <w:t>The default behavior of a rating category is considered to be properly tested if the quantitative factors for that rating category are calculated under Articles 3 – 5 ITS.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A2" w:rsidRDefault="003F09DD">
    <w:sdt>
      <w:sdtPr>
        <w:id w:val="-349567973"/>
        <w:temporary/>
        <w:showingPlcHdr/>
      </w:sdtPr>
      <w:sdtEndPr/>
      <w:sdtContent>
        <w:r w:rsidR="00971FA2">
          <w:t>[Type text]</w:t>
        </w:r>
      </w:sdtContent>
    </w:sdt>
    <w:r w:rsidR="00971FA2">
      <w:ptab w:relativeTo="margin" w:alignment="center" w:leader="none"/>
    </w:r>
    <w:sdt>
      <w:sdtPr>
        <w:id w:val="-798603564"/>
        <w:temporary/>
        <w:showingPlcHdr/>
      </w:sdtPr>
      <w:sdtEndPr/>
      <w:sdtContent>
        <w:r w:rsidR="00971FA2">
          <w:t>[Type text]</w:t>
        </w:r>
      </w:sdtContent>
    </w:sdt>
    <w:r w:rsidR="00971FA2">
      <w:ptab w:relativeTo="margin" w:alignment="right" w:leader="none"/>
    </w:r>
    <w:sdt>
      <w:sdtPr>
        <w:id w:val="-2050829720"/>
        <w:temporary/>
        <w:showingPlcHdr/>
      </w:sdtPr>
      <w:sdtEndPr/>
      <w:sdtContent>
        <w:r w:rsidR="00971FA2">
          <w:t>[Type text]</w:t>
        </w:r>
      </w:sdtContent>
    </w:sdt>
  </w:p>
  <w:p w:rsidR="00971FA2" w:rsidRDefault="00971FA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A2" w:rsidRPr="000069A9" w:rsidRDefault="00971FA2" w:rsidP="000069A9">
    <w:pPr>
      <w:pStyle w:val="Header"/>
    </w:pPr>
    <w:r w:rsidRPr="000069A9">
      <w:rPr>
        <w:noProof/>
        <w:lang w:eastAsia="en-GB"/>
      </w:rPr>
      <w:drawing>
        <wp:inline distT="0" distB="0" distL="0" distR="0" wp14:anchorId="65E83621" wp14:editId="187183C1">
          <wp:extent cx="5547360" cy="609600"/>
          <wp:effectExtent l="0" t="0" r="0" b="0"/>
          <wp:docPr id="12"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A2" w:rsidRPr="000069A9" w:rsidRDefault="00971FA2" w:rsidP="000069A9">
    <w:pPr>
      <w:pStyle w:val="Header"/>
    </w:pPr>
    <w:r w:rsidRPr="000069A9">
      <w:rPr>
        <w:noProof/>
        <w:lang w:eastAsia="en-GB"/>
      </w:rPr>
      <w:drawing>
        <wp:inline distT="0" distB="0" distL="0" distR="0" wp14:anchorId="09F252E7" wp14:editId="30631673">
          <wp:extent cx="5547360" cy="609600"/>
          <wp:effectExtent l="0" t="0" r="0" b="0"/>
          <wp:docPr id="13"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A2" w:rsidRDefault="003F09DD">
    <w:sdt>
      <w:sdtPr>
        <w:id w:val="818621608"/>
        <w:temporary/>
        <w:showingPlcHdr/>
      </w:sdtPr>
      <w:sdtEndPr/>
      <w:sdtContent>
        <w:r w:rsidR="00971FA2">
          <w:t>[Type text]</w:t>
        </w:r>
      </w:sdtContent>
    </w:sdt>
    <w:r w:rsidR="00971FA2">
      <w:ptab w:relativeTo="margin" w:alignment="center" w:leader="none"/>
    </w:r>
    <w:sdt>
      <w:sdtPr>
        <w:id w:val="2075085860"/>
        <w:temporary/>
        <w:showingPlcHdr/>
      </w:sdtPr>
      <w:sdtEndPr/>
      <w:sdtContent>
        <w:r w:rsidR="00971FA2">
          <w:t>[Type text]</w:t>
        </w:r>
      </w:sdtContent>
    </w:sdt>
    <w:r w:rsidR="00971FA2">
      <w:ptab w:relativeTo="margin" w:alignment="right" w:leader="none"/>
    </w:r>
    <w:sdt>
      <w:sdtPr>
        <w:id w:val="1492370035"/>
        <w:temporary/>
        <w:showingPlcHdr/>
      </w:sdtPr>
      <w:sdtEndPr/>
      <w:sdtContent>
        <w:r w:rsidR="00971FA2">
          <w:t>[Type text]</w:t>
        </w:r>
      </w:sdtContent>
    </w:sdt>
  </w:p>
  <w:p w:rsidR="00971FA2" w:rsidRDefault="00971FA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A2" w:rsidRPr="000069A9" w:rsidRDefault="00971FA2" w:rsidP="000069A9">
    <w:pPr>
      <w:pStyle w:val="Header"/>
    </w:pPr>
    <w:r w:rsidRPr="000069A9">
      <w:rPr>
        <w:noProof/>
        <w:lang w:eastAsia="en-GB"/>
      </w:rPr>
      <w:drawing>
        <wp:inline distT="0" distB="0" distL="0" distR="0" wp14:anchorId="03B86725" wp14:editId="5459A4F9">
          <wp:extent cx="5547360" cy="609600"/>
          <wp:effectExtent l="0" t="0" r="0" b="0"/>
          <wp:docPr id="22"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A2" w:rsidRPr="000069A9" w:rsidRDefault="00971FA2" w:rsidP="000069A9">
    <w:pPr>
      <w:pStyle w:val="Header"/>
    </w:pPr>
    <w:r w:rsidRPr="000069A9">
      <w:rPr>
        <w:noProof/>
        <w:lang w:eastAsia="en-GB"/>
      </w:rPr>
      <w:drawing>
        <wp:inline distT="0" distB="0" distL="0" distR="0" wp14:anchorId="3FB177CF" wp14:editId="164E0E34">
          <wp:extent cx="5547360" cy="609600"/>
          <wp:effectExtent l="0" t="0" r="0" b="0"/>
          <wp:docPr id="23"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A2" w:rsidRDefault="003F09DD">
    <w:sdt>
      <w:sdtPr>
        <w:id w:val="1594435895"/>
        <w:temporary/>
        <w:showingPlcHdr/>
      </w:sdtPr>
      <w:sdtEndPr/>
      <w:sdtContent>
        <w:r w:rsidR="00971FA2">
          <w:t>[Type text]</w:t>
        </w:r>
      </w:sdtContent>
    </w:sdt>
    <w:r w:rsidR="00971FA2">
      <w:ptab w:relativeTo="margin" w:alignment="center" w:leader="none"/>
    </w:r>
    <w:sdt>
      <w:sdtPr>
        <w:id w:val="1842353269"/>
        <w:temporary/>
        <w:showingPlcHdr/>
      </w:sdtPr>
      <w:sdtEndPr/>
      <w:sdtContent>
        <w:r w:rsidR="00971FA2">
          <w:t>[Type text]</w:t>
        </w:r>
      </w:sdtContent>
    </w:sdt>
    <w:r w:rsidR="00971FA2">
      <w:ptab w:relativeTo="margin" w:alignment="right" w:leader="none"/>
    </w:r>
    <w:sdt>
      <w:sdtPr>
        <w:id w:val="338585093"/>
        <w:temporary/>
        <w:showingPlcHdr/>
      </w:sdtPr>
      <w:sdtEndPr/>
      <w:sdtContent>
        <w:r w:rsidR="00971FA2">
          <w:t>[Type text]</w:t>
        </w:r>
      </w:sdtContent>
    </w:sdt>
  </w:p>
  <w:p w:rsidR="00971FA2" w:rsidRDefault="00971FA2"/>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A2" w:rsidRPr="000069A9" w:rsidRDefault="00971FA2" w:rsidP="000069A9">
    <w:pPr>
      <w:pStyle w:val="Header"/>
    </w:pPr>
    <w:r w:rsidRPr="000069A9">
      <w:rPr>
        <w:noProof/>
        <w:lang w:eastAsia="en-GB"/>
      </w:rPr>
      <w:drawing>
        <wp:inline distT="0" distB="0" distL="0" distR="0" wp14:anchorId="795EC491" wp14:editId="43A7D900">
          <wp:extent cx="5547360" cy="609600"/>
          <wp:effectExtent l="0" t="0" r="0" b="0"/>
          <wp:docPr id="5"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A2" w:rsidRPr="000069A9" w:rsidRDefault="00971FA2" w:rsidP="000069A9">
    <w:pPr>
      <w:pStyle w:val="Header"/>
    </w:pPr>
    <w:r w:rsidRPr="000069A9">
      <w:rPr>
        <w:noProof/>
        <w:lang w:eastAsia="en-GB"/>
      </w:rPr>
      <w:drawing>
        <wp:inline distT="0" distB="0" distL="0" distR="0" wp14:anchorId="75C29CAD" wp14:editId="460183D8">
          <wp:extent cx="5547360" cy="609600"/>
          <wp:effectExtent l="0" t="0" r="0" b="0"/>
          <wp:docPr id="6"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638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358A2"/>
    <w:multiLevelType w:val="multilevel"/>
    <w:tmpl w:val="AEC658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FA148C"/>
    <w:multiLevelType w:val="hybridMultilevel"/>
    <w:tmpl w:val="271A5E36"/>
    <w:lvl w:ilvl="0" w:tplc="9B42E0A2">
      <w:start w:val="1"/>
      <w:numFmt w:val="bullet"/>
      <w:lvlText w:val=""/>
      <w:lvlJc w:val="left"/>
      <w:pPr>
        <w:ind w:left="4904" w:hanging="360"/>
      </w:pPr>
      <w:rPr>
        <w:rFonts w:ascii="Symbol" w:hAnsi="Symbol" w:hint="default"/>
        <w:b w:val="0"/>
        <w:i w:val="0"/>
        <w:caps w:val="0"/>
        <w:strike w:val="0"/>
        <w:dstrike w:val="0"/>
        <w:vanish w:val="0"/>
        <w:color w:val="2F5773"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6" w15:restartNumberingAfterBreak="0">
    <w:nsid w:val="094E1D31"/>
    <w:multiLevelType w:val="hybridMultilevel"/>
    <w:tmpl w:val="34D89928"/>
    <w:lvl w:ilvl="0" w:tplc="AA62DFE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692C3F"/>
    <w:multiLevelType w:val="multilevel"/>
    <w:tmpl w:val="0CF8E5C4"/>
    <w:lvl w:ilvl="0">
      <w:start w:val="1"/>
      <w:numFmt w:val="decimal"/>
      <w:pStyle w:val="Numberedtitlelevel2"/>
      <w:lvlText w:val="%1."/>
      <w:lvlJc w:val="left"/>
      <w:pPr>
        <w:ind w:left="360" w:hanging="360"/>
      </w:pPr>
    </w:lvl>
    <w:lvl w:ilvl="1">
      <w:start w:val="1"/>
      <w:numFmt w:val="decimal"/>
      <w:pStyle w:val="Numberedtitlelevel3"/>
      <w:lvlText w:val="%1.%2."/>
      <w:lvlJc w:val="left"/>
      <w:pPr>
        <w:ind w:left="792" w:hanging="432"/>
      </w:pPr>
    </w:lvl>
    <w:lvl w:ilvl="2">
      <w:start w:val="1"/>
      <w:numFmt w:val="decimal"/>
      <w:pStyle w:val="Numberedtitleleve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155E6B"/>
    <w:multiLevelType w:val="multilevel"/>
    <w:tmpl w:val="6A081F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AB4168"/>
    <w:multiLevelType w:val="multilevel"/>
    <w:tmpl w:val="AD9E135A"/>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211F47FA"/>
    <w:multiLevelType w:val="multilevel"/>
    <w:tmpl w:val="2C7E5A08"/>
    <w:lvl w:ilvl="0">
      <w:start w:val="1"/>
      <w:numFmt w:val="bullet"/>
      <w:pStyle w:val="Bullet10"/>
      <w:lvlText w:val=""/>
      <w:lvlJc w:val="left"/>
      <w:pPr>
        <w:tabs>
          <w:tab w:val="num" w:pos="432"/>
        </w:tabs>
        <w:ind w:left="432" w:hanging="432"/>
      </w:pPr>
      <w:rPr>
        <w:rFonts w:ascii="Symbol" w:hAnsi="Symbol" w:hint="default"/>
        <w:sz w:val="28"/>
      </w:rPr>
    </w:lvl>
    <w:lvl w:ilvl="1">
      <w:start w:val="4"/>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340760A"/>
    <w:multiLevelType w:val="multilevel"/>
    <w:tmpl w:val="C95A32BC"/>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28D23D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CB5D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5" w15:restartNumberingAfterBreak="0">
    <w:nsid w:val="30BF4E33"/>
    <w:multiLevelType w:val="hybridMultilevel"/>
    <w:tmpl w:val="72AA54B4"/>
    <w:lvl w:ilvl="0" w:tplc="08090001">
      <w:start w:val="1"/>
      <w:numFmt w:val="bullet"/>
      <w:lvlText w:val=""/>
      <w:lvlJc w:val="left"/>
      <w:pPr>
        <w:tabs>
          <w:tab w:val="num" w:pos="284"/>
        </w:tabs>
        <w:ind w:left="284" w:hanging="284"/>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42E91"/>
    <w:multiLevelType w:val="hybridMultilevel"/>
    <w:tmpl w:val="40BE3B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A0333F1"/>
    <w:multiLevelType w:val="hybridMultilevel"/>
    <w:tmpl w:val="8B967D4E"/>
    <w:lvl w:ilvl="0" w:tplc="963C153A">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596ABE"/>
    <w:multiLevelType w:val="multilevel"/>
    <w:tmpl w:val="AD38F3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C27D48"/>
    <w:multiLevelType w:val="hybridMultilevel"/>
    <w:tmpl w:val="B15CC8FC"/>
    <w:lvl w:ilvl="0" w:tplc="090C4D3E">
      <w:start w:val="1"/>
      <w:numFmt w:val="bullet"/>
      <w:pStyle w:val="bullet2"/>
      <w:lvlText w:val=""/>
      <w:lvlJc w:val="left"/>
      <w:pPr>
        <w:tabs>
          <w:tab w:val="num" w:pos="766"/>
        </w:tabs>
        <w:ind w:left="766"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8E586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DD0B2F"/>
    <w:multiLevelType w:val="hybridMultilevel"/>
    <w:tmpl w:val="F962D4CA"/>
    <w:lvl w:ilvl="0" w:tplc="3C6A0EE6">
      <w:numFmt w:val="bullet"/>
      <w:lvlText w:val="-"/>
      <w:lvlJc w:val="left"/>
      <w:pPr>
        <w:ind w:left="785" w:hanging="360"/>
      </w:pPr>
      <w:rPr>
        <w:rFonts w:ascii="Arial" w:eastAsia="Times New Roman" w:hAnsi="Aria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2" w15:restartNumberingAfterBreak="0">
    <w:nsid w:val="50227369"/>
    <w:multiLevelType w:val="hybridMultilevel"/>
    <w:tmpl w:val="7D6C0D62"/>
    <w:lvl w:ilvl="0" w:tplc="CC64A8C8">
      <w:start w:val="1"/>
      <w:numFmt w:val="decimal"/>
      <w:pStyle w:val="numberedparagraph"/>
      <w:lvlText w:val="%1."/>
      <w:lvlJc w:val="left"/>
      <w:pPr>
        <w:tabs>
          <w:tab w:val="num" w:pos="710"/>
        </w:tabs>
        <w:ind w:left="710" w:hanging="284"/>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894B89"/>
    <w:multiLevelType w:val="hybridMultilevel"/>
    <w:tmpl w:val="393AB35C"/>
    <w:lvl w:ilvl="0" w:tplc="E08E609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615C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F07985"/>
    <w:multiLevelType w:val="multilevel"/>
    <w:tmpl w:val="517EDB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1E10D9"/>
    <w:multiLevelType w:val="multilevel"/>
    <w:tmpl w:val="FE9E8EF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CD57BB"/>
    <w:multiLevelType w:val="multilevel"/>
    <w:tmpl w:val="ADD081BE"/>
    <w:lvl w:ilvl="0">
      <w:start w:val="1"/>
      <w:numFmt w:val="decimal"/>
      <w:pStyle w:val="Numberedtilelevel1"/>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8" w15:restartNumberingAfterBreak="0">
    <w:nsid w:val="6E4063E1"/>
    <w:multiLevelType w:val="hybridMultilevel"/>
    <w:tmpl w:val="C93A3EB6"/>
    <w:lvl w:ilvl="0" w:tplc="CCC64C02">
      <w:start w:val="1"/>
      <w:numFmt w:val="decimal"/>
      <w:pStyle w:val="Paragraph"/>
      <w:lvlText w:val="%1."/>
      <w:lvlJc w:val="left"/>
      <w:pPr>
        <w:ind w:left="785" w:hanging="360"/>
      </w:pPr>
    </w:lvl>
    <w:lvl w:ilvl="1" w:tplc="08090001">
      <w:start w:val="1"/>
      <w:numFmt w:val="bullet"/>
      <w:lvlText w:val=""/>
      <w:lvlJc w:val="left"/>
      <w:pPr>
        <w:ind w:left="1505" w:hanging="360"/>
      </w:pPr>
      <w:rPr>
        <w:rFonts w:ascii="Symbol" w:hAnsi="Symbol" w:hint="default"/>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9"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47359"/>
    <w:multiLevelType w:val="hybridMultilevel"/>
    <w:tmpl w:val="F18E79C0"/>
    <w:lvl w:ilvl="0" w:tplc="08090001">
      <w:start w:val="1"/>
      <w:numFmt w:val="bullet"/>
      <w:lvlText w:val=""/>
      <w:lvlJc w:val="left"/>
      <w:pPr>
        <w:tabs>
          <w:tab w:val="num" w:pos="284"/>
        </w:tabs>
        <w:ind w:left="284" w:hanging="284"/>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
  </w:num>
  <w:num w:numId="3">
    <w:abstractNumId w:val="14"/>
  </w:num>
  <w:num w:numId="4">
    <w:abstractNumId w:val="17"/>
  </w:num>
  <w:num w:numId="5">
    <w:abstractNumId w:val="29"/>
  </w:num>
  <w:num w:numId="6">
    <w:abstractNumId w:val="1"/>
  </w:num>
  <w:num w:numId="7">
    <w:abstractNumId w:val="27"/>
  </w:num>
  <w:num w:numId="8">
    <w:abstractNumId w:val="22"/>
  </w:num>
  <w:num w:numId="9">
    <w:abstractNumId w:val="22"/>
    <w:lvlOverride w:ilvl="0">
      <w:startOverride w:val="1"/>
    </w:lvlOverride>
  </w:num>
  <w:num w:numId="10">
    <w:abstractNumId w:val="22"/>
    <w:lvlOverride w:ilvl="0">
      <w:startOverride w:val="1"/>
    </w:lvlOverride>
  </w:num>
  <w:num w:numId="11">
    <w:abstractNumId w:val="22"/>
    <w:lvlOverride w:ilvl="0">
      <w:startOverride w:val="1"/>
    </w:lvlOverride>
  </w:num>
  <w:num w:numId="12">
    <w:abstractNumId w:val="22"/>
    <w:lvlOverride w:ilvl="0">
      <w:startOverride w:val="1"/>
    </w:lvlOverride>
  </w:num>
  <w:num w:numId="13">
    <w:abstractNumId w:val="22"/>
    <w:lvlOverride w:ilvl="0">
      <w:startOverride w:val="1"/>
    </w:lvlOverride>
  </w:num>
  <w:num w:numId="14">
    <w:abstractNumId w:val="22"/>
    <w:lvlOverride w:ilvl="0">
      <w:startOverride w:val="1"/>
    </w:lvlOverride>
  </w:num>
  <w:num w:numId="15">
    <w:abstractNumId w:val="0"/>
  </w:num>
  <w:num w:numId="16">
    <w:abstractNumId w:val="5"/>
  </w:num>
  <w:num w:numId="17">
    <w:abstractNumId w:val="11"/>
  </w:num>
  <w:num w:numId="18">
    <w:abstractNumId w:val="9"/>
  </w:num>
  <w:num w:numId="19">
    <w:abstractNumId w:val="13"/>
  </w:num>
  <w:num w:numId="20">
    <w:abstractNumId w:val="23"/>
  </w:num>
  <w:num w:numId="21">
    <w:abstractNumId w:val="20"/>
  </w:num>
  <w:num w:numId="22">
    <w:abstractNumId w:val="8"/>
  </w:num>
  <w:num w:numId="23">
    <w:abstractNumId w:val="12"/>
  </w:num>
  <w:num w:numId="24">
    <w:abstractNumId w:val="26"/>
  </w:num>
  <w:num w:numId="25">
    <w:abstractNumId w:val="6"/>
  </w:num>
  <w:num w:numId="26">
    <w:abstractNumId w:val="4"/>
  </w:num>
  <w:num w:numId="27">
    <w:abstractNumId w:val="24"/>
  </w:num>
  <w:num w:numId="28">
    <w:abstractNumId w:val="18"/>
  </w:num>
  <w:num w:numId="29">
    <w:abstractNumId w:val="2"/>
  </w:num>
  <w:num w:numId="30">
    <w:abstractNumId w:val="25"/>
  </w:num>
  <w:num w:numId="31">
    <w:abstractNumId w:val="7"/>
  </w:num>
  <w:num w:numId="32">
    <w:abstractNumId w:val="10"/>
  </w:num>
  <w:num w:numId="33">
    <w:abstractNumId w:val="21"/>
  </w:num>
  <w:num w:numId="34">
    <w:abstractNumId w:val="28"/>
  </w:num>
  <w:num w:numId="35">
    <w:abstractNumId w:val="22"/>
  </w:num>
  <w:num w:numId="36">
    <w:abstractNumId w:val="16"/>
  </w:num>
  <w:num w:numId="37">
    <w:abstractNumId w:val="15"/>
  </w:num>
  <w:num w:numId="38">
    <w:abstractNumId w:val="19"/>
  </w:num>
  <w:num w:numId="39">
    <w:abstractNumId w:val="30"/>
  </w:num>
  <w:num w:numId="40">
    <w:abstractNumId w:val="7"/>
  </w:num>
  <w:num w:numId="41">
    <w:abstractNumId w:val="7"/>
  </w:num>
  <w:num w:numId="42">
    <w:abstractNumId w:val="7"/>
  </w:num>
  <w:num w:numId="43">
    <w:abstractNumId w:val="19"/>
  </w:num>
  <w:num w:numId="44">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0"/>
  <w:drawingGridHorizontalSpacing w:val="360"/>
  <w:drawingGridVerticalSpacing w:val="360"/>
  <w:displayHorizontalDrawingGridEvery w:val="0"/>
  <w:displayVerticalDrawingGridEvery w:val="0"/>
  <w:characterSpacingControl w:val="doNotCompress"/>
  <w:hdrShapeDefaults>
    <o:shapedefaults v:ext="edit" spidmax="141313"/>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BA SHORT REPORT"/>
  </w:docVars>
  <w:rsids>
    <w:rsidRoot w:val="004E160A"/>
    <w:rsid w:val="000001B4"/>
    <w:rsid w:val="00000CDE"/>
    <w:rsid w:val="00003F50"/>
    <w:rsid w:val="00006205"/>
    <w:rsid w:val="000069A9"/>
    <w:rsid w:val="00010D71"/>
    <w:rsid w:val="00013281"/>
    <w:rsid w:val="00015276"/>
    <w:rsid w:val="000231B7"/>
    <w:rsid w:val="00026ED9"/>
    <w:rsid w:val="00027CA0"/>
    <w:rsid w:val="00030D65"/>
    <w:rsid w:val="00031188"/>
    <w:rsid w:val="00032E18"/>
    <w:rsid w:val="00033932"/>
    <w:rsid w:val="000342AD"/>
    <w:rsid w:val="00036322"/>
    <w:rsid w:val="00036672"/>
    <w:rsid w:val="0004424B"/>
    <w:rsid w:val="000460D5"/>
    <w:rsid w:val="00050021"/>
    <w:rsid w:val="000515BC"/>
    <w:rsid w:val="00052FFB"/>
    <w:rsid w:val="00057350"/>
    <w:rsid w:val="00060F40"/>
    <w:rsid w:val="00065353"/>
    <w:rsid w:val="000843CD"/>
    <w:rsid w:val="000849A0"/>
    <w:rsid w:val="00087AC5"/>
    <w:rsid w:val="00097F2B"/>
    <w:rsid w:val="000A1C81"/>
    <w:rsid w:val="000A3EF0"/>
    <w:rsid w:val="000B1645"/>
    <w:rsid w:val="000C2645"/>
    <w:rsid w:val="000C29A3"/>
    <w:rsid w:val="000C3F54"/>
    <w:rsid w:val="000C5A8A"/>
    <w:rsid w:val="000D365C"/>
    <w:rsid w:val="000D66F6"/>
    <w:rsid w:val="000D770A"/>
    <w:rsid w:val="000D7A44"/>
    <w:rsid w:val="000E0C27"/>
    <w:rsid w:val="000E3581"/>
    <w:rsid w:val="000E6D15"/>
    <w:rsid w:val="000E6E82"/>
    <w:rsid w:val="000E7CD6"/>
    <w:rsid w:val="000F4243"/>
    <w:rsid w:val="000F6495"/>
    <w:rsid w:val="000F6FD8"/>
    <w:rsid w:val="001126DF"/>
    <w:rsid w:val="0011332C"/>
    <w:rsid w:val="00113C63"/>
    <w:rsid w:val="0011517F"/>
    <w:rsid w:val="001179F4"/>
    <w:rsid w:val="00121BB0"/>
    <w:rsid w:val="00125AFF"/>
    <w:rsid w:val="0013090C"/>
    <w:rsid w:val="00131C5D"/>
    <w:rsid w:val="001324EB"/>
    <w:rsid w:val="00140586"/>
    <w:rsid w:val="00141DDB"/>
    <w:rsid w:val="00145D24"/>
    <w:rsid w:val="00147FE9"/>
    <w:rsid w:val="00152832"/>
    <w:rsid w:val="00153C26"/>
    <w:rsid w:val="00156934"/>
    <w:rsid w:val="00157D76"/>
    <w:rsid w:val="001600FC"/>
    <w:rsid w:val="001610F7"/>
    <w:rsid w:val="00166DCD"/>
    <w:rsid w:val="00171121"/>
    <w:rsid w:val="00172007"/>
    <w:rsid w:val="0017242E"/>
    <w:rsid w:val="0017446F"/>
    <w:rsid w:val="00175032"/>
    <w:rsid w:val="001755CA"/>
    <w:rsid w:val="00176647"/>
    <w:rsid w:val="0017676B"/>
    <w:rsid w:val="001834D4"/>
    <w:rsid w:val="001836A7"/>
    <w:rsid w:val="00187CF5"/>
    <w:rsid w:val="00190E5E"/>
    <w:rsid w:val="00191244"/>
    <w:rsid w:val="00192287"/>
    <w:rsid w:val="00194933"/>
    <w:rsid w:val="001A016C"/>
    <w:rsid w:val="001A023A"/>
    <w:rsid w:val="001A236F"/>
    <w:rsid w:val="001A2837"/>
    <w:rsid w:val="001A2A81"/>
    <w:rsid w:val="001A690D"/>
    <w:rsid w:val="001A716E"/>
    <w:rsid w:val="001B1522"/>
    <w:rsid w:val="001B26B4"/>
    <w:rsid w:val="001B2C0D"/>
    <w:rsid w:val="001B3A5E"/>
    <w:rsid w:val="001B3BFA"/>
    <w:rsid w:val="001B5755"/>
    <w:rsid w:val="001B6017"/>
    <w:rsid w:val="001B7A0B"/>
    <w:rsid w:val="001B7EB3"/>
    <w:rsid w:val="001C1FD9"/>
    <w:rsid w:val="001C5043"/>
    <w:rsid w:val="001C5BC2"/>
    <w:rsid w:val="001D0179"/>
    <w:rsid w:val="001D0ECA"/>
    <w:rsid w:val="001E1188"/>
    <w:rsid w:val="001E3557"/>
    <w:rsid w:val="001E3599"/>
    <w:rsid w:val="001E73E0"/>
    <w:rsid w:val="001F1CB9"/>
    <w:rsid w:val="001F1E8A"/>
    <w:rsid w:val="001F2B1B"/>
    <w:rsid w:val="001F572A"/>
    <w:rsid w:val="001F7501"/>
    <w:rsid w:val="00205878"/>
    <w:rsid w:val="00213D7B"/>
    <w:rsid w:val="00214DEC"/>
    <w:rsid w:val="002214CC"/>
    <w:rsid w:val="00224761"/>
    <w:rsid w:val="00224A3F"/>
    <w:rsid w:val="002268DA"/>
    <w:rsid w:val="00227FA4"/>
    <w:rsid w:val="002306C7"/>
    <w:rsid w:val="002326C6"/>
    <w:rsid w:val="00232CB9"/>
    <w:rsid w:val="00240789"/>
    <w:rsid w:val="00241BD8"/>
    <w:rsid w:val="002434B0"/>
    <w:rsid w:val="00245B9F"/>
    <w:rsid w:val="00245FF8"/>
    <w:rsid w:val="00254634"/>
    <w:rsid w:val="00257B68"/>
    <w:rsid w:val="00260E8C"/>
    <w:rsid w:val="002613A6"/>
    <w:rsid w:val="00263258"/>
    <w:rsid w:val="0027418E"/>
    <w:rsid w:val="00274C31"/>
    <w:rsid w:val="00277A78"/>
    <w:rsid w:val="00281B8E"/>
    <w:rsid w:val="00285AB7"/>
    <w:rsid w:val="00287055"/>
    <w:rsid w:val="00290DA3"/>
    <w:rsid w:val="00294E32"/>
    <w:rsid w:val="00297EA3"/>
    <w:rsid w:val="002A3C13"/>
    <w:rsid w:val="002A4D65"/>
    <w:rsid w:val="002A7D7C"/>
    <w:rsid w:val="002B30BF"/>
    <w:rsid w:val="002B3344"/>
    <w:rsid w:val="002B6F3D"/>
    <w:rsid w:val="002C0DCF"/>
    <w:rsid w:val="002C3E7A"/>
    <w:rsid w:val="002C5B8A"/>
    <w:rsid w:val="002D1867"/>
    <w:rsid w:val="002D55D1"/>
    <w:rsid w:val="002D7256"/>
    <w:rsid w:val="002F1296"/>
    <w:rsid w:val="002F2009"/>
    <w:rsid w:val="002F528A"/>
    <w:rsid w:val="002F62B4"/>
    <w:rsid w:val="002F6CF0"/>
    <w:rsid w:val="00300924"/>
    <w:rsid w:val="003025A8"/>
    <w:rsid w:val="00312622"/>
    <w:rsid w:val="003129B6"/>
    <w:rsid w:val="00314D6E"/>
    <w:rsid w:val="00315D63"/>
    <w:rsid w:val="00320E57"/>
    <w:rsid w:val="003221EF"/>
    <w:rsid w:val="003241DA"/>
    <w:rsid w:val="003248A2"/>
    <w:rsid w:val="00330C5F"/>
    <w:rsid w:val="003311F5"/>
    <w:rsid w:val="00347F69"/>
    <w:rsid w:val="0035415A"/>
    <w:rsid w:val="0035477B"/>
    <w:rsid w:val="00361CC5"/>
    <w:rsid w:val="00366D05"/>
    <w:rsid w:val="00372BEC"/>
    <w:rsid w:val="0038116B"/>
    <w:rsid w:val="00383B3B"/>
    <w:rsid w:val="0039037C"/>
    <w:rsid w:val="00392385"/>
    <w:rsid w:val="003A1AE9"/>
    <w:rsid w:val="003A2700"/>
    <w:rsid w:val="003A28B6"/>
    <w:rsid w:val="003B3836"/>
    <w:rsid w:val="003B5496"/>
    <w:rsid w:val="003C70FC"/>
    <w:rsid w:val="003D2BB3"/>
    <w:rsid w:val="003D3E9C"/>
    <w:rsid w:val="003D7A72"/>
    <w:rsid w:val="003E06FF"/>
    <w:rsid w:val="003E761F"/>
    <w:rsid w:val="003F09DD"/>
    <w:rsid w:val="003F0C93"/>
    <w:rsid w:val="00400FB6"/>
    <w:rsid w:val="00403889"/>
    <w:rsid w:val="00412567"/>
    <w:rsid w:val="0041788D"/>
    <w:rsid w:val="00420A6F"/>
    <w:rsid w:val="00424530"/>
    <w:rsid w:val="0043577F"/>
    <w:rsid w:val="00441F85"/>
    <w:rsid w:val="00446B7D"/>
    <w:rsid w:val="00447854"/>
    <w:rsid w:val="00450321"/>
    <w:rsid w:val="0045301B"/>
    <w:rsid w:val="00455E0E"/>
    <w:rsid w:val="004719B4"/>
    <w:rsid w:val="00471CA1"/>
    <w:rsid w:val="00471CCE"/>
    <w:rsid w:val="0047217D"/>
    <w:rsid w:val="00475282"/>
    <w:rsid w:val="00481AC4"/>
    <w:rsid w:val="00482FB6"/>
    <w:rsid w:val="00484CD8"/>
    <w:rsid w:val="00485855"/>
    <w:rsid w:val="0049465C"/>
    <w:rsid w:val="004A5D8B"/>
    <w:rsid w:val="004B2FC0"/>
    <w:rsid w:val="004B5F38"/>
    <w:rsid w:val="004B7065"/>
    <w:rsid w:val="004B7784"/>
    <w:rsid w:val="004C1A52"/>
    <w:rsid w:val="004C1B19"/>
    <w:rsid w:val="004C39C2"/>
    <w:rsid w:val="004C6392"/>
    <w:rsid w:val="004C6F41"/>
    <w:rsid w:val="004E160A"/>
    <w:rsid w:val="004E405B"/>
    <w:rsid w:val="004F0AB6"/>
    <w:rsid w:val="004F63DB"/>
    <w:rsid w:val="004F73DB"/>
    <w:rsid w:val="00503464"/>
    <w:rsid w:val="00506A1A"/>
    <w:rsid w:val="00507B2E"/>
    <w:rsid w:val="005105EF"/>
    <w:rsid w:val="005144FF"/>
    <w:rsid w:val="00516D08"/>
    <w:rsid w:val="0052253E"/>
    <w:rsid w:val="00523895"/>
    <w:rsid w:val="00526647"/>
    <w:rsid w:val="00530125"/>
    <w:rsid w:val="005315AE"/>
    <w:rsid w:val="00532352"/>
    <w:rsid w:val="00534B97"/>
    <w:rsid w:val="00540BB7"/>
    <w:rsid w:val="005410AB"/>
    <w:rsid w:val="00544BDB"/>
    <w:rsid w:val="005506D4"/>
    <w:rsid w:val="00551699"/>
    <w:rsid w:val="005527E3"/>
    <w:rsid w:val="00553D2F"/>
    <w:rsid w:val="00565691"/>
    <w:rsid w:val="00567919"/>
    <w:rsid w:val="00571BB6"/>
    <w:rsid w:val="00575BA7"/>
    <w:rsid w:val="00582AA7"/>
    <w:rsid w:val="0058477C"/>
    <w:rsid w:val="00591F9E"/>
    <w:rsid w:val="005941FE"/>
    <w:rsid w:val="005970E3"/>
    <w:rsid w:val="005B35C1"/>
    <w:rsid w:val="005B3D67"/>
    <w:rsid w:val="005B5C09"/>
    <w:rsid w:val="005C40AB"/>
    <w:rsid w:val="005C498B"/>
    <w:rsid w:val="005C4BEC"/>
    <w:rsid w:val="005C569C"/>
    <w:rsid w:val="005D0888"/>
    <w:rsid w:val="005D4005"/>
    <w:rsid w:val="005D40D1"/>
    <w:rsid w:val="005D6BD6"/>
    <w:rsid w:val="005E2101"/>
    <w:rsid w:val="005E48EE"/>
    <w:rsid w:val="005E4CD9"/>
    <w:rsid w:val="005F0395"/>
    <w:rsid w:val="005F05D7"/>
    <w:rsid w:val="005F12D5"/>
    <w:rsid w:val="005F3ADF"/>
    <w:rsid w:val="005F5655"/>
    <w:rsid w:val="005F56FF"/>
    <w:rsid w:val="00601131"/>
    <w:rsid w:val="0060518B"/>
    <w:rsid w:val="0060742B"/>
    <w:rsid w:val="00607FD8"/>
    <w:rsid w:val="00610305"/>
    <w:rsid w:val="00610419"/>
    <w:rsid w:val="00610ACA"/>
    <w:rsid w:val="00611DDB"/>
    <w:rsid w:val="00612C7B"/>
    <w:rsid w:val="006224C1"/>
    <w:rsid w:val="006269B7"/>
    <w:rsid w:val="00633DC7"/>
    <w:rsid w:val="0063502A"/>
    <w:rsid w:val="00635CE5"/>
    <w:rsid w:val="00636E1D"/>
    <w:rsid w:val="00637EBA"/>
    <w:rsid w:val="00640542"/>
    <w:rsid w:val="00662C54"/>
    <w:rsid w:val="00663B0A"/>
    <w:rsid w:val="006641F8"/>
    <w:rsid w:val="00665925"/>
    <w:rsid w:val="00670254"/>
    <w:rsid w:val="00670B56"/>
    <w:rsid w:val="00674D7F"/>
    <w:rsid w:val="0067750E"/>
    <w:rsid w:val="00683926"/>
    <w:rsid w:val="00683B02"/>
    <w:rsid w:val="00692097"/>
    <w:rsid w:val="0069404C"/>
    <w:rsid w:val="00696E7D"/>
    <w:rsid w:val="006973AC"/>
    <w:rsid w:val="006A2EFD"/>
    <w:rsid w:val="006A4317"/>
    <w:rsid w:val="006A4A1D"/>
    <w:rsid w:val="006A5845"/>
    <w:rsid w:val="006B30EB"/>
    <w:rsid w:val="006B5994"/>
    <w:rsid w:val="006C0E3B"/>
    <w:rsid w:val="006C186D"/>
    <w:rsid w:val="006C4821"/>
    <w:rsid w:val="006D1C85"/>
    <w:rsid w:val="006D59E9"/>
    <w:rsid w:val="006D5E19"/>
    <w:rsid w:val="006E264C"/>
    <w:rsid w:val="006E702A"/>
    <w:rsid w:val="006F445D"/>
    <w:rsid w:val="007036AB"/>
    <w:rsid w:val="00703E4E"/>
    <w:rsid w:val="007071C6"/>
    <w:rsid w:val="00711E1C"/>
    <w:rsid w:val="00712571"/>
    <w:rsid w:val="00712A3F"/>
    <w:rsid w:val="00713F6E"/>
    <w:rsid w:val="00717E68"/>
    <w:rsid w:val="00721FBA"/>
    <w:rsid w:val="00724F1F"/>
    <w:rsid w:val="007250A7"/>
    <w:rsid w:val="00730012"/>
    <w:rsid w:val="00730352"/>
    <w:rsid w:val="007304AC"/>
    <w:rsid w:val="00737F49"/>
    <w:rsid w:val="007409DB"/>
    <w:rsid w:val="00742839"/>
    <w:rsid w:val="00745CAD"/>
    <w:rsid w:val="00752AC6"/>
    <w:rsid w:val="00755505"/>
    <w:rsid w:val="0076316D"/>
    <w:rsid w:val="007668EC"/>
    <w:rsid w:val="00772993"/>
    <w:rsid w:val="00775496"/>
    <w:rsid w:val="00780580"/>
    <w:rsid w:val="007815FB"/>
    <w:rsid w:val="00781D80"/>
    <w:rsid w:val="007836BA"/>
    <w:rsid w:val="0078590E"/>
    <w:rsid w:val="007861AC"/>
    <w:rsid w:val="00787311"/>
    <w:rsid w:val="00796869"/>
    <w:rsid w:val="007A0054"/>
    <w:rsid w:val="007A44A6"/>
    <w:rsid w:val="007A5353"/>
    <w:rsid w:val="007A63D3"/>
    <w:rsid w:val="007B3685"/>
    <w:rsid w:val="007B3D63"/>
    <w:rsid w:val="007B6937"/>
    <w:rsid w:val="007B76FA"/>
    <w:rsid w:val="007C05FC"/>
    <w:rsid w:val="007C258C"/>
    <w:rsid w:val="007C2DEC"/>
    <w:rsid w:val="007C4C8E"/>
    <w:rsid w:val="007C55D0"/>
    <w:rsid w:val="007C799D"/>
    <w:rsid w:val="007C7B33"/>
    <w:rsid w:val="007D15E5"/>
    <w:rsid w:val="007D3FFA"/>
    <w:rsid w:val="007E428E"/>
    <w:rsid w:val="007E5DE3"/>
    <w:rsid w:val="007E7CB3"/>
    <w:rsid w:val="008019A5"/>
    <w:rsid w:val="00804343"/>
    <w:rsid w:val="00805065"/>
    <w:rsid w:val="00810EDF"/>
    <w:rsid w:val="00811DB6"/>
    <w:rsid w:val="00813BAC"/>
    <w:rsid w:val="00813CD4"/>
    <w:rsid w:val="00821472"/>
    <w:rsid w:val="00821B9D"/>
    <w:rsid w:val="00831BD5"/>
    <w:rsid w:val="00831EEF"/>
    <w:rsid w:val="008354B2"/>
    <w:rsid w:val="008404CE"/>
    <w:rsid w:val="0084468C"/>
    <w:rsid w:val="00845BB8"/>
    <w:rsid w:val="00847035"/>
    <w:rsid w:val="008552A0"/>
    <w:rsid w:val="00860525"/>
    <w:rsid w:val="008610D1"/>
    <w:rsid w:val="00864B9E"/>
    <w:rsid w:val="00865492"/>
    <w:rsid w:val="00867CB4"/>
    <w:rsid w:val="008708AB"/>
    <w:rsid w:val="00873312"/>
    <w:rsid w:val="00873D40"/>
    <w:rsid w:val="00874A94"/>
    <w:rsid w:val="00874ED5"/>
    <w:rsid w:val="0087603A"/>
    <w:rsid w:val="00883E4D"/>
    <w:rsid w:val="00892B01"/>
    <w:rsid w:val="00892BE3"/>
    <w:rsid w:val="0089619C"/>
    <w:rsid w:val="008A12E8"/>
    <w:rsid w:val="008A1F18"/>
    <w:rsid w:val="008A2942"/>
    <w:rsid w:val="008A4E54"/>
    <w:rsid w:val="008A51AD"/>
    <w:rsid w:val="008B2DCC"/>
    <w:rsid w:val="008B7151"/>
    <w:rsid w:val="008B7AB3"/>
    <w:rsid w:val="008C5B82"/>
    <w:rsid w:val="008C64DC"/>
    <w:rsid w:val="008D0886"/>
    <w:rsid w:val="008D51B0"/>
    <w:rsid w:val="008D6082"/>
    <w:rsid w:val="008E3590"/>
    <w:rsid w:val="008E4A6D"/>
    <w:rsid w:val="008E63DC"/>
    <w:rsid w:val="008E6D3B"/>
    <w:rsid w:val="008F138D"/>
    <w:rsid w:val="008F3908"/>
    <w:rsid w:val="009014B6"/>
    <w:rsid w:val="009058AF"/>
    <w:rsid w:val="00910418"/>
    <w:rsid w:val="00912882"/>
    <w:rsid w:val="00912895"/>
    <w:rsid w:val="00912D72"/>
    <w:rsid w:val="0091548C"/>
    <w:rsid w:val="009210DE"/>
    <w:rsid w:val="00921EDE"/>
    <w:rsid w:val="00922663"/>
    <w:rsid w:val="009250E4"/>
    <w:rsid w:val="00926E53"/>
    <w:rsid w:val="00927383"/>
    <w:rsid w:val="00933DCF"/>
    <w:rsid w:val="00936DE2"/>
    <w:rsid w:val="0093740E"/>
    <w:rsid w:val="00940FEF"/>
    <w:rsid w:val="00943B87"/>
    <w:rsid w:val="00952C61"/>
    <w:rsid w:val="00953986"/>
    <w:rsid w:val="0096160F"/>
    <w:rsid w:val="00965B80"/>
    <w:rsid w:val="00970647"/>
    <w:rsid w:val="00971D4E"/>
    <w:rsid w:val="00971FA2"/>
    <w:rsid w:val="0097323B"/>
    <w:rsid w:val="0097396D"/>
    <w:rsid w:val="00975580"/>
    <w:rsid w:val="00983F30"/>
    <w:rsid w:val="00983F85"/>
    <w:rsid w:val="00985871"/>
    <w:rsid w:val="009929ED"/>
    <w:rsid w:val="00995CD7"/>
    <w:rsid w:val="009A56CF"/>
    <w:rsid w:val="009B2CEA"/>
    <w:rsid w:val="009B673B"/>
    <w:rsid w:val="009C0C33"/>
    <w:rsid w:val="009C11C7"/>
    <w:rsid w:val="009C12C9"/>
    <w:rsid w:val="009C1CE7"/>
    <w:rsid w:val="009C6E87"/>
    <w:rsid w:val="009D55F7"/>
    <w:rsid w:val="009D6BE1"/>
    <w:rsid w:val="009E76BE"/>
    <w:rsid w:val="009E79BF"/>
    <w:rsid w:val="009F2323"/>
    <w:rsid w:val="009F3FE6"/>
    <w:rsid w:val="009F53AF"/>
    <w:rsid w:val="009F655A"/>
    <w:rsid w:val="00A00E34"/>
    <w:rsid w:val="00A0216B"/>
    <w:rsid w:val="00A02F8A"/>
    <w:rsid w:val="00A10257"/>
    <w:rsid w:val="00A10505"/>
    <w:rsid w:val="00A14332"/>
    <w:rsid w:val="00A2787D"/>
    <w:rsid w:val="00A27D88"/>
    <w:rsid w:val="00A304D0"/>
    <w:rsid w:val="00A3276E"/>
    <w:rsid w:val="00A3787D"/>
    <w:rsid w:val="00A4000F"/>
    <w:rsid w:val="00A41A6A"/>
    <w:rsid w:val="00A455C2"/>
    <w:rsid w:val="00A457CE"/>
    <w:rsid w:val="00A4607D"/>
    <w:rsid w:val="00A53EC9"/>
    <w:rsid w:val="00A55627"/>
    <w:rsid w:val="00A561A3"/>
    <w:rsid w:val="00A6078E"/>
    <w:rsid w:val="00A636D0"/>
    <w:rsid w:val="00A651D6"/>
    <w:rsid w:val="00A668AC"/>
    <w:rsid w:val="00A74E9D"/>
    <w:rsid w:val="00A774CB"/>
    <w:rsid w:val="00A85093"/>
    <w:rsid w:val="00A8796D"/>
    <w:rsid w:val="00A87D9F"/>
    <w:rsid w:val="00A92440"/>
    <w:rsid w:val="00A93BB1"/>
    <w:rsid w:val="00A94C96"/>
    <w:rsid w:val="00AA4857"/>
    <w:rsid w:val="00AB104D"/>
    <w:rsid w:val="00AB3336"/>
    <w:rsid w:val="00AB396A"/>
    <w:rsid w:val="00AB5C82"/>
    <w:rsid w:val="00AB5E53"/>
    <w:rsid w:val="00AC068A"/>
    <w:rsid w:val="00AC0AC6"/>
    <w:rsid w:val="00AC1D58"/>
    <w:rsid w:val="00AD0988"/>
    <w:rsid w:val="00AD0C73"/>
    <w:rsid w:val="00AD2B89"/>
    <w:rsid w:val="00AE1A2D"/>
    <w:rsid w:val="00AE39E3"/>
    <w:rsid w:val="00AE5347"/>
    <w:rsid w:val="00AE55F6"/>
    <w:rsid w:val="00AE56DB"/>
    <w:rsid w:val="00AE6929"/>
    <w:rsid w:val="00AF2077"/>
    <w:rsid w:val="00AF58B2"/>
    <w:rsid w:val="00B04A92"/>
    <w:rsid w:val="00B04CA9"/>
    <w:rsid w:val="00B053FB"/>
    <w:rsid w:val="00B06884"/>
    <w:rsid w:val="00B06A3B"/>
    <w:rsid w:val="00B073E2"/>
    <w:rsid w:val="00B13C87"/>
    <w:rsid w:val="00B14230"/>
    <w:rsid w:val="00B16CDE"/>
    <w:rsid w:val="00B1710D"/>
    <w:rsid w:val="00B32405"/>
    <w:rsid w:val="00B32510"/>
    <w:rsid w:val="00B33D50"/>
    <w:rsid w:val="00B36A68"/>
    <w:rsid w:val="00B36D5E"/>
    <w:rsid w:val="00B40176"/>
    <w:rsid w:val="00B4521D"/>
    <w:rsid w:val="00B45B66"/>
    <w:rsid w:val="00B50A44"/>
    <w:rsid w:val="00B50D78"/>
    <w:rsid w:val="00B526A8"/>
    <w:rsid w:val="00B55FAB"/>
    <w:rsid w:val="00B5696C"/>
    <w:rsid w:val="00B61349"/>
    <w:rsid w:val="00B6734E"/>
    <w:rsid w:val="00B75E26"/>
    <w:rsid w:val="00B778A1"/>
    <w:rsid w:val="00B83D9D"/>
    <w:rsid w:val="00B84529"/>
    <w:rsid w:val="00B85D67"/>
    <w:rsid w:val="00B8685E"/>
    <w:rsid w:val="00B903B8"/>
    <w:rsid w:val="00B924A0"/>
    <w:rsid w:val="00B930A4"/>
    <w:rsid w:val="00B96946"/>
    <w:rsid w:val="00B96F7F"/>
    <w:rsid w:val="00BB2111"/>
    <w:rsid w:val="00BB2729"/>
    <w:rsid w:val="00BB3069"/>
    <w:rsid w:val="00BB7CD9"/>
    <w:rsid w:val="00BC689F"/>
    <w:rsid w:val="00BC7FD2"/>
    <w:rsid w:val="00BD01BB"/>
    <w:rsid w:val="00BD0A9F"/>
    <w:rsid w:val="00BE384C"/>
    <w:rsid w:val="00BE6199"/>
    <w:rsid w:val="00BE6527"/>
    <w:rsid w:val="00BE662E"/>
    <w:rsid w:val="00BE6DB8"/>
    <w:rsid w:val="00BF3FB3"/>
    <w:rsid w:val="00C00E91"/>
    <w:rsid w:val="00C01AEA"/>
    <w:rsid w:val="00C032FD"/>
    <w:rsid w:val="00C03AE7"/>
    <w:rsid w:val="00C05D9D"/>
    <w:rsid w:val="00C10FBA"/>
    <w:rsid w:val="00C13158"/>
    <w:rsid w:val="00C169E3"/>
    <w:rsid w:val="00C35592"/>
    <w:rsid w:val="00C356AF"/>
    <w:rsid w:val="00C41927"/>
    <w:rsid w:val="00C439D6"/>
    <w:rsid w:val="00C43FD9"/>
    <w:rsid w:val="00C44EB2"/>
    <w:rsid w:val="00C459CF"/>
    <w:rsid w:val="00C45D4A"/>
    <w:rsid w:val="00C46E50"/>
    <w:rsid w:val="00C47A5A"/>
    <w:rsid w:val="00C47E8F"/>
    <w:rsid w:val="00C519C1"/>
    <w:rsid w:val="00C60555"/>
    <w:rsid w:val="00C60915"/>
    <w:rsid w:val="00C62913"/>
    <w:rsid w:val="00C65DE9"/>
    <w:rsid w:val="00C67B7C"/>
    <w:rsid w:val="00C746C8"/>
    <w:rsid w:val="00C76E4C"/>
    <w:rsid w:val="00C85F78"/>
    <w:rsid w:val="00C91B21"/>
    <w:rsid w:val="00C92CBA"/>
    <w:rsid w:val="00C964B8"/>
    <w:rsid w:val="00CA097E"/>
    <w:rsid w:val="00CA7EBA"/>
    <w:rsid w:val="00CB4031"/>
    <w:rsid w:val="00CC449E"/>
    <w:rsid w:val="00CC50AA"/>
    <w:rsid w:val="00CC6198"/>
    <w:rsid w:val="00CD1257"/>
    <w:rsid w:val="00CD5BC4"/>
    <w:rsid w:val="00CD6EB3"/>
    <w:rsid w:val="00CE04D9"/>
    <w:rsid w:val="00CE41B4"/>
    <w:rsid w:val="00CF2311"/>
    <w:rsid w:val="00CF3412"/>
    <w:rsid w:val="00CF5A63"/>
    <w:rsid w:val="00D01670"/>
    <w:rsid w:val="00D057CD"/>
    <w:rsid w:val="00D13BBF"/>
    <w:rsid w:val="00D15249"/>
    <w:rsid w:val="00D152E7"/>
    <w:rsid w:val="00D21F91"/>
    <w:rsid w:val="00D2291E"/>
    <w:rsid w:val="00D248E3"/>
    <w:rsid w:val="00D260AD"/>
    <w:rsid w:val="00D30519"/>
    <w:rsid w:val="00D42A3E"/>
    <w:rsid w:val="00D42A90"/>
    <w:rsid w:val="00D44360"/>
    <w:rsid w:val="00D50174"/>
    <w:rsid w:val="00D509C5"/>
    <w:rsid w:val="00D50E72"/>
    <w:rsid w:val="00D50FFD"/>
    <w:rsid w:val="00D54686"/>
    <w:rsid w:val="00D549B9"/>
    <w:rsid w:val="00D557EE"/>
    <w:rsid w:val="00D56058"/>
    <w:rsid w:val="00D57F4B"/>
    <w:rsid w:val="00D63A88"/>
    <w:rsid w:val="00D656AD"/>
    <w:rsid w:val="00D7084A"/>
    <w:rsid w:val="00D7173E"/>
    <w:rsid w:val="00D74683"/>
    <w:rsid w:val="00D76E91"/>
    <w:rsid w:val="00D848B3"/>
    <w:rsid w:val="00D84B53"/>
    <w:rsid w:val="00D870B0"/>
    <w:rsid w:val="00D872D1"/>
    <w:rsid w:val="00D94CDD"/>
    <w:rsid w:val="00D95722"/>
    <w:rsid w:val="00D95734"/>
    <w:rsid w:val="00DA2A20"/>
    <w:rsid w:val="00DA5265"/>
    <w:rsid w:val="00DB0FBD"/>
    <w:rsid w:val="00DB4809"/>
    <w:rsid w:val="00DB5E8F"/>
    <w:rsid w:val="00DB634B"/>
    <w:rsid w:val="00DC1511"/>
    <w:rsid w:val="00DC4B65"/>
    <w:rsid w:val="00DC5FBF"/>
    <w:rsid w:val="00DC7C3E"/>
    <w:rsid w:val="00DD129E"/>
    <w:rsid w:val="00DD227B"/>
    <w:rsid w:val="00DD3053"/>
    <w:rsid w:val="00DE082A"/>
    <w:rsid w:val="00DE30E0"/>
    <w:rsid w:val="00DE79E9"/>
    <w:rsid w:val="00DF1288"/>
    <w:rsid w:val="00DF289C"/>
    <w:rsid w:val="00DF719E"/>
    <w:rsid w:val="00DF76E0"/>
    <w:rsid w:val="00E00BB5"/>
    <w:rsid w:val="00E0157A"/>
    <w:rsid w:val="00E0491F"/>
    <w:rsid w:val="00E07FE6"/>
    <w:rsid w:val="00E11150"/>
    <w:rsid w:val="00E11ABE"/>
    <w:rsid w:val="00E1277B"/>
    <w:rsid w:val="00E12A26"/>
    <w:rsid w:val="00E14C9C"/>
    <w:rsid w:val="00E20A17"/>
    <w:rsid w:val="00E22132"/>
    <w:rsid w:val="00E22BCE"/>
    <w:rsid w:val="00E326FF"/>
    <w:rsid w:val="00E361B0"/>
    <w:rsid w:val="00E36815"/>
    <w:rsid w:val="00E4051D"/>
    <w:rsid w:val="00E46B4F"/>
    <w:rsid w:val="00E52267"/>
    <w:rsid w:val="00E558BD"/>
    <w:rsid w:val="00E62DB8"/>
    <w:rsid w:val="00E64563"/>
    <w:rsid w:val="00E677EF"/>
    <w:rsid w:val="00E77739"/>
    <w:rsid w:val="00E80B02"/>
    <w:rsid w:val="00E859DF"/>
    <w:rsid w:val="00E87041"/>
    <w:rsid w:val="00E91181"/>
    <w:rsid w:val="00E91434"/>
    <w:rsid w:val="00E95201"/>
    <w:rsid w:val="00E95416"/>
    <w:rsid w:val="00E95F1B"/>
    <w:rsid w:val="00E96524"/>
    <w:rsid w:val="00E97C2F"/>
    <w:rsid w:val="00EA1807"/>
    <w:rsid w:val="00EA4947"/>
    <w:rsid w:val="00EB3B58"/>
    <w:rsid w:val="00EB3D0A"/>
    <w:rsid w:val="00EC0C41"/>
    <w:rsid w:val="00EC1594"/>
    <w:rsid w:val="00EC5B62"/>
    <w:rsid w:val="00ED0519"/>
    <w:rsid w:val="00EE456B"/>
    <w:rsid w:val="00EE46D1"/>
    <w:rsid w:val="00EE5E3A"/>
    <w:rsid w:val="00EF0693"/>
    <w:rsid w:val="00EF4124"/>
    <w:rsid w:val="00F00C37"/>
    <w:rsid w:val="00F034AC"/>
    <w:rsid w:val="00F04125"/>
    <w:rsid w:val="00F045E9"/>
    <w:rsid w:val="00F07025"/>
    <w:rsid w:val="00F10ADA"/>
    <w:rsid w:val="00F14F6D"/>
    <w:rsid w:val="00F15C76"/>
    <w:rsid w:val="00F160D2"/>
    <w:rsid w:val="00F16A28"/>
    <w:rsid w:val="00F20607"/>
    <w:rsid w:val="00F21798"/>
    <w:rsid w:val="00F23638"/>
    <w:rsid w:val="00F23FB7"/>
    <w:rsid w:val="00F30516"/>
    <w:rsid w:val="00F33694"/>
    <w:rsid w:val="00F434D1"/>
    <w:rsid w:val="00F4748D"/>
    <w:rsid w:val="00F54BA5"/>
    <w:rsid w:val="00F55A09"/>
    <w:rsid w:val="00F6101E"/>
    <w:rsid w:val="00F612B3"/>
    <w:rsid w:val="00F66036"/>
    <w:rsid w:val="00F660D4"/>
    <w:rsid w:val="00F66F0E"/>
    <w:rsid w:val="00F7064A"/>
    <w:rsid w:val="00F747AD"/>
    <w:rsid w:val="00F76E9E"/>
    <w:rsid w:val="00F815E0"/>
    <w:rsid w:val="00F942CA"/>
    <w:rsid w:val="00F9452C"/>
    <w:rsid w:val="00F96B88"/>
    <w:rsid w:val="00FB7206"/>
    <w:rsid w:val="00FC1D72"/>
    <w:rsid w:val="00FC5496"/>
    <w:rsid w:val="00FC5912"/>
    <w:rsid w:val="00FD0041"/>
    <w:rsid w:val="00FE5577"/>
    <w:rsid w:val="00FF188A"/>
    <w:rsid w:val="00FF34CA"/>
    <w:rsid w:val="00FF3C4D"/>
    <w:rsid w:val="00FF4DD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1313"/>
    <o:shapelayout v:ext="edit">
      <o:idmap v:ext="edit" data="1"/>
    </o:shapelayout>
  </w:shapeDefaults>
  <w:decimalSymbol w:val="."/>
  <w:listSeparator w:val=","/>
  <w14:docId w14:val="1E661882"/>
  <w15:docId w15:val="{7C2B2BD0-AD21-49B5-A815-DC56CAF2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A3"/>
    <w:rPr>
      <w:sz w:val="22"/>
      <w:lang w:val="en-GB"/>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qFormat/>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BE6527"/>
    <w:pPr>
      <w:numPr>
        <w:numId w:val="31"/>
      </w:numPr>
    </w:pPr>
  </w:style>
  <w:style w:type="paragraph" w:customStyle="1" w:styleId="Titlelevel2">
    <w:name w:val="Title level 2"/>
    <w:qFormat/>
    <w:rsid w:val="000C29A3"/>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BE6199"/>
    <w:pPr>
      <w:spacing w:before="240" w:after="120" w:line="276" w:lineRule="auto"/>
      <w:jc w:val="both"/>
    </w:pPr>
    <w:rPr>
      <w:sz w:val="22"/>
    </w:rPr>
  </w:style>
  <w:style w:type="character" w:customStyle="1" w:styleId="Heading3Char">
    <w:name w:val="Heading 3 Char"/>
    <w:aliases w:val="Title 2 Char"/>
    <w:basedOn w:val="DefaultParagraphFont"/>
    <w:link w:val="Heading3"/>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DF76E0"/>
    <w:pPr>
      <w:keepNext/>
      <w:spacing w:before="0" w:after="80"/>
      <w:jc w:val="left"/>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qFormat/>
    <w:rsid w:val="00F16A28"/>
    <w:pPr>
      <w:spacing w:before="80" w:after="0" w:line="200" w:lineRule="exact"/>
      <w:jc w:val="left"/>
    </w:pPr>
    <w:rPr>
      <w:sz w:val="18"/>
      <w:szCs w:val="18"/>
    </w:rPr>
  </w:style>
  <w:style w:type="character" w:customStyle="1" w:styleId="FootnoteTextChar">
    <w:name w:val="Footnote Text Char"/>
    <w:basedOn w:val="DefaultParagraphFont"/>
    <w:link w:val="FootnoteText"/>
    <w:rsid w:val="00F16A28"/>
    <w:rPr>
      <w:sz w:val="18"/>
      <w:szCs w:val="18"/>
    </w:rPr>
  </w:style>
  <w:style w:type="character" w:styleId="FootnoteReference">
    <w:name w:val="footnote reference"/>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BE6527"/>
    <w:pPr>
      <w:numPr>
        <w:ilvl w:val="1"/>
        <w:numId w:val="31"/>
      </w:numPr>
      <w:ind w:left="510" w:hanging="510"/>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BE6527"/>
    <w:pPr>
      <w:numPr>
        <w:ilvl w:val="2"/>
        <w:numId w:val="31"/>
      </w:numPr>
      <w:ind w:left="680" w:hanging="680"/>
    </w:pPr>
  </w:style>
  <w:style w:type="paragraph" w:styleId="Header">
    <w:name w:val="header"/>
    <w:basedOn w:val="Normal"/>
    <w:link w:val="HeaderChar"/>
    <w:uiPriority w:val="99"/>
    <w:rsid w:val="00A92440"/>
    <w:pPr>
      <w:tabs>
        <w:tab w:val="center" w:pos="4320"/>
        <w:tab w:val="right" w:pos="8640"/>
      </w:tabs>
    </w:pPr>
  </w:style>
  <w:style w:type="character" w:customStyle="1" w:styleId="HeaderChar">
    <w:name w:val="Header Char"/>
    <w:basedOn w:val="DefaultParagraphFont"/>
    <w:link w:val="Header"/>
    <w:uiPriority w:val="99"/>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15"/>
      </w:numPr>
      <w:contextualSpacing/>
    </w:pPr>
  </w:style>
  <w:style w:type="character" w:styleId="Hyperlink">
    <w:name w:val="Hyperlink"/>
    <w:basedOn w:val="DefaultParagraphFont"/>
    <w:rsid w:val="00392385"/>
    <w:rPr>
      <w:color w:val="2F5773" w:themeColor="hyperlink"/>
      <w:u w:val="single"/>
    </w:rPr>
  </w:style>
  <w:style w:type="paragraph" w:customStyle="1" w:styleId="numberedparagraph">
    <w:name w:val="numbered paragraph"/>
    <w:basedOn w:val="body"/>
    <w:link w:val="numberedparagraphChar"/>
    <w:qFormat/>
    <w:rsid w:val="00E22BCE"/>
    <w:pPr>
      <w:numPr>
        <w:numId w:val="8"/>
      </w:numPr>
      <w:tabs>
        <w:tab w:val="clear" w:pos="710"/>
        <w:tab w:val="num" w:pos="284"/>
      </w:tabs>
      <w:ind w:left="284"/>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Title3">
    <w:name w:val="Title 3"/>
    <w:basedOn w:val="Normal"/>
    <w:link w:val="Title3Char"/>
    <w:qFormat/>
    <w:rsid w:val="007E428E"/>
    <w:pPr>
      <w:spacing w:after="240"/>
      <w:ind w:left="425"/>
    </w:pPr>
    <w:rPr>
      <w:rFonts w:ascii="Arial" w:eastAsia="Times New Roman" w:hAnsi="Arial" w:cs="Times New Roman"/>
      <w:i/>
      <w:color w:val="000000"/>
      <w:szCs w:val="22"/>
      <w:lang w:eastAsia="en-GB"/>
    </w:rPr>
  </w:style>
  <w:style w:type="character" w:customStyle="1" w:styleId="Title3Char">
    <w:name w:val="Title 3 Char"/>
    <w:basedOn w:val="DefaultParagraphFont"/>
    <w:link w:val="Title3"/>
    <w:rsid w:val="007E428E"/>
    <w:rPr>
      <w:rFonts w:ascii="Arial" w:eastAsia="Times New Roman" w:hAnsi="Arial" w:cs="Times New Roman"/>
      <w:i/>
      <w:color w:val="000000"/>
      <w:sz w:val="22"/>
      <w:szCs w:val="22"/>
      <w:lang w:val="en-GB" w:eastAsia="en-GB"/>
    </w:rPr>
  </w:style>
  <w:style w:type="paragraph" w:styleId="ListParagraph">
    <w:name w:val="List Paragraph"/>
    <w:basedOn w:val="Normal"/>
    <w:uiPriority w:val="34"/>
    <w:qFormat/>
    <w:rsid w:val="0017676B"/>
    <w:pPr>
      <w:ind w:left="720"/>
      <w:contextualSpacing/>
    </w:pPr>
  </w:style>
  <w:style w:type="paragraph" w:customStyle="1" w:styleId="BodyText">
    <w:name w:val="BodyText"/>
    <w:basedOn w:val="Normal"/>
    <w:link w:val="BodyTextChar"/>
    <w:qFormat/>
    <w:rsid w:val="001A236F"/>
    <w:pPr>
      <w:spacing w:after="240"/>
      <w:ind w:left="425"/>
    </w:pPr>
    <w:rPr>
      <w:rFonts w:ascii="Arial" w:eastAsia="Times New Roman" w:hAnsi="Arial" w:cs="Times New Roman"/>
      <w:color w:val="000000"/>
      <w:szCs w:val="22"/>
      <w:lang w:eastAsia="en-GB"/>
    </w:rPr>
  </w:style>
  <w:style w:type="character" w:customStyle="1" w:styleId="BodyTextChar">
    <w:name w:val="BodyText Char"/>
    <w:basedOn w:val="DefaultParagraphFont"/>
    <w:link w:val="BodyText"/>
    <w:rsid w:val="001A236F"/>
    <w:rPr>
      <w:rFonts w:ascii="Arial" w:eastAsia="Times New Roman" w:hAnsi="Arial" w:cs="Times New Roman"/>
      <w:color w:val="000000"/>
      <w:sz w:val="22"/>
      <w:szCs w:val="22"/>
      <w:lang w:val="en-GB" w:eastAsia="en-GB"/>
    </w:rPr>
  </w:style>
  <w:style w:type="paragraph" w:customStyle="1" w:styleId="Bullet10">
    <w:name w:val="Bullet 1"/>
    <w:basedOn w:val="Normal"/>
    <w:link w:val="Bullet1Car"/>
    <w:qFormat/>
    <w:rsid w:val="001A236F"/>
    <w:pPr>
      <w:numPr>
        <w:numId w:val="32"/>
      </w:numPr>
      <w:tabs>
        <w:tab w:val="clear" w:pos="432"/>
      </w:tabs>
      <w:spacing w:after="260" w:line="260" w:lineRule="exact"/>
      <w:ind w:left="1134" w:hanging="290"/>
      <w:jc w:val="both"/>
    </w:pPr>
    <w:rPr>
      <w:rFonts w:ascii="Arial" w:eastAsia="Times New Roman" w:hAnsi="Arial" w:cs="Times New Roman"/>
      <w:color w:val="000000"/>
      <w:szCs w:val="20"/>
    </w:rPr>
  </w:style>
  <w:style w:type="character" w:customStyle="1" w:styleId="Bullet1Car">
    <w:name w:val="Bullet 1 Car"/>
    <w:basedOn w:val="DefaultParagraphFont"/>
    <w:link w:val="Bullet10"/>
    <w:rsid w:val="001A236F"/>
    <w:rPr>
      <w:rFonts w:ascii="Arial" w:eastAsia="Times New Roman" w:hAnsi="Arial" w:cs="Times New Roman"/>
      <w:color w:val="000000"/>
      <w:sz w:val="22"/>
      <w:szCs w:val="20"/>
      <w:lang w:val="en-GB"/>
    </w:rPr>
  </w:style>
  <w:style w:type="paragraph" w:customStyle="1" w:styleId="Bullet1left">
    <w:name w:val="Bullet 1 left"/>
    <w:basedOn w:val="Bullet10"/>
    <w:link w:val="Bullet1leftChar"/>
    <w:qFormat/>
    <w:rsid w:val="00240789"/>
    <w:pPr>
      <w:numPr>
        <w:numId w:val="0"/>
      </w:numPr>
      <w:tabs>
        <w:tab w:val="num" w:pos="284"/>
      </w:tabs>
      <w:ind w:left="851" w:hanging="290"/>
    </w:pPr>
  </w:style>
  <w:style w:type="character" w:customStyle="1" w:styleId="Bullet1leftChar">
    <w:name w:val="Bullet 1 left Char"/>
    <w:basedOn w:val="Bullet1Car"/>
    <w:link w:val="Bullet1left"/>
    <w:rsid w:val="00240789"/>
    <w:rPr>
      <w:rFonts w:ascii="Arial" w:eastAsia="Times New Roman" w:hAnsi="Arial" w:cs="Times New Roman"/>
      <w:color w:val="000000"/>
      <w:sz w:val="22"/>
      <w:szCs w:val="20"/>
      <w:lang w:val="en-GB"/>
    </w:rPr>
  </w:style>
  <w:style w:type="paragraph" w:customStyle="1" w:styleId="Paragraph">
    <w:name w:val="Paragraph"/>
    <w:basedOn w:val="Normal"/>
    <w:link w:val="ParagraphChar"/>
    <w:qFormat/>
    <w:rsid w:val="00AE39E3"/>
    <w:pPr>
      <w:numPr>
        <w:numId w:val="34"/>
      </w:numPr>
      <w:spacing w:after="240"/>
      <w:jc w:val="both"/>
    </w:pPr>
    <w:rPr>
      <w:rFonts w:ascii="Arial" w:eastAsia="Times New Roman" w:hAnsi="Arial" w:cs="Arial"/>
      <w:color w:val="000000"/>
      <w:szCs w:val="22"/>
      <w:lang w:eastAsia="en-GB"/>
    </w:rPr>
  </w:style>
  <w:style w:type="character" w:customStyle="1" w:styleId="ParagraphChar">
    <w:name w:val="Paragraph Char"/>
    <w:basedOn w:val="DefaultParagraphFont"/>
    <w:link w:val="Paragraph"/>
    <w:rsid w:val="00892B01"/>
    <w:rPr>
      <w:rFonts w:ascii="Arial" w:eastAsia="Times New Roman" w:hAnsi="Arial" w:cs="Arial"/>
      <w:color w:val="000000"/>
      <w:sz w:val="22"/>
      <w:szCs w:val="22"/>
      <w:lang w:val="en-GB" w:eastAsia="en-GB"/>
    </w:rPr>
  </w:style>
  <w:style w:type="paragraph" w:customStyle="1" w:styleId="BodyText1">
    <w:name w:val="Body Text1"/>
    <w:basedOn w:val="Normal"/>
    <w:qFormat/>
    <w:rsid w:val="00892B01"/>
    <w:pPr>
      <w:tabs>
        <w:tab w:val="left" w:pos="0"/>
      </w:tabs>
      <w:spacing w:line="300" w:lineRule="exact"/>
      <w:jc w:val="both"/>
    </w:pPr>
    <w:rPr>
      <w:rFonts w:ascii="Arial" w:eastAsia="Times New Roman" w:hAnsi="Arial" w:cs="Times New Roman"/>
      <w:color w:val="000000"/>
      <w:sz w:val="20"/>
      <w:szCs w:val="20"/>
    </w:rPr>
  </w:style>
  <w:style w:type="paragraph" w:styleId="Caption">
    <w:name w:val="caption"/>
    <w:basedOn w:val="Normal"/>
    <w:next w:val="Normal"/>
    <w:uiPriority w:val="35"/>
    <w:semiHidden/>
    <w:qFormat/>
    <w:rsid w:val="0041788D"/>
    <w:pPr>
      <w:spacing w:after="200"/>
    </w:pPr>
    <w:rPr>
      <w:b/>
      <w:bCs/>
      <w:color w:val="2F5773" w:themeColor="accent1"/>
      <w:sz w:val="18"/>
      <w:szCs w:val="18"/>
    </w:rPr>
  </w:style>
  <w:style w:type="paragraph" w:customStyle="1" w:styleId="Title1sinnumerar">
    <w:name w:val="Title 1 sin numerar"/>
    <w:basedOn w:val="Normal"/>
    <w:link w:val="Title1sinnumerarCar"/>
    <w:qFormat/>
    <w:rsid w:val="00A774CB"/>
    <w:pPr>
      <w:spacing w:before="120" w:after="240"/>
      <w:ind w:left="425"/>
      <w:jc w:val="both"/>
    </w:pPr>
    <w:rPr>
      <w:rFonts w:ascii="Arial" w:eastAsia="Times New Roman" w:hAnsi="Arial" w:cs="Arial"/>
      <w:b/>
      <w:color w:val="000000"/>
      <w:sz w:val="28"/>
      <w:szCs w:val="22"/>
      <w:lang w:eastAsia="en-GB"/>
    </w:rPr>
  </w:style>
  <w:style w:type="character" w:customStyle="1" w:styleId="Title1sinnumerarCar">
    <w:name w:val="Title 1 sin numerar Car"/>
    <w:basedOn w:val="DefaultParagraphFont"/>
    <w:link w:val="Title1sinnumerar"/>
    <w:rsid w:val="00A774CB"/>
    <w:rPr>
      <w:rFonts w:ascii="Arial" w:eastAsia="Times New Roman" w:hAnsi="Arial" w:cs="Arial"/>
      <w:b/>
      <w:color w:val="000000"/>
      <w:sz w:val="28"/>
      <w:szCs w:val="22"/>
      <w:lang w:val="en-GB" w:eastAsia="en-GB"/>
    </w:rPr>
  </w:style>
  <w:style w:type="character" w:styleId="CommentReference">
    <w:name w:val="annotation reference"/>
    <w:basedOn w:val="DefaultParagraphFont"/>
    <w:uiPriority w:val="99"/>
    <w:semiHidden/>
    <w:rsid w:val="00232CB9"/>
    <w:rPr>
      <w:sz w:val="16"/>
      <w:szCs w:val="16"/>
    </w:rPr>
  </w:style>
  <w:style w:type="paragraph" w:styleId="CommentText">
    <w:name w:val="annotation text"/>
    <w:basedOn w:val="Normal"/>
    <w:link w:val="CommentTextChar"/>
    <w:uiPriority w:val="99"/>
    <w:semiHidden/>
    <w:rsid w:val="00232CB9"/>
    <w:rPr>
      <w:sz w:val="20"/>
      <w:szCs w:val="20"/>
    </w:rPr>
  </w:style>
  <w:style w:type="character" w:customStyle="1" w:styleId="CommentTextChar">
    <w:name w:val="Comment Text Char"/>
    <w:basedOn w:val="DefaultParagraphFont"/>
    <w:link w:val="CommentText"/>
    <w:uiPriority w:val="99"/>
    <w:semiHidden/>
    <w:rsid w:val="00232CB9"/>
    <w:rPr>
      <w:sz w:val="20"/>
      <w:szCs w:val="20"/>
      <w:lang w:val="en-GB"/>
    </w:rPr>
  </w:style>
  <w:style w:type="paragraph" w:styleId="CommentSubject">
    <w:name w:val="annotation subject"/>
    <w:basedOn w:val="CommentText"/>
    <w:next w:val="CommentText"/>
    <w:link w:val="CommentSubjectChar"/>
    <w:uiPriority w:val="99"/>
    <w:semiHidden/>
    <w:rsid w:val="00232CB9"/>
    <w:rPr>
      <w:b/>
      <w:bCs/>
    </w:rPr>
  </w:style>
  <w:style w:type="character" w:customStyle="1" w:styleId="CommentSubjectChar">
    <w:name w:val="Comment Subject Char"/>
    <w:basedOn w:val="CommentTextChar"/>
    <w:link w:val="CommentSubject"/>
    <w:uiPriority w:val="99"/>
    <w:semiHidden/>
    <w:rsid w:val="00232CB9"/>
    <w:rPr>
      <w:b/>
      <w:bCs/>
      <w:sz w:val="20"/>
      <w:szCs w:val="20"/>
      <w:lang w:val="en-GB"/>
    </w:rPr>
  </w:style>
  <w:style w:type="character" w:customStyle="1" w:styleId="numberedparagraphChar">
    <w:name w:val="numbered paragraph Char"/>
    <w:basedOn w:val="DefaultParagraphFont"/>
    <w:link w:val="numberedparagraph"/>
    <w:rsid w:val="00971FA2"/>
    <w:rPr>
      <w:sz w:val="22"/>
    </w:rPr>
  </w:style>
  <w:style w:type="paragraph" w:styleId="Revision">
    <w:name w:val="Revision"/>
    <w:hidden/>
    <w:uiPriority w:val="99"/>
    <w:semiHidden/>
    <w:rsid w:val="0003667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629428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ebvpr-fs02\EBA\Standing%20Committees\Regulation%20and%20Policy\Sub%20Groups\NW%20on%20ECAIs\Individual%20exercises%202014\Dagong\Column%20chart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col"/>
        <c:grouping val="percentStacked"/>
        <c:varyColors val="0"/>
        <c:ser>
          <c:idx val="0"/>
          <c:order val="0"/>
          <c:tx>
            <c:strRef>
              <c:f>'Becnh distrib'!$B$1</c:f>
              <c:strCache>
                <c:ptCount val="1"/>
                <c:pt idx="0">
                  <c:v>AAA</c:v>
                </c:pt>
              </c:strCache>
            </c:strRef>
          </c:tx>
          <c:invertIfNegative val="0"/>
          <c:cat>
            <c:strRef>
              <c:f>'Becnh distrib'!$A$2:$A$3</c:f>
              <c:strCache>
                <c:ptCount val="2"/>
                <c:pt idx="0">
                  <c:v>Dagong</c:v>
                </c:pt>
                <c:pt idx="1">
                  <c:v>Benchmark</c:v>
                </c:pt>
              </c:strCache>
            </c:strRef>
          </c:cat>
          <c:val>
            <c:numRef>
              <c:f>'Becnh distrib'!$B$2:$B$3</c:f>
              <c:numCache>
                <c:formatCode>0</c:formatCode>
                <c:ptCount val="2"/>
                <c:pt idx="0" formatCode="General">
                  <c:v>0</c:v>
                </c:pt>
                <c:pt idx="1">
                  <c:v>2</c:v>
                </c:pt>
              </c:numCache>
            </c:numRef>
          </c:val>
          <c:extLst>
            <c:ext xmlns:c16="http://schemas.microsoft.com/office/drawing/2014/chart" uri="{C3380CC4-5D6E-409C-BE32-E72D297353CC}">
              <c16:uniqueId val="{00000000-545F-49EA-BDAC-6355B236B461}"/>
            </c:ext>
          </c:extLst>
        </c:ser>
        <c:ser>
          <c:idx val="1"/>
          <c:order val="1"/>
          <c:tx>
            <c:strRef>
              <c:f>'Becnh distrib'!$C$1</c:f>
              <c:strCache>
                <c:ptCount val="1"/>
                <c:pt idx="0">
                  <c:v>AA </c:v>
                </c:pt>
              </c:strCache>
            </c:strRef>
          </c:tx>
          <c:invertIfNegative val="0"/>
          <c:cat>
            <c:strRef>
              <c:f>'Becnh distrib'!$A$2:$A$3</c:f>
              <c:strCache>
                <c:ptCount val="2"/>
                <c:pt idx="0">
                  <c:v>Dagong</c:v>
                </c:pt>
                <c:pt idx="1">
                  <c:v>Benchmark</c:v>
                </c:pt>
              </c:strCache>
            </c:strRef>
          </c:cat>
          <c:val>
            <c:numRef>
              <c:f>'Becnh distrib'!$C$2:$C$3</c:f>
              <c:numCache>
                <c:formatCode>0</c:formatCode>
                <c:ptCount val="2"/>
                <c:pt idx="0" formatCode="General">
                  <c:v>2</c:v>
                </c:pt>
                <c:pt idx="1">
                  <c:v>30</c:v>
                </c:pt>
              </c:numCache>
            </c:numRef>
          </c:val>
          <c:extLst>
            <c:ext xmlns:c16="http://schemas.microsoft.com/office/drawing/2014/chart" uri="{C3380CC4-5D6E-409C-BE32-E72D297353CC}">
              <c16:uniqueId val="{00000001-545F-49EA-BDAC-6355B236B461}"/>
            </c:ext>
          </c:extLst>
        </c:ser>
        <c:ser>
          <c:idx val="2"/>
          <c:order val="2"/>
          <c:tx>
            <c:strRef>
              <c:f>'Becnh distrib'!$D$1</c:f>
              <c:strCache>
                <c:ptCount val="1"/>
                <c:pt idx="0">
                  <c:v>A</c:v>
                </c:pt>
              </c:strCache>
            </c:strRef>
          </c:tx>
          <c:invertIfNegative val="0"/>
          <c:cat>
            <c:strRef>
              <c:f>'Becnh distrib'!$A$2:$A$3</c:f>
              <c:strCache>
                <c:ptCount val="2"/>
                <c:pt idx="0">
                  <c:v>Dagong</c:v>
                </c:pt>
                <c:pt idx="1">
                  <c:v>Benchmark</c:v>
                </c:pt>
              </c:strCache>
            </c:strRef>
          </c:cat>
          <c:val>
            <c:numRef>
              <c:f>'Becnh distrib'!$D$2:$D$3</c:f>
              <c:numCache>
                <c:formatCode>0</c:formatCode>
                <c:ptCount val="2"/>
                <c:pt idx="0" formatCode="General">
                  <c:v>57</c:v>
                </c:pt>
                <c:pt idx="1">
                  <c:v>108</c:v>
                </c:pt>
              </c:numCache>
            </c:numRef>
          </c:val>
          <c:extLst>
            <c:ext xmlns:c16="http://schemas.microsoft.com/office/drawing/2014/chart" uri="{C3380CC4-5D6E-409C-BE32-E72D297353CC}">
              <c16:uniqueId val="{00000002-545F-49EA-BDAC-6355B236B461}"/>
            </c:ext>
          </c:extLst>
        </c:ser>
        <c:ser>
          <c:idx val="3"/>
          <c:order val="3"/>
          <c:tx>
            <c:strRef>
              <c:f>'Becnh distrib'!$E$1</c:f>
              <c:strCache>
                <c:ptCount val="1"/>
                <c:pt idx="0">
                  <c:v>BBB</c:v>
                </c:pt>
              </c:strCache>
            </c:strRef>
          </c:tx>
          <c:invertIfNegative val="0"/>
          <c:cat>
            <c:strRef>
              <c:f>'Becnh distrib'!$A$2:$A$3</c:f>
              <c:strCache>
                <c:ptCount val="2"/>
                <c:pt idx="0">
                  <c:v>Dagong</c:v>
                </c:pt>
                <c:pt idx="1">
                  <c:v>Benchmark</c:v>
                </c:pt>
              </c:strCache>
            </c:strRef>
          </c:cat>
          <c:val>
            <c:numRef>
              <c:f>'Becnh distrib'!$E$2:$E$3</c:f>
              <c:numCache>
                <c:formatCode>0</c:formatCode>
                <c:ptCount val="2"/>
                <c:pt idx="0" formatCode="General">
                  <c:v>134</c:v>
                </c:pt>
                <c:pt idx="1">
                  <c:v>72</c:v>
                </c:pt>
              </c:numCache>
            </c:numRef>
          </c:val>
          <c:extLst>
            <c:ext xmlns:c16="http://schemas.microsoft.com/office/drawing/2014/chart" uri="{C3380CC4-5D6E-409C-BE32-E72D297353CC}">
              <c16:uniqueId val="{00000003-545F-49EA-BDAC-6355B236B461}"/>
            </c:ext>
          </c:extLst>
        </c:ser>
        <c:ser>
          <c:idx val="4"/>
          <c:order val="4"/>
          <c:tx>
            <c:strRef>
              <c:f>'Becnh distrib'!$F$1</c:f>
              <c:strCache>
                <c:ptCount val="1"/>
                <c:pt idx="0">
                  <c:v>BB </c:v>
                </c:pt>
              </c:strCache>
            </c:strRef>
          </c:tx>
          <c:invertIfNegative val="0"/>
          <c:cat>
            <c:strRef>
              <c:f>'Becnh distrib'!$A$2:$A$3</c:f>
              <c:strCache>
                <c:ptCount val="2"/>
                <c:pt idx="0">
                  <c:v>Dagong</c:v>
                </c:pt>
                <c:pt idx="1">
                  <c:v>Benchmark</c:v>
                </c:pt>
              </c:strCache>
            </c:strRef>
          </c:cat>
          <c:val>
            <c:numRef>
              <c:f>'Becnh distrib'!$F$2:$F$3</c:f>
              <c:numCache>
                <c:formatCode>0</c:formatCode>
                <c:ptCount val="2"/>
                <c:pt idx="0" formatCode="General">
                  <c:v>44</c:v>
                </c:pt>
                <c:pt idx="1">
                  <c:v>25</c:v>
                </c:pt>
              </c:numCache>
            </c:numRef>
          </c:val>
          <c:extLst>
            <c:ext xmlns:c16="http://schemas.microsoft.com/office/drawing/2014/chart" uri="{C3380CC4-5D6E-409C-BE32-E72D297353CC}">
              <c16:uniqueId val="{00000004-545F-49EA-BDAC-6355B236B461}"/>
            </c:ext>
          </c:extLst>
        </c:ser>
        <c:ser>
          <c:idx val="5"/>
          <c:order val="5"/>
          <c:tx>
            <c:strRef>
              <c:f>'Becnh distrib'!$G$1</c:f>
              <c:strCache>
                <c:ptCount val="1"/>
                <c:pt idx="0">
                  <c:v>B</c:v>
                </c:pt>
              </c:strCache>
            </c:strRef>
          </c:tx>
          <c:invertIfNegative val="0"/>
          <c:cat>
            <c:strRef>
              <c:f>'Becnh distrib'!$A$2:$A$3</c:f>
              <c:strCache>
                <c:ptCount val="2"/>
                <c:pt idx="0">
                  <c:v>Dagong</c:v>
                </c:pt>
                <c:pt idx="1">
                  <c:v>Benchmark</c:v>
                </c:pt>
              </c:strCache>
            </c:strRef>
          </c:cat>
          <c:val>
            <c:numRef>
              <c:f>'Becnh distrib'!$G$2:$G$3</c:f>
              <c:numCache>
                <c:formatCode>0</c:formatCode>
                <c:ptCount val="2"/>
                <c:pt idx="0" formatCode="General">
                  <c:v>4</c:v>
                </c:pt>
                <c:pt idx="1">
                  <c:v>4</c:v>
                </c:pt>
              </c:numCache>
            </c:numRef>
          </c:val>
          <c:extLst>
            <c:ext xmlns:c16="http://schemas.microsoft.com/office/drawing/2014/chart" uri="{C3380CC4-5D6E-409C-BE32-E72D297353CC}">
              <c16:uniqueId val="{00000005-545F-49EA-BDAC-6355B236B461}"/>
            </c:ext>
          </c:extLst>
        </c:ser>
        <c:ser>
          <c:idx val="6"/>
          <c:order val="6"/>
          <c:tx>
            <c:strRef>
              <c:f>'Becnh distrib'!$H$1</c:f>
              <c:strCache>
                <c:ptCount val="1"/>
                <c:pt idx="0">
                  <c:v>CCC</c:v>
                </c:pt>
              </c:strCache>
            </c:strRef>
          </c:tx>
          <c:invertIfNegative val="0"/>
          <c:cat>
            <c:strRef>
              <c:f>'Becnh distrib'!$A$2:$A$3</c:f>
              <c:strCache>
                <c:ptCount val="2"/>
                <c:pt idx="0">
                  <c:v>Dagong</c:v>
                </c:pt>
                <c:pt idx="1">
                  <c:v>Benchmark</c:v>
                </c:pt>
              </c:strCache>
            </c:strRef>
          </c:cat>
          <c:val>
            <c:numRef>
              <c:f>'Becnh distrib'!$H$2:$H$3</c:f>
              <c:numCache>
                <c:formatCode>0</c:formatCode>
                <c:ptCount val="2"/>
                <c:pt idx="0" formatCode="General">
                  <c:v>0</c:v>
                </c:pt>
                <c:pt idx="1">
                  <c:v>0</c:v>
                </c:pt>
              </c:numCache>
            </c:numRef>
          </c:val>
          <c:extLst>
            <c:ext xmlns:c16="http://schemas.microsoft.com/office/drawing/2014/chart" uri="{C3380CC4-5D6E-409C-BE32-E72D297353CC}">
              <c16:uniqueId val="{00000006-545F-49EA-BDAC-6355B236B461}"/>
            </c:ext>
          </c:extLst>
        </c:ser>
        <c:ser>
          <c:idx val="7"/>
          <c:order val="7"/>
          <c:tx>
            <c:strRef>
              <c:f>'Becnh distrib'!$I$1</c:f>
              <c:strCache>
                <c:ptCount val="1"/>
                <c:pt idx="0">
                  <c:v>CC </c:v>
                </c:pt>
              </c:strCache>
            </c:strRef>
          </c:tx>
          <c:invertIfNegative val="0"/>
          <c:cat>
            <c:strRef>
              <c:f>'Becnh distrib'!$A$2:$A$3</c:f>
              <c:strCache>
                <c:ptCount val="2"/>
                <c:pt idx="0">
                  <c:v>Dagong</c:v>
                </c:pt>
                <c:pt idx="1">
                  <c:v>Benchmark</c:v>
                </c:pt>
              </c:strCache>
            </c:strRef>
          </c:cat>
          <c:val>
            <c:numRef>
              <c:f>'Becnh distrib'!$I$2:$I$3</c:f>
              <c:numCache>
                <c:formatCode>General</c:formatCode>
                <c:ptCount val="2"/>
                <c:pt idx="0">
                  <c:v>0</c:v>
                </c:pt>
                <c:pt idx="1">
                  <c:v>0</c:v>
                </c:pt>
              </c:numCache>
            </c:numRef>
          </c:val>
          <c:extLst>
            <c:ext xmlns:c16="http://schemas.microsoft.com/office/drawing/2014/chart" uri="{C3380CC4-5D6E-409C-BE32-E72D297353CC}">
              <c16:uniqueId val="{00000007-545F-49EA-BDAC-6355B236B461}"/>
            </c:ext>
          </c:extLst>
        </c:ser>
        <c:ser>
          <c:idx val="8"/>
          <c:order val="8"/>
          <c:tx>
            <c:strRef>
              <c:f>'Becnh distrib'!$J$1</c:f>
              <c:strCache>
                <c:ptCount val="1"/>
                <c:pt idx="0">
                  <c:v>C</c:v>
                </c:pt>
              </c:strCache>
            </c:strRef>
          </c:tx>
          <c:invertIfNegative val="0"/>
          <c:cat>
            <c:strRef>
              <c:f>'Becnh distrib'!$A$2:$A$3</c:f>
              <c:strCache>
                <c:ptCount val="2"/>
                <c:pt idx="0">
                  <c:v>Dagong</c:v>
                </c:pt>
                <c:pt idx="1">
                  <c:v>Benchmark</c:v>
                </c:pt>
              </c:strCache>
            </c:strRef>
          </c:cat>
          <c:val>
            <c:numRef>
              <c:f>'Becnh distrib'!$J$2:$J$3</c:f>
              <c:numCache>
                <c:formatCode>General</c:formatCode>
                <c:ptCount val="2"/>
                <c:pt idx="0">
                  <c:v>0</c:v>
                </c:pt>
                <c:pt idx="1">
                  <c:v>0</c:v>
                </c:pt>
              </c:numCache>
            </c:numRef>
          </c:val>
          <c:extLst>
            <c:ext xmlns:c16="http://schemas.microsoft.com/office/drawing/2014/chart" uri="{C3380CC4-5D6E-409C-BE32-E72D297353CC}">
              <c16:uniqueId val="{00000008-545F-49EA-BDAC-6355B236B461}"/>
            </c:ext>
          </c:extLst>
        </c:ser>
        <c:dLbls>
          <c:showLegendKey val="0"/>
          <c:showVal val="0"/>
          <c:showCatName val="0"/>
          <c:showSerName val="0"/>
          <c:showPercent val="0"/>
          <c:showBubbleSize val="0"/>
        </c:dLbls>
        <c:gapWidth val="150"/>
        <c:overlap val="100"/>
        <c:axId val="177012736"/>
        <c:axId val="177014272"/>
      </c:barChart>
      <c:catAx>
        <c:axId val="177012736"/>
        <c:scaling>
          <c:orientation val="minMax"/>
        </c:scaling>
        <c:delete val="0"/>
        <c:axPos val="b"/>
        <c:numFmt formatCode="General" sourceLinked="0"/>
        <c:majorTickMark val="out"/>
        <c:minorTickMark val="none"/>
        <c:tickLblPos val="nextTo"/>
        <c:crossAx val="177014272"/>
        <c:crosses val="autoZero"/>
        <c:auto val="1"/>
        <c:lblAlgn val="ctr"/>
        <c:lblOffset val="100"/>
        <c:noMultiLvlLbl val="0"/>
      </c:catAx>
      <c:valAx>
        <c:axId val="177014272"/>
        <c:scaling>
          <c:orientation val="minMax"/>
        </c:scaling>
        <c:delete val="0"/>
        <c:axPos val="l"/>
        <c:majorGridlines/>
        <c:numFmt formatCode="0%" sourceLinked="1"/>
        <c:majorTickMark val="out"/>
        <c:minorTickMark val="none"/>
        <c:tickLblPos val="nextTo"/>
        <c:crossAx val="17701273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4CA62-0550-487A-B838-F105CB20B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4301</Words>
  <Characters>24519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OP</Company>
  <LinksUpToDate>false</LinksUpToDate>
  <CharactersWithSpaces>28763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amarcelo</dc:creator>
  <cp:lastModifiedBy>Clara Garcia</cp:lastModifiedBy>
  <cp:revision>14</cp:revision>
  <cp:lastPrinted>2015-09-29T12:21:00Z</cp:lastPrinted>
  <dcterms:created xsi:type="dcterms:W3CDTF">2015-10-12T09:54:00Z</dcterms:created>
  <dcterms:modified xsi:type="dcterms:W3CDTF">2019-05-06T14:54:00Z</dcterms:modified>
</cp:coreProperties>
</file>