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98" w:rsidRDefault="00B85D98" w:rsidP="002B5CF2">
      <w:pPr>
        <w:pStyle w:val="body"/>
        <w:jc w:val="left"/>
        <w:rPr>
          <w:rStyle w:val="Hyperlink"/>
          <w:lang w:val="en-GB"/>
        </w:rPr>
      </w:pPr>
      <w:bookmarkStart w:id="0" w:name="_Toc238803087"/>
      <w:bookmarkStart w:id="1" w:name="_Toc238803888"/>
      <w:bookmarkStart w:id="2" w:name="_Toc331517775"/>
      <w:bookmarkStart w:id="3" w:name="_Toc246389303"/>
    </w:p>
    <w:p w:rsidR="002B5CF2" w:rsidRPr="00826E1D" w:rsidRDefault="00392600" w:rsidP="002B5CF2">
      <w:pPr>
        <w:pStyle w:val="Numberedtilelevel1"/>
        <w:numPr>
          <w:ilvl w:val="0"/>
          <w:numId w:val="0"/>
        </w:numPr>
        <w:rPr>
          <w:rStyle w:val="Hyperlink"/>
          <w:u w:val="none"/>
          <w:lang w:val="en-GB"/>
        </w:rPr>
      </w:pPr>
      <w:r>
        <w:rPr>
          <w:rStyle w:val="Hyperlink"/>
          <w:u w:val="none"/>
          <w:lang w:val="en-GB"/>
        </w:rPr>
        <w:t>Guidelines</w:t>
      </w:r>
      <w:r w:rsidRPr="00A64B3F">
        <w:rPr>
          <w:rStyle w:val="Hyperlink"/>
          <w:u w:val="none"/>
          <w:lang w:val="en-GB"/>
        </w:rPr>
        <w:t xml:space="preserve"> </w:t>
      </w:r>
      <w:r w:rsidR="002B5CF2" w:rsidRPr="00A64B3F">
        <w:rPr>
          <w:rStyle w:val="Hyperlink"/>
          <w:u w:val="none"/>
          <w:lang w:val="en-GB"/>
        </w:rPr>
        <w:t>compliance table</w:t>
      </w:r>
    </w:p>
    <w:tbl>
      <w:tblPr>
        <w:tblW w:w="0" w:type="auto"/>
        <w:tblCellMar>
          <w:top w:w="85" w:type="dxa"/>
          <w:bottom w:w="85" w:type="dxa"/>
        </w:tblCellMar>
        <w:tblLook w:val="04A0" w:firstRow="1" w:lastRow="0" w:firstColumn="1" w:lastColumn="0" w:noHBand="0" w:noVBand="1"/>
      </w:tblPr>
      <w:tblGrid>
        <w:gridCol w:w="3686"/>
      </w:tblGrid>
      <w:tr w:rsidR="002B5CF2" w:rsidRPr="00CD3A8C" w:rsidTr="006B3595">
        <w:tc>
          <w:tcPr>
            <w:tcW w:w="3686" w:type="dxa"/>
            <w:tcBorders>
              <w:bottom w:val="single" w:sz="4" w:space="0" w:color="A6A6A6" w:themeColor="background1" w:themeShade="A6"/>
            </w:tcBorders>
            <w:shd w:val="clear" w:color="auto" w:fill="auto"/>
          </w:tcPr>
          <w:p w:rsidR="00EE4A49" w:rsidRPr="00EE4A49" w:rsidRDefault="00EE4A49" w:rsidP="00EE4A49">
            <w:pPr>
              <w:rPr>
                <w:rFonts w:ascii="Calibri" w:hAnsi="Calibri" w:cstheme="minorHAnsi"/>
                <w:sz w:val="16"/>
                <w:szCs w:val="16"/>
                <w:lang w:val="en-GB"/>
              </w:rPr>
            </w:pPr>
            <w:r w:rsidRPr="00EE4A49">
              <w:rPr>
                <w:rFonts w:ascii="Calibri" w:hAnsi="Calibri" w:cstheme="minorHAnsi"/>
                <w:lang w:val="en-GB"/>
              </w:rPr>
              <w:fldChar w:fldCharType="begin">
                <w:ffData>
                  <w:name w:val=""/>
                  <w:enabled/>
                  <w:calcOnExit w:val="0"/>
                  <w:textInput>
                    <w:default w:val="EBA/GL/2016/11, Version 2* Appendix 1"/>
                  </w:textInput>
                </w:ffData>
              </w:fldChar>
            </w:r>
            <w:r w:rsidRPr="00EE4A49">
              <w:rPr>
                <w:rFonts w:ascii="Calibri" w:hAnsi="Calibri" w:cstheme="minorHAnsi"/>
                <w:lang w:val="en-GB"/>
              </w:rPr>
              <w:instrText xml:space="preserve"> FORMTEXT </w:instrText>
            </w:r>
            <w:r w:rsidRPr="00EE4A49">
              <w:rPr>
                <w:rFonts w:ascii="Calibri" w:hAnsi="Calibri" w:cstheme="minorHAnsi"/>
                <w:lang w:val="en-GB"/>
              </w:rPr>
            </w:r>
            <w:r w:rsidRPr="00EE4A49">
              <w:rPr>
                <w:rFonts w:ascii="Calibri" w:hAnsi="Calibri" w:cstheme="minorHAnsi"/>
                <w:lang w:val="en-GB"/>
              </w:rPr>
              <w:fldChar w:fldCharType="separate"/>
            </w:r>
            <w:r w:rsidRPr="00EE4A49">
              <w:rPr>
                <w:rFonts w:ascii="Calibri" w:hAnsi="Calibri" w:cstheme="minorHAnsi"/>
                <w:noProof/>
                <w:lang w:val="en-GB"/>
              </w:rPr>
              <w:t>EBA/GL/2016/11, Version 2* Appendix 1</w:t>
            </w:r>
            <w:r w:rsidRPr="00EE4A49">
              <w:rPr>
                <w:rFonts w:ascii="Calibri" w:hAnsi="Calibri" w:cstheme="minorHAnsi"/>
                <w:lang w:val="en-GB"/>
              </w:rPr>
              <w:fldChar w:fldCharType="end"/>
            </w:r>
            <w:r w:rsidRPr="00EE4A49">
              <w:rPr>
                <w:rFonts w:ascii="Calibri" w:hAnsi="Calibri" w:cstheme="minorHAnsi"/>
                <w:lang w:val="en-GB"/>
              </w:rPr>
              <w:t xml:space="preserve"> </w:t>
            </w:r>
            <w:r w:rsidRPr="00EE4A49">
              <w:rPr>
                <w:rFonts w:ascii="Calibri" w:hAnsi="Calibri" w:cstheme="minorHAnsi"/>
                <w:sz w:val="16"/>
                <w:szCs w:val="16"/>
                <w:lang w:val="en-GB"/>
              </w:rPr>
              <w:t>(* Version amended on 9 June 2017 to reflect corrigenda on pages 57, 72, 76, 78, 82 and 91, as</w:t>
            </w:r>
          </w:p>
          <w:p w:rsidR="002B5CF2" w:rsidRPr="00CD3A8C" w:rsidRDefault="00EE4A49" w:rsidP="00EE4A49">
            <w:pPr>
              <w:rPr>
                <w:lang w:val="en-GB"/>
              </w:rPr>
            </w:pPr>
            <w:r w:rsidRPr="00EE4A49">
              <w:rPr>
                <w:rFonts w:ascii="Calibri" w:hAnsi="Calibri" w:cstheme="minorHAnsi"/>
                <w:sz w:val="16"/>
                <w:szCs w:val="16"/>
                <w:lang w:val="en-GB"/>
              </w:rPr>
              <w:t>well as language corrections and legislation updates in various parts of the document).</w:t>
            </w:r>
          </w:p>
        </w:tc>
      </w:tr>
      <w:tr w:rsidR="002B5CF2" w:rsidRPr="00CD3A8C" w:rsidTr="006B3595">
        <w:tc>
          <w:tcPr>
            <w:tcW w:w="3686" w:type="dxa"/>
            <w:tcBorders>
              <w:top w:val="single" w:sz="4" w:space="0" w:color="A6A6A6" w:themeColor="background1" w:themeShade="A6"/>
              <w:bottom w:val="single" w:sz="4" w:space="0" w:color="A6A6A6" w:themeColor="background1" w:themeShade="A6"/>
            </w:tcBorders>
            <w:shd w:val="clear" w:color="auto" w:fill="auto"/>
          </w:tcPr>
          <w:p w:rsidR="002B5CF2" w:rsidRPr="00CD3A8C" w:rsidRDefault="00C15133" w:rsidP="003E2C70">
            <w:pPr>
              <w:rPr>
                <w:lang w:val="en-GB"/>
              </w:rPr>
            </w:pPr>
            <w:r>
              <w:rPr>
                <w:rFonts w:cstheme="minorHAnsi"/>
                <w:lang w:val="en-GB"/>
              </w:rPr>
              <w:t>14 December</w:t>
            </w:r>
            <w:r w:rsidR="000027A1">
              <w:rPr>
                <w:rFonts w:cstheme="minorHAnsi"/>
                <w:lang w:val="en-GB"/>
              </w:rPr>
              <w:t xml:space="preserve"> 201</w:t>
            </w:r>
            <w:r w:rsidR="00F4768C">
              <w:rPr>
                <w:rFonts w:cstheme="minorHAnsi"/>
                <w:lang w:val="en-GB"/>
              </w:rPr>
              <w:t>6</w:t>
            </w:r>
            <w:r w:rsidR="002D702A">
              <w:rPr>
                <w:rFonts w:cstheme="minorHAnsi"/>
                <w:lang w:val="en-GB"/>
              </w:rPr>
              <w:t>; Date of application –</w:t>
            </w:r>
            <w:r w:rsidR="009F3B6B">
              <w:rPr>
                <w:rFonts w:cstheme="minorHAnsi"/>
                <w:lang w:val="en-GB"/>
              </w:rPr>
              <w:t xml:space="preserve"> 19 February 2018</w:t>
            </w:r>
            <w:r w:rsidR="00C13068">
              <w:rPr>
                <w:rFonts w:cstheme="minorHAnsi"/>
                <w:lang w:val="en-GB"/>
              </w:rPr>
              <w:t xml:space="preserve"> (Updated </w:t>
            </w:r>
            <w:r w:rsidR="003E2C70">
              <w:rPr>
                <w:rFonts w:cstheme="minorHAnsi"/>
                <w:lang w:val="en-GB"/>
              </w:rPr>
              <w:t>3 May</w:t>
            </w:r>
            <w:r w:rsidR="00C13068">
              <w:rPr>
                <w:rFonts w:cstheme="minorHAnsi"/>
                <w:lang w:val="en-GB"/>
              </w:rPr>
              <w:t xml:space="preserve"> 2018)</w:t>
            </w:r>
          </w:p>
        </w:tc>
        <w:bookmarkStart w:id="4" w:name="_GoBack"/>
        <w:bookmarkEnd w:id="4"/>
      </w:tr>
      <w:tr w:rsidR="002B5CF2" w:rsidRPr="00CD3A8C" w:rsidTr="006B3595">
        <w:tc>
          <w:tcPr>
            <w:tcW w:w="3686" w:type="dxa"/>
            <w:tcBorders>
              <w:top w:val="single" w:sz="4" w:space="0" w:color="A6A6A6" w:themeColor="background1" w:themeShade="A6"/>
            </w:tcBorders>
            <w:shd w:val="clear" w:color="auto" w:fill="auto"/>
          </w:tcPr>
          <w:p w:rsidR="002B5CF2" w:rsidRPr="00CD3A8C" w:rsidRDefault="002B5CF2" w:rsidP="006B3595">
            <w:pPr>
              <w:rPr>
                <w:lang w:val="en-GB"/>
              </w:rPr>
            </w:pPr>
          </w:p>
        </w:tc>
      </w:tr>
    </w:tbl>
    <w:p w:rsidR="00D56999" w:rsidRDefault="00392600" w:rsidP="00FB01A5">
      <w:pPr>
        <w:pStyle w:val="Titlelevel2"/>
        <w:rPr>
          <w:lang w:val="en-GB"/>
        </w:rPr>
      </w:pPr>
      <w:r>
        <w:rPr>
          <w:lang w:val="en-GB"/>
        </w:rPr>
        <w:t xml:space="preserve">Guidelines </w:t>
      </w:r>
      <w:r w:rsidR="001807E7">
        <w:rPr>
          <w:lang w:val="en-GB"/>
        </w:rPr>
        <w:t xml:space="preserve">on </w:t>
      </w:r>
      <w:r w:rsidR="00633491">
        <w:rPr>
          <w:lang w:val="en-GB"/>
        </w:rPr>
        <w:t>disclosure requirements under Part Eight of Regulation (EU) No 575/2013</w:t>
      </w:r>
    </w:p>
    <w:p w:rsidR="00AC1436" w:rsidRPr="00CD3A8C" w:rsidRDefault="002B5CF2" w:rsidP="002B5CF2">
      <w:pPr>
        <w:pStyle w:val="body"/>
        <w:jc w:val="left"/>
        <w:rPr>
          <w:lang w:val="en-GB"/>
        </w:rPr>
      </w:pPr>
      <w:r>
        <w:rPr>
          <w:lang w:val="en-GB"/>
        </w:rPr>
        <w:t xml:space="preserve">The following competent authorities* comply or intend to comply with </w:t>
      </w:r>
      <w:r w:rsidR="001B31DA">
        <w:rPr>
          <w:lang w:val="en-GB"/>
        </w:rPr>
        <w:t xml:space="preserve">the </w:t>
      </w:r>
      <w:r>
        <w:rPr>
          <w:lang w:val="en-GB"/>
        </w:rPr>
        <w:t xml:space="preserve">EBA’s </w:t>
      </w:r>
      <w:r w:rsidR="001051A7">
        <w:rPr>
          <w:lang w:val="en-GB"/>
        </w:rPr>
        <w:t>Guidelines</w:t>
      </w:r>
      <w:r w:rsidR="001807E7">
        <w:rPr>
          <w:lang w:val="en-GB"/>
        </w:rPr>
        <w:t xml:space="preserve"> on </w:t>
      </w:r>
      <w:r w:rsidR="00633491">
        <w:rPr>
          <w:lang w:val="en-GB"/>
        </w:rPr>
        <w:t>disclosure requirements under Part Eight of Regulation (EU) No 575/2013</w:t>
      </w:r>
      <w:r w:rsidR="00AC1436">
        <w:rPr>
          <w:lang w:val="en-GB"/>
        </w:rPr>
        <w:t>:</w:t>
      </w:r>
    </w:p>
    <w:tbl>
      <w:tblPr>
        <w:tblStyle w:val="EBAtable"/>
        <w:tblW w:w="8897" w:type="dxa"/>
        <w:tblLayout w:type="fixed"/>
        <w:tblLook w:val="04A0" w:firstRow="1" w:lastRow="0" w:firstColumn="1" w:lastColumn="0" w:noHBand="0" w:noVBand="1"/>
      </w:tblPr>
      <w:tblGrid>
        <w:gridCol w:w="675"/>
        <w:gridCol w:w="284"/>
        <w:gridCol w:w="1276"/>
        <w:gridCol w:w="2126"/>
        <w:gridCol w:w="1417"/>
        <w:gridCol w:w="3119"/>
      </w:tblGrid>
      <w:tr w:rsidR="002B5CF2" w:rsidRPr="00A2678D" w:rsidTr="003A6C1E">
        <w:trPr>
          <w:cnfStyle w:val="100000000000" w:firstRow="1" w:lastRow="0" w:firstColumn="0" w:lastColumn="0" w:oddVBand="0" w:evenVBand="0" w:oddHBand="0" w:evenHBand="0" w:firstRowFirstColumn="0" w:firstRowLastColumn="0" w:lastRowFirstColumn="0" w:lastRowLastColumn="0"/>
          <w:trHeight w:val="748"/>
        </w:trPr>
        <w:tc>
          <w:tcPr>
            <w:tcW w:w="2235" w:type="dxa"/>
            <w:gridSpan w:val="3"/>
          </w:tcPr>
          <w:p w:rsidR="002B5CF2" w:rsidRPr="006D2ED5" w:rsidRDefault="002B5CF2" w:rsidP="006B3595">
            <w:pPr>
              <w:pStyle w:val="Tableheader"/>
              <w:rPr>
                <w:rFonts w:asciiTheme="minorHAnsi" w:hAnsiTheme="minorHAnsi"/>
                <w:sz w:val="20"/>
                <w:szCs w:val="20"/>
                <w:lang w:val="en-GB"/>
              </w:rPr>
            </w:pPr>
          </w:p>
        </w:tc>
        <w:tc>
          <w:tcPr>
            <w:tcW w:w="2126" w:type="dxa"/>
          </w:tcPr>
          <w:p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Competent</w:t>
            </w:r>
            <w:r w:rsidRPr="006D2ED5">
              <w:rPr>
                <w:rFonts w:asciiTheme="minorHAnsi" w:hAnsiTheme="minorHAnsi"/>
                <w:sz w:val="20"/>
                <w:szCs w:val="20"/>
                <w:lang w:val="en-GB"/>
              </w:rPr>
              <w:br/>
              <w:t>authority</w:t>
            </w:r>
          </w:p>
        </w:tc>
        <w:tc>
          <w:tcPr>
            <w:tcW w:w="1417" w:type="dxa"/>
          </w:tcPr>
          <w:p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Complies or</w:t>
            </w:r>
            <w:r w:rsidRPr="006D2ED5">
              <w:rPr>
                <w:rFonts w:asciiTheme="minorHAnsi" w:hAnsiTheme="minorHAnsi"/>
                <w:sz w:val="20"/>
                <w:szCs w:val="20"/>
                <w:lang w:val="en-GB"/>
              </w:rPr>
              <w:br/>
              <w:t>intends to comply</w:t>
            </w:r>
          </w:p>
        </w:tc>
        <w:tc>
          <w:tcPr>
            <w:tcW w:w="3119" w:type="dxa"/>
          </w:tcPr>
          <w:p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Comments</w:t>
            </w:r>
          </w:p>
        </w:tc>
      </w:tr>
      <w:tr w:rsidR="001317C0" w:rsidRPr="00A2678D" w:rsidTr="003A6C1E">
        <w:tc>
          <w:tcPr>
            <w:tcW w:w="959" w:type="dxa"/>
            <w:gridSpan w:val="2"/>
            <w:tcBorders>
              <w:bottom w:val="single" w:sz="4" w:space="0" w:color="auto"/>
            </w:tcBorders>
          </w:tcPr>
          <w:p w:rsidR="001317C0" w:rsidRPr="00A64B3F" w:rsidRDefault="001317C0" w:rsidP="001317C0">
            <w:pPr>
              <w:pStyle w:val="Tabledata"/>
              <w:jc w:val="left"/>
              <w:rPr>
                <w:szCs w:val="20"/>
              </w:rPr>
            </w:pPr>
            <w:r>
              <w:rPr>
                <w:szCs w:val="20"/>
              </w:rPr>
              <w:t>Member State</w:t>
            </w:r>
          </w:p>
        </w:tc>
        <w:tc>
          <w:tcPr>
            <w:tcW w:w="1276" w:type="dxa"/>
            <w:tcBorders>
              <w:bottom w:val="single" w:sz="4" w:space="0" w:color="auto"/>
            </w:tcBorders>
          </w:tcPr>
          <w:p w:rsidR="001317C0" w:rsidRPr="008B5776" w:rsidRDefault="001317C0" w:rsidP="006B3595">
            <w:pPr>
              <w:pStyle w:val="Tabledata"/>
              <w:jc w:val="left"/>
              <w:rPr>
                <w:szCs w:val="20"/>
              </w:rPr>
            </w:pPr>
          </w:p>
        </w:tc>
        <w:tc>
          <w:tcPr>
            <w:tcW w:w="2126" w:type="dxa"/>
            <w:tcBorders>
              <w:bottom w:val="single" w:sz="4" w:space="0" w:color="auto"/>
            </w:tcBorders>
          </w:tcPr>
          <w:p w:rsidR="001317C0" w:rsidRPr="00DA049C" w:rsidRDefault="001317C0" w:rsidP="006B3595">
            <w:pPr>
              <w:pStyle w:val="Tabledata"/>
              <w:jc w:val="left"/>
              <w:rPr>
                <w:szCs w:val="20"/>
              </w:rPr>
            </w:pPr>
          </w:p>
        </w:tc>
        <w:tc>
          <w:tcPr>
            <w:tcW w:w="1417" w:type="dxa"/>
            <w:tcBorders>
              <w:bottom w:val="single" w:sz="4" w:space="0" w:color="auto"/>
            </w:tcBorders>
            <w:shd w:val="clear" w:color="auto" w:fill="auto"/>
          </w:tcPr>
          <w:p w:rsidR="001317C0" w:rsidRDefault="001317C0" w:rsidP="006B3595">
            <w:pPr>
              <w:pStyle w:val="Tabledata"/>
              <w:jc w:val="left"/>
              <w:rPr>
                <w:b/>
                <w:color w:val="auto"/>
                <w:szCs w:val="20"/>
              </w:rPr>
            </w:pPr>
          </w:p>
        </w:tc>
        <w:tc>
          <w:tcPr>
            <w:tcW w:w="3119" w:type="dxa"/>
            <w:tcBorders>
              <w:bottom w:val="single" w:sz="4" w:space="0" w:color="auto"/>
            </w:tcBorders>
          </w:tcPr>
          <w:p w:rsidR="001317C0" w:rsidRPr="006D2ED5" w:rsidRDefault="001317C0" w:rsidP="006B3595">
            <w:pPr>
              <w:suppressAutoHyphens/>
              <w:rPr>
                <w:rFonts w:cs="Calibri"/>
                <w:color w:val="000000"/>
                <w:sz w:val="20"/>
                <w:szCs w:val="20"/>
                <w:lang w:eastAsia="en-GB"/>
              </w:rPr>
            </w:pPr>
          </w:p>
        </w:tc>
      </w:tr>
      <w:tr w:rsidR="002B5CF2" w:rsidRPr="00A2678D" w:rsidTr="00654876">
        <w:tc>
          <w:tcPr>
            <w:tcW w:w="959" w:type="dxa"/>
            <w:gridSpan w:val="2"/>
            <w:tcBorders>
              <w:top w:val="single" w:sz="4" w:space="0" w:color="auto"/>
              <w:left w:val="single" w:sz="4" w:space="0" w:color="auto"/>
              <w:bottom w:val="single" w:sz="4" w:space="0" w:color="auto"/>
              <w:right w:val="single" w:sz="4" w:space="0" w:color="auto"/>
            </w:tcBorders>
          </w:tcPr>
          <w:p w:rsidR="002B5CF2" w:rsidRPr="00826E1D" w:rsidRDefault="002B3A3F" w:rsidP="003A6C1E">
            <w:pPr>
              <w:pStyle w:val="Tabledata"/>
              <w:jc w:val="center"/>
              <w:rPr>
                <w:szCs w:val="20"/>
              </w:rPr>
            </w:pPr>
            <w:r w:rsidRPr="00670360">
              <w:rPr>
                <w:color w:val="auto"/>
              </w:rPr>
              <w:t>BE</w:t>
            </w:r>
          </w:p>
        </w:tc>
        <w:tc>
          <w:tcPr>
            <w:tcW w:w="1276" w:type="dxa"/>
            <w:tcBorders>
              <w:top w:val="single" w:sz="4" w:space="0" w:color="auto"/>
              <w:left w:val="single" w:sz="4" w:space="0" w:color="auto"/>
              <w:bottom w:val="single" w:sz="4" w:space="0" w:color="auto"/>
              <w:right w:val="single" w:sz="4" w:space="0" w:color="auto"/>
            </w:tcBorders>
          </w:tcPr>
          <w:p w:rsidR="002B5CF2" w:rsidRPr="008B5776" w:rsidRDefault="00192DCA" w:rsidP="003A6C1E">
            <w:pPr>
              <w:pStyle w:val="Tabledata"/>
              <w:jc w:val="center"/>
              <w:rPr>
                <w:szCs w:val="20"/>
              </w:rPr>
            </w:pPr>
            <w:r w:rsidRPr="00670360">
              <w:rPr>
                <w:color w:val="auto"/>
              </w:rPr>
              <w:t>Belgium</w:t>
            </w:r>
          </w:p>
        </w:tc>
        <w:tc>
          <w:tcPr>
            <w:tcW w:w="2126" w:type="dxa"/>
            <w:tcBorders>
              <w:top w:val="single" w:sz="4" w:space="0" w:color="auto"/>
              <w:left w:val="single" w:sz="4" w:space="0" w:color="auto"/>
              <w:bottom w:val="single" w:sz="4" w:space="0" w:color="auto"/>
              <w:right w:val="single" w:sz="4" w:space="0" w:color="auto"/>
            </w:tcBorders>
          </w:tcPr>
          <w:p w:rsidR="002B5CF2" w:rsidRPr="00DA049C" w:rsidRDefault="002B3A3F" w:rsidP="006B3595">
            <w:pPr>
              <w:pStyle w:val="Tabledata"/>
              <w:jc w:val="left"/>
              <w:rPr>
                <w:szCs w:val="20"/>
              </w:rPr>
            </w:pPr>
            <w:r>
              <w:rPr>
                <w:rFonts w:cs="Arial"/>
                <w:bCs w:val="0"/>
                <w:color w:val="auto"/>
              </w:rPr>
              <w:t>National Bank of Belgium</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5CF2" w:rsidRPr="00751C1D" w:rsidRDefault="00654876" w:rsidP="00751C1D">
            <w:pPr>
              <w:pStyle w:val="Tabledata"/>
              <w:jc w:val="center"/>
              <w:rPr>
                <w:b/>
                <w:color w:val="auto"/>
                <w:szCs w:val="20"/>
              </w:rPr>
            </w:pPr>
            <w:r>
              <w:rPr>
                <w:b/>
                <w:color w:val="auto"/>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5CF2" w:rsidRPr="00F5520C" w:rsidRDefault="00654876" w:rsidP="00006737">
            <w:pPr>
              <w:suppressAutoHyphens/>
              <w:rPr>
                <w:rFonts w:cs="Calibri"/>
                <w:sz w:val="20"/>
                <w:szCs w:val="20"/>
              </w:rPr>
            </w:pPr>
            <w:r>
              <w:rPr>
                <w:rFonts w:cs="Calibri"/>
                <w:sz w:val="20"/>
                <w:szCs w:val="20"/>
              </w:rPr>
              <w:t xml:space="preserve">As at 28.08.2017, notification date. </w:t>
            </w:r>
          </w:p>
        </w:tc>
      </w:tr>
      <w:tr w:rsidR="002B5CF2" w:rsidRPr="00A2678D" w:rsidTr="00D12FD5">
        <w:tc>
          <w:tcPr>
            <w:tcW w:w="959" w:type="dxa"/>
            <w:gridSpan w:val="2"/>
            <w:tcBorders>
              <w:top w:val="single" w:sz="4" w:space="0" w:color="auto"/>
              <w:left w:val="single" w:sz="4" w:space="0" w:color="auto"/>
              <w:bottom w:val="single" w:sz="4" w:space="0" w:color="auto"/>
              <w:right w:val="single" w:sz="4" w:space="0" w:color="auto"/>
            </w:tcBorders>
          </w:tcPr>
          <w:p w:rsidR="002B5CF2" w:rsidRPr="006D2ED5" w:rsidRDefault="002B3A3F" w:rsidP="003A6C1E">
            <w:pPr>
              <w:pStyle w:val="Tabledata"/>
              <w:jc w:val="center"/>
              <w:rPr>
                <w:szCs w:val="20"/>
              </w:rPr>
            </w:pPr>
            <w:r w:rsidRPr="00CD3A8C">
              <w:t>BG</w:t>
            </w:r>
            <w:r w:rsidR="002B5CF2" w:rsidRPr="006D2ED5">
              <w:rPr>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B5CF2" w:rsidRPr="006D2ED5" w:rsidRDefault="00192DCA" w:rsidP="003A6C1E">
            <w:pPr>
              <w:pStyle w:val="Tabledata"/>
              <w:jc w:val="center"/>
              <w:rPr>
                <w:szCs w:val="20"/>
              </w:rPr>
            </w:pPr>
            <w:r w:rsidRPr="00CD3A8C">
              <w:t>Bulgaria</w:t>
            </w:r>
          </w:p>
        </w:tc>
        <w:tc>
          <w:tcPr>
            <w:tcW w:w="2126" w:type="dxa"/>
            <w:tcBorders>
              <w:top w:val="single" w:sz="4" w:space="0" w:color="auto"/>
              <w:left w:val="single" w:sz="4" w:space="0" w:color="auto"/>
              <w:bottom w:val="single" w:sz="4" w:space="0" w:color="auto"/>
              <w:right w:val="single" w:sz="4" w:space="0" w:color="auto"/>
            </w:tcBorders>
          </w:tcPr>
          <w:p w:rsidR="002B5CF2" w:rsidRPr="006D2ED5" w:rsidRDefault="002B3A3F" w:rsidP="006B3595">
            <w:pPr>
              <w:pStyle w:val="Tabledata"/>
              <w:jc w:val="left"/>
              <w:rPr>
                <w:szCs w:val="20"/>
              </w:rPr>
            </w:pPr>
            <w:r w:rsidRPr="00CD3A8C">
              <w:rPr>
                <w:rFonts w:cs="Arial"/>
                <w:bCs w:val="0"/>
              </w:rPr>
              <w:t xml:space="preserve"> Българска народна банка (Bulgarian National Bank)</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5CF2" w:rsidRPr="00180E1B" w:rsidRDefault="00D12FD5" w:rsidP="00180E1B">
            <w:pPr>
              <w:pStyle w:val="Tabledata"/>
              <w:jc w:val="center"/>
              <w:rPr>
                <w:b/>
                <w:color w:val="auto"/>
                <w:szCs w:val="20"/>
              </w:rPr>
            </w:pPr>
            <w:r>
              <w:rPr>
                <w:b/>
                <w:color w:val="auto"/>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5CF2" w:rsidRPr="00180E1B" w:rsidRDefault="00D12FD5" w:rsidP="008B18DC">
            <w:pPr>
              <w:suppressAutoHyphens/>
              <w:rPr>
                <w:rFonts w:cs="Calibri"/>
                <w:color w:val="000000"/>
                <w:sz w:val="20"/>
                <w:szCs w:val="20"/>
                <w:lang w:eastAsia="en-GB"/>
              </w:rPr>
            </w:pPr>
            <w:r>
              <w:rPr>
                <w:rFonts w:cs="Calibri"/>
                <w:color w:val="000000"/>
                <w:sz w:val="20"/>
                <w:szCs w:val="20"/>
                <w:lang w:eastAsia="en-GB"/>
              </w:rPr>
              <w:t>By 31.12.2017.</w:t>
            </w:r>
          </w:p>
        </w:tc>
      </w:tr>
      <w:tr w:rsidR="002B5CF2" w:rsidRPr="00A2678D" w:rsidTr="00710284">
        <w:tc>
          <w:tcPr>
            <w:tcW w:w="959" w:type="dxa"/>
            <w:gridSpan w:val="2"/>
            <w:tcBorders>
              <w:top w:val="single" w:sz="4" w:space="0" w:color="auto"/>
              <w:left w:val="single" w:sz="4" w:space="0" w:color="auto"/>
              <w:bottom w:val="single" w:sz="4" w:space="0" w:color="auto"/>
              <w:right w:val="single" w:sz="4" w:space="0" w:color="auto"/>
            </w:tcBorders>
          </w:tcPr>
          <w:p w:rsidR="002B5CF2" w:rsidRPr="006D2ED5" w:rsidRDefault="002B3A3F" w:rsidP="003A6C1E">
            <w:pPr>
              <w:pStyle w:val="Tabledata"/>
              <w:jc w:val="center"/>
              <w:rPr>
                <w:szCs w:val="20"/>
              </w:rPr>
            </w:pPr>
            <w:r w:rsidRPr="00CD3A8C">
              <w:t>CZ</w:t>
            </w:r>
            <w:r w:rsidR="002B5CF2" w:rsidRPr="006D2ED5">
              <w:rPr>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B5CF2" w:rsidRPr="006D2ED5" w:rsidRDefault="00192DCA" w:rsidP="003A6C1E">
            <w:pPr>
              <w:pStyle w:val="Tabledata"/>
              <w:jc w:val="center"/>
              <w:rPr>
                <w:szCs w:val="20"/>
              </w:rPr>
            </w:pPr>
            <w:r w:rsidRPr="00CD3A8C">
              <w:t xml:space="preserve">Czech </w:t>
            </w:r>
            <w:r>
              <w:t xml:space="preserve"> </w:t>
            </w:r>
            <w:r w:rsidRPr="00CD3A8C">
              <w:t>Republic</w:t>
            </w:r>
          </w:p>
        </w:tc>
        <w:tc>
          <w:tcPr>
            <w:tcW w:w="2126" w:type="dxa"/>
            <w:tcBorders>
              <w:top w:val="single" w:sz="4" w:space="0" w:color="auto"/>
              <w:left w:val="single" w:sz="4" w:space="0" w:color="auto"/>
              <w:bottom w:val="single" w:sz="4" w:space="0" w:color="auto"/>
              <w:right w:val="single" w:sz="4" w:space="0" w:color="auto"/>
            </w:tcBorders>
          </w:tcPr>
          <w:p w:rsidR="002B5CF2" w:rsidRPr="006D2ED5" w:rsidRDefault="00AF3AB2" w:rsidP="00AF3AB2">
            <w:pPr>
              <w:pStyle w:val="Tabledata"/>
              <w:jc w:val="left"/>
              <w:rPr>
                <w:szCs w:val="20"/>
              </w:rPr>
            </w:pPr>
            <w:r>
              <w:rPr>
                <w:rFonts w:cs="Arial"/>
                <w:bCs w:val="0"/>
              </w:rPr>
              <w:t>Czech National Bank</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5CF2" w:rsidRPr="00180E1B" w:rsidRDefault="00710284" w:rsidP="006B3595">
            <w:pPr>
              <w:pStyle w:val="Tabledata"/>
              <w:ind w:left="284"/>
              <w:jc w:val="left"/>
              <w:rPr>
                <w:b/>
                <w:color w:val="auto"/>
                <w:szCs w:val="20"/>
              </w:rPr>
            </w:pPr>
            <w:r>
              <w:rPr>
                <w:b/>
                <w:color w:val="auto"/>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70634" w:rsidRPr="007A62E0" w:rsidRDefault="00710284" w:rsidP="00035C39">
            <w:pPr>
              <w:pStyle w:val="Tabledata"/>
              <w:jc w:val="left"/>
              <w:rPr>
                <w:rFonts w:cs="Calibri"/>
                <w:color w:val="auto"/>
                <w:szCs w:val="20"/>
              </w:rPr>
            </w:pPr>
            <w:r>
              <w:rPr>
                <w:rFonts w:cs="Calibri"/>
                <w:color w:val="auto"/>
                <w:szCs w:val="20"/>
              </w:rPr>
              <w:t>By 01.01.2018.</w:t>
            </w:r>
          </w:p>
        </w:tc>
      </w:tr>
      <w:tr w:rsidR="002B5CF2" w:rsidRPr="00A2678D" w:rsidTr="00EE13A7">
        <w:tc>
          <w:tcPr>
            <w:tcW w:w="959" w:type="dxa"/>
            <w:gridSpan w:val="2"/>
            <w:tcBorders>
              <w:top w:val="single" w:sz="4" w:space="0" w:color="auto"/>
              <w:left w:val="single" w:sz="4" w:space="0" w:color="auto"/>
              <w:bottom w:val="single" w:sz="4" w:space="0" w:color="auto"/>
              <w:right w:val="single" w:sz="4" w:space="0" w:color="auto"/>
            </w:tcBorders>
          </w:tcPr>
          <w:p w:rsidR="002B5CF2" w:rsidRPr="00826E1D" w:rsidRDefault="002B5CF2" w:rsidP="003A6C1E">
            <w:pPr>
              <w:pStyle w:val="Tabledata"/>
              <w:jc w:val="center"/>
              <w:rPr>
                <w:szCs w:val="20"/>
              </w:rPr>
            </w:pPr>
            <w:r w:rsidRPr="00A64B3F">
              <w:rPr>
                <w:szCs w:val="20"/>
              </w:rPr>
              <w:t xml:space="preserve"> </w:t>
            </w:r>
            <w:r w:rsidR="002B0B93" w:rsidRPr="00CD3A8C">
              <w:t>DK</w:t>
            </w:r>
          </w:p>
        </w:tc>
        <w:tc>
          <w:tcPr>
            <w:tcW w:w="1276" w:type="dxa"/>
            <w:tcBorders>
              <w:top w:val="single" w:sz="4" w:space="0" w:color="auto"/>
              <w:left w:val="single" w:sz="4" w:space="0" w:color="auto"/>
              <w:bottom w:val="single" w:sz="4" w:space="0" w:color="auto"/>
              <w:right w:val="single" w:sz="4" w:space="0" w:color="auto"/>
            </w:tcBorders>
          </w:tcPr>
          <w:p w:rsidR="002B5CF2" w:rsidRPr="008B5776" w:rsidRDefault="002B0B93" w:rsidP="003A6C1E">
            <w:pPr>
              <w:pStyle w:val="Tabledata"/>
              <w:jc w:val="center"/>
              <w:rPr>
                <w:szCs w:val="20"/>
              </w:rPr>
            </w:pPr>
            <w:r w:rsidRPr="00CD3A8C">
              <w:t>Denmark</w:t>
            </w:r>
          </w:p>
        </w:tc>
        <w:tc>
          <w:tcPr>
            <w:tcW w:w="2126" w:type="dxa"/>
            <w:tcBorders>
              <w:top w:val="single" w:sz="4" w:space="0" w:color="auto"/>
              <w:left w:val="single" w:sz="4" w:space="0" w:color="auto"/>
              <w:bottom w:val="single" w:sz="4" w:space="0" w:color="auto"/>
              <w:right w:val="single" w:sz="4" w:space="0" w:color="auto"/>
            </w:tcBorders>
          </w:tcPr>
          <w:p w:rsidR="002B5CF2" w:rsidRPr="00DA049C" w:rsidRDefault="00EE13A7" w:rsidP="00666689">
            <w:pPr>
              <w:pStyle w:val="Tabledata"/>
              <w:jc w:val="left"/>
              <w:rPr>
                <w:szCs w:val="20"/>
              </w:rPr>
            </w:pPr>
            <w:r>
              <w:rPr>
                <w:rFonts w:cs="Arial"/>
                <w:bCs w:val="0"/>
              </w:rPr>
              <w:t>Danish Financial Supervisory Authority</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5CF2" w:rsidRPr="00180E1B" w:rsidRDefault="00EE13A7" w:rsidP="0081135D">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5CF2" w:rsidRPr="00180E1B" w:rsidRDefault="00EE13A7" w:rsidP="006B3595">
            <w:pPr>
              <w:pStyle w:val="Tabledata"/>
              <w:jc w:val="left"/>
              <w:rPr>
                <w:szCs w:val="20"/>
              </w:rPr>
            </w:pPr>
            <w:r>
              <w:rPr>
                <w:szCs w:val="20"/>
              </w:rPr>
              <w:t>As at 21.09.2017, notification date.</w:t>
            </w:r>
          </w:p>
        </w:tc>
      </w:tr>
      <w:tr w:rsidR="002B5CF2" w:rsidRPr="00A2678D" w:rsidTr="00572482">
        <w:tc>
          <w:tcPr>
            <w:tcW w:w="959" w:type="dxa"/>
            <w:gridSpan w:val="2"/>
            <w:tcBorders>
              <w:top w:val="single" w:sz="4" w:space="0" w:color="auto"/>
              <w:left w:val="single" w:sz="4" w:space="0" w:color="auto"/>
              <w:bottom w:val="single" w:sz="4" w:space="0" w:color="auto"/>
              <w:right w:val="single" w:sz="4" w:space="0" w:color="auto"/>
            </w:tcBorders>
          </w:tcPr>
          <w:p w:rsidR="002B5CF2" w:rsidRPr="00A64B3F" w:rsidRDefault="002B0B93" w:rsidP="003A6C1E">
            <w:pPr>
              <w:pStyle w:val="Tabledata"/>
              <w:jc w:val="center"/>
              <w:rPr>
                <w:szCs w:val="20"/>
              </w:rPr>
            </w:pPr>
            <w:r w:rsidRPr="00CD3A8C">
              <w:t>DE</w:t>
            </w:r>
          </w:p>
        </w:tc>
        <w:tc>
          <w:tcPr>
            <w:tcW w:w="1276" w:type="dxa"/>
            <w:tcBorders>
              <w:top w:val="single" w:sz="4" w:space="0" w:color="auto"/>
              <w:left w:val="single" w:sz="4" w:space="0" w:color="auto"/>
              <w:bottom w:val="single" w:sz="4" w:space="0" w:color="auto"/>
              <w:right w:val="single" w:sz="4" w:space="0" w:color="auto"/>
            </w:tcBorders>
          </w:tcPr>
          <w:p w:rsidR="002B5CF2" w:rsidRPr="00A64B3F" w:rsidRDefault="002B0B93" w:rsidP="003A6C1E">
            <w:pPr>
              <w:pStyle w:val="Tabledata"/>
              <w:jc w:val="center"/>
              <w:rPr>
                <w:szCs w:val="20"/>
              </w:rPr>
            </w:pPr>
            <w:r w:rsidRPr="00CD3A8C">
              <w:t>Germany</w:t>
            </w:r>
          </w:p>
        </w:tc>
        <w:tc>
          <w:tcPr>
            <w:tcW w:w="2126" w:type="dxa"/>
            <w:tcBorders>
              <w:top w:val="single" w:sz="4" w:space="0" w:color="auto"/>
              <w:left w:val="single" w:sz="4" w:space="0" w:color="auto"/>
              <w:bottom w:val="single" w:sz="4" w:space="0" w:color="auto"/>
              <w:right w:val="single" w:sz="4" w:space="0" w:color="auto"/>
            </w:tcBorders>
          </w:tcPr>
          <w:p w:rsidR="002B5CF2" w:rsidRPr="00B72435" w:rsidRDefault="002B0B93" w:rsidP="00572482">
            <w:pPr>
              <w:pStyle w:val="Tabledata"/>
              <w:jc w:val="left"/>
              <w:rPr>
                <w:rFonts w:cs="Arial"/>
                <w:bCs w:val="0"/>
              </w:rPr>
            </w:pPr>
            <w:r w:rsidRPr="00B72435">
              <w:rPr>
                <w:rFonts w:cs="Arial"/>
                <w:bCs w:val="0"/>
              </w:rPr>
              <w:t xml:space="preserve">Bundesanstalt für </w:t>
            </w:r>
            <w:r w:rsidR="00EC746F" w:rsidRPr="00B72435">
              <w:rPr>
                <w:rFonts w:cs="Arial"/>
                <w:bCs w:val="0"/>
              </w:rPr>
              <w:t xml:space="preserve">Finanzdienstleistungsaufsicht </w:t>
            </w:r>
            <w:r w:rsidRPr="00B72435">
              <w:rPr>
                <w:rFonts w:cs="Arial"/>
                <w:bCs w:val="0"/>
              </w:rPr>
              <w:t>(</w:t>
            </w:r>
            <w:r w:rsidR="00572482">
              <w:rPr>
                <w:rFonts w:cs="Arial"/>
                <w:bCs w:val="0"/>
              </w:rPr>
              <w:t>BaFin</w:t>
            </w:r>
            <w:r w:rsidRPr="00B72435">
              <w:rPr>
                <w:rFonts w:cs="Arial"/>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5CF2" w:rsidRPr="00922663" w:rsidRDefault="00572482"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5CF2" w:rsidRPr="00922663" w:rsidRDefault="00572482" w:rsidP="006B3595">
            <w:pPr>
              <w:pStyle w:val="Tabledata"/>
              <w:jc w:val="left"/>
              <w:rPr>
                <w:szCs w:val="20"/>
              </w:rPr>
            </w:pPr>
            <w:r>
              <w:rPr>
                <w:szCs w:val="20"/>
              </w:rPr>
              <w:t>As at 09.10.2017, notification date.</w:t>
            </w:r>
          </w:p>
        </w:tc>
      </w:tr>
      <w:tr w:rsidR="002B0B93" w:rsidRPr="00A2678D" w:rsidTr="0085089F">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rPr>
                <w:szCs w:val="20"/>
              </w:rPr>
              <w:t>EE</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rsidRPr="00CD3A8C">
              <w:t>Estonia</w:t>
            </w:r>
          </w:p>
        </w:tc>
        <w:tc>
          <w:tcPr>
            <w:tcW w:w="2126" w:type="dxa"/>
            <w:tcBorders>
              <w:top w:val="single" w:sz="4" w:space="0" w:color="auto"/>
              <w:left w:val="single" w:sz="4" w:space="0" w:color="auto"/>
              <w:bottom w:val="single" w:sz="4" w:space="0" w:color="auto"/>
              <w:right w:val="single" w:sz="4" w:space="0" w:color="auto"/>
            </w:tcBorders>
          </w:tcPr>
          <w:p w:rsidR="002B0B93" w:rsidRPr="00B72435" w:rsidRDefault="002B0B93" w:rsidP="0085089F">
            <w:pPr>
              <w:pStyle w:val="Tabledata"/>
              <w:jc w:val="left"/>
              <w:rPr>
                <w:szCs w:val="20"/>
              </w:rPr>
            </w:pPr>
            <w:r w:rsidRPr="00B72435">
              <w:rPr>
                <w:rFonts w:cs="Arial"/>
                <w:bCs w:val="0"/>
              </w:rPr>
              <w:t xml:space="preserve">Finantsinspektsioon </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0B93" w:rsidRPr="00FF0A17" w:rsidRDefault="0085089F"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154B0" w:rsidRPr="00FF0A17" w:rsidRDefault="0085089F" w:rsidP="00A154B0">
            <w:pPr>
              <w:pStyle w:val="Tabledata"/>
              <w:jc w:val="left"/>
            </w:pPr>
            <w:r>
              <w:t>As at 02.10.2017, notification date.</w:t>
            </w:r>
          </w:p>
        </w:tc>
      </w:tr>
      <w:tr w:rsidR="002B0B93" w:rsidRPr="00A2678D" w:rsidTr="00F62D0A">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lastRenderedPageBreak/>
              <w:t>IE</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Ireland</w:t>
            </w:r>
          </w:p>
        </w:tc>
        <w:tc>
          <w:tcPr>
            <w:tcW w:w="2126" w:type="dxa"/>
            <w:tcBorders>
              <w:top w:val="single" w:sz="4" w:space="0" w:color="auto"/>
              <w:left w:val="single" w:sz="4" w:space="0" w:color="auto"/>
              <w:bottom w:val="single" w:sz="4" w:space="0" w:color="auto"/>
              <w:right w:val="single" w:sz="4" w:space="0" w:color="auto"/>
            </w:tcBorders>
          </w:tcPr>
          <w:p w:rsidR="002B0B93" w:rsidRPr="00B72435" w:rsidRDefault="002B0B93" w:rsidP="006B3595">
            <w:pPr>
              <w:pStyle w:val="Tabledata"/>
              <w:jc w:val="left"/>
              <w:rPr>
                <w:szCs w:val="20"/>
              </w:rPr>
            </w:pPr>
            <w:r w:rsidRPr="00B72435">
              <w:rPr>
                <w:rFonts w:cs="Arial"/>
                <w:bCs w:val="0"/>
              </w:rPr>
              <w:t>Central Bank of Ireland</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2C19B0" w:rsidRDefault="00F62D0A" w:rsidP="008B18DC">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2C19B0" w:rsidRDefault="00F62D0A" w:rsidP="0021782A">
            <w:pPr>
              <w:pStyle w:val="Tabledata"/>
              <w:jc w:val="left"/>
            </w:pPr>
            <w:r>
              <w:t>By 31.12.2017.</w:t>
            </w:r>
          </w:p>
        </w:tc>
      </w:tr>
      <w:tr w:rsidR="002B0B93" w:rsidRPr="00A2678D" w:rsidTr="008C48FB">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EL</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Greece</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8C48FB" w:rsidP="006B3595">
            <w:pPr>
              <w:pStyle w:val="Tabledata"/>
              <w:jc w:val="left"/>
              <w:rPr>
                <w:szCs w:val="20"/>
              </w:rPr>
            </w:pPr>
            <w:r>
              <w:rPr>
                <w:rFonts w:cs="Arial"/>
                <w:bCs w:val="0"/>
              </w:rPr>
              <w:t>Bank of Greece</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8C48FB"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8C48FB" w:rsidP="00894F59">
            <w:pPr>
              <w:pStyle w:val="Tabledata"/>
              <w:jc w:val="left"/>
            </w:pPr>
            <w:r>
              <w:t>By 31.12.2017.</w:t>
            </w:r>
          </w:p>
        </w:tc>
      </w:tr>
      <w:tr w:rsidR="002B0B93" w:rsidRPr="00A2678D" w:rsidTr="00EA1834">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HR</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Croatia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EA1834" w:rsidP="001F1EAE">
            <w:pPr>
              <w:pStyle w:val="Tabledata"/>
              <w:jc w:val="left"/>
              <w:rPr>
                <w:szCs w:val="20"/>
              </w:rPr>
            </w:pPr>
            <w:r w:rsidRPr="00EA1834">
              <w:rPr>
                <w:rFonts w:cs="Arial"/>
              </w:rPr>
              <w:t>Republika Hrvatska (Republic of Croatia)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EA1834"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A6B7D" w:rsidRPr="00FA6B7D" w:rsidRDefault="00EA1834" w:rsidP="00FA6B7D">
            <w:pPr>
              <w:pStyle w:val="ListParagraph"/>
              <w:suppressAutoHyphens w:val="0"/>
              <w:autoSpaceDN/>
              <w:ind w:left="0"/>
              <w:contextualSpacing/>
              <w:textAlignment w:val="auto"/>
              <w:rPr>
                <w:rFonts w:ascii="Calibri" w:hAnsi="Calibri"/>
                <w:sz w:val="20"/>
                <w:szCs w:val="20"/>
              </w:rPr>
            </w:pPr>
            <w:r>
              <w:rPr>
                <w:rFonts w:ascii="Calibri" w:hAnsi="Calibri"/>
                <w:sz w:val="20"/>
                <w:szCs w:val="20"/>
              </w:rPr>
              <w:t>By 31.12.2017.</w:t>
            </w:r>
          </w:p>
        </w:tc>
      </w:tr>
      <w:tr w:rsidR="002B0B93" w:rsidRPr="00A2678D" w:rsidTr="00581A81">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ES</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Spain</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581A81" w:rsidP="00581A81">
            <w:pPr>
              <w:pStyle w:val="Tabledata"/>
              <w:jc w:val="left"/>
              <w:rPr>
                <w:szCs w:val="20"/>
              </w:rPr>
            </w:pPr>
            <w:r>
              <w:rPr>
                <w:rFonts w:cs="Arial"/>
                <w:bCs w:val="0"/>
              </w:rPr>
              <w:t>Banco de España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581A81"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F5520C" w:rsidRDefault="00581A81" w:rsidP="00AF44EF">
            <w:pPr>
              <w:pStyle w:val="BodyText"/>
              <w:spacing w:line="324" w:lineRule="auto"/>
              <w:ind w:left="0" w:right="316"/>
              <w:rPr>
                <w:rFonts w:asciiTheme="minorHAnsi" w:hAnsiTheme="minorHAnsi"/>
              </w:rPr>
            </w:pPr>
            <w:r w:rsidRPr="00F5520C">
              <w:rPr>
                <w:rFonts w:asciiTheme="minorHAnsi" w:hAnsiTheme="minorHAnsi"/>
              </w:rPr>
              <w:t>By 31.12.2017.</w:t>
            </w:r>
          </w:p>
        </w:tc>
      </w:tr>
      <w:tr w:rsidR="002B0B93" w:rsidRPr="00A2678D" w:rsidTr="009062AD">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FR</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France</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2B0B93" w:rsidP="0092766D">
            <w:pPr>
              <w:pStyle w:val="Tabledata"/>
              <w:jc w:val="left"/>
              <w:rPr>
                <w:szCs w:val="20"/>
              </w:rPr>
            </w:pPr>
            <w:r w:rsidRPr="00CD3A8C">
              <w:rPr>
                <w:rFonts w:cs="Arial"/>
                <w:bCs w:val="0"/>
              </w:rPr>
              <w:t>Autorité de Contr</w:t>
            </w:r>
            <w:r w:rsidR="0092766D">
              <w:rPr>
                <w:rFonts w:cs="Arial"/>
                <w:bCs w:val="0"/>
              </w:rPr>
              <w:t>ôle Prudentiel et de Résolution</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rsidR="002B0B93" w:rsidRPr="00180E1B" w:rsidRDefault="009062AD" w:rsidP="006B3595">
            <w:pPr>
              <w:pStyle w:val="Tabledata"/>
              <w:ind w:left="284"/>
              <w:jc w:val="left"/>
              <w:rPr>
                <w:b/>
                <w:szCs w:val="20"/>
              </w:rPr>
            </w:pPr>
            <w:r>
              <w:rPr>
                <w:b/>
                <w:szCs w:val="20"/>
              </w:rPr>
              <w:t>No</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F5520C" w:rsidRDefault="006B24F0" w:rsidP="00BC146B">
            <w:pPr>
              <w:suppressAutoHyphens/>
              <w:rPr>
                <w:sz w:val="20"/>
                <w:szCs w:val="20"/>
              </w:rPr>
            </w:pPr>
            <w:r w:rsidRPr="00F5520C">
              <w:rPr>
                <w:sz w:val="20"/>
                <w:szCs w:val="20"/>
              </w:rPr>
              <w:t xml:space="preserve">Does not comply and does not intend to comply with one paragraph of the Guidelines. Without prejudice to the European Central Bank mandate, the ACPR intends to comply with the EBA Guidelines on disclosure requirements under Part Eight of Regulation (EU) No 575/2013 </w:t>
            </w:r>
            <w:r w:rsidRPr="00F5520C">
              <w:rPr>
                <w:sz w:val="20"/>
                <w:szCs w:val="20"/>
                <w:u w:val="single"/>
              </w:rPr>
              <w:t>with the exception of paragraph 71</w:t>
            </w:r>
            <w:r w:rsidRPr="00F5520C">
              <w:rPr>
                <w:sz w:val="20"/>
                <w:szCs w:val="20"/>
              </w:rPr>
              <w:t xml:space="preserve"> of these guidelines related to non-deducted participations in insurance undertakings.  This paragraph which goes beyond the implementation of the </w:t>
            </w:r>
            <w:r w:rsidR="00EA052F" w:rsidRPr="00F5520C">
              <w:rPr>
                <w:sz w:val="20"/>
                <w:szCs w:val="20"/>
              </w:rPr>
              <w:t>Basel standard</w:t>
            </w:r>
            <w:r w:rsidRPr="00F5520C">
              <w:rPr>
                <w:sz w:val="20"/>
                <w:szCs w:val="20"/>
              </w:rPr>
              <w:t xml:space="preserve"> of the revised Pillar 3 requirements creates a requirement which does not comply with the exemption provided in article 49.1 of the CRR.</w:t>
            </w:r>
          </w:p>
        </w:tc>
      </w:tr>
      <w:tr w:rsidR="002B0B93" w:rsidRPr="00A2678D" w:rsidTr="00333ED5">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IT</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Italy</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333ED5" w:rsidP="006B3595">
            <w:pPr>
              <w:pStyle w:val="Tabledata"/>
              <w:jc w:val="left"/>
              <w:rPr>
                <w:szCs w:val="20"/>
              </w:rPr>
            </w:pPr>
            <w:r>
              <w:rPr>
                <w:rFonts w:cs="Arial"/>
                <w:bCs w:val="0"/>
              </w:rPr>
              <w:t>Bank of Italy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333ED5"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F5520C" w:rsidRDefault="00333ED5" w:rsidP="006B3595">
            <w:pPr>
              <w:pStyle w:val="Tabledata"/>
              <w:jc w:val="left"/>
              <w:rPr>
                <w:szCs w:val="20"/>
              </w:rPr>
            </w:pPr>
            <w:r w:rsidRPr="00F5520C">
              <w:rPr>
                <w:szCs w:val="20"/>
              </w:rPr>
              <w:t>By 31.12.2017.</w:t>
            </w:r>
          </w:p>
        </w:tc>
      </w:tr>
      <w:tr w:rsidR="002B0B93" w:rsidRPr="00A2678D" w:rsidTr="004132B6">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CY</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Cyprus</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4132B6" w:rsidP="006B3595">
            <w:pPr>
              <w:pStyle w:val="Tabledata"/>
              <w:jc w:val="left"/>
              <w:rPr>
                <w:szCs w:val="20"/>
              </w:rPr>
            </w:pPr>
            <w:r>
              <w:rPr>
                <w:rFonts w:cs="Arial"/>
                <w:bCs w:val="0"/>
              </w:rPr>
              <w:t>Central Bank of Cyprus</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4132B6"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F5520C" w:rsidRDefault="004132B6" w:rsidP="00CC19E3">
            <w:pPr>
              <w:suppressAutoHyphens/>
              <w:rPr>
                <w:sz w:val="20"/>
                <w:szCs w:val="20"/>
              </w:rPr>
            </w:pPr>
            <w:r>
              <w:rPr>
                <w:sz w:val="20"/>
                <w:szCs w:val="20"/>
              </w:rPr>
              <w:t>By 31.12.2017</w:t>
            </w:r>
          </w:p>
        </w:tc>
      </w:tr>
      <w:tr w:rsidR="002B0B93" w:rsidRPr="00A2678D" w:rsidTr="00C30A40">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LV</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2B0B93" w:rsidP="003A6C1E">
            <w:pPr>
              <w:pStyle w:val="Tabledata"/>
              <w:jc w:val="center"/>
              <w:rPr>
                <w:szCs w:val="20"/>
              </w:rPr>
            </w:pPr>
            <w:r>
              <w:t>Latvia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2B0B93" w:rsidP="006B3595">
            <w:pPr>
              <w:pStyle w:val="Tabledata"/>
              <w:jc w:val="left"/>
              <w:rPr>
                <w:szCs w:val="20"/>
              </w:rPr>
            </w:pPr>
            <w:r w:rsidRPr="00CD3A8C">
              <w:rPr>
                <w:rFonts w:cs="Arial"/>
                <w:bCs w:val="0"/>
              </w:rPr>
              <w:t>Financia</w:t>
            </w:r>
            <w:r w:rsidR="00C30A40">
              <w:rPr>
                <w:rFonts w:cs="Arial"/>
                <w:bCs w:val="0"/>
              </w:rPr>
              <w:t>l and Capital Market Commission</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C30A40"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F5520C" w:rsidRDefault="00C30A40" w:rsidP="00565FDC">
            <w:pPr>
              <w:pStyle w:val="Tabledata"/>
              <w:jc w:val="left"/>
              <w:rPr>
                <w:rFonts w:ascii="Calibri" w:hAnsi="Calibri"/>
                <w:color w:val="auto"/>
                <w:szCs w:val="20"/>
              </w:rPr>
            </w:pPr>
            <w:r w:rsidRPr="00F5520C">
              <w:rPr>
                <w:rFonts w:ascii="Calibri" w:hAnsi="Calibri"/>
                <w:color w:val="auto"/>
                <w:szCs w:val="20"/>
              </w:rPr>
              <w:t>By 31.12.2017.</w:t>
            </w:r>
          </w:p>
        </w:tc>
      </w:tr>
      <w:tr w:rsidR="002B0B93" w:rsidRPr="00A2678D" w:rsidTr="00654876">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t>LT</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Lithuania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A4117C" w:rsidP="006B3595">
            <w:pPr>
              <w:pStyle w:val="Tabledata"/>
              <w:jc w:val="left"/>
              <w:rPr>
                <w:szCs w:val="20"/>
              </w:rPr>
            </w:pPr>
            <w:r>
              <w:rPr>
                <w:rFonts w:cs="Arial"/>
                <w:bCs w:val="0"/>
              </w:rPr>
              <w:t>Bank of Lithuania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654876"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65FDC" w:rsidRPr="00565FDC" w:rsidRDefault="00654876" w:rsidP="004132B6">
            <w:pPr>
              <w:rPr>
                <w:rFonts w:ascii="Calibri" w:eastAsia="Arial" w:hAnsi="Calibri" w:cs="Arial"/>
                <w:sz w:val="20"/>
                <w:szCs w:val="20"/>
              </w:rPr>
            </w:pPr>
            <w:r>
              <w:rPr>
                <w:rFonts w:ascii="Calibri" w:eastAsia="Arial" w:hAnsi="Calibri" w:cs="Arial"/>
                <w:sz w:val="20"/>
                <w:szCs w:val="20"/>
              </w:rPr>
              <w:t xml:space="preserve">By 31.12.2017. </w:t>
            </w:r>
          </w:p>
        </w:tc>
      </w:tr>
      <w:tr w:rsidR="002B0B93" w:rsidRPr="00A2678D" w:rsidTr="001D0BE0">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t>LU</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Luxembourg</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516A25" w:rsidP="001D0BE0">
            <w:pPr>
              <w:pStyle w:val="Tabledata"/>
              <w:jc w:val="left"/>
              <w:rPr>
                <w:szCs w:val="20"/>
              </w:rPr>
            </w:pPr>
            <w:r w:rsidRPr="00CD3A8C">
              <w:rPr>
                <w:rFonts w:cs="Arial"/>
                <w:bCs w:val="0"/>
              </w:rPr>
              <w:t>Commission de Surveillance du Secteur Financier (</w:t>
            </w:r>
            <w:r w:rsidR="001D0BE0">
              <w:rPr>
                <w:rFonts w:cs="Arial"/>
                <w:bCs w:val="0"/>
              </w:rPr>
              <w:t>CSSF</w:t>
            </w:r>
            <w:r w:rsidRPr="00CD3A8C">
              <w:rPr>
                <w:rFonts w:cs="Arial"/>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1D0BE0"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1D0BE0" w:rsidP="001E70DD">
            <w:pPr>
              <w:pStyle w:val="Tabledata"/>
              <w:jc w:val="left"/>
            </w:pPr>
            <w:r>
              <w:t>By 31.12.2017.</w:t>
            </w:r>
          </w:p>
        </w:tc>
      </w:tr>
      <w:tr w:rsidR="002B0B93" w:rsidRPr="00A2678D" w:rsidTr="00E366AD">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t>HU</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Hungary</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BB47D4" w:rsidP="00BB47D4">
            <w:pPr>
              <w:pStyle w:val="Tabledata"/>
              <w:jc w:val="left"/>
              <w:rPr>
                <w:szCs w:val="20"/>
              </w:rPr>
            </w:pPr>
            <w:r>
              <w:rPr>
                <w:rFonts w:cs="Arial"/>
                <w:bCs w:val="0"/>
              </w:rPr>
              <w:t xml:space="preserve">Central </w:t>
            </w:r>
            <w:r w:rsidR="00516A25" w:rsidRPr="00CD3A8C">
              <w:rPr>
                <w:rFonts w:cs="Arial"/>
                <w:bCs w:val="0"/>
              </w:rPr>
              <w:t xml:space="preserve">Bank of </w:t>
            </w:r>
            <w:r w:rsidR="00E366AD">
              <w:rPr>
                <w:rFonts w:cs="Arial"/>
                <w:bCs w:val="0"/>
              </w:rPr>
              <w:t>Hungary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E366AD"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E366AD" w:rsidP="00A21AB8">
            <w:pPr>
              <w:pStyle w:val="Tabledata"/>
              <w:jc w:val="left"/>
            </w:pPr>
            <w:r>
              <w:t>By 31.12.2017.</w:t>
            </w:r>
          </w:p>
        </w:tc>
      </w:tr>
      <w:tr w:rsidR="002B0B93" w:rsidRPr="00A2678D" w:rsidTr="009969A9">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lastRenderedPageBreak/>
              <w:t>MT</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Malta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516A25" w:rsidP="006B3595">
            <w:pPr>
              <w:pStyle w:val="Tabledata"/>
              <w:jc w:val="left"/>
              <w:rPr>
                <w:szCs w:val="20"/>
              </w:rPr>
            </w:pPr>
            <w:r w:rsidRPr="00CD3A8C">
              <w:rPr>
                <w:rFonts w:cs="Arial"/>
                <w:bCs w:val="0"/>
              </w:rPr>
              <w:t>Malta Financial Services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9969A9"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46E1" w:rsidRPr="00180E1B" w:rsidRDefault="009969A9" w:rsidP="00C5472C">
            <w:pPr>
              <w:pStyle w:val="Tabledata"/>
              <w:jc w:val="left"/>
            </w:pPr>
            <w:r>
              <w:t>By such time as the necessary legislative or regulatory proceedings have been completed.</w:t>
            </w:r>
          </w:p>
        </w:tc>
      </w:tr>
      <w:tr w:rsidR="002B0B93" w:rsidRPr="00A2678D" w:rsidTr="00543E6D">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NL</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Netherlands</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543E6D" w:rsidP="00543E6D">
            <w:pPr>
              <w:pStyle w:val="Tabledata"/>
              <w:jc w:val="left"/>
              <w:rPr>
                <w:szCs w:val="20"/>
              </w:rPr>
            </w:pPr>
            <w:r>
              <w:rPr>
                <w:rFonts w:cs="Arial"/>
              </w:rPr>
              <w:t>De Nederlandsche Bank</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0B93" w:rsidRPr="00180E1B" w:rsidRDefault="00543E6D"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543E6D" w:rsidP="004C11FD">
            <w:pPr>
              <w:pStyle w:val="Tabledata"/>
              <w:jc w:val="left"/>
            </w:pPr>
            <w:r>
              <w:t>As at 09.10.2017, notification date.</w:t>
            </w:r>
          </w:p>
        </w:tc>
      </w:tr>
      <w:tr w:rsidR="002B0B93" w:rsidRPr="00A2678D" w:rsidTr="00F71C93">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AT</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Austria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F71C93" w:rsidP="006B3595">
            <w:pPr>
              <w:pStyle w:val="Tabledata"/>
              <w:jc w:val="left"/>
              <w:rPr>
                <w:szCs w:val="20"/>
              </w:rPr>
            </w:pPr>
            <w:r>
              <w:rPr>
                <w:rFonts w:cs="Arial"/>
                <w:bCs w:val="0"/>
              </w:rPr>
              <w:t>Austrian Financial Market Authority</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0B93" w:rsidRPr="00180E1B" w:rsidRDefault="00F71C93"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Default="00F71C93" w:rsidP="006B3595">
            <w:pPr>
              <w:pStyle w:val="Tabledata"/>
              <w:jc w:val="left"/>
            </w:pPr>
            <w:r>
              <w:t>As at 03.10.2017, notification date.</w:t>
            </w:r>
          </w:p>
          <w:p w:rsidR="00BE4067" w:rsidRPr="00180E1B" w:rsidRDefault="00BE4067" w:rsidP="006B3595">
            <w:pPr>
              <w:pStyle w:val="Tabledata"/>
              <w:jc w:val="left"/>
            </w:pPr>
            <w:r>
              <w:t>We would like to point out that for the time being we did not require institutions that are neither G-SIIs nor O-SIIs to apply the Guidelines on Disclosure Requirements Under Part 8 of the CRR.  However, we recommend to make use of the guidelines when fulfilling the disclosure requirements of Part 8 CRR.  In our Pillar 3 assessments, we take all EBA disclosure guidelines as our benchmark.</w:t>
            </w:r>
          </w:p>
        </w:tc>
      </w:tr>
      <w:tr w:rsidR="00FF7E25" w:rsidRPr="00A2678D" w:rsidTr="00673855">
        <w:trPr>
          <w:trHeight w:val="324"/>
        </w:trPr>
        <w:tc>
          <w:tcPr>
            <w:tcW w:w="959" w:type="dxa"/>
            <w:gridSpan w:val="2"/>
            <w:tcBorders>
              <w:top w:val="single" w:sz="4" w:space="0" w:color="auto"/>
              <w:left w:val="single" w:sz="4" w:space="0" w:color="auto"/>
              <w:right w:val="single" w:sz="4" w:space="0" w:color="auto"/>
            </w:tcBorders>
          </w:tcPr>
          <w:p w:rsidR="00FF7E25" w:rsidRPr="00DD00A2" w:rsidRDefault="00FF7E25" w:rsidP="003A6C1E">
            <w:pPr>
              <w:pStyle w:val="Tabledata"/>
              <w:jc w:val="center"/>
              <w:rPr>
                <w:szCs w:val="20"/>
              </w:rPr>
            </w:pPr>
            <w:r w:rsidRPr="00CD3A8C">
              <w:t>PL</w:t>
            </w:r>
          </w:p>
        </w:tc>
        <w:tc>
          <w:tcPr>
            <w:tcW w:w="1276" w:type="dxa"/>
            <w:tcBorders>
              <w:top w:val="single" w:sz="4" w:space="0" w:color="auto"/>
              <w:left w:val="single" w:sz="4" w:space="0" w:color="auto"/>
              <w:right w:val="single" w:sz="4" w:space="0" w:color="auto"/>
            </w:tcBorders>
          </w:tcPr>
          <w:p w:rsidR="00FF7E25" w:rsidRPr="00DD00A2" w:rsidRDefault="00FF7E25" w:rsidP="003A6C1E">
            <w:pPr>
              <w:pStyle w:val="Tabledata"/>
              <w:jc w:val="center"/>
              <w:rPr>
                <w:szCs w:val="20"/>
              </w:rPr>
            </w:pPr>
            <w:r w:rsidRPr="00CD3A8C">
              <w:t>Poland</w:t>
            </w:r>
          </w:p>
        </w:tc>
        <w:tc>
          <w:tcPr>
            <w:tcW w:w="2126" w:type="dxa"/>
            <w:tcBorders>
              <w:top w:val="single" w:sz="4" w:space="0" w:color="auto"/>
              <w:left w:val="single" w:sz="4" w:space="0" w:color="auto"/>
              <w:bottom w:val="single" w:sz="4" w:space="0" w:color="auto"/>
              <w:right w:val="single" w:sz="4" w:space="0" w:color="auto"/>
            </w:tcBorders>
          </w:tcPr>
          <w:p w:rsidR="00FF7E25" w:rsidRPr="00DD00A2" w:rsidRDefault="00FF7E25" w:rsidP="00673855">
            <w:pPr>
              <w:pStyle w:val="Tabledata"/>
              <w:jc w:val="left"/>
              <w:rPr>
                <w:szCs w:val="20"/>
              </w:rPr>
            </w:pPr>
            <w:r w:rsidRPr="00CD3A8C">
              <w:rPr>
                <w:rFonts w:cs="Arial"/>
                <w:bCs w:val="0"/>
              </w:rPr>
              <w:t>Komisja Nadzoru Finansowego</w:t>
            </w:r>
          </w:p>
        </w:tc>
        <w:tc>
          <w:tcPr>
            <w:tcW w:w="1417" w:type="dxa"/>
            <w:tcBorders>
              <w:top w:val="single" w:sz="4" w:space="0" w:color="auto"/>
              <w:left w:val="single" w:sz="4" w:space="0" w:color="auto"/>
              <w:right w:val="single" w:sz="4" w:space="0" w:color="auto"/>
            </w:tcBorders>
            <w:shd w:val="clear" w:color="auto" w:fill="00B050"/>
          </w:tcPr>
          <w:p w:rsidR="00FF7E25" w:rsidRPr="00180E1B" w:rsidRDefault="00673855" w:rsidP="006B3595">
            <w:pPr>
              <w:pStyle w:val="Tabledata"/>
              <w:ind w:left="284"/>
              <w:jc w:val="left"/>
              <w:rPr>
                <w:b/>
                <w:szCs w:val="20"/>
              </w:rPr>
            </w:pPr>
            <w:r>
              <w:rPr>
                <w:b/>
                <w:szCs w:val="20"/>
              </w:rPr>
              <w:t>Yes</w:t>
            </w:r>
          </w:p>
        </w:tc>
        <w:tc>
          <w:tcPr>
            <w:tcW w:w="3119" w:type="dxa"/>
            <w:tcBorders>
              <w:top w:val="single" w:sz="4" w:space="0" w:color="auto"/>
              <w:left w:val="single" w:sz="4" w:space="0" w:color="auto"/>
              <w:right w:val="single" w:sz="4" w:space="0" w:color="auto"/>
            </w:tcBorders>
            <w:shd w:val="clear" w:color="auto" w:fill="auto"/>
          </w:tcPr>
          <w:p w:rsidR="00FF7E25" w:rsidRPr="00180E1B" w:rsidRDefault="00673855" w:rsidP="006F3DAC">
            <w:pPr>
              <w:pStyle w:val="Tabledata"/>
              <w:jc w:val="left"/>
            </w:pPr>
            <w:r>
              <w:t>As at 10.10.2017, notification date.</w:t>
            </w:r>
          </w:p>
        </w:tc>
      </w:tr>
      <w:tr w:rsidR="002B0B93" w:rsidRPr="00A2678D" w:rsidTr="00CA4470">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PT</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Portugal</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516A25" w:rsidP="00CA4470">
            <w:pPr>
              <w:pStyle w:val="Tabledata"/>
              <w:jc w:val="left"/>
              <w:rPr>
                <w:szCs w:val="20"/>
              </w:rPr>
            </w:pPr>
            <w:r w:rsidRPr="00C82C29">
              <w:rPr>
                <w:rFonts w:cs="Arial"/>
                <w:bCs w:val="0"/>
                <w:lang w:val="pt-PT"/>
              </w:rPr>
              <w:t xml:space="preserve">Banco de Portugal </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CA4470" w:rsidP="0081135D">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CA4470" w:rsidP="006B3595">
            <w:pPr>
              <w:pStyle w:val="Tabledata"/>
              <w:jc w:val="left"/>
            </w:pPr>
            <w:r>
              <w:t>By 31.12.2017.</w:t>
            </w:r>
          </w:p>
        </w:tc>
      </w:tr>
      <w:tr w:rsidR="002B0B93" w:rsidRPr="00A2678D" w:rsidTr="003E69BA">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RO</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Romania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3E69BA" w:rsidP="006B3595">
            <w:pPr>
              <w:pStyle w:val="Tabledata"/>
              <w:jc w:val="left"/>
              <w:rPr>
                <w:szCs w:val="20"/>
              </w:rPr>
            </w:pPr>
            <w:r>
              <w:rPr>
                <w:rFonts w:cs="Arial"/>
                <w:szCs w:val="20"/>
              </w:rPr>
              <w:t>National Bank of Romania</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0B93" w:rsidRPr="00180E1B" w:rsidRDefault="003E69BA"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3E69BA" w:rsidP="0044034F">
            <w:pPr>
              <w:suppressAutoHyphens/>
            </w:pPr>
            <w:r w:rsidRPr="004132B6">
              <w:rPr>
                <w:rFonts w:eastAsia="Times New Roman" w:cstheme="minorHAnsi"/>
                <w:bCs/>
                <w:color w:val="000000"/>
                <w:sz w:val="20"/>
                <w:szCs w:val="22"/>
                <w:lang w:val="en-GB" w:eastAsia="en-GB"/>
              </w:rPr>
              <w:t>As at 04.10.2017, notification date.</w:t>
            </w:r>
          </w:p>
        </w:tc>
      </w:tr>
      <w:tr w:rsidR="002B0B93" w:rsidRPr="00A2678D" w:rsidTr="00F82066">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SI</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Slovenia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372687" w:rsidP="006B3595">
            <w:pPr>
              <w:pStyle w:val="Tabledata"/>
              <w:jc w:val="left"/>
              <w:rPr>
                <w:szCs w:val="20"/>
              </w:rPr>
            </w:pPr>
            <w:r>
              <w:t>Bank of Slovenia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F82066"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F82066" w:rsidP="00372687">
            <w:pPr>
              <w:pStyle w:val="Tabledata"/>
              <w:jc w:val="left"/>
            </w:pPr>
            <w:r>
              <w:t>By 31.12.2017.</w:t>
            </w:r>
          </w:p>
        </w:tc>
      </w:tr>
      <w:tr w:rsidR="002B0B93" w:rsidRPr="00A2678D" w:rsidTr="007F473C">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SK</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Slovakia</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516A25" w:rsidP="007F473C">
            <w:pPr>
              <w:pStyle w:val="Tabledata"/>
              <w:jc w:val="left"/>
              <w:rPr>
                <w:szCs w:val="20"/>
              </w:rPr>
            </w:pPr>
            <w:r w:rsidRPr="00CD3A8C">
              <w:t xml:space="preserve">Národná Banka Slovenska </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rsidR="002B0B93" w:rsidRPr="00180E1B" w:rsidRDefault="007F473C" w:rsidP="006B3595">
            <w:pPr>
              <w:pStyle w:val="Tabledata"/>
              <w:ind w:left="284"/>
              <w:jc w:val="left"/>
              <w:rPr>
                <w:b/>
                <w:szCs w:val="20"/>
              </w:rPr>
            </w:pPr>
            <w:r>
              <w:rPr>
                <w:b/>
                <w:szCs w:val="20"/>
              </w:rPr>
              <w:t>No</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473C" w:rsidRPr="00F05852" w:rsidRDefault="007F473C" w:rsidP="00F05852">
            <w:pPr>
              <w:pStyle w:val="Tabledata"/>
              <w:jc w:val="left"/>
              <w:rPr>
                <w:rFonts w:ascii="Calibri" w:hAnsi="Calibri"/>
                <w:szCs w:val="20"/>
              </w:rPr>
            </w:pPr>
            <w:r w:rsidRPr="007F473C">
              <w:rPr>
                <w:rFonts w:ascii="Calibri" w:hAnsi="Calibri"/>
                <w:szCs w:val="20"/>
              </w:rPr>
              <w:t>Does not comply and does not intend to comply with all or parts of the Guidelines.</w:t>
            </w:r>
            <w:r w:rsidR="00F05852">
              <w:rPr>
                <w:rFonts w:ascii="Calibri" w:hAnsi="Calibri"/>
                <w:szCs w:val="20"/>
              </w:rPr>
              <w:t xml:space="preserve"> </w:t>
            </w:r>
            <w:r w:rsidRPr="007F473C">
              <w:rPr>
                <w:rFonts w:ascii="Calibri" w:hAnsi="Calibri"/>
                <w:szCs w:val="20"/>
              </w:rPr>
              <w:t>GLs specify the disclosure requirements already contained in the eighth part of the CRR, while not changing or even replacing the specifications for the disclosure requirements already established by the implementing or delegated regulation for specific articles in the eighth part of that Regulation.</w:t>
            </w:r>
            <w:r w:rsidR="00F05852">
              <w:rPr>
                <w:rFonts w:ascii="Calibri" w:hAnsi="Calibri"/>
                <w:szCs w:val="20"/>
              </w:rPr>
              <w:t xml:space="preserve"> </w:t>
            </w:r>
            <w:r w:rsidRPr="007F473C">
              <w:rPr>
                <w:rFonts w:ascii="Calibri" w:hAnsi="Calibri"/>
                <w:szCs w:val="20"/>
              </w:rPr>
              <w:t xml:space="preserve">Compliance with the disclosure requirements is to be achieved through the qualitative information tables provided in GLs and through the templates for quantitative information also </w:t>
            </w:r>
            <w:r w:rsidRPr="007F473C">
              <w:rPr>
                <w:rFonts w:ascii="Calibri" w:hAnsi="Calibri"/>
                <w:szCs w:val="20"/>
              </w:rPr>
              <w:lastRenderedPageBreak/>
              <w:t>provided there, the templates being flexible or fixed format. In case of notifyin</w:t>
            </w:r>
            <w:r w:rsidR="00F05852">
              <w:rPr>
                <w:rFonts w:ascii="Calibri" w:hAnsi="Calibri"/>
                <w:szCs w:val="20"/>
              </w:rPr>
              <w:t xml:space="preserve">g intention to comply (fully or </w:t>
            </w:r>
            <w:r w:rsidRPr="007F473C">
              <w:rPr>
                <w:rFonts w:ascii="Calibri" w:hAnsi="Calibri"/>
                <w:szCs w:val="20"/>
              </w:rPr>
              <w:t>partly), these tables and templates need to be unified and incorporated into sub-legislation. We consider this as limiting regarding the banks, which have already set their systems for disclosure.</w:t>
            </w:r>
            <w:r w:rsidR="00F05852">
              <w:rPr>
                <w:rFonts w:ascii="Calibri" w:hAnsi="Calibri"/>
                <w:szCs w:val="20"/>
              </w:rPr>
              <w:t xml:space="preserve"> </w:t>
            </w:r>
            <w:r w:rsidRPr="007F473C">
              <w:rPr>
                <w:szCs w:val="20"/>
              </w:rPr>
              <w:t>Banks have the obligation to disclose the information provided in the eighth part of the CRR on a long-term basis and to the extent required, using their own technical means to create structured disclosures in accordance with the CRR requirements. We consider this procedure to be sufficient and there is no need to lay down a specific unified structure for the disclosure through the tables and the templates set out in the GLs for all market participants into sub-legislation.</w:t>
            </w:r>
          </w:p>
        </w:tc>
      </w:tr>
      <w:tr w:rsidR="00DD0927" w:rsidRPr="00A2678D" w:rsidTr="002400C7">
        <w:trPr>
          <w:trHeight w:val="390"/>
        </w:trPr>
        <w:tc>
          <w:tcPr>
            <w:tcW w:w="959" w:type="dxa"/>
            <w:gridSpan w:val="2"/>
            <w:tcBorders>
              <w:top w:val="single" w:sz="4" w:space="0" w:color="auto"/>
              <w:left w:val="single" w:sz="4" w:space="0" w:color="auto"/>
              <w:right w:val="single" w:sz="4" w:space="0" w:color="auto"/>
            </w:tcBorders>
          </w:tcPr>
          <w:p w:rsidR="00DD0927" w:rsidRPr="00DD00A2" w:rsidRDefault="00DD0927" w:rsidP="003A6C1E">
            <w:pPr>
              <w:pStyle w:val="Tabledata"/>
              <w:jc w:val="center"/>
              <w:rPr>
                <w:szCs w:val="20"/>
              </w:rPr>
            </w:pPr>
            <w:r w:rsidRPr="00CD3A8C">
              <w:lastRenderedPageBreak/>
              <w:t>FI</w:t>
            </w:r>
          </w:p>
        </w:tc>
        <w:tc>
          <w:tcPr>
            <w:tcW w:w="1276" w:type="dxa"/>
            <w:tcBorders>
              <w:top w:val="single" w:sz="4" w:space="0" w:color="auto"/>
              <w:left w:val="single" w:sz="4" w:space="0" w:color="auto"/>
              <w:right w:val="single" w:sz="4" w:space="0" w:color="auto"/>
            </w:tcBorders>
          </w:tcPr>
          <w:p w:rsidR="00DD0927" w:rsidRPr="00DD00A2" w:rsidRDefault="00DD0927" w:rsidP="003A6C1E">
            <w:pPr>
              <w:pStyle w:val="Tabledata"/>
              <w:jc w:val="center"/>
              <w:rPr>
                <w:szCs w:val="20"/>
              </w:rPr>
            </w:pPr>
            <w:r w:rsidRPr="00CD3A8C">
              <w:t>Finland</w:t>
            </w:r>
          </w:p>
        </w:tc>
        <w:tc>
          <w:tcPr>
            <w:tcW w:w="2126" w:type="dxa"/>
            <w:tcBorders>
              <w:top w:val="single" w:sz="4" w:space="0" w:color="auto"/>
              <w:left w:val="single" w:sz="4" w:space="0" w:color="auto"/>
              <w:bottom w:val="single" w:sz="4" w:space="0" w:color="auto"/>
              <w:right w:val="single" w:sz="4" w:space="0" w:color="auto"/>
            </w:tcBorders>
          </w:tcPr>
          <w:p w:rsidR="00DD0927" w:rsidRPr="002400C7" w:rsidRDefault="00DD0927" w:rsidP="002400C7">
            <w:pPr>
              <w:pStyle w:val="BodyText"/>
              <w:spacing w:before="74" w:line="281" w:lineRule="auto"/>
              <w:ind w:left="0" w:right="105"/>
              <w:rPr>
                <w:rFonts w:ascii="Calibri" w:hAnsi="Calibri"/>
              </w:rPr>
            </w:pPr>
            <w:r w:rsidRPr="002400C7">
              <w:rPr>
                <w:rFonts w:ascii="Calibri" w:hAnsi="Calibri"/>
              </w:rPr>
              <w:t xml:space="preserve">Finanssivalvonta </w:t>
            </w:r>
            <w:r w:rsidR="002400C7" w:rsidRPr="002400C7">
              <w:rPr>
                <w:rFonts w:ascii="Calibri" w:hAnsi="Calibri"/>
                <w:color w:val="0F0F0F"/>
                <w:spacing w:val="-2"/>
              </w:rPr>
              <w:t>Finanssi</w:t>
            </w:r>
            <w:r w:rsidR="002400C7" w:rsidRPr="002400C7">
              <w:rPr>
                <w:rFonts w:ascii="Calibri" w:hAnsi="Calibri"/>
                <w:color w:val="0F0F0F"/>
                <w:spacing w:val="-1"/>
              </w:rPr>
              <w:t>valvonta</w:t>
            </w:r>
            <w:r w:rsidR="002400C7" w:rsidRPr="002400C7">
              <w:rPr>
                <w:rFonts w:ascii="Calibri" w:hAnsi="Calibri"/>
                <w:color w:val="0F0F0F"/>
                <w:spacing w:val="-24"/>
              </w:rPr>
              <w:t xml:space="preserve"> </w:t>
            </w:r>
            <w:r w:rsidR="002400C7" w:rsidRPr="002400C7">
              <w:rPr>
                <w:rFonts w:ascii="Calibri" w:hAnsi="Calibri"/>
                <w:color w:val="0F0F0F"/>
                <w:spacing w:val="1"/>
              </w:rPr>
              <w:t>(FIN</w:t>
            </w:r>
            <w:r w:rsidR="002400C7" w:rsidRPr="002400C7">
              <w:rPr>
                <w:rFonts w:ascii="Calibri" w:hAnsi="Calibri"/>
                <w:color w:val="2A2A2A"/>
              </w:rPr>
              <w:t>-</w:t>
            </w:r>
            <w:r w:rsidR="002400C7" w:rsidRPr="002400C7">
              <w:rPr>
                <w:rFonts w:ascii="Calibri" w:hAnsi="Calibri"/>
                <w:color w:val="0F0F0F"/>
                <w:spacing w:val="1"/>
              </w:rPr>
              <w:t>FSA)</w:t>
            </w:r>
            <w:r w:rsidR="002400C7" w:rsidRPr="002400C7">
              <w:rPr>
                <w:rFonts w:ascii="Calibri" w:hAnsi="Calibri"/>
                <w:color w:val="0F0F0F"/>
                <w:spacing w:val="-29"/>
              </w:rPr>
              <w:t xml:space="preserve"> </w:t>
            </w:r>
            <w:r w:rsidR="002400C7" w:rsidRPr="002400C7">
              <w:rPr>
                <w:rFonts w:ascii="Calibri" w:hAnsi="Calibri"/>
                <w:color w:val="0F0F0F"/>
              </w:rPr>
              <w:t>(for</w:t>
            </w:r>
            <w:r w:rsidR="002400C7" w:rsidRPr="002400C7">
              <w:rPr>
                <w:rFonts w:ascii="Calibri" w:hAnsi="Calibri"/>
                <w:color w:val="0F0F0F"/>
                <w:spacing w:val="-35"/>
              </w:rPr>
              <w:t xml:space="preserve"> </w:t>
            </w:r>
            <w:r w:rsidR="002400C7" w:rsidRPr="002400C7">
              <w:rPr>
                <w:rFonts w:ascii="Calibri" w:hAnsi="Calibri"/>
                <w:color w:val="0F0F0F"/>
              </w:rPr>
              <w:t>Less</w:t>
            </w:r>
            <w:r w:rsidR="002400C7" w:rsidRPr="002400C7">
              <w:rPr>
                <w:rFonts w:ascii="Calibri" w:hAnsi="Calibri"/>
                <w:color w:val="0F0F0F"/>
                <w:spacing w:val="-35"/>
              </w:rPr>
              <w:t xml:space="preserve"> </w:t>
            </w:r>
            <w:r w:rsidR="002400C7" w:rsidRPr="002400C7">
              <w:rPr>
                <w:rFonts w:ascii="Calibri" w:hAnsi="Calibri"/>
                <w:color w:val="0F0F0F"/>
                <w:spacing w:val="-2"/>
              </w:rPr>
              <w:t>Si</w:t>
            </w:r>
            <w:r w:rsidR="002400C7" w:rsidRPr="002400C7">
              <w:rPr>
                <w:rFonts w:ascii="Calibri" w:hAnsi="Calibri"/>
                <w:color w:val="0F0F0F"/>
                <w:spacing w:val="-1"/>
              </w:rPr>
              <w:t>gnificant</w:t>
            </w:r>
            <w:r w:rsidR="002400C7" w:rsidRPr="002400C7">
              <w:rPr>
                <w:rFonts w:ascii="Calibri" w:hAnsi="Calibri"/>
                <w:color w:val="0F0F0F"/>
                <w:spacing w:val="-24"/>
              </w:rPr>
              <w:t xml:space="preserve"> </w:t>
            </w:r>
            <w:r w:rsidR="002400C7" w:rsidRPr="002400C7">
              <w:rPr>
                <w:rFonts w:ascii="Calibri" w:hAnsi="Calibri"/>
                <w:color w:val="0F0F0F"/>
              </w:rPr>
              <w:t>Institutions</w:t>
            </w:r>
            <w:r w:rsidR="002400C7" w:rsidRPr="002400C7">
              <w:rPr>
                <w:rFonts w:ascii="Calibri" w:hAnsi="Calibri"/>
                <w:color w:val="0F0F0F"/>
                <w:spacing w:val="-33"/>
              </w:rPr>
              <w:t xml:space="preserve"> </w:t>
            </w:r>
            <w:r w:rsidR="002400C7" w:rsidRPr="002400C7">
              <w:rPr>
                <w:rFonts w:ascii="Calibri" w:hAnsi="Calibri"/>
                <w:color w:val="0F0F0F"/>
              </w:rPr>
              <w:t>as</w:t>
            </w:r>
            <w:r w:rsidR="002400C7" w:rsidRPr="002400C7">
              <w:rPr>
                <w:rFonts w:ascii="Calibri" w:hAnsi="Calibri"/>
                <w:color w:val="0F0F0F"/>
                <w:spacing w:val="44"/>
                <w:w w:val="86"/>
              </w:rPr>
              <w:t xml:space="preserve"> </w:t>
            </w:r>
            <w:r w:rsidR="002400C7" w:rsidRPr="002400C7">
              <w:rPr>
                <w:rFonts w:ascii="Calibri" w:hAnsi="Calibri"/>
                <w:color w:val="0F0F0F"/>
              </w:rPr>
              <w:t>defined</w:t>
            </w:r>
            <w:r w:rsidR="002400C7" w:rsidRPr="002400C7">
              <w:rPr>
                <w:rFonts w:ascii="Calibri" w:hAnsi="Calibri"/>
                <w:color w:val="0F0F0F"/>
                <w:spacing w:val="8"/>
              </w:rPr>
              <w:t xml:space="preserve"> </w:t>
            </w:r>
            <w:r w:rsidR="002400C7" w:rsidRPr="002400C7">
              <w:rPr>
                <w:rFonts w:ascii="Calibri" w:hAnsi="Calibri"/>
                <w:color w:val="0F0F0F"/>
                <w:spacing w:val="-17"/>
              </w:rPr>
              <w:t>i</w:t>
            </w:r>
            <w:r w:rsidR="002400C7" w:rsidRPr="002400C7">
              <w:rPr>
                <w:rFonts w:ascii="Calibri" w:hAnsi="Calibri"/>
                <w:color w:val="0F0F0F"/>
              </w:rPr>
              <w:t>n</w:t>
            </w:r>
            <w:r w:rsidR="002400C7" w:rsidRPr="002400C7">
              <w:rPr>
                <w:rFonts w:ascii="Calibri" w:hAnsi="Calibri"/>
                <w:color w:val="0F0F0F"/>
                <w:spacing w:val="-15"/>
              </w:rPr>
              <w:t xml:space="preserve"> </w:t>
            </w:r>
            <w:r w:rsidR="002400C7" w:rsidRPr="002400C7">
              <w:rPr>
                <w:rFonts w:ascii="Calibri" w:hAnsi="Calibri"/>
                <w:color w:val="0F0F0F"/>
              </w:rPr>
              <w:t>Council</w:t>
            </w:r>
            <w:r w:rsidR="002400C7" w:rsidRPr="002400C7">
              <w:rPr>
                <w:rFonts w:ascii="Calibri" w:hAnsi="Calibri"/>
                <w:color w:val="0F0F0F"/>
                <w:spacing w:val="6"/>
              </w:rPr>
              <w:t xml:space="preserve"> </w:t>
            </w:r>
            <w:r w:rsidR="002400C7" w:rsidRPr="002400C7">
              <w:rPr>
                <w:rFonts w:ascii="Calibri" w:hAnsi="Calibri"/>
                <w:color w:val="0F0F0F"/>
              </w:rPr>
              <w:t>Regu</w:t>
            </w:r>
            <w:r w:rsidR="002400C7" w:rsidRPr="002400C7">
              <w:rPr>
                <w:rFonts w:ascii="Calibri" w:hAnsi="Calibri"/>
                <w:color w:val="0F0F0F"/>
                <w:spacing w:val="-4"/>
              </w:rPr>
              <w:t>l</w:t>
            </w:r>
            <w:r w:rsidR="002400C7" w:rsidRPr="002400C7">
              <w:rPr>
                <w:rFonts w:ascii="Calibri" w:hAnsi="Calibri"/>
                <w:color w:val="0F0F0F"/>
              </w:rPr>
              <w:t>at</w:t>
            </w:r>
            <w:r w:rsidR="002400C7" w:rsidRPr="002400C7">
              <w:rPr>
                <w:rFonts w:ascii="Calibri" w:hAnsi="Calibri"/>
                <w:color w:val="0F0F0F"/>
                <w:spacing w:val="-5"/>
              </w:rPr>
              <w:t>i</w:t>
            </w:r>
            <w:r w:rsidR="002400C7" w:rsidRPr="002400C7">
              <w:rPr>
                <w:rFonts w:ascii="Calibri" w:hAnsi="Calibri"/>
                <w:color w:val="0F0F0F"/>
              </w:rPr>
              <w:t>on (EU)</w:t>
            </w:r>
            <w:r w:rsidR="002400C7" w:rsidRPr="002400C7">
              <w:rPr>
                <w:rFonts w:ascii="Calibri" w:hAnsi="Calibri"/>
                <w:color w:val="0F0F0F"/>
                <w:spacing w:val="12"/>
              </w:rPr>
              <w:t xml:space="preserve"> </w:t>
            </w:r>
            <w:r w:rsidR="002400C7" w:rsidRPr="002400C7">
              <w:rPr>
                <w:rFonts w:ascii="Calibri" w:hAnsi="Calibri"/>
                <w:color w:val="0F0F0F"/>
              </w:rPr>
              <w:t>No</w:t>
            </w:r>
            <w:r w:rsidR="002400C7" w:rsidRPr="002400C7">
              <w:rPr>
                <w:rFonts w:ascii="Calibri" w:hAnsi="Calibri"/>
                <w:color w:val="0F0F0F"/>
                <w:spacing w:val="4"/>
              </w:rPr>
              <w:t xml:space="preserve"> </w:t>
            </w:r>
            <w:r w:rsidR="002400C7" w:rsidRPr="002400C7">
              <w:rPr>
                <w:rFonts w:ascii="Calibri" w:hAnsi="Calibri"/>
                <w:color w:val="0F0F0F"/>
              </w:rPr>
              <w:t>1024/2013</w:t>
            </w:r>
            <w:r w:rsidR="002400C7" w:rsidRPr="002400C7">
              <w:rPr>
                <w:rFonts w:ascii="Calibri" w:hAnsi="Calibri"/>
                <w:color w:val="0F0F0F"/>
                <w:spacing w:val="6"/>
              </w:rPr>
              <w:t xml:space="preserve"> </w:t>
            </w:r>
            <w:r w:rsidR="002400C7" w:rsidRPr="002400C7">
              <w:rPr>
                <w:rFonts w:ascii="Calibri" w:hAnsi="Calibri"/>
                <w:color w:val="0F0F0F"/>
              </w:rPr>
              <w:t>of</w:t>
            </w:r>
            <w:r w:rsidR="002400C7">
              <w:rPr>
                <w:rFonts w:ascii="Calibri" w:hAnsi="Calibri"/>
                <w:color w:val="0F0F0F"/>
              </w:rPr>
              <w:t xml:space="preserve"> 15</w:t>
            </w:r>
            <w:r w:rsidR="002400C7" w:rsidRPr="002400C7">
              <w:rPr>
                <w:rFonts w:ascii="Calibri" w:hAnsi="Calibri"/>
                <w:color w:val="0F0F0F"/>
                <w:spacing w:val="4"/>
              </w:rPr>
              <w:t xml:space="preserve"> </w:t>
            </w:r>
            <w:r w:rsidR="002400C7" w:rsidRPr="002400C7">
              <w:rPr>
                <w:rFonts w:ascii="Calibri" w:hAnsi="Calibri"/>
                <w:color w:val="0F0F0F"/>
              </w:rPr>
              <w:t>October</w:t>
            </w:r>
            <w:r w:rsidR="002400C7" w:rsidRPr="002400C7">
              <w:rPr>
                <w:rFonts w:ascii="Calibri" w:hAnsi="Calibri"/>
                <w:color w:val="0F0F0F"/>
                <w:w w:val="99"/>
              </w:rPr>
              <w:t xml:space="preserve"> </w:t>
            </w:r>
            <w:r w:rsidR="002400C7" w:rsidRPr="002400C7">
              <w:rPr>
                <w:rFonts w:ascii="Calibri" w:hAnsi="Calibri"/>
                <w:color w:val="0F0F0F"/>
              </w:rPr>
              <w:t>2013</w:t>
            </w:r>
            <w:r w:rsidR="002400C7" w:rsidRPr="002400C7">
              <w:rPr>
                <w:rFonts w:ascii="Calibri" w:hAnsi="Calibri"/>
                <w:color w:val="0F0F0F"/>
                <w:spacing w:val="-7"/>
              </w:rPr>
              <w:t xml:space="preserve"> </w:t>
            </w:r>
            <w:r w:rsidR="002400C7" w:rsidRPr="002400C7">
              <w:rPr>
                <w:rFonts w:ascii="Calibri" w:hAnsi="Calibri"/>
                <w:color w:val="0F0F0F"/>
              </w:rPr>
              <w:t>conferring</w:t>
            </w:r>
            <w:r w:rsidR="002400C7" w:rsidRPr="002400C7">
              <w:rPr>
                <w:rFonts w:ascii="Calibri" w:hAnsi="Calibri"/>
                <w:color w:val="0F0F0F"/>
                <w:spacing w:val="-11"/>
              </w:rPr>
              <w:t xml:space="preserve"> </w:t>
            </w:r>
            <w:r w:rsidR="002400C7" w:rsidRPr="002400C7">
              <w:rPr>
                <w:rFonts w:ascii="Calibri" w:hAnsi="Calibri"/>
                <w:color w:val="0F0F0F"/>
              </w:rPr>
              <w:t>specific</w:t>
            </w:r>
            <w:r w:rsidR="002400C7" w:rsidRPr="002400C7">
              <w:rPr>
                <w:rFonts w:ascii="Calibri" w:hAnsi="Calibri"/>
                <w:color w:val="0F0F0F"/>
                <w:spacing w:val="-9"/>
              </w:rPr>
              <w:t xml:space="preserve"> </w:t>
            </w:r>
            <w:r w:rsidR="002400C7" w:rsidRPr="002400C7">
              <w:rPr>
                <w:rFonts w:ascii="Calibri" w:hAnsi="Calibri"/>
                <w:color w:val="0F0F0F"/>
              </w:rPr>
              <w:t>tasks</w:t>
            </w:r>
            <w:r w:rsidR="002400C7" w:rsidRPr="002400C7">
              <w:rPr>
                <w:rFonts w:ascii="Calibri" w:hAnsi="Calibri"/>
                <w:color w:val="0F0F0F"/>
                <w:spacing w:val="-8"/>
              </w:rPr>
              <w:t xml:space="preserve"> </w:t>
            </w:r>
            <w:r w:rsidR="002400C7" w:rsidRPr="002400C7">
              <w:rPr>
                <w:rFonts w:ascii="Calibri" w:hAnsi="Calibri"/>
                <w:color w:val="0F0F0F"/>
              </w:rPr>
              <w:t>on</w:t>
            </w:r>
            <w:r w:rsidR="002400C7" w:rsidRPr="002400C7">
              <w:rPr>
                <w:rFonts w:ascii="Calibri" w:hAnsi="Calibri"/>
                <w:color w:val="0F0F0F"/>
                <w:spacing w:val="-22"/>
              </w:rPr>
              <w:t xml:space="preserve"> </w:t>
            </w:r>
            <w:r w:rsidR="002400C7" w:rsidRPr="002400C7">
              <w:rPr>
                <w:rFonts w:ascii="Calibri" w:hAnsi="Calibri"/>
                <w:color w:val="0F0F0F"/>
              </w:rPr>
              <w:t>the</w:t>
            </w:r>
            <w:r w:rsidR="002400C7" w:rsidRPr="002400C7">
              <w:rPr>
                <w:rFonts w:ascii="Calibri" w:hAnsi="Calibri"/>
                <w:color w:val="0F0F0F"/>
                <w:spacing w:val="-4"/>
              </w:rPr>
              <w:t xml:space="preserve"> </w:t>
            </w:r>
            <w:r w:rsidR="002400C7" w:rsidRPr="002400C7">
              <w:rPr>
                <w:rFonts w:ascii="Calibri" w:hAnsi="Calibri"/>
                <w:color w:val="0F0F0F"/>
              </w:rPr>
              <w:t>European</w:t>
            </w:r>
            <w:r w:rsidR="002400C7" w:rsidRPr="002400C7">
              <w:rPr>
                <w:rFonts w:ascii="Calibri" w:hAnsi="Calibri"/>
                <w:color w:val="0F0F0F"/>
                <w:spacing w:val="-19"/>
              </w:rPr>
              <w:t xml:space="preserve"> </w:t>
            </w:r>
            <w:r w:rsidR="002400C7" w:rsidRPr="002400C7">
              <w:rPr>
                <w:rFonts w:ascii="Calibri" w:hAnsi="Calibri"/>
                <w:color w:val="0F0F0F"/>
              </w:rPr>
              <w:t>Central</w:t>
            </w:r>
            <w:r w:rsidR="002400C7" w:rsidRPr="002400C7">
              <w:rPr>
                <w:rFonts w:ascii="Calibri" w:hAnsi="Calibri"/>
                <w:color w:val="0F0F0F"/>
                <w:spacing w:val="-6"/>
              </w:rPr>
              <w:t xml:space="preserve"> </w:t>
            </w:r>
            <w:r w:rsidR="002400C7" w:rsidRPr="002400C7">
              <w:rPr>
                <w:rFonts w:ascii="Calibri" w:hAnsi="Calibri"/>
                <w:color w:val="0F0F0F"/>
              </w:rPr>
              <w:t>Bank</w:t>
            </w:r>
            <w:r w:rsidR="002400C7" w:rsidRPr="002400C7">
              <w:rPr>
                <w:rFonts w:ascii="Calibri" w:hAnsi="Calibri"/>
                <w:color w:val="0F0F0F"/>
                <w:w w:val="92"/>
              </w:rPr>
              <w:t xml:space="preserve"> </w:t>
            </w:r>
            <w:r w:rsidR="002400C7" w:rsidRPr="002400C7">
              <w:rPr>
                <w:rFonts w:ascii="Calibri" w:hAnsi="Calibri"/>
                <w:color w:val="0F0F0F"/>
              </w:rPr>
              <w:t>concerning</w:t>
            </w:r>
            <w:r w:rsidR="002400C7" w:rsidRPr="002400C7">
              <w:rPr>
                <w:rFonts w:ascii="Calibri" w:hAnsi="Calibri"/>
                <w:color w:val="0F0F0F"/>
                <w:spacing w:val="16"/>
              </w:rPr>
              <w:t xml:space="preserve"> </w:t>
            </w:r>
            <w:r w:rsidR="002400C7" w:rsidRPr="002400C7">
              <w:rPr>
                <w:rFonts w:ascii="Calibri" w:hAnsi="Calibri"/>
                <w:color w:val="0F0F0F"/>
              </w:rPr>
              <w:t>policies</w:t>
            </w:r>
            <w:r w:rsidR="002400C7" w:rsidRPr="002400C7">
              <w:rPr>
                <w:rFonts w:ascii="Calibri" w:hAnsi="Calibri"/>
                <w:color w:val="0F0F0F"/>
                <w:spacing w:val="16"/>
              </w:rPr>
              <w:t xml:space="preserve"> </w:t>
            </w:r>
            <w:r w:rsidR="002400C7" w:rsidRPr="002400C7">
              <w:rPr>
                <w:rFonts w:ascii="Calibri" w:hAnsi="Calibri"/>
                <w:color w:val="0F0F0F"/>
              </w:rPr>
              <w:t>relating</w:t>
            </w:r>
            <w:r w:rsidR="002400C7" w:rsidRPr="002400C7">
              <w:rPr>
                <w:rFonts w:ascii="Calibri" w:hAnsi="Calibri"/>
                <w:color w:val="0F0F0F"/>
                <w:spacing w:val="-11"/>
              </w:rPr>
              <w:t xml:space="preserve"> </w:t>
            </w:r>
            <w:r w:rsidR="002400C7" w:rsidRPr="002400C7">
              <w:rPr>
                <w:rFonts w:ascii="Calibri" w:hAnsi="Calibri"/>
                <w:color w:val="0F0F0F"/>
              </w:rPr>
              <w:t>to</w:t>
            </w:r>
            <w:r w:rsidR="002400C7" w:rsidRPr="002400C7">
              <w:rPr>
                <w:rFonts w:ascii="Calibri" w:hAnsi="Calibri"/>
                <w:color w:val="0F0F0F"/>
                <w:spacing w:val="3"/>
              </w:rPr>
              <w:t xml:space="preserve"> </w:t>
            </w:r>
            <w:r w:rsidR="002400C7" w:rsidRPr="002400C7">
              <w:rPr>
                <w:rFonts w:ascii="Calibri" w:hAnsi="Calibri"/>
                <w:color w:val="0F0F0F"/>
              </w:rPr>
              <w:t>the</w:t>
            </w:r>
            <w:r w:rsidR="002400C7" w:rsidRPr="002400C7">
              <w:rPr>
                <w:rFonts w:ascii="Calibri" w:hAnsi="Calibri"/>
                <w:color w:val="0F0F0F"/>
                <w:spacing w:val="23"/>
              </w:rPr>
              <w:t xml:space="preserve"> </w:t>
            </w:r>
            <w:r w:rsidR="002400C7" w:rsidRPr="002400C7">
              <w:rPr>
                <w:rFonts w:ascii="Calibri" w:hAnsi="Calibri"/>
                <w:color w:val="0F0F0F"/>
              </w:rPr>
              <w:t>prudential</w:t>
            </w:r>
            <w:r w:rsidR="002400C7" w:rsidRPr="002400C7">
              <w:rPr>
                <w:rFonts w:ascii="Calibri" w:hAnsi="Calibri"/>
                <w:color w:val="0F0F0F"/>
                <w:spacing w:val="8"/>
              </w:rPr>
              <w:t xml:space="preserve"> </w:t>
            </w:r>
            <w:r w:rsidR="002400C7" w:rsidRPr="002400C7">
              <w:rPr>
                <w:rFonts w:ascii="Calibri" w:hAnsi="Calibri"/>
                <w:color w:val="0F0F0F"/>
              </w:rPr>
              <w:t>supervision</w:t>
            </w:r>
            <w:r w:rsidR="002400C7" w:rsidRPr="002400C7">
              <w:rPr>
                <w:rFonts w:ascii="Calibri" w:hAnsi="Calibri"/>
                <w:color w:val="0F0F0F"/>
                <w:spacing w:val="24"/>
              </w:rPr>
              <w:t xml:space="preserve"> </w:t>
            </w:r>
            <w:r w:rsidR="002400C7" w:rsidRPr="002400C7">
              <w:rPr>
                <w:rFonts w:ascii="Calibri" w:hAnsi="Calibri"/>
                <w:color w:val="0F0F0F"/>
              </w:rPr>
              <w:t>of</w:t>
            </w:r>
            <w:r w:rsidR="002400C7" w:rsidRPr="002400C7">
              <w:rPr>
                <w:rFonts w:ascii="Calibri" w:hAnsi="Calibri"/>
                <w:color w:val="0F0F0F"/>
                <w:w w:val="106"/>
              </w:rPr>
              <w:t xml:space="preserve"> </w:t>
            </w:r>
            <w:r w:rsidR="002400C7" w:rsidRPr="002400C7">
              <w:rPr>
                <w:rFonts w:ascii="Calibri" w:hAnsi="Calibri"/>
                <w:color w:val="0F0F0F"/>
              </w:rPr>
              <w:t xml:space="preserve">credit  </w:t>
            </w:r>
            <w:r w:rsidR="002400C7" w:rsidRPr="002400C7">
              <w:rPr>
                <w:rFonts w:ascii="Calibri" w:hAnsi="Calibri"/>
                <w:color w:val="0F0F0F"/>
                <w:spacing w:val="-1"/>
              </w:rPr>
              <w:t>institutions)</w:t>
            </w:r>
          </w:p>
        </w:tc>
        <w:tc>
          <w:tcPr>
            <w:tcW w:w="1417" w:type="dxa"/>
            <w:tcBorders>
              <w:top w:val="single" w:sz="4" w:space="0" w:color="auto"/>
              <w:left w:val="single" w:sz="4" w:space="0" w:color="auto"/>
              <w:right w:val="single" w:sz="4" w:space="0" w:color="auto"/>
            </w:tcBorders>
            <w:shd w:val="clear" w:color="auto" w:fill="92D050"/>
          </w:tcPr>
          <w:p w:rsidR="00DD0927" w:rsidRPr="00180E1B" w:rsidRDefault="002400C7"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right w:val="single" w:sz="4" w:space="0" w:color="auto"/>
            </w:tcBorders>
            <w:shd w:val="clear" w:color="auto" w:fill="auto"/>
          </w:tcPr>
          <w:p w:rsidR="00DD0927" w:rsidRPr="00180E1B" w:rsidRDefault="002400C7" w:rsidP="006B3595">
            <w:pPr>
              <w:pStyle w:val="Tabledata"/>
              <w:jc w:val="left"/>
            </w:pPr>
            <w:r>
              <w:t>By 3.12.2017.</w:t>
            </w:r>
          </w:p>
        </w:tc>
      </w:tr>
      <w:tr w:rsidR="002B0B93" w:rsidRPr="00A2678D" w:rsidTr="001E314D">
        <w:tc>
          <w:tcPr>
            <w:tcW w:w="959" w:type="dxa"/>
            <w:gridSpan w:val="2"/>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SE</w:t>
            </w:r>
          </w:p>
        </w:tc>
        <w:tc>
          <w:tcPr>
            <w:tcW w:w="1276" w:type="dxa"/>
            <w:tcBorders>
              <w:top w:val="single" w:sz="4" w:space="0" w:color="auto"/>
              <w:left w:val="single" w:sz="4" w:space="0" w:color="auto"/>
              <w:bottom w:val="single" w:sz="4" w:space="0" w:color="auto"/>
              <w:right w:val="single" w:sz="4" w:space="0" w:color="auto"/>
            </w:tcBorders>
          </w:tcPr>
          <w:p w:rsidR="002B0B93" w:rsidRPr="00DD00A2" w:rsidRDefault="00516A25" w:rsidP="003A6C1E">
            <w:pPr>
              <w:pStyle w:val="Tabledata"/>
              <w:jc w:val="center"/>
              <w:rPr>
                <w:szCs w:val="20"/>
              </w:rPr>
            </w:pPr>
            <w:r w:rsidRPr="00CD3A8C">
              <w:t>Sweden</w:t>
            </w:r>
          </w:p>
        </w:tc>
        <w:tc>
          <w:tcPr>
            <w:tcW w:w="2126" w:type="dxa"/>
            <w:tcBorders>
              <w:top w:val="single" w:sz="4" w:space="0" w:color="auto"/>
              <w:left w:val="single" w:sz="4" w:space="0" w:color="auto"/>
              <w:bottom w:val="single" w:sz="4" w:space="0" w:color="auto"/>
              <w:right w:val="single" w:sz="4" w:space="0" w:color="auto"/>
            </w:tcBorders>
          </w:tcPr>
          <w:p w:rsidR="002B0B93" w:rsidRPr="00DD00A2" w:rsidRDefault="00516A25" w:rsidP="001E314D">
            <w:pPr>
              <w:pStyle w:val="Tabledata"/>
              <w:jc w:val="left"/>
              <w:rPr>
                <w:szCs w:val="20"/>
              </w:rPr>
            </w:pPr>
            <w:r w:rsidRPr="00CD3A8C">
              <w:t xml:space="preserve">Finansinspektionen </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0B93" w:rsidRPr="00180E1B" w:rsidRDefault="001E314D"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B93" w:rsidRPr="00180E1B" w:rsidRDefault="001E314D" w:rsidP="007247F1">
            <w:pPr>
              <w:pStyle w:val="Tabledata"/>
              <w:jc w:val="left"/>
            </w:pPr>
            <w:r>
              <w:t>By 31.12.2017.</w:t>
            </w:r>
          </w:p>
        </w:tc>
      </w:tr>
      <w:tr w:rsidR="00DF4CA9" w:rsidRPr="00A2678D" w:rsidTr="00722408">
        <w:trPr>
          <w:trHeight w:val="294"/>
        </w:trPr>
        <w:tc>
          <w:tcPr>
            <w:tcW w:w="959" w:type="dxa"/>
            <w:gridSpan w:val="2"/>
            <w:vMerge w:val="restart"/>
            <w:tcBorders>
              <w:top w:val="single" w:sz="4" w:space="0" w:color="auto"/>
              <w:left w:val="single" w:sz="4" w:space="0" w:color="auto"/>
              <w:right w:val="single" w:sz="4" w:space="0" w:color="auto"/>
            </w:tcBorders>
          </w:tcPr>
          <w:p w:rsidR="00DF4CA9" w:rsidRPr="00DD00A2" w:rsidRDefault="00DF4CA9" w:rsidP="003A6C1E">
            <w:pPr>
              <w:pStyle w:val="Tabledata"/>
              <w:jc w:val="center"/>
              <w:rPr>
                <w:szCs w:val="20"/>
              </w:rPr>
            </w:pPr>
            <w:r>
              <w:t>UK</w:t>
            </w:r>
          </w:p>
        </w:tc>
        <w:tc>
          <w:tcPr>
            <w:tcW w:w="1276" w:type="dxa"/>
            <w:vMerge w:val="restart"/>
            <w:tcBorders>
              <w:top w:val="single" w:sz="4" w:space="0" w:color="auto"/>
              <w:left w:val="single" w:sz="4" w:space="0" w:color="auto"/>
              <w:right w:val="single" w:sz="4" w:space="0" w:color="auto"/>
            </w:tcBorders>
          </w:tcPr>
          <w:p w:rsidR="00DF4CA9" w:rsidRPr="00DD00A2" w:rsidRDefault="00DF4CA9" w:rsidP="003A6C1E">
            <w:pPr>
              <w:pStyle w:val="Tabledata"/>
              <w:jc w:val="center"/>
              <w:rPr>
                <w:szCs w:val="20"/>
              </w:rPr>
            </w:pPr>
            <w:r>
              <w:t>United Kingdom</w:t>
            </w:r>
          </w:p>
        </w:tc>
        <w:tc>
          <w:tcPr>
            <w:tcW w:w="2126" w:type="dxa"/>
            <w:tcBorders>
              <w:top w:val="single" w:sz="4" w:space="0" w:color="auto"/>
              <w:left w:val="single" w:sz="4" w:space="0" w:color="auto"/>
              <w:bottom w:val="single" w:sz="4" w:space="0" w:color="auto"/>
              <w:right w:val="single" w:sz="4" w:space="0" w:color="auto"/>
            </w:tcBorders>
          </w:tcPr>
          <w:p w:rsidR="00DF4CA9" w:rsidRPr="00DD00A2" w:rsidRDefault="00DF4CA9" w:rsidP="006B3595">
            <w:pPr>
              <w:pStyle w:val="Tabledata"/>
              <w:jc w:val="left"/>
              <w:rPr>
                <w:szCs w:val="20"/>
              </w:rPr>
            </w:pPr>
            <w:r>
              <w:t>Prudential Regulation Authority (PRA)</w:t>
            </w:r>
          </w:p>
        </w:tc>
        <w:tc>
          <w:tcPr>
            <w:tcW w:w="1417" w:type="dxa"/>
            <w:tcBorders>
              <w:top w:val="single" w:sz="4" w:space="0" w:color="auto"/>
              <w:left w:val="single" w:sz="4" w:space="0" w:color="auto"/>
              <w:right w:val="single" w:sz="4" w:space="0" w:color="auto"/>
            </w:tcBorders>
            <w:shd w:val="clear" w:color="auto" w:fill="00B050"/>
          </w:tcPr>
          <w:p w:rsidR="00DF4CA9" w:rsidRPr="00722408" w:rsidRDefault="009F3B6B" w:rsidP="006B3595">
            <w:pPr>
              <w:pStyle w:val="Tabledata"/>
              <w:ind w:left="284"/>
              <w:jc w:val="left"/>
              <w:rPr>
                <w:b/>
                <w:szCs w:val="20"/>
              </w:rPr>
            </w:pPr>
            <w:r w:rsidRPr="00722408">
              <w:rPr>
                <w:b/>
                <w:szCs w:val="20"/>
              </w:rPr>
              <w:t>Yes</w:t>
            </w:r>
          </w:p>
        </w:tc>
        <w:tc>
          <w:tcPr>
            <w:tcW w:w="3119" w:type="dxa"/>
            <w:tcBorders>
              <w:top w:val="single" w:sz="4" w:space="0" w:color="auto"/>
              <w:left w:val="single" w:sz="4" w:space="0" w:color="auto"/>
              <w:right w:val="single" w:sz="4" w:space="0" w:color="auto"/>
            </w:tcBorders>
            <w:shd w:val="clear" w:color="auto" w:fill="auto"/>
          </w:tcPr>
          <w:p w:rsidR="00F05852" w:rsidRPr="00F05852" w:rsidRDefault="009F3B6B" w:rsidP="00F05852">
            <w:pPr>
              <w:pStyle w:val="Tabledata"/>
              <w:spacing w:before="0" w:after="0"/>
              <w:jc w:val="left"/>
              <w:rPr>
                <w:rFonts w:eastAsia="Arial" w:cstheme="minorBidi"/>
                <w:bCs w:val="0"/>
                <w:color w:val="auto"/>
                <w:szCs w:val="20"/>
                <w:lang w:val="en-US" w:eastAsia="en-US"/>
              </w:rPr>
            </w:pPr>
            <w:r w:rsidRPr="00F05852">
              <w:rPr>
                <w:rFonts w:eastAsia="Arial" w:cstheme="minorBidi"/>
                <w:bCs w:val="0"/>
                <w:color w:val="auto"/>
                <w:szCs w:val="20"/>
                <w:lang w:val="en-US" w:eastAsia="en-US"/>
              </w:rPr>
              <w:t xml:space="preserve">As at 10.10.2017, notification date. </w:t>
            </w:r>
            <w:r w:rsidR="00F05852" w:rsidRPr="00F05852">
              <w:rPr>
                <w:rFonts w:eastAsia="Arial"/>
                <w:szCs w:val="20"/>
                <w:lang w:val="en-US"/>
              </w:rPr>
              <w:t xml:space="preserve">The scope of the Guidelines are outside of the scope of PRA </w:t>
            </w:r>
            <w:r w:rsidR="00F05852" w:rsidRPr="00F05852">
              <w:rPr>
                <w:rFonts w:eastAsia="Arial"/>
                <w:szCs w:val="20"/>
                <w:lang w:val="en-US"/>
              </w:rPr>
              <w:lastRenderedPageBreak/>
              <w:t xml:space="preserve">competence, and are therefore not applicable to the UK PRA. The relevant UK authority is </w:t>
            </w:r>
            <w:r w:rsidR="00F05852">
              <w:rPr>
                <w:rFonts w:eastAsia="Arial"/>
                <w:szCs w:val="20"/>
                <w:lang w:val="en-US"/>
              </w:rPr>
              <w:t>responding.</w:t>
            </w:r>
          </w:p>
        </w:tc>
      </w:tr>
      <w:tr w:rsidR="00DF4CA9" w:rsidRPr="00A2678D" w:rsidTr="00C13068">
        <w:trPr>
          <w:trHeight w:val="294"/>
        </w:trPr>
        <w:tc>
          <w:tcPr>
            <w:tcW w:w="959" w:type="dxa"/>
            <w:gridSpan w:val="2"/>
            <w:vMerge/>
            <w:tcBorders>
              <w:left w:val="single" w:sz="4" w:space="0" w:color="auto"/>
              <w:bottom w:val="single" w:sz="4" w:space="0" w:color="auto"/>
              <w:right w:val="single" w:sz="4" w:space="0" w:color="auto"/>
            </w:tcBorders>
          </w:tcPr>
          <w:p w:rsidR="00DF4CA9" w:rsidRDefault="00DF4CA9" w:rsidP="006B3595">
            <w:pPr>
              <w:pStyle w:val="Tabledata"/>
              <w:jc w:val="left"/>
            </w:pPr>
          </w:p>
        </w:tc>
        <w:tc>
          <w:tcPr>
            <w:tcW w:w="1276" w:type="dxa"/>
            <w:vMerge/>
            <w:tcBorders>
              <w:left w:val="single" w:sz="4" w:space="0" w:color="auto"/>
              <w:bottom w:val="single" w:sz="4" w:space="0" w:color="auto"/>
              <w:right w:val="single" w:sz="4" w:space="0" w:color="auto"/>
            </w:tcBorders>
          </w:tcPr>
          <w:p w:rsidR="00DF4CA9" w:rsidRDefault="00DF4CA9" w:rsidP="006B3595">
            <w:pPr>
              <w:pStyle w:val="Tabledata"/>
              <w:jc w:val="left"/>
            </w:pPr>
          </w:p>
        </w:tc>
        <w:tc>
          <w:tcPr>
            <w:tcW w:w="2126" w:type="dxa"/>
            <w:tcBorders>
              <w:top w:val="single" w:sz="4" w:space="0" w:color="auto"/>
              <w:left w:val="single" w:sz="4" w:space="0" w:color="auto"/>
              <w:bottom w:val="single" w:sz="4" w:space="0" w:color="auto"/>
              <w:right w:val="single" w:sz="4" w:space="0" w:color="auto"/>
            </w:tcBorders>
          </w:tcPr>
          <w:p w:rsidR="00DF4CA9" w:rsidRPr="00DD00A2" w:rsidRDefault="00DF4CA9" w:rsidP="006B3595">
            <w:pPr>
              <w:pStyle w:val="Tabledata"/>
              <w:jc w:val="left"/>
              <w:rPr>
                <w:szCs w:val="20"/>
              </w:rPr>
            </w:pPr>
            <w:r>
              <w:t>F</w:t>
            </w:r>
            <w:r w:rsidR="00C13068">
              <w:t>inancial Conduct Authority</w:t>
            </w:r>
          </w:p>
        </w:tc>
        <w:tc>
          <w:tcPr>
            <w:tcW w:w="1417" w:type="dxa"/>
            <w:tcBorders>
              <w:left w:val="single" w:sz="4" w:space="0" w:color="auto"/>
              <w:bottom w:val="single" w:sz="4" w:space="0" w:color="auto"/>
              <w:right w:val="single" w:sz="4" w:space="0" w:color="auto"/>
            </w:tcBorders>
            <w:shd w:val="clear" w:color="auto" w:fill="00B050"/>
          </w:tcPr>
          <w:p w:rsidR="00DF4CA9" w:rsidRPr="00180E1B" w:rsidRDefault="00C13068" w:rsidP="006B3595">
            <w:pPr>
              <w:pStyle w:val="Tabledata"/>
              <w:ind w:left="284"/>
              <w:jc w:val="left"/>
              <w:rPr>
                <w:b/>
                <w:szCs w:val="20"/>
              </w:rPr>
            </w:pPr>
            <w:r>
              <w:rPr>
                <w:b/>
                <w:szCs w:val="20"/>
              </w:rPr>
              <w:t>Yes</w:t>
            </w:r>
          </w:p>
        </w:tc>
        <w:tc>
          <w:tcPr>
            <w:tcW w:w="3119" w:type="dxa"/>
            <w:tcBorders>
              <w:left w:val="single" w:sz="4" w:space="0" w:color="auto"/>
              <w:bottom w:val="single" w:sz="4" w:space="0" w:color="auto"/>
              <w:right w:val="single" w:sz="4" w:space="0" w:color="auto"/>
            </w:tcBorders>
            <w:shd w:val="clear" w:color="auto" w:fill="auto"/>
          </w:tcPr>
          <w:p w:rsidR="00DF4CA9" w:rsidRPr="001D6447" w:rsidRDefault="00C13068" w:rsidP="00C13068">
            <w:pPr>
              <w:pStyle w:val="BodyText"/>
              <w:tabs>
                <w:tab w:val="left" w:pos="589"/>
              </w:tabs>
              <w:ind w:left="0" w:right="306"/>
              <w:rPr>
                <w:rFonts w:asciiTheme="minorHAnsi" w:hAnsiTheme="minorHAnsi"/>
              </w:rPr>
            </w:pPr>
            <w:r>
              <w:rPr>
                <w:rFonts w:asciiTheme="minorHAnsi" w:hAnsiTheme="minorHAnsi"/>
              </w:rPr>
              <w:t xml:space="preserve">As at 20.03.2018, notification date. </w:t>
            </w:r>
          </w:p>
        </w:tc>
      </w:tr>
      <w:tr w:rsidR="002B5CF2" w:rsidRPr="00A2678D" w:rsidTr="0013547A">
        <w:tc>
          <w:tcPr>
            <w:tcW w:w="8897" w:type="dxa"/>
            <w:gridSpan w:val="6"/>
            <w:tcBorders>
              <w:top w:val="single" w:sz="4" w:space="0" w:color="auto"/>
              <w:bottom w:val="single" w:sz="4" w:space="0" w:color="auto"/>
            </w:tcBorders>
            <w:shd w:val="clear" w:color="auto" w:fill="auto"/>
            <w:vAlign w:val="top"/>
          </w:tcPr>
          <w:p w:rsidR="002B5CF2" w:rsidRPr="006D2ED5" w:rsidRDefault="002B5CF2" w:rsidP="006B3595">
            <w:pPr>
              <w:pStyle w:val="Tabledata"/>
              <w:jc w:val="left"/>
              <w:rPr>
                <w:szCs w:val="20"/>
              </w:rPr>
            </w:pPr>
            <w:r>
              <w:rPr>
                <w:rStyle w:val="Highlighttext"/>
                <w:sz w:val="20"/>
                <w:szCs w:val="20"/>
              </w:rPr>
              <w:t xml:space="preserve">EU Institutions </w:t>
            </w:r>
            <w:r w:rsidR="007A62E0">
              <w:rPr>
                <w:rStyle w:val="Highlighttext"/>
                <w:sz w:val="20"/>
                <w:szCs w:val="20"/>
              </w:rPr>
              <w:t>–</w:t>
            </w:r>
            <w:r>
              <w:rPr>
                <w:rStyle w:val="Highlighttext"/>
                <w:sz w:val="20"/>
                <w:szCs w:val="20"/>
              </w:rPr>
              <w:t xml:space="preserve"> Agencies</w:t>
            </w:r>
          </w:p>
        </w:tc>
      </w:tr>
      <w:tr w:rsidR="002B5CF2" w:rsidRPr="00A2678D" w:rsidTr="00654876">
        <w:tc>
          <w:tcPr>
            <w:tcW w:w="675" w:type="dxa"/>
            <w:tcBorders>
              <w:top w:val="single" w:sz="4" w:space="0" w:color="auto"/>
              <w:left w:val="single" w:sz="4" w:space="0" w:color="auto"/>
              <w:bottom w:val="single" w:sz="4" w:space="0" w:color="auto"/>
              <w:right w:val="single" w:sz="4" w:space="0" w:color="auto"/>
            </w:tcBorders>
          </w:tcPr>
          <w:p w:rsidR="002B5CF2" w:rsidRPr="00A64B3F" w:rsidRDefault="009D29D8" w:rsidP="003A6C1E">
            <w:pPr>
              <w:pStyle w:val="Tabledata"/>
              <w:jc w:val="center"/>
              <w:rPr>
                <w:szCs w:val="20"/>
              </w:rPr>
            </w:pPr>
            <w:r>
              <w:rPr>
                <w:szCs w:val="20"/>
              </w:rPr>
              <w:t>ECB</w:t>
            </w:r>
          </w:p>
        </w:tc>
        <w:tc>
          <w:tcPr>
            <w:tcW w:w="1560" w:type="dxa"/>
            <w:gridSpan w:val="2"/>
            <w:tcBorders>
              <w:top w:val="single" w:sz="4" w:space="0" w:color="auto"/>
              <w:left w:val="single" w:sz="4" w:space="0" w:color="auto"/>
              <w:bottom w:val="single" w:sz="4" w:space="0" w:color="auto"/>
              <w:right w:val="single" w:sz="4" w:space="0" w:color="auto"/>
            </w:tcBorders>
          </w:tcPr>
          <w:p w:rsidR="002B5CF2" w:rsidRPr="00A64B3F" w:rsidRDefault="009D29D8" w:rsidP="003A6C1E">
            <w:pPr>
              <w:pStyle w:val="Tabledata"/>
              <w:jc w:val="center"/>
              <w:rPr>
                <w:szCs w:val="20"/>
              </w:rPr>
            </w:pPr>
            <w:r>
              <w:rPr>
                <w:szCs w:val="20"/>
              </w:rPr>
              <w:t>ECB</w:t>
            </w:r>
          </w:p>
        </w:tc>
        <w:tc>
          <w:tcPr>
            <w:tcW w:w="2126" w:type="dxa"/>
            <w:tcBorders>
              <w:top w:val="single" w:sz="4" w:space="0" w:color="auto"/>
              <w:left w:val="single" w:sz="4" w:space="0" w:color="auto"/>
              <w:bottom w:val="single" w:sz="4" w:space="0" w:color="auto"/>
              <w:right w:val="single" w:sz="4" w:space="0" w:color="auto"/>
            </w:tcBorders>
          </w:tcPr>
          <w:p w:rsidR="002B5CF2" w:rsidRPr="00A64B3F" w:rsidRDefault="00F5520C" w:rsidP="004B7D29">
            <w:pPr>
              <w:pStyle w:val="Tabledata"/>
              <w:jc w:val="center"/>
              <w:rPr>
                <w:rFonts w:cs="Arial"/>
                <w:bCs w:val="0"/>
                <w:szCs w:val="20"/>
              </w:rPr>
            </w:pPr>
            <w:r>
              <w:rPr>
                <w:rFonts w:cs="Arial"/>
                <w:bCs w:val="0"/>
                <w:szCs w:val="20"/>
              </w:rPr>
              <w:t>ECB</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2B5CF2" w:rsidRPr="00180E1B" w:rsidRDefault="00654876"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5CF2" w:rsidRPr="00180E1B" w:rsidRDefault="00654876" w:rsidP="004B7D29">
            <w:pPr>
              <w:suppressAutoHyphens/>
              <w:rPr>
                <w:szCs w:val="20"/>
              </w:rPr>
            </w:pPr>
            <w:r>
              <w:rPr>
                <w:rFonts w:eastAsia="Arial"/>
                <w:sz w:val="20"/>
                <w:szCs w:val="20"/>
              </w:rPr>
              <w:t xml:space="preserve">As at 15.08.2017, notification date. </w:t>
            </w:r>
          </w:p>
        </w:tc>
      </w:tr>
      <w:tr w:rsidR="002B5CF2" w:rsidRPr="006D2ED5" w:rsidTr="0013547A">
        <w:tc>
          <w:tcPr>
            <w:tcW w:w="8897" w:type="dxa"/>
            <w:gridSpan w:val="6"/>
            <w:tcBorders>
              <w:top w:val="single" w:sz="4" w:space="0" w:color="auto"/>
              <w:bottom w:val="single" w:sz="4" w:space="0" w:color="auto"/>
            </w:tcBorders>
            <w:shd w:val="clear" w:color="auto" w:fill="auto"/>
            <w:vAlign w:val="top"/>
          </w:tcPr>
          <w:p w:rsidR="002B5CF2" w:rsidRPr="006D2ED5" w:rsidRDefault="002B5CF2" w:rsidP="006B3595">
            <w:pPr>
              <w:pStyle w:val="Tabledata"/>
              <w:jc w:val="left"/>
              <w:rPr>
                <w:szCs w:val="20"/>
              </w:rPr>
            </w:pPr>
            <w:r>
              <w:rPr>
                <w:rStyle w:val="Highlighttext"/>
                <w:sz w:val="20"/>
                <w:szCs w:val="20"/>
              </w:rPr>
              <w:t>EEA – EFTA State</w:t>
            </w:r>
          </w:p>
        </w:tc>
      </w:tr>
      <w:tr w:rsidR="002B5CF2" w:rsidRPr="008B5776" w:rsidTr="008A3444">
        <w:tc>
          <w:tcPr>
            <w:tcW w:w="675" w:type="dxa"/>
            <w:tcBorders>
              <w:top w:val="single" w:sz="4" w:space="0" w:color="auto"/>
              <w:left w:val="single" w:sz="4" w:space="0" w:color="auto"/>
              <w:bottom w:val="single" w:sz="4" w:space="0" w:color="auto"/>
              <w:right w:val="single" w:sz="4" w:space="0" w:color="auto"/>
            </w:tcBorders>
          </w:tcPr>
          <w:p w:rsidR="002B5CF2" w:rsidRPr="00A64B3F" w:rsidRDefault="00516A25" w:rsidP="003A6C1E">
            <w:pPr>
              <w:pStyle w:val="Tabledata"/>
              <w:jc w:val="center"/>
              <w:rPr>
                <w:szCs w:val="20"/>
              </w:rPr>
            </w:pPr>
            <w:r>
              <w:t>IS</w:t>
            </w:r>
            <w:r>
              <w:rPr>
                <w:szCs w:val="20"/>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2B5CF2" w:rsidRPr="00A64B3F" w:rsidRDefault="00516A25" w:rsidP="003A6C1E">
            <w:pPr>
              <w:pStyle w:val="Tabledata"/>
              <w:jc w:val="center"/>
              <w:rPr>
                <w:szCs w:val="20"/>
              </w:rPr>
            </w:pPr>
            <w:r>
              <w:t>Iceland</w:t>
            </w:r>
          </w:p>
        </w:tc>
        <w:tc>
          <w:tcPr>
            <w:tcW w:w="2126" w:type="dxa"/>
            <w:tcBorders>
              <w:top w:val="single" w:sz="4" w:space="0" w:color="auto"/>
              <w:left w:val="single" w:sz="4" w:space="0" w:color="auto"/>
              <w:bottom w:val="single" w:sz="4" w:space="0" w:color="auto"/>
              <w:right w:val="single" w:sz="4" w:space="0" w:color="auto"/>
            </w:tcBorders>
          </w:tcPr>
          <w:p w:rsidR="002B5CF2" w:rsidRPr="00A64B3F" w:rsidRDefault="00516A25" w:rsidP="008A3444">
            <w:pPr>
              <w:pStyle w:val="Tabledata"/>
              <w:jc w:val="left"/>
              <w:rPr>
                <w:rFonts w:cs="Arial"/>
                <w:bCs w:val="0"/>
                <w:szCs w:val="20"/>
              </w:rPr>
            </w:pPr>
            <w:r w:rsidRPr="00CD3A8C">
              <w:t>Financial Supervisory Authority</w:t>
            </w:r>
            <w:r w:rsidR="008A3444">
              <w:t>, Iceland</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2B5CF2" w:rsidRPr="00180E1B" w:rsidRDefault="008A3444"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5CF2" w:rsidRPr="00F5520C" w:rsidRDefault="008A3444" w:rsidP="004F0182">
            <w:pPr>
              <w:rPr>
                <w:sz w:val="20"/>
                <w:szCs w:val="20"/>
              </w:rPr>
            </w:pPr>
            <w:r w:rsidRPr="00F5520C">
              <w:rPr>
                <w:sz w:val="20"/>
                <w:szCs w:val="20"/>
              </w:rPr>
              <w:t>By the application date of the Guidelines.</w:t>
            </w:r>
          </w:p>
        </w:tc>
      </w:tr>
      <w:tr w:rsidR="00516A25" w:rsidRPr="008B5776" w:rsidTr="00613590">
        <w:tc>
          <w:tcPr>
            <w:tcW w:w="675" w:type="dxa"/>
            <w:tcBorders>
              <w:top w:val="single" w:sz="4" w:space="0" w:color="auto"/>
              <w:left w:val="single" w:sz="4" w:space="0" w:color="auto"/>
              <w:bottom w:val="single" w:sz="4" w:space="0" w:color="auto"/>
              <w:right w:val="single" w:sz="4" w:space="0" w:color="auto"/>
            </w:tcBorders>
          </w:tcPr>
          <w:p w:rsidR="00516A25" w:rsidRDefault="00F1261A" w:rsidP="003A6C1E">
            <w:pPr>
              <w:pStyle w:val="Tabledata"/>
              <w:jc w:val="center"/>
              <w:rPr>
                <w:szCs w:val="20"/>
              </w:rPr>
            </w:pPr>
            <w:r w:rsidRPr="00CD3A8C">
              <w:t>LI</w:t>
            </w:r>
          </w:p>
        </w:tc>
        <w:tc>
          <w:tcPr>
            <w:tcW w:w="1560" w:type="dxa"/>
            <w:gridSpan w:val="2"/>
            <w:tcBorders>
              <w:top w:val="single" w:sz="4" w:space="0" w:color="auto"/>
              <w:left w:val="single" w:sz="4" w:space="0" w:color="auto"/>
              <w:bottom w:val="single" w:sz="4" w:space="0" w:color="auto"/>
              <w:right w:val="single" w:sz="4" w:space="0" w:color="auto"/>
            </w:tcBorders>
          </w:tcPr>
          <w:p w:rsidR="00516A25" w:rsidRPr="00A64B3F" w:rsidRDefault="00F1261A" w:rsidP="003A6C1E">
            <w:pPr>
              <w:pStyle w:val="Tabledata"/>
              <w:jc w:val="center"/>
              <w:rPr>
                <w:szCs w:val="20"/>
              </w:rPr>
            </w:pPr>
            <w:r w:rsidRPr="00CD3A8C">
              <w:t>Liechtenstein</w:t>
            </w:r>
          </w:p>
        </w:tc>
        <w:tc>
          <w:tcPr>
            <w:tcW w:w="2126" w:type="dxa"/>
            <w:tcBorders>
              <w:top w:val="single" w:sz="4" w:space="0" w:color="auto"/>
              <w:left w:val="single" w:sz="4" w:space="0" w:color="auto"/>
              <w:bottom w:val="single" w:sz="4" w:space="0" w:color="auto"/>
              <w:right w:val="single" w:sz="4" w:space="0" w:color="auto"/>
            </w:tcBorders>
          </w:tcPr>
          <w:p w:rsidR="00516A25" w:rsidRPr="00DD00A2" w:rsidRDefault="00F1261A" w:rsidP="006B3595">
            <w:pPr>
              <w:pStyle w:val="Tabledata"/>
              <w:jc w:val="left"/>
              <w:rPr>
                <w:szCs w:val="20"/>
              </w:rPr>
            </w:pPr>
            <w:r w:rsidRPr="00CD3A8C">
              <w:t>Financial Market Authority</w:t>
            </w:r>
            <w:r w:rsidR="00613590">
              <w:t xml:space="preserve"> Liechtenstein (FMA</w:t>
            </w:r>
            <w:r w:rsidRPr="00CD3A8C">
              <w:t>)</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516A25" w:rsidRPr="00180E1B" w:rsidRDefault="00613590"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16A25" w:rsidRPr="00F5520C" w:rsidRDefault="00613590" w:rsidP="00D92002">
            <w:pPr>
              <w:rPr>
                <w:sz w:val="20"/>
                <w:szCs w:val="20"/>
              </w:rPr>
            </w:pPr>
            <w:r w:rsidRPr="00F5520C">
              <w:rPr>
                <w:sz w:val="20"/>
                <w:szCs w:val="20"/>
              </w:rPr>
              <w:t xml:space="preserve">As at </w:t>
            </w:r>
            <w:r w:rsidR="00D92002">
              <w:rPr>
                <w:sz w:val="20"/>
                <w:szCs w:val="20"/>
              </w:rPr>
              <w:t>18.01.2018</w:t>
            </w:r>
            <w:r w:rsidRPr="00F5520C">
              <w:rPr>
                <w:sz w:val="20"/>
                <w:szCs w:val="20"/>
              </w:rPr>
              <w:t>, notification date.</w:t>
            </w:r>
            <w:r w:rsidR="00D92002">
              <w:rPr>
                <w:sz w:val="20"/>
                <w:szCs w:val="20"/>
              </w:rPr>
              <w:t xml:space="preserve"> </w:t>
            </w:r>
            <w:r w:rsidR="00D92002" w:rsidRPr="00D92002">
              <w:rPr>
                <w:sz w:val="20"/>
                <w:szCs w:val="20"/>
              </w:rPr>
              <w:t>The Principality of Liechtenstein complies with</w:t>
            </w:r>
            <w:r w:rsidR="00D92002">
              <w:rPr>
                <w:sz w:val="20"/>
                <w:szCs w:val="20"/>
              </w:rPr>
              <w:t xml:space="preserve"> the Guidelines as per January 1</w:t>
            </w:r>
            <w:r w:rsidR="00D92002" w:rsidRPr="00D92002">
              <w:rPr>
                <w:sz w:val="20"/>
                <w:szCs w:val="20"/>
              </w:rPr>
              <w:t>, 2018.</w:t>
            </w:r>
          </w:p>
        </w:tc>
      </w:tr>
      <w:tr w:rsidR="00516A25" w:rsidRPr="008B5776" w:rsidTr="008E10C9">
        <w:tc>
          <w:tcPr>
            <w:tcW w:w="675" w:type="dxa"/>
            <w:tcBorders>
              <w:top w:val="single" w:sz="4" w:space="0" w:color="auto"/>
              <w:left w:val="single" w:sz="4" w:space="0" w:color="auto"/>
              <w:bottom w:val="single" w:sz="4" w:space="0" w:color="auto"/>
              <w:right w:val="single" w:sz="4" w:space="0" w:color="auto"/>
            </w:tcBorders>
          </w:tcPr>
          <w:p w:rsidR="00516A25" w:rsidRDefault="00F1261A" w:rsidP="003A6C1E">
            <w:pPr>
              <w:pStyle w:val="Tabledata"/>
              <w:jc w:val="center"/>
              <w:rPr>
                <w:szCs w:val="20"/>
              </w:rPr>
            </w:pPr>
            <w:r w:rsidRPr="00CD3A8C">
              <w:t>NO</w:t>
            </w:r>
          </w:p>
        </w:tc>
        <w:tc>
          <w:tcPr>
            <w:tcW w:w="1560" w:type="dxa"/>
            <w:gridSpan w:val="2"/>
            <w:tcBorders>
              <w:top w:val="single" w:sz="4" w:space="0" w:color="auto"/>
              <w:left w:val="single" w:sz="4" w:space="0" w:color="auto"/>
              <w:bottom w:val="single" w:sz="4" w:space="0" w:color="auto"/>
              <w:right w:val="single" w:sz="4" w:space="0" w:color="auto"/>
            </w:tcBorders>
          </w:tcPr>
          <w:p w:rsidR="00516A25" w:rsidRPr="00A64B3F" w:rsidRDefault="00F1261A" w:rsidP="003A6C1E">
            <w:pPr>
              <w:pStyle w:val="Tabledata"/>
              <w:jc w:val="center"/>
              <w:rPr>
                <w:szCs w:val="20"/>
              </w:rPr>
            </w:pPr>
            <w:r w:rsidRPr="00CD3A8C">
              <w:t>Norway</w:t>
            </w:r>
          </w:p>
        </w:tc>
        <w:tc>
          <w:tcPr>
            <w:tcW w:w="2126" w:type="dxa"/>
            <w:tcBorders>
              <w:top w:val="single" w:sz="4" w:space="0" w:color="auto"/>
              <w:left w:val="single" w:sz="4" w:space="0" w:color="auto"/>
              <w:bottom w:val="single" w:sz="4" w:space="0" w:color="auto"/>
              <w:right w:val="single" w:sz="4" w:space="0" w:color="auto"/>
            </w:tcBorders>
          </w:tcPr>
          <w:p w:rsidR="00516A25" w:rsidRPr="00DD00A2" w:rsidRDefault="008E10C9" w:rsidP="004B7DCA">
            <w:pPr>
              <w:pStyle w:val="Tabledata"/>
              <w:jc w:val="left"/>
              <w:rPr>
                <w:szCs w:val="20"/>
              </w:rPr>
            </w:pPr>
            <w:r>
              <w:t>Finanstilsynet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516A25" w:rsidRPr="00180E1B" w:rsidRDefault="008E10C9"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16A25" w:rsidRPr="00F5520C" w:rsidRDefault="008E10C9" w:rsidP="00576974">
            <w:pPr>
              <w:rPr>
                <w:sz w:val="20"/>
                <w:szCs w:val="20"/>
              </w:rPr>
            </w:pPr>
            <w:r w:rsidRPr="00F5520C">
              <w:rPr>
                <w:sz w:val="20"/>
                <w:szCs w:val="20"/>
              </w:rPr>
              <w:t>By 01.01.2018.</w:t>
            </w:r>
          </w:p>
        </w:tc>
      </w:tr>
      <w:tr w:rsidR="002B5CF2" w:rsidRPr="006D2ED5" w:rsidTr="002B0B93">
        <w:tc>
          <w:tcPr>
            <w:tcW w:w="8897" w:type="dxa"/>
            <w:gridSpan w:val="6"/>
            <w:tcBorders>
              <w:top w:val="single" w:sz="4" w:space="0" w:color="auto"/>
              <w:bottom w:val="single" w:sz="4" w:space="0" w:color="auto"/>
            </w:tcBorders>
            <w:vAlign w:val="top"/>
          </w:tcPr>
          <w:p w:rsidR="002B5CF2" w:rsidRPr="006D2ED5" w:rsidRDefault="002B5CF2" w:rsidP="006B3595">
            <w:pPr>
              <w:pStyle w:val="Tabledata"/>
              <w:jc w:val="left"/>
              <w:rPr>
                <w:szCs w:val="20"/>
              </w:rPr>
            </w:pPr>
            <w:r>
              <w:rPr>
                <w:rStyle w:val="Highlighttext"/>
                <w:sz w:val="20"/>
                <w:szCs w:val="20"/>
              </w:rPr>
              <w:t>European Territories under Article 355(3) TFEU</w:t>
            </w:r>
          </w:p>
        </w:tc>
      </w:tr>
      <w:tr w:rsidR="00F1261A" w:rsidRPr="008B5776" w:rsidTr="00F4768C">
        <w:tc>
          <w:tcPr>
            <w:tcW w:w="675" w:type="dxa"/>
            <w:tcBorders>
              <w:top w:val="single" w:sz="4" w:space="0" w:color="auto"/>
              <w:left w:val="single" w:sz="4" w:space="0" w:color="auto"/>
              <w:bottom w:val="single" w:sz="4" w:space="0" w:color="auto"/>
              <w:right w:val="single" w:sz="4" w:space="0" w:color="auto"/>
            </w:tcBorders>
          </w:tcPr>
          <w:p w:rsidR="00F1261A" w:rsidRPr="00A64B3F" w:rsidRDefault="00F1261A" w:rsidP="003A6C1E">
            <w:pPr>
              <w:pStyle w:val="Tabledata"/>
              <w:jc w:val="center"/>
              <w:rPr>
                <w:szCs w:val="20"/>
              </w:rPr>
            </w:pPr>
            <w:r>
              <w:rPr>
                <w:szCs w:val="20"/>
              </w:rPr>
              <w:t xml:space="preserve">UK </w:t>
            </w:r>
          </w:p>
        </w:tc>
        <w:tc>
          <w:tcPr>
            <w:tcW w:w="1560" w:type="dxa"/>
            <w:gridSpan w:val="2"/>
            <w:tcBorders>
              <w:top w:val="single" w:sz="4" w:space="0" w:color="auto"/>
              <w:left w:val="single" w:sz="4" w:space="0" w:color="auto"/>
              <w:bottom w:val="single" w:sz="4" w:space="0" w:color="auto"/>
              <w:right w:val="single" w:sz="4" w:space="0" w:color="auto"/>
            </w:tcBorders>
          </w:tcPr>
          <w:p w:rsidR="00F1261A" w:rsidRPr="00A64B3F" w:rsidRDefault="00F1261A" w:rsidP="003A6C1E">
            <w:pPr>
              <w:pStyle w:val="Tabledata"/>
              <w:jc w:val="center"/>
              <w:rPr>
                <w:szCs w:val="20"/>
              </w:rPr>
            </w:pPr>
            <w:r>
              <w:rPr>
                <w:szCs w:val="20"/>
              </w:rPr>
              <w:t>United Kingdom</w:t>
            </w:r>
          </w:p>
        </w:tc>
        <w:tc>
          <w:tcPr>
            <w:tcW w:w="2126" w:type="dxa"/>
            <w:tcBorders>
              <w:top w:val="single" w:sz="4" w:space="0" w:color="auto"/>
              <w:left w:val="single" w:sz="4" w:space="0" w:color="auto"/>
              <w:bottom w:val="single" w:sz="4" w:space="0" w:color="auto"/>
              <w:right w:val="single" w:sz="4" w:space="0" w:color="auto"/>
            </w:tcBorders>
          </w:tcPr>
          <w:p w:rsidR="00F1261A" w:rsidRPr="00A64B3F" w:rsidRDefault="00F1261A" w:rsidP="006B3595">
            <w:pPr>
              <w:pStyle w:val="Tabledata"/>
              <w:jc w:val="left"/>
              <w:rPr>
                <w:rFonts w:cs="Arial"/>
                <w:bCs w:val="0"/>
                <w:szCs w:val="20"/>
              </w:rPr>
            </w:pPr>
            <w:r>
              <w:rPr>
                <w:szCs w:val="20"/>
              </w:rPr>
              <w:t>Financial Services Commission (Gibraltar)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1261A" w:rsidRPr="00180E1B" w:rsidRDefault="00F5520C" w:rsidP="006B3595">
            <w:pPr>
              <w:pStyle w:val="Tabledata"/>
              <w:ind w:left="284"/>
              <w:jc w:val="left"/>
              <w:rPr>
                <w:b/>
                <w:szCs w:val="20"/>
              </w:rPr>
            </w:pPr>
            <w:r>
              <w:rPr>
                <w:b/>
                <w:szCs w:val="20"/>
              </w:rPr>
              <w:t>No response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1261A" w:rsidRPr="00F5520C" w:rsidRDefault="00AD6B94" w:rsidP="00A21AB8">
            <w:pPr>
              <w:suppressAutoHyphens/>
              <w:rPr>
                <w:sz w:val="20"/>
                <w:szCs w:val="20"/>
              </w:rPr>
            </w:pPr>
            <w:r w:rsidRPr="00F5520C">
              <w:rPr>
                <w:sz w:val="20"/>
                <w:szCs w:val="20"/>
              </w:rPr>
              <w:t>No notification of compliance was received by the EBA within the two-month time limit.</w:t>
            </w:r>
          </w:p>
        </w:tc>
      </w:tr>
    </w:tbl>
    <w:p w:rsidR="002B5CF2" w:rsidRPr="00CD3A8C" w:rsidRDefault="002B5CF2" w:rsidP="002B5CF2">
      <w:pPr>
        <w:rPr>
          <w:lang w:val="en-GB"/>
        </w:rPr>
      </w:pPr>
    </w:p>
    <w:p w:rsidR="002B5CF2" w:rsidRDefault="002B5CF2" w:rsidP="002B5CF2">
      <w:pPr>
        <w:pStyle w:val="body"/>
        <w:jc w:val="left"/>
      </w:pPr>
      <w:r>
        <w:t>*</w:t>
      </w:r>
      <w:r w:rsidRPr="002F69BB">
        <w:t xml:space="preserve">The EEA States other than the Member States of the European Union are not currently required to </w:t>
      </w:r>
      <w:r>
        <w:t>notify</w:t>
      </w:r>
      <w:r w:rsidRPr="002F69BB">
        <w:t xml:space="preserve"> their compliance with </w:t>
      </w:r>
      <w:r>
        <w:t>the EBA’s Guideline</w:t>
      </w:r>
      <w:r w:rsidRPr="002F69BB">
        <w:t>s. This table is based on information provided from those EEA States on a voluntary basis</w:t>
      </w:r>
      <w:r>
        <w:t>.</w:t>
      </w:r>
    </w:p>
    <w:p w:rsidR="002B5CF2" w:rsidRPr="00390148" w:rsidRDefault="002B5CF2" w:rsidP="002B5CF2">
      <w:pPr>
        <w:pStyle w:val="body"/>
        <w:jc w:val="left"/>
      </w:pPr>
      <w:r w:rsidRPr="00390148">
        <w:t xml:space="preserve">** Please note that, in the interest of transparency, if a competent authority continues to intend to comply after the application date, it will be considered “non-compliant” unless (A) the </w:t>
      </w:r>
      <w:r>
        <w:t>Guideline</w:t>
      </w:r>
      <w:r w:rsidRPr="00390148">
        <w:t xml:space="preserve">s relate to </w:t>
      </w:r>
      <w:r>
        <w:t xml:space="preserve">a type of institution or </w:t>
      </w:r>
      <w:r w:rsidRPr="00390148">
        <w:t xml:space="preserve">instruments which do not currently exist in the jurisdiction </w:t>
      </w:r>
      <w:r w:rsidRPr="006D2ED5">
        <w:t>concerned</w:t>
      </w:r>
      <w:r w:rsidRPr="00390148">
        <w:t xml:space="preserve">; or (B) legislative or regulatory proceedings have been initiated to bring any national measures necessary to comply with the </w:t>
      </w:r>
      <w:r>
        <w:t>Guideline</w:t>
      </w:r>
      <w:r w:rsidRPr="00390148">
        <w:t>s in force in the jurisdiction concerned.</w:t>
      </w:r>
    </w:p>
    <w:p w:rsidR="002B5CF2" w:rsidRPr="00CD3A8C" w:rsidRDefault="002B5CF2" w:rsidP="002B5CF2">
      <w:pPr>
        <w:pStyle w:val="Titlelevel3"/>
        <w:rPr>
          <w:lang w:val="en-GB"/>
        </w:rPr>
      </w:pPr>
      <w:r w:rsidRPr="00CD3A8C">
        <w:rPr>
          <w:lang w:val="en-GB"/>
        </w:rPr>
        <w:t>Notes</w:t>
      </w:r>
    </w:p>
    <w:p w:rsidR="002B5CF2" w:rsidRPr="00CD3A8C" w:rsidRDefault="002B5CF2" w:rsidP="002B5CF2">
      <w:pPr>
        <w:pStyle w:val="body"/>
        <w:jc w:val="left"/>
        <w:rPr>
          <w:lang w:val="en-GB"/>
        </w:rPr>
      </w:pPr>
      <w:r w:rsidRPr="00CD3A8C">
        <w:rPr>
          <w:lang w:val="en-GB"/>
        </w:rPr>
        <w:t xml:space="preserve">Article 16(3) of the </w:t>
      </w:r>
      <w:r>
        <w:rPr>
          <w:lang w:val="en-GB"/>
        </w:rPr>
        <w:t xml:space="preserve">EBA’s </w:t>
      </w:r>
      <w:r w:rsidRPr="00CD3A8C">
        <w:rPr>
          <w:lang w:val="en-GB"/>
        </w:rPr>
        <w:t>Regulation</w:t>
      </w:r>
      <w:r>
        <w:rPr>
          <w:lang w:val="en-GB"/>
        </w:rPr>
        <w:t>s</w:t>
      </w:r>
      <w:r w:rsidRPr="00CD3A8C">
        <w:rPr>
          <w:lang w:val="en-GB"/>
        </w:rPr>
        <w:t xml:space="preserve"> require</w:t>
      </w:r>
      <w:r>
        <w:rPr>
          <w:lang w:val="en-GB"/>
        </w:rPr>
        <w:t>s</w:t>
      </w:r>
      <w:r w:rsidRPr="00CD3A8C">
        <w:rPr>
          <w:lang w:val="en-GB"/>
        </w:rPr>
        <w:t xml:space="preserve"> national competent authorities to inform us whether they comply or intend to comply with each </w:t>
      </w:r>
      <w:r>
        <w:rPr>
          <w:lang w:val="en-GB"/>
        </w:rPr>
        <w:t>Guideline</w:t>
      </w:r>
      <w:r w:rsidRPr="00CD3A8C">
        <w:rPr>
          <w:lang w:val="en-GB"/>
        </w:rPr>
        <w:t xml:space="preserve"> or recommendation we issue. If a competent authority does not comply or does not intend to comply it must inform us of the reasons. We decide on a case by case basis whether to publish reasons.</w:t>
      </w:r>
    </w:p>
    <w:p w:rsidR="002B5CF2" w:rsidRPr="00CD3A8C" w:rsidRDefault="002B5CF2" w:rsidP="002B5CF2">
      <w:pPr>
        <w:pStyle w:val="body"/>
        <w:jc w:val="left"/>
        <w:rPr>
          <w:lang w:val="en-GB"/>
        </w:rPr>
      </w:pPr>
      <w:r>
        <w:rPr>
          <w:lang w:val="en-GB"/>
        </w:rPr>
        <w:lastRenderedPageBreak/>
        <w:t>The EBA</w:t>
      </w:r>
      <w:r w:rsidRPr="00CD3A8C">
        <w:rPr>
          <w:lang w:val="en-GB"/>
        </w:rPr>
        <w:t xml:space="preserve"> endeavour to ensure the accuracy of this document, however, the information is provided by the competen</w:t>
      </w:r>
      <w:r>
        <w:rPr>
          <w:lang w:val="en-GB"/>
        </w:rPr>
        <w:t>t authorities and, as such, the EBA</w:t>
      </w:r>
      <w:r w:rsidRPr="00CD3A8C">
        <w:rPr>
          <w:lang w:val="en-GB"/>
        </w:rPr>
        <w:t xml:space="preserve"> cannot accept responsibility for its contents or any reliance placed on it. </w:t>
      </w:r>
    </w:p>
    <w:p w:rsidR="002B5CF2" w:rsidRDefault="002B5CF2" w:rsidP="002B5CF2">
      <w:pPr>
        <w:pStyle w:val="body"/>
        <w:jc w:val="left"/>
        <w:rPr>
          <w:lang w:val="en-GB"/>
        </w:rPr>
      </w:pPr>
      <w:r w:rsidRPr="00CD3A8C">
        <w:rPr>
          <w:lang w:val="en-GB"/>
        </w:rPr>
        <w:t xml:space="preserve">For further information on the current position of any competent authority, please contact that competent authority. Contact details can be obtained from </w:t>
      </w:r>
      <w:r>
        <w:rPr>
          <w:lang w:val="en-GB"/>
        </w:rPr>
        <w:t>the EBA’s w</w:t>
      </w:r>
      <w:r w:rsidRPr="00CD3A8C">
        <w:rPr>
          <w:lang w:val="en-GB"/>
        </w:rPr>
        <w:t>ebsite</w:t>
      </w:r>
      <w:r>
        <w:rPr>
          <w:lang w:val="en-GB"/>
        </w:rPr>
        <w:t xml:space="preserve"> </w:t>
      </w:r>
      <w:hyperlink r:id="rId8" w:history="1">
        <w:r w:rsidRPr="007446A8">
          <w:rPr>
            <w:rStyle w:val="Hyperlink"/>
            <w:lang w:val="en-GB"/>
          </w:rPr>
          <w:t>www.eba.europa.eu</w:t>
        </w:r>
      </w:hyperlink>
      <w:r>
        <w:rPr>
          <w:lang w:val="en-GB"/>
        </w:rPr>
        <w:t>.</w:t>
      </w:r>
    </w:p>
    <w:p w:rsidR="002B5CF2" w:rsidRPr="00A527E1" w:rsidRDefault="002B5CF2" w:rsidP="002B5CF2"/>
    <w:p w:rsidR="002B5CF2" w:rsidRPr="00A725D6" w:rsidRDefault="002B5CF2" w:rsidP="002B5CF2">
      <w:pPr>
        <w:rPr>
          <w:lang w:val="en-GB"/>
        </w:rPr>
      </w:pPr>
    </w:p>
    <w:p w:rsidR="002B5CF2" w:rsidRPr="00A725D6" w:rsidRDefault="002B5CF2" w:rsidP="002B5CF2">
      <w:pPr>
        <w:rPr>
          <w:lang w:val="en-GB"/>
        </w:rPr>
      </w:pPr>
    </w:p>
    <w:p w:rsidR="002B5CF2" w:rsidRPr="00A725D6" w:rsidRDefault="002B5CF2" w:rsidP="002B5CF2">
      <w:pPr>
        <w:rPr>
          <w:lang w:val="en-GB"/>
        </w:rPr>
      </w:pPr>
    </w:p>
    <w:bookmarkEnd w:id="0"/>
    <w:bookmarkEnd w:id="1"/>
    <w:bookmarkEnd w:id="2"/>
    <w:bookmarkEnd w:id="3"/>
    <w:p w:rsidR="00D76E91" w:rsidRPr="002B5CF2" w:rsidRDefault="00D76E91" w:rsidP="002B5CF2"/>
    <w:sectPr w:rsidR="00D76E91" w:rsidRPr="002B5CF2" w:rsidSect="00B55FAB">
      <w:headerReference w:type="even" r:id="rId9"/>
      <w:headerReference w:type="default" r:id="rId10"/>
      <w:footerReference w:type="even" r:id="rId11"/>
      <w:footerReference w:type="default" r:id="rId12"/>
      <w:headerReference w:type="first" r:id="rId13"/>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FE" w:rsidRDefault="000769FE" w:rsidP="00A00E34">
      <w:r>
        <w:separator/>
      </w:r>
    </w:p>
    <w:p w:rsidR="000769FE" w:rsidRDefault="000769FE"/>
  </w:endnote>
  <w:endnote w:type="continuationSeparator" w:id="0">
    <w:p w:rsidR="000769FE" w:rsidRDefault="000769FE" w:rsidP="00A00E34">
      <w:r>
        <w:continuationSeparator/>
      </w:r>
    </w:p>
    <w:p w:rsidR="000769FE" w:rsidRDefault="00076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7B" w:rsidRDefault="001A5BD4"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end"/>
    </w:r>
  </w:p>
  <w:p w:rsidR="0035477B" w:rsidRDefault="0035477B"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7B" w:rsidRDefault="001A5BD4"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separate"/>
    </w:r>
    <w:r w:rsidR="003E2C70">
      <w:rPr>
        <w:rStyle w:val="PageNumber"/>
        <w:noProof/>
      </w:rPr>
      <w:t>1</w:t>
    </w:r>
    <w:r>
      <w:rPr>
        <w:rStyle w:val="PageNumber"/>
      </w:rPr>
      <w:fldChar w:fldCharType="end"/>
    </w:r>
  </w:p>
  <w:p w:rsidR="0035477B" w:rsidRDefault="006A43C0" w:rsidP="00610305">
    <w:pPr>
      <w:pStyle w:val="Footer"/>
      <w:ind w:right="360"/>
    </w:pPr>
    <w:r>
      <w:rPr>
        <w:noProof/>
        <w:lang w:val="en-GB" w:eastAsia="en-GB"/>
      </w:rPr>
      <mc:AlternateContent>
        <mc:Choice Requires="wps">
          <w:drawing>
            <wp:anchor distT="4294967295" distB="4294967295" distL="114300" distR="114300" simplePos="0" relativeHeight="251669504" behindDoc="1" locked="1" layoutInCell="1" allowOverlap="1">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1BE97" id="Straight Connector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FE" w:rsidRPr="00DB5E8F" w:rsidRDefault="000769FE">
      <w:pPr>
        <w:rPr>
          <w:sz w:val="12"/>
          <w:szCs w:val="12"/>
        </w:rPr>
      </w:pPr>
      <w:r w:rsidRPr="00DB5E8F">
        <w:rPr>
          <w:sz w:val="12"/>
          <w:szCs w:val="12"/>
        </w:rPr>
        <w:separator/>
      </w:r>
    </w:p>
  </w:footnote>
  <w:footnote w:type="continuationSeparator" w:id="0">
    <w:p w:rsidR="000769FE" w:rsidRDefault="000769FE" w:rsidP="00A00E34">
      <w:r>
        <w:continuationSeparator/>
      </w:r>
    </w:p>
    <w:p w:rsidR="000769FE" w:rsidRDefault="000769FE"/>
  </w:footnote>
  <w:footnote w:type="continuationNotice" w:id="1">
    <w:p w:rsidR="000769FE" w:rsidRDefault="000769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7B" w:rsidRDefault="003E2C70">
    <w:sdt>
      <w:sdtPr>
        <w:id w:val="1051503992"/>
        <w:temporary/>
        <w:showingPlcHdr/>
      </w:sdtPr>
      <w:sdtEndPr/>
      <w:sdtContent>
        <w:r w:rsidR="0035477B">
          <w:t>[Type text]</w:t>
        </w:r>
      </w:sdtContent>
    </w:sdt>
    <w:r w:rsidR="0035477B">
      <w:ptab w:relativeTo="margin" w:alignment="center" w:leader="none"/>
    </w:r>
    <w:sdt>
      <w:sdtPr>
        <w:id w:val="731575129"/>
        <w:temporary/>
        <w:showingPlcHdr/>
      </w:sdtPr>
      <w:sdtEndPr/>
      <w:sdtContent>
        <w:r w:rsidR="0035477B">
          <w:t>[Type text]</w:t>
        </w:r>
      </w:sdtContent>
    </w:sdt>
    <w:r w:rsidR="0035477B">
      <w:ptab w:relativeTo="margin" w:alignment="right" w:leader="none"/>
    </w:r>
    <w:sdt>
      <w:sdtPr>
        <w:id w:val="364179191"/>
        <w:temporary/>
        <w:showingPlcHdr/>
      </w:sdtPr>
      <w:sdtEndPr/>
      <w:sdtContent>
        <w:r w:rsidR="0035477B">
          <w:t>[Type text]</w:t>
        </w:r>
      </w:sdtContent>
    </w:sdt>
  </w:p>
  <w:p w:rsidR="0035477B" w:rsidRDefault="003547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7B" w:rsidRPr="00F9452C" w:rsidRDefault="0035477B" w:rsidP="002C0DCF">
    <w:pPr>
      <w:pStyle w:val="Runningtitle"/>
    </w:pPr>
    <w:r>
      <w:rPr>
        <w:noProof/>
        <w:lang w:val="en-GB" w:eastAsia="en-GB"/>
      </w:rPr>
      <w:drawing>
        <wp:anchor distT="0" distB="0" distL="114300" distR="114300" simplePos="0" relativeHeight="251658240" behindDoc="1" locked="0" layoutInCell="1" allowOverlap="1" wp14:anchorId="5BB326F6" wp14:editId="02EA86DC">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15FC9" w:rsidRPr="00415FC9">
      <w:rPr>
        <w:lang w:val="en-GB"/>
      </w:rPr>
      <w:t xml:space="preserve"> </w:t>
    </w:r>
    <w:r w:rsidR="00415FC9">
      <w:rPr>
        <w:lang w:val="en-GB"/>
      </w:rPr>
      <w:t xml:space="preserve">Confirmation of compliance with </w:t>
    </w:r>
    <w:r w:rsidR="00392600">
      <w:rPr>
        <w:lang w:val="en-GB"/>
      </w:rPr>
      <w:t>guidelines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7B" w:rsidRDefault="0035477B"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60288" behindDoc="1" locked="1" layoutInCell="1" allowOverlap="0">
          <wp:simplePos x="0" y="0"/>
          <wp:positionH relativeFrom="page">
            <wp:posOffset>4702175</wp:posOffset>
          </wp:positionH>
          <wp:positionV relativeFrom="page">
            <wp:posOffset>450215</wp:posOffset>
          </wp:positionV>
          <wp:extent cx="1941830" cy="719455"/>
          <wp:effectExtent l="0" t="0" r="0" b="0"/>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900904"/>
    <w:multiLevelType w:val="hybridMultilevel"/>
    <w:tmpl w:val="284EB0F2"/>
    <w:lvl w:ilvl="0" w:tplc="80C6A846">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24E2B"/>
    <w:multiLevelType w:val="hybridMultilevel"/>
    <w:tmpl w:val="3A425A3C"/>
    <w:lvl w:ilvl="0" w:tplc="06DC6AAE">
      <w:start w:val="1"/>
      <w:numFmt w:val="bullet"/>
      <w:lvlText w:val="•"/>
      <w:lvlJc w:val="left"/>
      <w:pPr>
        <w:ind w:left="966" w:hanging="699"/>
      </w:pPr>
      <w:rPr>
        <w:rFonts w:ascii="Arial" w:eastAsia="Arial" w:hAnsi="Arial" w:hint="default"/>
        <w:color w:val="383838"/>
        <w:w w:val="133"/>
        <w:sz w:val="20"/>
        <w:szCs w:val="20"/>
      </w:rPr>
    </w:lvl>
    <w:lvl w:ilvl="1" w:tplc="EC98114E">
      <w:start w:val="1"/>
      <w:numFmt w:val="bullet"/>
      <w:lvlText w:val="o"/>
      <w:lvlJc w:val="left"/>
      <w:pPr>
        <w:ind w:left="1669" w:hanging="355"/>
      </w:pPr>
      <w:rPr>
        <w:rFonts w:ascii="Arial" w:eastAsia="Arial" w:hAnsi="Arial" w:hint="default"/>
        <w:color w:val="828282"/>
        <w:w w:val="106"/>
        <w:sz w:val="20"/>
        <w:szCs w:val="20"/>
      </w:rPr>
    </w:lvl>
    <w:lvl w:ilvl="2" w:tplc="4E64DEEE">
      <w:start w:val="1"/>
      <w:numFmt w:val="bullet"/>
      <w:lvlText w:val="•"/>
      <w:lvlJc w:val="left"/>
      <w:pPr>
        <w:ind w:left="2506" w:hanging="355"/>
      </w:pPr>
      <w:rPr>
        <w:rFonts w:hint="default"/>
      </w:rPr>
    </w:lvl>
    <w:lvl w:ilvl="3" w:tplc="11229A2C">
      <w:start w:val="1"/>
      <w:numFmt w:val="bullet"/>
      <w:lvlText w:val="•"/>
      <w:lvlJc w:val="left"/>
      <w:pPr>
        <w:ind w:left="3342" w:hanging="355"/>
      </w:pPr>
      <w:rPr>
        <w:rFonts w:hint="default"/>
      </w:rPr>
    </w:lvl>
    <w:lvl w:ilvl="4" w:tplc="1B9EE772">
      <w:start w:val="1"/>
      <w:numFmt w:val="bullet"/>
      <w:lvlText w:val="•"/>
      <w:lvlJc w:val="left"/>
      <w:pPr>
        <w:ind w:left="4179" w:hanging="355"/>
      </w:pPr>
      <w:rPr>
        <w:rFonts w:hint="default"/>
      </w:rPr>
    </w:lvl>
    <w:lvl w:ilvl="5" w:tplc="85F6C4C6">
      <w:start w:val="1"/>
      <w:numFmt w:val="bullet"/>
      <w:lvlText w:val="•"/>
      <w:lvlJc w:val="left"/>
      <w:pPr>
        <w:ind w:left="5016" w:hanging="355"/>
      </w:pPr>
      <w:rPr>
        <w:rFonts w:hint="default"/>
      </w:rPr>
    </w:lvl>
    <w:lvl w:ilvl="6" w:tplc="5CFEF91E">
      <w:start w:val="1"/>
      <w:numFmt w:val="bullet"/>
      <w:lvlText w:val="•"/>
      <w:lvlJc w:val="left"/>
      <w:pPr>
        <w:ind w:left="5853" w:hanging="355"/>
      </w:pPr>
      <w:rPr>
        <w:rFonts w:hint="default"/>
      </w:rPr>
    </w:lvl>
    <w:lvl w:ilvl="7" w:tplc="AAF4C7FA">
      <w:start w:val="1"/>
      <w:numFmt w:val="bullet"/>
      <w:lvlText w:val="•"/>
      <w:lvlJc w:val="left"/>
      <w:pPr>
        <w:ind w:left="6689" w:hanging="355"/>
      </w:pPr>
      <w:rPr>
        <w:rFonts w:hint="default"/>
      </w:rPr>
    </w:lvl>
    <w:lvl w:ilvl="8" w:tplc="6DCED4AA">
      <w:start w:val="1"/>
      <w:numFmt w:val="bullet"/>
      <w:lvlText w:val="•"/>
      <w:lvlJc w:val="left"/>
      <w:pPr>
        <w:ind w:left="7526" w:hanging="355"/>
      </w:pPr>
      <w:rPr>
        <w:rFonts w:hint="default"/>
      </w:rPr>
    </w:lvl>
  </w:abstractNum>
  <w:abstractNum w:abstractNumId="13"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9"/>
  </w:num>
  <w:num w:numId="2">
    <w:abstractNumId w:val="2"/>
  </w:num>
  <w:num w:numId="3">
    <w:abstractNumId w:val="7"/>
  </w:num>
  <w:num w:numId="4">
    <w:abstractNumId w:val="8"/>
  </w:num>
  <w:num w:numId="5">
    <w:abstractNumId w:val="14"/>
  </w:num>
  <w:num w:numId="6">
    <w:abstractNumId w:val="1"/>
  </w:num>
  <w:num w:numId="7">
    <w:abstractNumId w:val="13"/>
  </w:num>
  <w:num w:numId="8">
    <w:abstractNumId w:val="11"/>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0"/>
  </w:num>
  <w:num w:numId="16">
    <w:abstractNumId w:val="3"/>
  </w:num>
  <w:num w:numId="17">
    <w:abstractNumId w:val="6"/>
  </w:num>
  <w:num w:numId="18">
    <w:abstractNumId w:val="15"/>
  </w:num>
  <w:num w:numId="19">
    <w:abstractNumId w:val="4"/>
  </w:num>
  <w:num w:numId="20">
    <w:abstractNumId w:val="5"/>
  </w:num>
  <w:num w:numId="21">
    <w:abstractNumId w:val="10"/>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112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GL-REC 20XX XX (FINAL GLS-REC ON"/>
  </w:docVars>
  <w:rsids>
    <w:rsidRoot w:val="000769FE"/>
    <w:rsid w:val="000027A1"/>
    <w:rsid w:val="00003F50"/>
    <w:rsid w:val="00006737"/>
    <w:rsid w:val="00013281"/>
    <w:rsid w:val="00022682"/>
    <w:rsid w:val="000231B7"/>
    <w:rsid w:val="00027CA0"/>
    <w:rsid w:val="00030D65"/>
    <w:rsid w:val="0003357D"/>
    <w:rsid w:val="00035C39"/>
    <w:rsid w:val="00052EFC"/>
    <w:rsid w:val="00060F40"/>
    <w:rsid w:val="0006500D"/>
    <w:rsid w:val="000769FE"/>
    <w:rsid w:val="000843CD"/>
    <w:rsid w:val="000A1C81"/>
    <w:rsid w:val="000A33AC"/>
    <w:rsid w:val="000B1645"/>
    <w:rsid w:val="000C5A8A"/>
    <w:rsid w:val="000D4082"/>
    <w:rsid w:val="000D7A44"/>
    <w:rsid w:val="000E0C27"/>
    <w:rsid w:val="000E6D15"/>
    <w:rsid w:val="000F38F9"/>
    <w:rsid w:val="000F607B"/>
    <w:rsid w:val="000F6495"/>
    <w:rsid w:val="000F6FD8"/>
    <w:rsid w:val="001051A7"/>
    <w:rsid w:val="00112823"/>
    <w:rsid w:val="00113B80"/>
    <w:rsid w:val="0011517F"/>
    <w:rsid w:val="00121BB0"/>
    <w:rsid w:val="00122D42"/>
    <w:rsid w:val="0012686C"/>
    <w:rsid w:val="0013090C"/>
    <w:rsid w:val="001317C0"/>
    <w:rsid w:val="00131C5D"/>
    <w:rsid w:val="0013547A"/>
    <w:rsid w:val="00145D24"/>
    <w:rsid w:val="00152832"/>
    <w:rsid w:val="00157C55"/>
    <w:rsid w:val="001600FC"/>
    <w:rsid w:val="00172007"/>
    <w:rsid w:val="0017446F"/>
    <w:rsid w:val="00176CEE"/>
    <w:rsid w:val="001807E7"/>
    <w:rsid w:val="00180E1B"/>
    <w:rsid w:val="001834D4"/>
    <w:rsid w:val="00192287"/>
    <w:rsid w:val="00192DCA"/>
    <w:rsid w:val="0019739E"/>
    <w:rsid w:val="001A016C"/>
    <w:rsid w:val="001A2A81"/>
    <w:rsid w:val="001A5BD4"/>
    <w:rsid w:val="001B2C0D"/>
    <w:rsid w:val="001B31DA"/>
    <w:rsid w:val="001B6017"/>
    <w:rsid w:val="001B7A0B"/>
    <w:rsid w:val="001B7EB3"/>
    <w:rsid w:val="001C1FD9"/>
    <w:rsid w:val="001C5BC2"/>
    <w:rsid w:val="001D0179"/>
    <w:rsid w:val="001D0BE0"/>
    <w:rsid w:val="001D5261"/>
    <w:rsid w:val="001D54CB"/>
    <w:rsid w:val="001D5EC4"/>
    <w:rsid w:val="001D6447"/>
    <w:rsid w:val="001E1188"/>
    <w:rsid w:val="001E314D"/>
    <w:rsid w:val="001E3599"/>
    <w:rsid w:val="001E3DAC"/>
    <w:rsid w:val="001E5E08"/>
    <w:rsid w:val="001E70DD"/>
    <w:rsid w:val="001F1CB9"/>
    <w:rsid w:val="001F1EAE"/>
    <w:rsid w:val="001F7501"/>
    <w:rsid w:val="00205878"/>
    <w:rsid w:val="00213D7B"/>
    <w:rsid w:val="00214DEC"/>
    <w:rsid w:val="0021782A"/>
    <w:rsid w:val="00224761"/>
    <w:rsid w:val="00224A3F"/>
    <w:rsid w:val="002306C7"/>
    <w:rsid w:val="002400C7"/>
    <w:rsid w:val="00241BD8"/>
    <w:rsid w:val="00242C05"/>
    <w:rsid w:val="00242DD3"/>
    <w:rsid w:val="002434B0"/>
    <w:rsid w:val="002470E5"/>
    <w:rsid w:val="00270F40"/>
    <w:rsid w:val="0027418E"/>
    <w:rsid w:val="00276695"/>
    <w:rsid w:val="00290DA3"/>
    <w:rsid w:val="002A1448"/>
    <w:rsid w:val="002B0B93"/>
    <w:rsid w:val="002B3A3F"/>
    <w:rsid w:val="002B5325"/>
    <w:rsid w:val="002B5CF2"/>
    <w:rsid w:val="002B60E5"/>
    <w:rsid w:val="002C0DCF"/>
    <w:rsid w:val="002C19B0"/>
    <w:rsid w:val="002C508D"/>
    <w:rsid w:val="002D1867"/>
    <w:rsid w:val="002D702A"/>
    <w:rsid w:val="002F2009"/>
    <w:rsid w:val="002F7090"/>
    <w:rsid w:val="002F7EA6"/>
    <w:rsid w:val="00300924"/>
    <w:rsid w:val="003025A8"/>
    <w:rsid w:val="003048C7"/>
    <w:rsid w:val="003129B6"/>
    <w:rsid w:val="00314D6E"/>
    <w:rsid w:val="0031654E"/>
    <w:rsid w:val="00320E57"/>
    <w:rsid w:val="003221EF"/>
    <w:rsid w:val="003248A2"/>
    <w:rsid w:val="00330740"/>
    <w:rsid w:val="00333ED5"/>
    <w:rsid w:val="0035296E"/>
    <w:rsid w:val="0035477B"/>
    <w:rsid w:val="00354EE4"/>
    <w:rsid w:val="00372687"/>
    <w:rsid w:val="00372BEC"/>
    <w:rsid w:val="00392385"/>
    <w:rsid w:val="00392600"/>
    <w:rsid w:val="003970EB"/>
    <w:rsid w:val="003A6C1E"/>
    <w:rsid w:val="003B5D3D"/>
    <w:rsid w:val="003D4C17"/>
    <w:rsid w:val="003D7A72"/>
    <w:rsid w:val="003E2C70"/>
    <w:rsid w:val="003E69BA"/>
    <w:rsid w:val="003F36E5"/>
    <w:rsid w:val="00405084"/>
    <w:rsid w:val="00412567"/>
    <w:rsid w:val="004132B6"/>
    <w:rsid w:val="00415FC9"/>
    <w:rsid w:val="00424530"/>
    <w:rsid w:val="004300A7"/>
    <w:rsid w:val="0043577F"/>
    <w:rsid w:val="0044034F"/>
    <w:rsid w:val="00441F85"/>
    <w:rsid w:val="0045301B"/>
    <w:rsid w:val="00455E0E"/>
    <w:rsid w:val="004719B4"/>
    <w:rsid w:val="00471CA1"/>
    <w:rsid w:val="00471CCE"/>
    <w:rsid w:val="00475C82"/>
    <w:rsid w:val="00481AC4"/>
    <w:rsid w:val="00482FB6"/>
    <w:rsid w:val="00491F75"/>
    <w:rsid w:val="0049741D"/>
    <w:rsid w:val="004A5D8B"/>
    <w:rsid w:val="004B0502"/>
    <w:rsid w:val="004B2FC0"/>
    <w:rsid w:val="004B3F66"/>
    <w:rsid w:val="004B7784"/>
    <w:rsid w:val="004B7D29"/>
    <w:rsid w:val="004B7DCA"/>
    <w:rsid w:val="004C11FD"/>
    <w:rsid w:val="004C1B19"/>
    <w:rsid w:val="004C6392"/>
    <w:rsid w:val="004E405B"/>
    <w:rsid w:val="004F0182"/>
    <w:rsid w:val="004F0AB6"/>
    <w:rsid w:val="004F63DB"/>
    <w:rsid w:val="005105EF"/>
    <w:rsid w:val="00513E3C"/>
    <w:rsid w:val="00515F3A"/>
    <w:rsid w:val="00516A25"/>
    <w:rsid w:val="00523895"/>
    <w:rsid w:val="00525BCC"/>
    <w:rsid w:val="005410AB"/>
    <w:rsid w:val="00543515"/>
    <w:rsid w:val="00543E6D"/>
    <w:rsid w:val="00547C88"/>
    <w:rsid w:val="005608DB"/>
    <w:rsid w:val="00565691"/>
    <w:rsid w:val="00565FDC"/>
    <w:rsid w:val="005674A2"/>
    <w:rsid w:val="00571BB6"/>
    <w:rsid w:val="00572482"/>
    <w:rsid w:val="00575BA7"/>
    <w:rsid w:val="00576974"/>
    <w:rsid w:val="00581A81"/>
    <w:rsid w:val="00582AA7"/>
    <w:rsid w:val="0058477C"/>
    <w:rsid w:val="0058719A"/>
    <w:rsid w:val="0059444B"/>
    <w:rsid w:val="005A6911"/>
    <w:rsid w:val="005B5C09"/>
    <w:rsid w:val="005B7A0A"/>
    <w:rsid w:val="005C498B"/>
    <w:rsid w:val="005D4005"/>
    <w:rsid w:val="005D40D1"/>
    <w:rsid w:val="005E4011"/>
    <w:rsid w:val="00610305"/>
    <w:rsid w:val="00610419"/>
    <w:rsid w:val="00611DDB"/>
    <w:rsid w:val="00612C7B"/>
    <w:rsid w:val="00613590"/>
    <w:rsid w:val="0062125B"/>
    <w:rsid w:val="006224C1"/>
    <w:rsid w:val="006269B7"/>
    <w:rsid w:val="00633491"/>
    <w:rsid w:val="00633DC7"/>
    <w:rsid w:val="00636E1D"/>
    <w:rsid w:val="00654876"/>
    <w:rsid w:val="00657956"/>
    <w:rsid w:val="00663B0A"/>
    <w:rsid w:val="006641F8"/>
    <w:rsid w:val="00666689"/>
    <w:rsid w:val="00670254"/>
    <w:rsid w:val="00673855"/>
    <w:rsid w:val="00685963"/>
    <w:rsid w:val="006867FD"/>
    <w:rsid w:val="006973AC"/>
    <w:rsid w:val="006A43C0"/>
    <w:rsid w:val="006B24F0"/>
    <w:rsid w:val="006B55F4"/>
    <w:rsid w:val="006B773B"/>
    <w:rsid w:val="006C186D"/>
    <w:rsid w:val="006C45F9"/>
    <w:rsid w:val="006E55E1"/>
    <w:rsid w:val="006F0DEE"/>
    <w:rsid w:val="006F3DAC"/>
    <w:rsid w:val="006F445D"/>
    <w:rsid w:val="00703E4E"/>
    <w:rsid w:val="00705EB3"/>
    <w:rsid w:val="007071C6"/>
    <w:rsid w:val="00710284"/>
    <w:rsid w:val="0071195A"/>
    <w:rsid w:val="00711E1C"/>
    <w:rsid w:val="00721BD4"/>
    <w:rsid w:val="00721FBA"/>
    <w:rsid w:val="00722408"/>
    <w:rsid w:val="007247F1"/>
    <w:rsid w:val="00730352"/>
    <w:rsid w:val="00736B52"/>
    <w:rsid w:val="00742839"/>
    <w:rsid w:val="00751C1D"/>
    <w:rsid w:val="00755505"/>
    <w:rsid w:val="00757388"/>
    <w:rsid w:val="0076316D"/>
    <w:rsid w:val="00765F41"/>
    <w:rsid w:val="00770634"/>
    <w:rsid w:val="007715D0"/>
    <w:rsid w:val="00772205"/>
    <w:rsid w:val="00772993"/>
    <w:rsid w:val="007815FB"/>
    <w:rsid w:val="00781D80"/>
    <w:rsid w:val="00783EDA"/>
    <w:rsid w:val="00795DA4"/>
    <w:rsid w:val="007A0054"/>
    <w:rsid w:val="007A44A6"/>
    <w:rsid w:val="007A5353"/>
    <w:rsid w:val="007A62E0"/>
    <w:rsid w:val="007B0E84"/>
    <w:rsid w:val="007B3D63"/>
    <w:rsid w:val="007C55D0"/>
    <w:rsid w:val="007D06E5"/>
    <w:rsid w:val="007D50A5"/>
    <w:rsid w:val="007F473C"/>
    <w:rsid w:val="008074BE"/>
    <w:rsid w:val="00807E16"/>
    <w:rsid w:val="0081135D"/>
    <w:rsid w:val="00813BAC"/>
    <w:rsid w:val="00813CD4"/>
    <w:rsid w:val="00821B9D"/>
    <w:rsid w:val="0082526D"/>
    <w:rsid w:val="00837DF6"/>
    <w:rsid w:val="0084468C"/>
    <w:rsid w:val="0085089F"/>
    <w:rsid w:val="0085119A"/>
    <w:rsid w:val="008552A0"/>
    <w:rsid w:val="00865492"/>
    <w:rsid w:val="00867CB4"/>
    <w:rsid w:val="008708AB"/>
    <w:rsid w:val="00874ED5"/>
    <w:rsid w:val="00894F59"/>
    <w:rsid w:val="00896C68"/>
    <w:rsid w:val="008A2DAC"/>
    <w:rsid w:val="008A3444"/>
    <w:rsid w:val="008B0157"/>
    <w:rsid w:val="008B18DC"/>
    <w:rsid w:val="008B18DE"/>
    <w:rsid w:val="008C48FB"/>
    <w:rsid w:val="008C5B82"/>
    <w:rsid w:val="008C6B9A"/>
    <w:rsid w:val="008E10C9"/>
    <w:rsid w:val="008E2065"/>
    <w:rsid w:val="008E5C85"/>
    <w:rsid w:val="008F3908"/>
    <w:rsid w:val="009014B6"/>
    <w:rsid w:val="009062AD"/>
    <w:rsid w:val="00907509"/>
    <w:rsid w:val="00912882"/>
    <w:rsid w:val="00912895"/>
    <w:rsid w:val="009210DE"/>
    <w:rsid w:val="00922663"/>
    <w:rsid w:val="0092766D"/>
    <w:rsid w:val="0093582D"/>
    <w:rsid w:val="00942F4D"/>
    <w:rsid w:val="00943B87"/>
    <w:rsid w:val="00945C35"/>
    <w:rsid w:val="0096160F"/>
    <w:rsid w:val="00965B80"/>
    <w:rsid w:val="009752CE"/>
    <w:rsid w:val="00986BBC"/>
    <w:rsid w:val="009969A9"/>
    <w:rsid w:val="009B7D10"/>
    <w:rsid w:val="009C12C9"/>
    <w:rsid w:val="009C1CE7"/>
    <w:rsid w:val="009D29D8"/>
    <w:rsid w:val="009D55F7"/>
    <w:rsid w:val="009E3AC1"/>
    <w:rsid w:val="009E5ADB"/>
    <w:rsid w:val="009E76BE"/>
    <w:rsid w:val="009E79BF"/>
    <w:rsid w:val="009F3B6B"/>
    <w:rsid w:val="009F3FE6"/>
    <w:rsid w:val="009F53AF"/>
    <w:rsid w:val="00A00E34"/>
    <w:rsid w:val="00A10257"/>
    <w:rsid w:val="00A14332"/>
    <w:rsid w:val="00A154B0"/>
    <w:rsid w:val="00A21AB8"/>
    <w:rsid w:val="00A26DCA"/>
    <w:rsid w:val="00A27D88"/>
    <w:rsid w:val="00A304D0"/>
    <w:rsid w:val="00A33C8B"/>
    <w:rsid w:val="00A4117C"/>
    <w:rsid w:val="00A4607D"/>
    <w:rsid w:val="00A53EC9"/>
    <w:rsid w:val="00A62ADC"/>
    <w:rsid w:val="00A725D6"/>
    <w:rsid w:val="00A84E55"/>
    <w:rsid w:val="00A92440"/>
    <w:rsid w:val="00AB0D0D"/>
    <w:rsid w:val="00AB104D"/>
    <w:rsid w:val="00AC1436"/>
    <w:rsid w:val="00AC2538"/>
    <w:rsid w:val="00AC69D7"/>
    <w:rsid w:val="00AD0C73"/>
    <w:rsid w:val="00AD402D"/>
    <w:rsid w:val="00AD6B94"/>
    <w:rsid w:val="00AE1A2D"/>
    <w:rsid w:val="00AE5347"/>
    <w:rsid w:val="00AE55F6"/>
    <w:rsid w:val="00AE56DB"/>
    <w:rsid w:val="00AF3AB2"/>
    <w:rsid w:val="00AF44EF"/>
    <w:rsid w:val="00B13C87"/>
    <w:rsid w:val="00B1710D"/>
    <w:rsid w:val="00B32510"/>
    <w:rsid w:val="00B36D5E"/>
    <w:rsid w:val="00B37273"/>
    <w:rsid w:val="00B526A8"/>
    <w:rsid w:val="00B55FAB"/>
    <w:rsid w:val="00B653A4"/>
    <w:rsid w:val="00B6734E"/>
    <w:rsid w:val="00B72435"/>
    <w:rsid w:val="00B741CA"/>
    <w:rsid w:val="00B83D9D"/>
    <w:rsid w:val="00B84529"/>
    <w:rsid w:val="00B85D98"/>
    <w:rsid w:val="00B93CED"/>
    <w:rsid w:val="00B95978"/>
    <w:rsid w:val="00B96F7F"/>
    <w:rsid w:val="00BB2111"/>
    <w:rsid w:val="00BB47D4"/>
    <w:rsid w:val="00BC146B"/>
    <w:rsid w:val="00BC7FD2"/>
    <w:rsid w:val="00BE4067"/>
    <w:rsid w:val="00C03AE7"/>
    <w:rsid w:val="00C05D9D"/>
    <w:rsid w:val="00C100B9"/>
    <w:rsid w:val="00C13068"/>
    <w:rsid w:val="00C15133"/>
    <w:rsid w:val="00C246A9"/>
    <w:rsid w:val="00C2797A"/>
    <w:rsid w:val="00C30A40"/>
    <w:rsid w:val="00C34B03"/>
    <w:rsid w:val="00C35592"/>
    <w:rsid w:val="00C356AF"/>
    <w:rsid w:val="00C41927"/>
    <w:rsid w:val="00C439D6"/>
    <w:rsid w:val="00C43FD9"/>
    <w:rsid w:val="00C44EB2"/>
    <w:rsid w:val="00C47E8F"/>
    <w:rsid w:val="00C5082B"/>
    <w:rsid w:val="00C5472C"/>
    <w:rsid w:val="00C60915"/>
    <w:rsid w:val="00C73F8B"/>
    <w:rsid w:val="00C7529F"/>
    <w:rsid w:val="00C964B8"/>
    <w:rsid w:val="00CA4470"/>
    <w:rsid w:val="00CA46E1"/>
    <w:rsid w:val="00CB0FD8"/>
    <w:rsid w:val="00CC19E3"/>
    <w:rsid w:val="00CD4AF7"/>
    <w:rsid w:val="00D01670"/>
    <w:rsid w:val="00D05C26"/>
    <w:rsid w:val="00D12FD5"/>
    <w:rsid w:val="00D14CD4"/>
    <w:rsid w:val="00D152E7"/>
    <w:rsid w:val="00D21F91"/>
    <w:rsid w:val="00D44360"/>
    <w:rsid w:val="00D549B9"/>
    <w:rsid w:val="00D557EE"/>
    <w:rsid w:val="00D56058"/>
    <w:rsid w:val="00D56999"/>
    <w:rsid w:val="00D57F4B"/>
    <w:rsid w:val="00D656AD"/>
    <w:rsid w:val="00D76E91"/>
    <w:rsid w:val="00D82235"/>
    <w:rsid w:val="00D872D1"/>
    <w:rsid w:val="00D92002"/>
    <w:rsid w:val="00DA7582"/>
    <w:rsid w:val="00DB0FD9"/>
    <w:rsid w:val="00DB4809"/>
    <w:rsid w:val="00DB5E8F"/>
    <w:rsid w:val="00DC7C3E"/>
    <w:rsid w:val="00DD0927"/>
    <w:rsid w:val="00DE30E0"/>
    <w:rsid w:val="00DF4CA9"/>
    <w:rsid w:val="00E053D0"/>
    <w:rsid w:val="00E11899"/>
    <w:rsid w:val="00E16DAF"/>
    <w:rsid w:val="00E22BCE"/>
    <w:rsid w:val="00E23A07"/>
    <w:rsid w:val="00E23F8B"/>
    <w:rsid w:val="00E326FF"/>
    <w:rsid w:val="00E35307"/>
    <w:rsid w:val="00E361B0"/>
    <w:rsid w:val="00E366AD"/>
    <w:rsid w:val="00E62DB8"/>
    <w:rsid w:val="00E677EF"/>
    <w:rsid w:val="00E833ED"/>
    <w:rsid w:val="00E859DF"/>
    <w:rsid w:val="00E87041"/>
    <w:rsid w:val="00E877EC"/>
    <w:rsid w:val="00E904EF"/>
    <w:rsid w:val="00E94AC2"/>
    <w:rsid w:val="00E95201"/>
    <w:rsid w:val="00EA052F"/>
    <w:rsid w:val="00EA1807"/>
    <w:rsid w:val="00EA1834"/>
    <w:rsid w:val="00EA4947"/>
    <w:rsid w:val="00EB3FD7"/>
    <w:rsid w:val="00EC0C41"/>
    <w:rsid w:val="00EC1594"/>
    <w:rsid w:val="00EC5E9F"/>
    <w:rsid w:val="00EC746F"/>
    <w:rsid w:val="00EE13A7"/>
    <w:rsid w:val="00EE4425"/>
    <w:rsid w:val="00EE456B"/>
    <w:rsid w:val="00EE4A49"/>
    <w:rsid w:val="00EE4BBB"/>
    <w:rsid w:val="00EF1DD9"/>
    <w:rsid w:val="00F00C37"/>
    <w:rsid w:val="00F034AC"/>
    <w:rsid w:val="00F04C19"/>
    <w:rsid w:val="00F05852"/>
    <w:rsid w:val="00F1261A"/>
    <w:rsid w:val="00F160D2"/>
    <w:rsid w:val="00F205A2"/>
    <w:rsid w:val="00F23BAE"/>
    <w:rsid w:val="00F40509"/>
    <w:rsid w:val="00F46A8C"/>
    <w:rsid w:val="00F4748D"/>
    <w:rsid w:val="00F4768C"/>
    <w:rsid w:val="00F5520C"/>
    <w:rsid w:val="00F60DC9"/>
    <w:rsid w:val="00F612B3"/>
    <w:rsid w:val="00F62D0A"/>
    <w:rsid w:val="00F7064A"/>
    <w:rsid w:val="00F71C93"/>
    <w:rsid w:val="00F747AD"/>
    <w:rsid w:val="00F7496A"/>
    <w:rsid w:val="00F82066"/>
    <w:rsid w:val="00F83FC2"/>
    <w:rsid w:val="00F87DC3"/>
    <w:rsid w:val="00F942CA"/>
    <w:rsid w:val="00F9452C"/>
    <w:rsid w:val="00FA30F9"/>
    <w:rsid w:val="00FA6B7D"/>
    <w:rsid w:val="00FB01A5"/>
    <w:rsid w:val="00FB3B38"/>
    <w:rsid w:val="00FB7206"/>
    <w:rsid w:val="00FC0A3E"/>
    <w:rsid w:val="00FC1D72"/>
    <w:rsid w:val="00FC5401"/>
    <w:rsid w:val="00FE5577"/>
    <w:rsid w:val="00FF0A17"/>
    <w:rsid w:val="00FF34CA"/>
    <w:rsid w:val="00FF7E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1297"/>
    <o:shapelayout v:ext="edit">
      <o:idmap v:ext="edit" data="1"/>
    </o:shapelayout>
  </w:shapeDefaults>
  <w:decimalSymbol w:val="."/>
  <w:listSeparator w:val=","/>
  <w14:docId w14:val="26D716D2"/>
  <w15:docId w15:val="{BC96A83F-00A7-4866-9773-FB7D7EFE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F2"/>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styleId="ListParagraph">
    <w:name w:val="List Paragraph"/>
    <w:basedOn w:val="Normal"/>
    <w:uiPriority w:val="34"/>
    <w:qFormat/>
    <w:rsid w:val="002B5CF2"/>
    <w:pPr>
      <w:suppressAutoHyphens/>
      <w:autoSpaceDN w:val="0"/>
      <w:ind w:left="720"/>
      <w:textAlignment w:val="baseline"/>
    </w:pPr>
    <w:rPr>
      <w:rFonts w:ascii="Georgia" w:eastAsia="Times New Roman" w:hAnsi="Georgia" w:cs="Times New Roman"/>
      <w:kern w:val="3"/>
      <w:lang w:val="en-GB" w:eastAsia="de-DE"/>
    </w:rPr>
  </w:style>
  <w:style w:type="paragraph" w:styleId="BodyText">
    <w:name w:val="Body Text"/>
    <w:basedOn w:val="Normal"/>
    <w:link w:val="BodyTextChar"/>
    <w:uiPriority w:val="1"/>
    <w:qFormat/>
    <w:rsid w:val="00783EDA"/>
    <w:pPr>
      <w:widowControl w:val="0"/>
      <w:ind w:left="592"/>
    </w:pPr>
    <w:rPr>
      <w:rFonts w:ascii="Arial" w:eastAsia="Arial" w:hAnsi="Arial"/>
      <w:sz w:val="20"/>
      <w:szCs w:val="20"/>
    </w:rPr>
  </w:style>
  <w:style w:type="character" w:customStyle="1" w:styleId="BodyTextChar">
    <w:name w:val="Body Text Char"/>
    <w:basedOn w:val="DefaultParagraphFont"/>
    <w:link w:val="BodyText"/>
    <w:uiPriority w:val="1"/>
    <w:rsid w:val="00783EDA"/>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59490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201583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europa.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Departments\Operations\Office%20Management\Templates\Regulatory%20Products\GLs-Rec%20-%20Compliance%20table.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F08E-820F-498A-AA4B-7FF296B7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GLs-Rec - Compliance table</Template>
  <TotalTime>192</TotalTime>
  <Pages>6</Pages>
  <Words>1176</Words>
  <Characters>6779</Characters>
  <Application>Microsoft Office Word</Application>
  <DocSecurity>0</DocSecurity>
  <Lines>271</Lines>
  <Paragraphs>165</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Faulkner</dc:creator>
  <cp:lastModifiedBy>Lada Hron</cp:lastModifiedBy>
  <cp:revision>42</cp:revision>
  <cp:lastPrinted>2013-08-26T13:25:00Z</cp:lastPrinted>
  <dcterms:created xsi:type="dcterms:W3CDTF">2017-10-30T16:09:00Z</dcterms:created>
  <dcterms:modified xsi:type="dcterms:W3CDTF">2018-05-03T14:22:00Z</dcterms:modified>
</cp:coreProperties>
</file>