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D9" w:rsidRPr="00B03E4D" w:rsidRDefault="00C71D31" w:rsidP="002B597B">
      <w:pPr>
        <w:pStyle w:val="NoSpacing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Open </w:t>
      </w:r>
      <w:r w:rsidR="00110B74" w:rsidRPr="00B03E4D">
        <w:rPr>
          <w:rFonts w:asciiTheme="minorHAnsi" w:hAnsiTheme="minorHAnsi"/>
          <w:b/>
          <w:sz w:val="22"/>
          <w:szCs w:val="22"/>
        </w:rPr>
        <w:t xml:space="preserve">Tender </w:t>
      </w:r>
      <w:r w:rsidR="004C0282" w:rsidRPr="00B03E4D">
        <w:rPr>
          <w:rFonts w:asciiTheme="minorHAnsi" w:hAnsiTheme="minorHAnsi"/>
          <w:b/>
          <w:sz w:val="22"/>
          <w:szCs w:val="22"/>
        </w:rPr>
        <w:t xml:space="preserve">Procedure </w:t>
      </w:r>
      <w:r w:rsidR="00D601CE">
        <w:rPr>
          <w:rFonts w:asciiTheme="minorHAnsi" w:hAnsiTheme="minorHAnsi"/>
          <w:b/>
          <w:sz w:val="22"/>
          <w:szCs w:val="22"/>
        </w:rPr>
        <w:t xml:space="preserve">Corrigendum No. </w:t>
      </w:r>
      <w:r w:rsidR="000A6799">
        <w:rPr>
          <w:rFonts w:asciiTheme="minorHAnsi" w:hAnsiTheme="minorHAnsi"/>
          <w:b/>
          <w:sz w:val="22"/>
          <w:szCs w:val="22"/>
        </w:rPr>
        <w:t>4</w:t>
      </w:r>
    </w:p>
    <w:p w:rsidR="00EF45F3" w:rsidRPr="00B03E4D" w:rsidRDefault="007E4A6B" w:rsidP="00EF45F3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B03E4D">
        <w:rPr>
          <w:rFonts w:asciiTheme="minorHAnsi" w:hAnsiTheme="minorHAnsi"/>
          <w:b/>
          <w:sz w:val="22"/>
          <w:szCs w:val="22"/>
        </w:rPr>
        <w:t xml:space="preserve">European Banking Authority </w:t>
      </w:r>
      <w:r w:rsidR="00A06C74" w:rsidRPr="00B03E4D">
        <w:rPr>
          <w:rFonts w:asciiTheme="minorHAnsi" w:hAnsiTheme="minorHAnsi"/>
          <w:b/>
          <w:sz w:val="22"/>
          <w:szCs w:val="22"/>
        </w:rPr>
        <w:t xml:space="preserve">Procurement </w:t>
      </w:r>
      <w:r w:rsidR="004C79EB" w:rsidRPr="00B03E4D">
        <w:rPr>
          <w:rFonts w:asciiTheme="minorHAnsi" w:hAnsiTheme="minorHAnsi"/>
          <w:b/>
          <w:sz w:val="22"/>
          <w:szCs w:val="22"/>
        </w:rPr>
        <w:t>Procedure</w:t>
      </w:r>
      <w:r w:rsidR="00F24CDF">
        <w:rPr>
          <w:rFonts w:asciiTheme="minorHAnsi" w:hAnsiTheme="minorHAnsi"/>
          <w:b/>
          <w:sz w:val="22"/>
          <w:szCs w:val="22"/>
        </w:rPr>
        <w:t xml:space="preserve">: </w:t>
      </w:r>
      <w:r w:rsidR="00F67707">
        <w:rPr>
          <w:rFonts w:asciiTheme="minorHAnsi" w:hAnsiTheme="minorHAnsi"/>
          <w:b/>
          <w:sz w:val="22"/>
          <w:szCs w:val="22"/>
          <w:lang w:val="en-US"/>
        </w:rPr>
        <w:t xml:space="preserve">Website </w:t>
      </w:r>
      <w:r w:rsidR="00211B5D">
        <w:rPr>
          <w:rFonts w:asciiTheme="minorHAnsi" w:hAnsiTheme="minorHAnsi"/>
          <w:b/>
          <w:sz w:val="22"/>
          <w:szCs w:val="22"/>
          <w:lang w:val="en-US"/>
        </w:rPr>
        <w:t>Services</w:t>
      </w:r>
      <w:r w:rsidR="00C71D31" w:rsidRPr="00C71D3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EF45F3" w:rsidRPr="00B03E4D" w:rsidRDefault="00C71D31" w:rsidP="00EF45F3">
      <w:pPr>
        <w:pStyle w:val="NoSpacing"/>
        <w:rPr>
          <w:rFonts w:asciiTheme="minorHAnsi" w:hAnsiTheme="minorHAnsi"/>
          <w:b/>
          <w:sz w:val="22"/>
          <w:szCs w:val="22"/>
        </w:rPr>
      </w:pPr>
      <w:r w:rsidRPr="00C71D31">
        <w:rPr>
          <w:rFonts w:asciiTheme="minorHAnsi" w:hAnsiTheme="minorHAnsi"/>
          <w:b/>
          <w:sz w:val="22"/>
          <w:szCs w:val="22"/>
          <w:lang w:val="en-US"/>
        </w:rPr>
        <w:t>EBA/201</w:t>
      </w:r>
      <w:r w:rsidR="00F67707">
        <w:rPr>
          <w:rFonts w:asciiTheme="minorHAnsi" w:hAnsiTheme="minorHAnsi"/>
          <w:b/>
          <w:sz w:val="22"/>
          <w:szCs w:val="22"/>
          <w:lang w:val="en-US"/>
        </w:rPr>
        <w:t>6</w:t>
      </w:r>
      <w:r w:rsidRPr="00C71D31">
        <w:rPr>
          <w:rFonts w:asciiTheme="minorHAnsi" w:hAnsiTheme="minorHAnsi"/>
          <w:b/>
          <w:sz w:val="22"/>
          <w:szCs w:val="22"/>
          <w:lang w:val="en-US"/>
        </w:rPr>
        <w:t>/0</w:t>
      </w:r>
      <w:r w:rsidR="00F67707">
        <w:rPr>
          <w:rFonts w:asciiTheme="minorHAnsi" w:hAnsiTheme="minorHAnsi"/>
          <w:b/>
          <w:sz w:val="22"/>
          <w:szCs w:val="22"/>
          <w:lang w:val="en-US"/>
        </w:rPr>
        <w:t>2</w:t>
      </w:r>
      <w:r w:rsidRPr="00C71D31">
        <w:rPr>
          <w:rFonts w:asciiTheme="minorHAnsi" w:hAnsiTheme="minorHAnsi"/>
          <w:b/>
          <w:sz w:val="22"/>
          <w:szCs w:val="22"/>
          <w:lang w:val="en-US"/>
        </w:rPr>
        <w:t>/</w:t>
      </w:r>
      <w:r w:rsidR="00211B5D">
        <w:rPr>
          <w:rFonts w:asciiTheme="minorHAnsi" w:hAnsiTheme="minorHAnsi"/>
          <w:b/>
          <w:sz w:val="22"/>
          <w:szCs w:val="22"/>
          <w:lang w:val="en-US"/>
        </w:rPr>
        <w:t>COMM</w:t>
      </w:r>
      <w:r w:rsidRPr="00C71D31">
        <w:rPr>
          <w:rFonts w:asciiTheme="minorHAnsi" w:hAnsiTheme="minorHAnsi"/>
          <w:b/>
          <w:sz w:val="22"/>
          <w:szCs w:val="22"/>
          <w:lang w:val="en-US"/>
        </w:rPr>
        <w:t>/SER/OP</w:t>
      </w:r>
    </w:p>
    <w:p w:rsidR="00C47A41" w:rsidRPr="00B03E4D" w:rsidRDefault="00C47A41" w:rsidP="00A273D8">
      <w:pPr>
        <w:pStyle w:val="NoSpacing"/>
        <w:rPr>
          <w:rFonts w:asciiTheme="minorHAnsi" w:hAnsiTheme="minorHAnsi"/>
          <w:b/>
          <w:sz w:val="22"/>
          <w:szCs w:val="22"/>
        </w:rPr>
      </w:pPr>
      <w:r w:rsidRPr="00B03E4D">
        <w:rPr>
          <w:rFonts w:asciiTheme="minorHAnsi" w:hAnsiTheme="minorHAnsi"/>
          <w:b/>
          <w:sz w:val="22"/>
          <w:szCs w:val="22"/>
        </w:rPr>
        <w:t>Date:</w:t>
      </w:r>
      <w:r w:rsidR="00E87331" w:rsidRPr="00B03E4D">
        <w:rPr>
          <w:rFonts w:asciiTheme="minorHAnsi" w:hAnsiTheme="minorHAnsi"/>
          <w:b/>
          <w:sz w:val="22"/>
          <w:szCs w:val="22"/>
        </w:rPr>
        <w:t xml:space="preserve"> </w:t>
      </w:r>
      <w:r w:rsidR="000A6799">
        <w:rPr>
          <w:rFonts w:asciiTheme="minorHAnsi" w:hAnsiTheme="minorHAnsi"/>
          <w:b/>
          <w:sz w:val="22"/>
          <w:szCs w:val="22"/>
        </w:rPr>
        <w:t>2</w:t>
      </w:r>
      <w:r w:rsidR="003559A0">
        <w:rPr>
          <w:rFonts w:asciiTheme="minorHAnsi" w:hAnsiTheme="minorHAnsi"/>
          <w:b/>
          <w:sz w:val="22"/>
          <w:szCs w:val="22"/>
        </w:rPr>
        <w:t>1</w:t>
      </w:r>
      <w:r w:rsidR="003559A0" w:rsidRPr="003559A0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3559A0">
        <w:rPr>
          <w:rFonts w:asciiTheme="minorHAnsi" w:hAnsiTheme="minorHAnsi"/>
          <w:b/>
          <w:sz w:val="22"/>
          <w:szCs w:val="22"/>
        </w:rPr>
        <w:t xml:space="preserve"> </w:t>
      </w:r>
      <w:r w:rsidR="000A6799">
        <w:rPr>
          <w:rFonts w:asciiTheme="minorHAnsi" w:hAnsiTheme="minorHAnsi"/>
          <w:b/>
          <w:sz w:val="22"/>
          <w:szCs w:val="22"/>
        </w:rPr>
        <w:t xml:space="preserve">June </w:t>
      </w:r>
      <w:r w:rsidR="004C79EB" w:rsidRPr="00B03E4D">
        <w:rPr>
          <w:rFonts w:asciiTheme="minorHAnsi" w:hAnsiTheme="minorHAnsi" w:cs="Arial"/>
          <w:b/>
          <w:sz w:val="22"/>
          <w:szCs w:val="22"/>
        </w:rPr>
        <w:t>201</w:t>
      </w:r>
      <w:r w:rsidR="00211B5D">
        <w:rPr>
          <w:rFonts w:asciiTheme="minorHAnsi" w:hAnsiTheme="minorHAnsi" w:cs="Arial"/>
          <w:b/>
          <w:sz w:val="22"/>
          <w:szCs w:val="22"/>
        </w:rPr>
        <w:t>6</w:t>
      </w:r>
    </w:p>
    <w:p w:rsidR="00C47A41" w:rsidRDefault="00C47A41" w:rsidP="00A273D8">
      <w:pPr>
        <w:pStyle w:val="NoSpacing"/>
        <w:rPr>
          <w:rFonts w:asciiTheme="minorHAnsi" w:hAnsiTheme="minorHAnsi"/>
          <w:sz w:val="22"/>
          <w:szCs w:val="22"/>
        </w:rPr>
      </w:pPr>
    </w:p>
    <w:p w:rsidR="004B4110" w:rsidRDefault="004B4110" w:rsidP="00A273D8">
      <w:pPr>
        <w:pStyle w:val="NoSpacing"/>
      </w:pPr>
      <w:r>
        <w:t xml:space="preserve">The purpose of </w:t>
      </w:r>
      <w:r w:rsidR="003559A0" w:rsidRPr="005D1B61">
        <w:rPr>
          <w:b/>
        </w:rPr>
        <w:t>C</w:t>
      </w:r>
      <w:r w:rsidRPr="005D1B61">
        <w:rPr>
          <w:b/>
        </w:rPr>
        <w:t xml:space="preserve">orrigendum No. </w:t>
      </w:r>
      <w:r w:rsidR="000A6799">
        <w:rPr>
          <w:b/>
        </w:rPr>
        <w:t xml:space="preserve">4 </w:t>
      </w:r>
      <w:r>
        <w:t xml:space="preserve">is to </w:t>
      </w:r>
      <w:r w:rsidR="00414F08">
        <w:t xml:space="preserve">give notice of </w:t>
      </w:r>
      <w:r w:rsidR="000A6799" w:rsidRPr="0003788D">
        <w:rPr>
          <w:b/>
        </w:rPr>
        <w:t xml:space="preserve">a </w:t>
      </w:r>
      <w:r w:rsidR="0003788D" w:rsidRPr="0003788D">
        <w:rPr>
          <w:b/>
        </w:rPr>
        <w:t>second opening session</w:t>
      </w:r>
      <w:r w:rsidR="005D1B61">
        <w:t>.</w:t>
      </w:r>
    </w:p>
    <w:p w:rsidR="008E7D7F" w:rsidRDefault="008E7D7F" w:rsidP="00B40988">
      <w:pPr>
        <w:pStyle w:val="NoSpacing"/>
        <w:rPr>
          <w:rFonts w:ascii="Calibri" w:eastAsia="MS PGothic" w:hAnsi="Calibri" w:cs="Arial"/>
          <w:b/>
          <w:bCs/>
          <w:color w:val="000000"/>
          <w:sz w:val="22"/>
          <w:szCs w:val="24"/>
        </w:rPr>
      </w:pPr>
    </w:p>
    <w:p w:rsidR="00784E16" w:rsidRPr="005D1B61" w:rsidRDefault="00784E16" w:rsidP="00784E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rPr>
          <w:b/>
          <w:color w:val="FFFFFF" w:themeColor="background1"/>
        </w:rPr>
      </w:pPr>
      <w:r w:rsidRPr="007F7138">
        <w:rPr>
          <w:b/>
          <w:color w:val="FFFFFF" w:themeColor="background1"/>
        </w:rPr>
        <w:t xml:space="preserve">In the </w:t>
      </w:r>
      <w:r>
        <w:rPr>
          <w:b/>
          <w:color w:val="FFFFFF" w:themeColor="background1"/>
        </w:rPr>
        <w:t xml:space="preserve">Invitation Letter paragraph 15 </w:t>
      </w:r>
      <w:r w:rsidR="000A6799">
        <w:rPr>
          <w:b/>
          <w:color w:val="FFFFFF" w:themeColor="background1"/>
        </w:rPr>
        <w:t>cu</w:t>
      </w:r>
      <w:r w:rsidR="0003788D">
        <w:rPr>
          <w:b/>
          <w:color w:val="FFFFFF" w:themeColor="background1"/>
        </w:rPr>
        <w:t>r</w:t>
      </w:r>
      <w:r w:rsidR="000A6799">
        <w:rPr>
          <w:b/>
          <w:color w:val="FFFFFF" w:themeColor="background1"/>
        </w:rPr>
        <w:t xml:space="preserve">rently </w:t>
      </w:r>
      <w:r w:rsidRPr="007F7138">
        <w:rPr>
          <w:b/>
          <w:color w:val="FFFFFF" w:themeColor="background1"/>
        </w:rPr>
        <w:t>reads:</w:t>
      </w:r>
    </w:p>
    <w:p w:rsidR="008E7D7F" w:rsidRDefault="008E7D7F" w:rsidP="00B40988">
      <w:pPr>
        <w:pStyle w:val="NoSpacing"/>
        <w:rPr>
          <w:rFonts w:ascii="Calibri" w:eastAsia="MS PGothic" w:hAnsi="Calibri" w:cs="Arial"/>
          <w:b/>
          <w:bCs/>
          <w:color w:val="000000"/>
          <w:sz w:val="22"/>
          <w:szCs w:val="24"/>
        </w:rPr>
      </w:pPr>
    </w:p>
    <w:p w:rsidR="0003788D" w:rsidRDefault="00784E16" w:rsidP="00784E16">
      <w:pPr>
        <w:tabs>
          <w:tab w:val="left" w:pos="0"/>
        </w:tabs>
        <w:spacing w:before="40" w:after="40" w:line="300" w:lineRule="exact"/>
        <w:jc w:val="both"/>
        <w:rPr>
          <w:rFonts w:eastAsia="Times New Roman"/>
          <w:color w:val="000000"/>
          <w:sz w:val="20"/>
          <w:szCs w:val="20"/>
        </w:rPr>
      </w:pPr>
      <w:r w:rsidRPr="00EB5F3B">
        <w:rPr>
          <w:rFonts w:eastAsia="Times New Roman"/>
          <w:color w:val="000000"/>
          <w:sz w:val="20"/>
          <w:szCs w:val="20"/>
        </w:rPr>
        <w:t xml:space="preserve">Tenders will be opened at the </w:t>
      </w:r>
      <w:r>
        <w:rPr>
          <w:rFonts w:eastAsia="Times New Roman"/>
          <w:color w:val="000000"/>
          <w:sz w:val="20"/>
          <w:szCs w:val="20"/>
        </w:rPr>
        <w:t xml:space="preserve">premises of the </w:t>
      </w:r>
      <w:r w:rsidRPr="00EB5F3B">
        <w:rPr>
          <w:rFonts w:eastAsia="Times New Roman"/>
          <w:color w:val="000000"/>
          <w:sz w:val="20"/>
          <w:szCs w:val="20"/>
        </w:rPr>
        <w:t>EBA</w:t>
      </w:r>
      <w:r>
        <w:rPr>
          <w:rFonts w:eastAsia="Times New Roman"/>
          <w:color w:val="000000"/>
          <w:sz w:val="20"/>
          <w:szCs w:val="20"/>
        </w:rPr>
        <w:t xml:space="preserve"> at </w:t>
      </w:r>
      <w:r w:rsidRPr="00EB5F3B">
        <w:rPr>
          <w:rFonts w:eastAsia="Times New Roman"/>
          <w:color w:val="000000"/>
          <w:sz w:val="20"/>
          <w:szCs w:val="20"/>
        </w:rPr>
        <w:t>One Canada Square, Canary Wharf,</w:t>
      </w:r>
      <w:r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Pr="00EB5F3B">
        <w:rPr>
          <w:rFonts w:eastAsia="Times New Roman"/>
          <w:color w:val="000000"/>
          <w:sz w:val="20"/>
          <w:szCs w:val="20"/>
        </w:rPr>
        <w:t>L</w:t>
      </w:r>
      <w:r>
        <w:rPr>
          <w:rFonts w:eastAsia="Times New Roman"/>
          <w:color w:val="000000"/>
          <w:sz w:val="20"/>
          <w:szCs w:val="20"/>
        </w:rPr>
        <w:t>ondon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</w:t>
      </w:r>
      <w:r w:rsidRPr="0066409E">
        <w:rPr>
          <w:rFonts w:eastAsia="Times New Roman"/>
          <w:color w:val="000000"/>
          <w:sz w:val="20"/>
          <w:szCs w:val="20"/>
        </w:rPr>
        <w:t>E14 5AA</w:t>
      </w:r>
      <w:r>
        <w:rPr>
          <w:rFonts w:eastAsia="Times New Roman"/>
          <w:b/>
          <w:color w:val="000000"/>
          <w:sz w:val="20"/>
          <w:szCs w:val="20"/>
        </w:rPr>
        <w:t xml:space="preserve"> </w:t>
      </w:r>
      <w:r w:rsidRPr="00EB5F3B">
        <w:rPr>
          <w:rFonts w:eastAsia="Times New Roman"/>
          <w:color w:val="000000"/>
          <w:sz w:val="20"/>
          <w:szCs w:val="20"/>
        </w:rPr>
        <w:t xml:space="preserve">at 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1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1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: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3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0hrs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 BST 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on 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1</w:t>
      </w:r>
      <w:r w:rsidR="00057B7A">
        <w:rPr>
          <w:rFonts w:eastAsia="Times New Roman"/>
          <w:b/>
          <w:bCs/>
          <w:color w:val="000000"/>
          <w:sz w:val="20"/>
          <w:szCs w:val="20"/>
          <w:u w:val="single"/>
        </w:rPr>
        <w:t>7</w:t>
      </w:r>
      <w:r w:rsidRPr="00BE392C">
        <w:rPr>
          <w:rFonts w:eastAsia="Times New Roman"/>
          <w:b/>
          <w:bCs/>
          <w:color w:val="000000"/>
          <w:sz w:val="20"/>
          <w:szCs w:val="20"/>
          <w:u w:val="single"/>
          <w:vertAlign w:val="superscript"/>
        </w:rPr>
        <w:t>th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 June 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201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6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.</w:t>
      </w:r>
      <w:r w:rsidRPr="00EB5F3B">
        <w:rPr>
          <w:rFonts w:eastAsia="Times New Roman"/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  <w:sz w:val="20"/>
          <w:szCs w:val="20"/>
        </w:rPr>
        <w:t xml:space="preserve">A maximum of two (2) </w:t>
      </w:r>
      <w:r w:rsidRPr="00EB5F3B">
        <w:rPr>
          <w:rFonts w:eastAsia="Times New Roman"/>
          <w:color w:val="000000"/>
          <w:sz w:val="20"/>
          <w:szCs w:val="20"/>
        </w:rPr>
        <w:t>representative</w:t>
      </w:r>
      <w:r>
        <w:rPr>
          <w:rFonts w:eastAsia="Times New Roman"/>
          <w:color w:val="000000"/>
          <w:sz w:val="20"/>
          <w:szCs w:val="20"/>
        </w:rPr>
        <w:t>s</w:t>
      </w:r>
      <w:r w:rsidRPr="00EB5F3B">
        <w:rPr>
          <w:rFonts w:eastAsia="Times New Roman"/>
          <w:color w:val="000000"/>
          <w:sz w:val="20"/>
          <w:szCs w:val="20"/>
        </w:rPr>
        <w:t xml:space="preserve"> per tenderer </w:t>
      </w:r>
      <w:r>
        <w:rPr>
          <w:rFonts w:eastAsia="Times New Roman"/>
          <w:color w:val="000000"/>
          <w:sz w:val="20"/>
          <w:szCs w:val="20"/>
        </w:rPr>
        <w:t xml:space="preserve">are </w:t>
      </w:r>
      <w:r w:rsidRPr="00EB5F3B">
        <w:rPr>
          <w:rFonts w:eastAsia="Times New Roman"/>
          <w:color w:val="000000"/>
          <w:sz w:val="20"/>
          <w:szCs w:val="20"/>
        </w:rPr>
        <w:t>permitted to be present at the opening of the tenders. The name</w:t>
      </w:r>
      <w:r>
        <w:rPr>
          <w:rFonts w:eastAsia="Times New Roman"/>
          <w:color w:val="000000"/>
          <w:sz w:val="20"/>
          <w:szCs w:val="20"/>
        </w:rPr>
        <w:t>s</w:t>
      </w:r>
      <w:r w:rsidRPr="00EB5F3B">
        <w:rPr>
          <w:rFonts w:eastAsia="Times New Roman"/>
          <w:color w:val="000000"/>
          <w:sz w:val="20"/>
          <w:szCs w:val="20"/>
        </w:rPr>
        <w:t xml:space="preserve"> of any such representative</w:t>
      </w:r>
      <w:r>
        <w:rPr>
          <w:rFonts w:eastAsia="Times New Roman"/>
          <w:color w:val="000000"/>
          <w:sz w:val="20"/>
          <w:szCs w:val="20"/>
        </w:rPr>
        <w:t xml:space="preserve">s are </w:t>
      </w:r>
      <w:r w:rsidRPr="00EB5F3B">
        <w:rPr>
          <w:rFonts w:eastAsia="Times New Roman"/>
          <w:color w:val="000000"/>
          <w:sz w:val="20"/>
          <w:szCs w:val="20"/>
        </w:rPr>
        <w:t xml:space="preserve">to be notified in advance in writing by email to the EBA at </w:t>
      </w:r>
      <w:hyperlink r:id="rId9" w:history="1">
        <w:r w:rsidRPr="00EB5F3B">
          <w:rPr>
            <w:rStyle w:val="Hyperlink"/>
            <w:rFonts w:eastAsia="Times New Roman"/>
            <w:b/>
            <w:sz w:val="20"/>
            <w:szCs w:val="20"/>
          </w:rPr>
          <w:t>tenders@eba.europa.eu</w:t>
        </w:r>
      </w:hyperlink>
      <w:r w:rsidRPr="00EB5F3B">
        <w:rPr>
          <w:rFonts w:eastAsia="Times New Roman"/>
          <w:b/>
          <w:color w:val="000000"/>
          <w:sz w:val="20"/>
          <w:szCs w:val="20"/>
        </w:rPr>
        <w:t xml:space="preserve"> </w:t>
      </w:r>
      <w:r w:rsidRPr="00EB5F3B">
        <w:rPr>
          <w:rFonts w:eastAsia="Times New Roman"/>
          <w:color w:val="000000"/>
          <w:sz w:val="20"/>
          <w:szCs w:val="20"/>
        </w:rPr>
        <w:t>with a copy to</w:t>
      </w:r>
      <w:r w:rsidRPr="00EB5F3B">
        <w:rPr>
          <w:rFonts w:eastAsia="Times New Roman"/>
          <w:b/>
          <w:color w:val="000000"/>
          <w:sz w:val="20"/>
          <w:szCs w:val="20"/>
        </w:rPr>
        <w:t xml:space="preserve"> </w:t>
      </w:r>
      <w:hyperlink r:id="rId10" w:history="1">
        <w:r w:rsidRPr="00672B05">
          <w:rPr>
            <w:rStyle w:val="Hyperlink"/>
            <w:rFonts w:eastAsia="Times New Roman"/>
            <w:sz w:val="20"/>
            <w:szCs w:val="20"/>
          </w:rPr>
          <w:t>ian.palombi@eba.europa.eu</w:t>
        </w:r>
      </w:hyperlink>
      <w:r w:rsidRPr="00EB5F3B">
        <w:rPr>
          <w:rFonts w:eastAsia="Times New Roman"/>
          <w:color w:val="000000"/>
          <w:sz w:val="20"/>
          <w:szCs w:val="20"/>
        </w:rPr>
        <w:t xml:space="preserve"> at least t</w:t>
      </w:r>
      <w:r>
        <w:rPr>
          <w:rFonts w:eastAsia="Times New Roman"/>
          <w:color w:val="000000"/>
          <w:sz w:val="20"/>
          <w:szCs w:val="20"/>
        </w:rPr>
        <w:t xml:space="preserve">hree (3) </w:t>
      </w:r>
      <w:r w:rsidRPr="00EB5F3B">
        <w:rPr>
          <w:rFonts w:eastAsia="Times New Roman"/>
          <w:color w:val="000000"/>
          <w:sz w:val="20"/>
          <w:szCs w:val="20"/>
        </w:rPr>
        <w:t xml:space="preserve">working days before the opening session.  For security </w:t>
      </w:r>
      <w:r>
        <w:rPr>
          <w:rFonts w:eastAsia="Times New Roman"/>
          <w:color w:val="000000"/>
          <w:sz w:val="20"/>
          <w:szCs w:val="20"/>
        </w:rPr>
        <w:t xml:space="preserve">and organisational reasons the tenderer must </w:t>
      </w:r>
      <w:r w:rsidRPr="0003788D">
        <w:rPr>
          <w:rFonts w:eastAsia="Times New Roman"/>
          <w:color w:val="000000"/>
          <w:sz w:val="20"/>
          <w:szCs w:val="20"/>
        </w:rPr>
        <w:t xml:space="preserve">also provide in advance the </w:t>
      </w:r>
      <w:r w:rsidRPr="0003788D">
        <w:rPr>
          <w:sz w:val="20"/>
          <w:szCs w:val="20"/>
        </w:rPr>
        <w:t>ID or passport numbers of the representatives who will attend the opening of the tenders</w:t>
      </w:r>
      <w:r w:rsidRPr="0003788D">
        <w:rPr>
          <w:rFonts w:eastAsia="Times New Roman"/>
          <w:color w:val="000000"/>
          <w:sz w:val="20"/>
          <w:szCs w:val="20"/>
        </w:rPr>
        <w:t>.  EBA may refuse access to persons</w:t>
      </w:r>
      <w:r w:rsidRPr="00EB5F3B">
        <w:rPr>
          <w:rFonts w:eastAsia="Times New Roman"/>
          <w:color w:val="000000"/>
          <w:sz w:val="20"/>
          <w:szCs w:val="20"/>
        </w:rPr>
        <w:t xml:space="preserve"> who have not registered or do not carry a valid ID.</w:t>
      </w:r>
    </w:p>
    <w:p w:rsidR="009474C3" w:rsidRDefault="009474C3" w:rsidP="00784E16">
      <w:pPr>
        <w:tabs>
          <w:tab w:val="left" w:pos="0"/>
        </w:tabs>
        <w:spacing w:before="40" w:after="40" w:line="300" w:lineRule="exact"/>
        <w:jc w:val="both"/>
        <w:rPr>
          <w:rFonts w:eastAsia="Times New Roman"/>
          <w:color w:val="000000"/>
          <w:sz w:val="20"/>
          <w:szCs w:val="20"/>
        </w:rPr>
      </w:pPr>
    </w:p>
    <w:p w:rsidR="0003788D" w:rsidRPr="005D1B61" w:rsidRDefault="0003788D" w:rsidP="000378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rPr>
          <w:b/>
          <w:color w:val="FFFFFF" w:themeColor="background1"/>
        </w:rPr>
      </w:pPr>
      <w:r w:rsidRPr="007F7138">
        <w:rPr>
          <w:b/>
          <w:color w:val="FFFFFF" w:themeColor="background1"/>
        </w:rPr>
        <w:t xml:space="preserve">In the </w:t>
      </w:r>
      <w:r>
        <w:rPr>
          <w:b/>
          <w:color w:val="FFFFFF" w:themeColor="background1"/>
        </w:rPr>
        <w:t xml:space="preserve">Invitation Letter paragraph 15 NOW </w:t>
      </w:r>
      <w:r w:rsidRPr="007F7138">
        <w:rPr>
          <w:b/>
          <w:color w:val="FFFFFF" w:themeColor="background1"/>
        </w:rPr>
        <w:t>reads:</w:t>
      </w:r>
    </w:p>
    <w:p w:rsidR="0003788D" w:rsidRDefault="0003788D" w:rsidP="0003788D">
      <w:pPr>
        <w:pStyle w:val="NoSpacing"/>
        <w:rPr>
          <w:rFonts w:ascii="Calibri" w:eastAsia="MS PGothic" w:hAnsi="Calibri" w:cs="Arial"/>
          <w:b/>
          <w:bCs/>
          <w:color w:val="000000"/>
          <w:sz w:val="22"/>
          <w:szCs w:val="24"/>
        </w:rPr>
      </w:pPr>
    </w:p>
    <w:p w:rsidR="0003788D" w:rsidRPr="009474C3" w:rsidRDefault="0003788D" w:rsidP="0003788D">
      <w:pPr>
        <w:tabs>
          <w:tab w:val="left" w:pos="0"/>
        </w:tabs>
        <w:spacing w:before="40" w:after="40" w:line="300" w:lineRule="exact"/>
        <w:jc w:val="both"/>
        <w:rPr>
          <w:rFonts w:eastAsia="Times New Roman"/>
          <w:color w:val="000000"/>
          <w:sz w:val="20"/>
          <w:szCs w:val="20"/>
        </w:rPr>
      </w:pPr>
      <w:r w:rsidRPr="00EB5F3B">
        <w:rPr>
          <w:rFonts w:eastAsia="Times New Roman"/>
          <w:color w:val="000000"/>
          <w:sz w:val="20"/>
          <w:szCs w:val="20"/>
        </w:rPr>
        <w:t xml:space="preserve">Tenders will be opened </w:t>
      </w:r>
      <w:r>
        <w:rPr>
          <w:rFonts w:eastAsia="Times New Roman"/>
          <w:color w:val="000000"/>
          <w:sz w:val="20"/>
          <w:szCs w:val="20"/>
        </w:rPr>
        <w:t xml:space="preserve">in two (2) sessions </w:t>
      </w:r>
      <w:r w:rsidRPr="00EB5F3B">
        <w:rPr>
          <w:rFonts w:eastAsia="Times New Roman"/>
          <w:color w:val="000000"/>
          <w:sz w:val="20"/>
          <w:szCs w:val="20"/>
        </w:rPr>
        <w:t xml:space="preserve">at the </w:t>
      </w:r>
      <w:r>
        <w:rPr>
          <w:rFonts w:eastAsia="Times New Roman"/>
          <w:color w:val="000000"/>
          <w:sz w:val="20"/>
          <w:szCs w:val="20"/>
        </w:rPr>
        <w:t xml:space="preserve">premises of the </w:t>
      </w:r>
      <w:r w:rsidRPr="00EB5F3B">
        <w:rPr>
          <w:rFonts w:eastAsia="Times New Roman"/>
          <w:color w:val="000000"/>
          <w:sz w:val="20"/>
          <w:szCs w:val="20"/>
        </w:rPr>
        <w:t>EBA</w:t>
      </w:r>
      <w:r>
        <w:rPr>
          <w:rFonts w:eastAsia="Times New Roman"/>
          <w:color w:val="000000"/>
          <w:sz w:val="20"/>
          <w:szCs w:val="20"/>
        </w:rPr>
        <w:t xml:space="preserve"> at </w:t>
      </w:r>
      <w:r w:rsidRPr="00EB5F3B">
        <w:rPr>
          <w:rFonts w:eastAsia="Times New Roman"/>
          <w:color w:val="000000"/>
          <w:sz w:val="20"/>
          <w:szCs w:val="20"/>
        </w:rPr>
        <w:t>One Canada Square, Canary Wharf,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EB5F3B">
        <w:rPr>
          <w:rFonts w:eastAsia="Times New Roman"/>
          <w:color w:val="000000"/>
          <w:sz w:val="20"/>
          <w:szCs w:val="20"/>
        </w:rPr>
        <w:t>L</w:t>
      </w:r>
      <w:r>
        <w:rPr>
          <w:rFonts w:eastAsia="Times New Roman"/>
          <w:color w:val="000000"/>
          <w:sz w:val="20"/>
          <w:szCs w:val="20"/>
        </w:rPr>
        <w:t xml:space="preserve">ondon </w:t>
      </w:r>
      <w:r w:rsidRPr="0066409E">
        <w:rPr>
          <w:rFonts w:eastAsia="Times New Roman"/>
          <w:color w:val="000000"/>
          <w:sz w:val="20"/>
          <w:szCs w:val="20"/>
        </w:rPr>
        <w:t>E14 5AA</w:t>
      </w:r>
      <w:r>
        <w:rPr>
          <w:rFonts w:eastAsia="Times New Roman"/>
          <w:color w:val="000000"/>
          <w:sz w:val="20"/>
          <w:szCs w:val="20"/>
        </w:rPr>
        <w:t xml:space="preserve">.  The </w:t>
      </w:r>
      <w:r w:rsidR="009474C3">
        <w:rPr>
          <w:rFonts w:eastAsia="Times New Roman"/>
          <w:color w:val="000000"/>
          <w:sz w:val="20"/>
          <w:szCs w:val="20"/>
        </w:rPr>
        <w:t xml:space="preserve">opening </w:t>
      </w:r>
      <w:r>
        <w:rPr>
          <w:rFonts w:eastAsia="Times New Roman"/>
          <w:color w:val="000000"/>
          <w:sz w:val="20"/>
          <w:szCs w:val="20"/>
        </w:rPr>
        <w:t>session</w:t>
      </w:r>
      <w:r w:rsidR="009474C3">
        <w:rPr>
          <w:rFonts w:eastAsia="Times New Roman"/>
          <w:color w:val="000000"/>
          <w:sz w:val="20"/>
          <w:szCs w:val="20"/>
        </w:rPr>
        <w:t xml:space="preserve">s are as follows: 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1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1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: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3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0hrs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 BST 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on 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17</w:t>
      </w:r>
      <w:r w:rsidRPr="00BE392C">
        <w:rPr>
          <w:rFonts w:eastAsia="Times New Roman"/>
          <w:b/>
          <w:bCs/>
          <w:color w:val="000000"/>
          <w:sz w:val="20"/>
          <w:szCs w:val="20"/>
          <w:u w:val="single"/>
          <w:vertAlign w:val="superscript"/>
        </w:rPr>
        <w:t>th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 June </w:t>
      </w:r>
      <w:r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201</w:t>
      </w:r>
      <w:r>
        <w:rPr>
          <w:rFonts w:eastAsia="Times New Roman"/>
          <w:b/>
          <w:bCs/>
          <w:color w:val="000000"/>
          <w:sz w:val="20"/>
          <w:szCs w:val="20"/>
          <w:u w:val="single"/>
        </w:rPr>
        <w:t>6</w:t>
      </w:r>
      <w:r w:rsidR="009474C3" w:rsidRPr="009474C3">
        <w:rPr>
          <w:rFonts w:eastAsia="Times New Roman"/>
          <w:bCs/>
          <w:color w:val="000000"/>
          <w:sz w:val="20"/>
          <w:szCs w:val="20"/>
        </w:rPr>
        <w:t xml:space="preserve"> and</w:t>
      </w:r>
      <w:r w:rsidR="009474C3">
        <w:rPr>
          <w:rFonts w:eastAsia="Times New Roman"/>
          <w:bCs/>
          <w:color w:val="000000"/>
          <w:sz w:val="20"/>
          <w:szCs w:val="20"/>
        </w:rPr>
        <w:t xml:space="preserve"> </w:t>
      </w:r>
      <w:r w:rsidR="009474C3"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1</w:t>
      </w:r>
      <w:r w:rsidR="009474C3">
        <w:rPr>
          <w:rFonts w:eastAsia="Times New Roman"/>
          <w:b/>
          <w:bCs/>
          <w:color w:val="000000"/>
          <w:sz w:val="20"/>
          <w:szCs w:val="20"/>
          <w:u w:val="single"/>
        </w:rPr>
        <w:t>1</w:t>
      </w:r>
      <w:r w:rsidR="009474C3"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:</w:t>
      </w:r>
      <w:r w:rsidR="009474C3">
        <w:rPr>
          <w:rFonts w:eastAsia="Times New Roman"/>
          <w:b/>
          <w:bCs/>
          <w:color w:val="000000"/>
          <w:sz w:val="20"/>
          <w:szCs w:val="20"/>
          <w:u w:val="single"/>
        </w:rPr>
        <w:t>3</w:t>
      </w:r>
      <w:r w:rsidR="009474C3"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0hrs</w:t>
      </w:r>
      <w:r w:rsidR="009474C3"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 BST </w:t>
      </w:r>
      <w:r w:rsidR="009474C3"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on</w:t>
      </w:r>
      <w:r w:rsidR="009474C3"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 29</w:t>
      </w:r>
      <w:r w:rsidR="009474C3" w:rsidRPr="00BE392C">
        <w:rPr>
          <w:rFonts w:eastAsia="Times New Roman"/>
          <w:b/>
          <w:bCs/>
          <w:color w:val="000000"/>
          <w:sz w:val="20"/>
          <w:szCs w:val="20"/>
          <w:u w:val="single"/>
          <w:vertAlign w:val="superscript"/>
        </w:rPr>
        <w:t>th</w:t>
      </w:r>
      <w:r w:rsidR="009474C3">
        <w:rPr>
          <w:rFonts w:eastAsia="Times New Roman"/>
          <w:b/>
          <w:bCs/>
          <w:color w:val="000000"/>
          <w:sz w:val="20"/>
          <w:szCs w:val="20"/>
          <w:u w:val="single"/>
        </w:rPr>
        <w:t xml:space="preserve"> June </w:t>
      </w:r>
      <w:r w:rsidR="009474C3" w:rsidRPr="00EB5F3B">
        <w:rPr>
          <w:rFonts w:eastAsia="Times New Roman"/>
          <w:b/>
          <w:bCs/>
          <w:color w:val="000000"/>
          <w:sz w:val="20"/>
          <w:szCs w:val="20"/>
          <w:u w:val="single"/>
        </w:rPr>
        <w:t>201</w:t>
      </w:r>
      <w:r w:rsidR="009474C3">
        <w:rPr>
          <w:rFonts w:eastAsia="Times New Roman"/>
          <w:b/>
          <w:bCs/>
          <w:color w:val="000000"/>
          <w:sz w:val="20"/>
          <w:szCs w:val="20"/>
          <w:u w:val="single"/>
        </w:rPr>
        <w:t>6.</w:t>
      </w:r>
      <w:r w:rsidR="009474C3" w:rsidRPr="009474C3">
        <w:rPr>
          <w:rFonts w:eastAsia="Times New Roman"/>
          <w:bCs/>
          <w:color w:val="000000"/>
          <w:sz w:val="20"/>
          <w:szCs w:val="20"/>
        </w:rPr>
        <w:t xml:space="preserve">  </w:t>
      </w:r>
      <w:r>
        <w:rPr>
          <w:rFonts w:eastAsia="Times New Roman"/>
          <w:color w:val="000000"/>
          <w:sz w:val="20"/>
          <w:szCs w:val="20"/>
        </w:rPr>
        <w:t xml:space="preserve">A maximum of two (2) </w:t>
      </w:r>
      <w:r w:rsidRPr="00EB5F3B">
        <w:rPr>
          <w:rFonts w:eastAsia="Times New Roman"/>
          <w:color w:val="000000"/>
          <w:sz w:val="20"/>
          <w:szCs w:val="20"/>
        </w:rPr>
        <w:t>representative</w:t>
      </w:r>
      <w:r>
        <w:rPr>
          <w:rFonts w:eastAsia="Times New Roman"/>
          <w:color w:val="000000"/>
          <w:sz w:val="20"/>
          <w:szCs w:val="20"/>
        </w:rPr>
        <w:t>s</w:t>
      </w:r>
      <w:r w:rsidRPr="00EB5F3B">
        <w:rPr>
          <w:rFonts w:eastAsia="Times New Roman"/>
          <w:color w:val="000000"/>
          <w:sz w:val="20"/>
          <w:szCs w:val="20"/>
        </w:rPr>
        <w:t xml:space="preserve"> per tenderer </w:t>
      </w:r>
      <w:r>
        <w:rPr>
          <w:rFonts w:eastAsia="Times New Roman"/>
          <w:color w:val="000000"/>
          <w:sz w:val="20"/>
          <w:szCs w:val="20"/>
        </w:rPr>
        <w:t xml:space="preserve">are </w:t>
      </w:r>
      <w:r w:rsidRPr="00EB5F3B">
        <w:rPr>
          <w:rFonts w:eastAsia="Times New Roman"/>
          <w:color w:val="000000"/>
          <w:sz w:val="20"/>
          <w:szCs w:val="20"/>
        </w:rPr>
        <w:t>permitted to be present at the opening of the tenders. The name</w:t>
      </w:r>
      <w:r>
        <w:rPr>
          <w:rFonts w:eastAsia="Times New Roman"/>
          <w:color w:val="000000"/>
          <w:sz w:val="20"/>
          <w:szCs w:val="20"/>
        </w:rPr>
        <w:t>s</w:t>
      </w:r>
      <w:r w:rsidRPr="00EB5F3B">
        <w:rPr>
          <w:rFonts w:eastAsia="Times New Roman"/>
          <w:color w:val="000000"/>
          <w:sz w:val="20"/>
          <w:szCs w:val="20"/>
        </w:rPr>
        <w:t xml:space="preserve"> of any such representative</w:t>
      </w:r>
      <w:r>
        <w:rPr>
          <w:rFonts w:eastAsia="Times New Roman"/>
          <w:color w:val="000000"/>
          <w:sz w:val="20"/>
          <w:szCs w:val="20"/>
        </w:rPr>
        <w:t xml:space="preserve">s are </w:t>
      </w:r>
      <w:r w:rsidRPr="00EB5F3B">
        <w:rPr>
          <w:rFonts w:eastAsia="Times New Roman"/>
          <w:color w:val="000000"/>
          <w:sz w:val="20"/>
          <w:szCs w:val="20"/>
        </w:rPr>
        <w:t xml:space="preserve">to be notified in advance in writing by email to the EBA at </w:t>
      </w:r>
      <w:hyperlink r:id="rId11" w:history="1">
        <w:r w:rsidRPr="00EB5F3B">
          <w:rPr>
            <w:rStyle w:val="Hyperlink"/>
            <w:rFonts w:eastAsia="Times New Roman"/>
            <w:b/>
            <w:sz w:val="20"/>
            <w:szCs w:val="20"/>
          </w:rPr>
          <w:t>tenders@eba.europa.eu</w:t>
        </w:r>
      </w:hyperlink>
      <w:r w:rsidRPr="00EB5F3B">
        <w:rPr>
          <w:rFonts w:eastAsia="Times New Roman"/>
          <w:b/>
          <w:color w:val="000000"/>
          <w:sz w:val="20"/>
          <w:szCs w:val="20"/>
        </w:rPr>
        <w:t xml:space="preserve"> </w:t>
      </w:r>
      <w:r w:rsidRPr="00EB5F3B">
        <w:rPr>
          <w:rFonts w:eastAsia="Times New Roman"/>
          <w:color w:val="000000"/>
          <w:sz w:val="20"/>
          <w:szCs w:val="20"/>
        </w:rPr>
        <w:t>with a copy to</w:t>
      </w:r>
      <w:r w:rsidRPr="00EB5F3B">
        <w:rPr>
          <w:rFonts w:eastAsia="Times New Roman"/>
          <w:b/>
          <w:color w:val="000000"/>
          <w:sz w:val="20"/>
          <w:szCs w:val="20"/>
        </w:rPr>
        <w:t xml:space="preserve"> </w:t>
      </w:r>
      <w:hyperlink r:id="rId12" w:history="1">
        <w:r w:rsidRPr="00672B05">
          <w:rPr>
            <w:rStyle w:val="Hyperlink"/>
            <w:rFonts w:eastAsia="Times New Roman"/>
            <w:sz w:val="20"/>
            <w:szCs w:val="20"/>
          </w:rPr>
          <w:t>ian.palombi@eba.europa.eu</w:t>
        </w:r>
      </w:hyperlink>
      <w:r w:rsidRPr="00EB5F3B">
        <w:rPr>
          <w:rFonts w:eastAsia="Times New Roman"/>
          <w:color w:val="000000"/>
          <w:sz w:val="20"/>
          <w:szCs w:val="20"/>
        </w:rPr>
        <w:t xml:space="preserve"> at least t</w:t>
      </w:r>
      <w:r>
        <w:rPr>
          <w:rFonts w:eastAsia="Times New Roman"/>
          <w:color w:val="000000"/>
          <w:sz w:val="20"/>
          <w:szCs w:val="20"/>
        </w:rPr>
        <w:t xml:space="preserve">hree (3) </w:t>
      </w:r>
      <w:r w:rsidRPr="00EB5F3B">
        <w:rPr>
          <w:rFonts w:eastAsia="Times New Roman"/>
          <w:color w:val="000000"/>
          <w:sz w:val="20"/>
          <w:szCs w:val="20"/>
        </w:rPr>
        <w:t xml:space="preserve">working days before the opening session.  For security </w:t>
      </w:r>
      <w:r>
        <w:rPr>
          <w:rFonts w:eastAsia="Times New Roman"/>
          <w:color w:val="000000"/>
          <w:sz w:val="20"/>
          <w:szCs w:val="20"/>
        </w:rPr>
        <w:t xml:space="preserve">and organisational reasons the tenderer must also provide in </w:t>
      </w:r>
      <w:r w:rsidRPr="009474C3">
        <w:rPr>
          <w:rFonts w:eastAsia="Times New Roman"/>
          <w:color w:val="000000"/>
          <w:sz w:val="20"/>
          <w:szCs w:val="20"/>
        </w:rPr>
        <w:t xml:space="preserve">advance the </w:t>
      </w:r>
      <w:r w:rsidRPr="009474C3">
        <w:rPr>
          <w:sz w:val="20"/>
          <w:szCs w:val="20"/>
        </w:rPr>
        <w:t>ID or passport numbers of the representatives who will attend the opening of the tenders</w:t>
      </w:r>
      <w:r w:rsidRPr="009474C3">
        <w:rPr>
          <w:rFonts w:eastAsia="Times New Roman"/>
          <w:color w:val="000000"/>
          <w:sz w:val="20"/>
          <w:szCs w:val="20"/>
        </w:rPr>
        <w:t>.  EBA may refuse access to persons who have not registered or do not carry a valid ID.</w:t>
      </w:r>
    </w:p>
    <w:p w:rsidR="0003788D" w:rsidRDefault="0003788D" w:rsidP="00784E16">
      <w:pPr>
        <w:tabs>
          <w:tab w:val="left" w:pos="0"/>
        </w:tabs>
        <w:spacing w:before="40" w:after="40" w:line="300" w:lineRule="exact"/>
        <w:jc w:val="both"/>
        <w:rPr>
          <w:rFonts w:eastAsia="Times New Roman"/>
          <w:color w:val="000000"/>
          <w:sz w:val="20"/>
          <w:szCs w:val="20"/>
        </w:rPr>
      </w:pPr>
    </w:p>
    <w:p w:rsidR="00577F72" w:rsidRPr="005D1B61" w:rsidRDefault="00577F72" w:rsidP="00577F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rPr>
          <w:b/>
          <w:color w:val="FFFFFF" w:themeColor="background1"/>
        </w:rPr>
      </w:pPr>
      <w:r w:rsidRPr="007F7138">
        <w:rPr>
          <w:b/>
          <w:color w:val="FFFFFF" w:themeColor="background1"/>
        </w:rPr>
        <w:t xml:space="preserve">In the </w:t>
      </w:r>
      <w:r>
        <w:rPr>
          <w:b/>
          <w:color w:val="FFFFFF" w:themeColor="background1"/>
        </w:rPr>
        <w:t xml:space="preserve">Tender Specifications Section B.8 TIMETABLE </w:t>
      </w:r>
      <w:r w:rsidR="009474C3">
        <w:rPr>
          <w:b/>
          <w:color w:val="FFFFFF" w:themeColor="background1"/>
        </w:rPr>
        <w:t xml:space="preserve">currently </w:t>
      </w:r>
      <w:r w:rsidR="00B90D39">
        <w:rPr>
          <w:b/>
          <w:color w:val="FFFFFF" w:themeColor="background1"/>
        </w:rPr>
        <w:t>r</w:t>
      </w:r>
      <w:r w:rsidRPr="007F7138">
        <w:rPr>
          <w:b/>
          <w:color w:val="FFFFFF" w:themeColor="background1"/>
        </w:rPr>
        <w:t>eads:</w:t>
      </w:r>
    </w:p>
    <w:p w:rsidR="00577F72" w:rsidRDefault="00577F72" w:rsidP="00A273D8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77F72" w:rsidRPr="00FD312F" w:rsidTr="007D416C">
        <w:trPr>
          <w:tblHeader/>
        </w:trPr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Milestone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Deadline (*)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577F72" w:rsidRPr="00FD312F" w:rsidTr="007D416C"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Deadline for sending requests for  clarifications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A16D8D" w:rsidP="00BF34B3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BF34B3" w:rsidRPr="00BF34B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nd</w:t>
            </w:r>
            <w:r w:rsidR="00BF34B3">
              <w:rPr>
                <w:rFonts w:asciiTheme="minorHAnsi" w:hAnsiTheme="minorHAnsi"/>
                <w:b/>
                <w:sz w:val="22"/>
                <w:szCs w:val="22"/>
              </w:rPr>
              <w:t xml:space="preserve"> June </w:t>
            </w: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The modalities for sending requests for clarifications are specified in Section C.5.</w:t>
            </w:r>
          </w:p>
        </w:tc>
      </w:tr>
      <w:tr w:rsidR="00577F72" w:rsidRPr="00FD312F" w:rsidTr="007D416C"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lastRenderedPageBreak/>
              <w:t>Deadline for (a) dispatching tenders and (b) hand delivery of tenders</w:t>
            </w:r>
          </w:p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577F72" w:rsidRPr="00FD312F" w:rsidRDefault="004B6BF1" w:rsidP="00577F72">
            <w:pPr>
              <w:pStyle w:val="NoSpacing"/>
              <w:numPr>
                <w:ilvl w:val="0"/>
                <w:numId w:val="4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4B6BF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77F72" w:rsidRPr="00FD312F">
              <w:rPr>
                <w:rFonts w:asciiTheme="minorHAnsi" w:hAnsiTheme="minorHAnsi"/>
                <w:b/>
                <w:sz w:val="22"/>
                <w:szCs w:val="22"/>
              </w:rPr>
              <w:t>June 2016</w:t>
            </w:r>
          </w:p>
          <w:p w:rsidR="00577F72" w:rsidRPr="00FD312F" w:rsidRDefault="00577F72" w:rsidP="004B6BF1">
            <w:pPr>
              <w:pStyle w:val="NoSpacing"/>
              <w:numPr>
                <w:ilvl w:val="0"/>
                <w:numId w:val="4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 xml:space="preserve">hand delivery to the EBA must be by no later than 17:00 BST on </w:t>
            </w:r>
            <w:r w:rsidR="004B6BF1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4B6BF1" w:rsidRPr="004B6BF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 w:rsidR="004B6BF1">
              <w:rPr>
                <w:rFonts w:asciiTheme="minorHAnsi" w:hAnsiTheme="minorHAnsi"/>
                <w:b/>
                <w:sz w:val="22"/>
                <w:szCs w:val="22"/>
              </w:rPr>
              <w:t xml:space="preserve"> J</w:t>
            </w: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une 2016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The modalities for preparing and dispatching tenders are specified in Sections C.1, C.2, C.3 and C.4.</w:t>
            </w:r>
          </w:p>
        </w:tc>
      </w:tr>
      <w:tr w:rsidR="00577F72" w:rsidRPr="00FD312F" w:rsidTr="007D416C"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Deadline for registering for attendance at the public opening session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F5166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11:30 BST on </w:t>
            </w:r>
            <w:r w:rsidR="00F5166A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 w:rsidRPr="00FD312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June 2016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The modalities for attending and registering for the public opening session are specified in Section D.1.</w:t>
            </w:r>
          </w:p>
        </w:tc>
      </w:tr>
      <w:tr w:rsidR="00577F72" w:rsidRPr="00FD312F" w:rsidTr="007D416C"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Public opening session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21712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>11:30 BST on 1</w:t>
            </w:r>
            <w:r w:rsidR="00217128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="00217128" w:rsidRPr="0021712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2171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>June 2016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The public opening session will take place at EBA’s premises.</w:t>
            </w:r>
          </w:p>
        </w:tc>
      </w:tr>
      <w:tr w:rsidR="00577F72" w:rsidRPr="00FD312F" w:rsidTr="007D416C"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First meeting of the evaluation committee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Within 1 week following the public opening session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577F72" w:rsidRPr="00FD312F" w:rsidTr="007D416C"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Notification of the outcome of the procurement procedure to the successful and unsuccessful tenderers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Within 1 week after the award decision is signed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577F72" w:rsidRPr="00FD312F" w:rsidTr="007D416C"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 xml:space="preserve">Signature of the framework contract for the required services 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Within four weeks of the notification of the outcome</w:t>
            </w:r>
          </w:p>
        </w:tc>
        <w:tc>
          <w:tcPr>
            <w:tcW w:w="2952" w:type="dxa"/>
            <w:shd w:val="clear" w:color="auto" w:fill="auto"/>
          </w:tcPr>
          <w:p w:rsidR="00577F72" w:rsidRPr="00FD312F" w:rsidRDefault="00577F72" w:rsidP="007D41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577F72" w:rsidRDefault="00577F72" w:rsidP="00577F72">
      <w:pPr>
        <w:pStyle w:val="NoSpacing"/>
        <w:rPr>
          <w:rFonts w:asciiTheme="minorHAnsi" w:hAnsiTheme="minorHAnsi"/>
          <w:b/>
          <w:sz w:val="22"/>
          <w:szCs w:val="22"/>
        </w:rPr>
      </w:pPr>
      <w:r w:rsidRPr="00FD312F">
        <w:rPr>
          <w:rFonts w:asciiTheme="minorHAnsi" w:hAnsiTheme="minorHAnsi"/>
          <w:b/>
          <w:sz w:val="22"/>
          <w:szCs w:val="22"/>
        </w:rPr>
        <w:t>(*) Deadline: All times are expressed in UK local time</w:t>
      </w:r>
    </w:p>
    <w:p w:rsidR="00A864D7" w:rsidRDefault="00A864D7" w:rsidP="00577F72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813121" w:rsidRDefault="00813121" w:rsidP="00A864D7">
      <w:pPr>
        <w:pStyle w:val="NoSpacing"/>
        <w:rPr>
          <w:rFonts w:ascii="Arial" w:hAnsi="Arial" w:cs="Arial"/>
          <w:b/>
          <w:bCs/>
          <w:sz w:val="22"/>
          <w:szCs w:val="22"/>
          <w:u w:val="single"/>
        </w:rPr>
      </w:pPr>
    </w:p>
    <w:p w:rsidR="00813121" w:rsidRPr="005D1B61" w:rsidRDefault="00813121" w:rsidP="008131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rPr>
          <w:b/>
          <w:color w:val="FFFFFF" w:themeColor="background1"/>
        </w:rPr>
      </w:pPr>
      <w:r w:rsidRPr="007F7138">
        <w:rPr>
          <w:b/>
          <w:color w:val="FFFFFF" w:themeColor="background1"/>
        </w:rPr>
        <w:t xml:space="preserve">In the </w:t>
      </w:r>
      <w:r>
        <w:rPr>
          <w:b/>
          <w:color w:val="FFFFFF" w:themeColor="background1"/>
        </w:rPr>
        <w:t xml:space="preserve">Tender Specifications Section B.8 TIMETABLE </w:t>
      </w:r>
      <w:r w:rsidR="00550AF9">
        <w:rPr>
          <w:b/>
          <w:color w:val="FFFFFF" w:themeColor="background1"/>
        </w:rPr>
        <w:t xml:space="preserve">NOW </w:t>
      </w:r>
      <w:r>
        <w:rPr>
          <w:b/>
          <w:color w:val="FFFFFF" w:themeColor="background1"/>
        </w:rPr>
        <w:t>r</w:t>
      </w:r>
      <w:r w:rsidRPr="007F7138">
        <w:rPr>
          <w:b/>
          <w:color w:val="FFFFFF" w:themeColor="background1"/>
        </w:rPr>
        <w:t>eads:</w:t>
      </w:r>
    </w:p>
    <w:p w:rsidR="00813121" w:rsidRDefault="00813121" w:rsidP="00813121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13121" w:rsidRPr="00FD312F" w:rsidTr="002A020F">
        <w:trPr>
          <w:tblHeader/>
        </w:trPr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Milestone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Deadline (*)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813121" w:rsidRPr="00FD312F" w:rsidTr="002A020F"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Deadline for sending requests for  clarifications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BF34B3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June </w:t>
            </w: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The modalities for sending requests for clarifications are specified in Section C.5.</w:t>
            </w:r>
          </w:p>
        </w:tc>
      </w:tr>
      <w:tr w:rsidR="00813121" w:rsidRPr="00FD312F" w:rsidTr="002A020F"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Deadline for (a) dispatching tenders and (b) hand delivery of tenders</w:t>
            </w:r>
          </w:p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813121">
            <w:pPr>
              <w:pStyle w:val="NoSpacing"/>
              <w:numPr>
                <w:ilvl w:val="0"/>
                <w:numId w:val="4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4B6BF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June 2016</w:t>
            </w:r>
          </w:p>
          <w:p w:rsidR="00813121" w:rsidRPr="00FD312F" w:rsidRDefault="00813121" w:rsidP="00813121">
            <w:pPr>
              <w:pStyle w:val="NoSpacing"/>
              <w:numPr>
                <w:ilvl w:val="0"/>
                <w:numId w:val="4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 xml:space="preserve">hand delivery to the EBA must be by no later than 17:00 BST </w:t>
            </w:r>
            <w:r w:rsidRPr="00FD312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4B6BF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J</w:t>
            </w:r>
            <w:r w:rsidRPr="00FD312F">
              <w:rPr>
                <w:rFonts w:asciiTheme="minorHAnsi" w:hAnsiTheme="minorHAnsi"/>
                <w:b/>
                <w:sz w:val="22"/>
                <w:szCs w:val="22"/>
              </w:rPr>
              <w:t>une 2016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lastRenderedPageBreak/>
              <w:t>The modalities for preparing and dispatching tenders are specified in Sections C.1, C.2, C.3 and C.4.</w:t>
            </w:r>
          </w:p>
        </w:tc>
      </w:tr>
      <w:tr w:rsidR="00813121" w:rsidRPr="00FD312F" w:rsidTr="002A020F">
        <w:tc>
          <w:tcPr>
            <w:tcW w:w="2952" w:type="dxa"/>
            <w:shd w:val="clear" w:color="auto" w:fill="auto"/>
          </w:tcPr>
          <w:p w:rsidR="00813121" w:rsidRPr="00FD312F" w:rsidRDefault="00813121" w:rsidP="00E122B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lastRenderedPageBreak/>
              <w:t>Deadline</w:t>
            </w:r>
            <w:r w:rsidR="00E122BF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FD312F">
              <w:rPr>
                <w:rFonts w:asciiTheme="minorHAnsi" w:hAnsiTheme="minorHAnsi"/>
                <w:sz w:val="22"/>
                <w:szCs w:val="22"/>
              </w:rPr>
              <w:t xml:space="preserve">for registering for attendance at the </w:t>
            </w:r>
            <w:r w:rsidR="00AE5867">
              <w:rPr>
                <w:rFonts w:asciiTheme="minorHAnsi" w:hAnsiTheme="minorHAnsi"/>
                <w:sz w:val="22"/>
                <w:szCs w:val="22"/>
              </w:rPr>
              <w:t xml:space="preserve">two </w:t>
            </w:r>
            <w:r w:rsidRPr="00FD312F">
              <w:rPr>
                <w:rFonts w:asciiTheme="minorHAnsi" w:hAnsiTheme="minorHAnsi"/>
                <w:sz w:val="22"/>
                <w:szCs w:val="22"/>
              </w:rPr>
              <w:t>public opening session</w:t>
            </w:r>
            <w:r w:rsidR="00550AF9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952" w:type="dxa"/>
            <w:shd w:val="clear" w:color="auto" w:fill="auto"/>
          </w:tcPr>
          <w:p w:rsidR="00813121" w:rsidRDefault="005242A9" w:rsidP="002A020F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242A9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813121"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11:30 BST on </w:t>
            </w:r>
            <w:r w:rsidR="00813121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 w:rsidR="00813121" w:rsidRPr="00FD312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813121"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June 2016</w:t>
            </w:r>
          </w:p>
          <w:p w:rsidR="005242A9" w:rsidRPr="00FD312F" w:rsidRDefault="005242A9" w:rsidP="005242A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5242A9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11:30 BST on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24</w:t>
            </w:r>
            <w:r w:rsidRPr="00FD312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June 2016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The modalities for attending and registering for the public opening session</w:t>
            </w:r>
            <w:r w:rsidR="00550AF9">
              <w:rPr>
                <w:rFonts w:asciiTheme="minorHAnsi" w:hAnsiTheme="minorHAnsi"/>
                <w:sz w:val="22"/>
                <w:szCs w:val="22"/>
              </w:rPr>
              <w:t>s</w:t>
            </w:r>
            <w:r w:rsidRPr="00FD312F">
              <w:rPr>
                <w:rFonts w:asciiTheme="minorHAnsi" w:hAnsiTheme="minorHAnsi"/>
                <w:sz w:val="22"/>
                <w:szCs w:val="22"/>
              </w:rPr>
              <w:t xml:space="preserve"> are specified in Section D.1.</w:t>
            </w:r>
          </w:p>
        </w:tc>
      </w:tr>
      <w:tr w:rsidR="00813121" w:rsidRPr="00FD312F" w:rsidTr="002A020F"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Public opening session</w:t>
            </w:r>
            <w:r w:rsidR="00550AF9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550AF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>11:30 BST on 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21712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FD312F">
              <w:rPr>
                <w:rFonts w:asciiTheme="minorHAnsi" w:hAnsiTheme="minorHAnsi"/>
                <w:b/>
                <w:bCs/>
                <w:sz w:val="22"/>
                <w:szCs w:val="22"/>
              </w:rPr>
              <w:t>June 2016</w:t>
            </w:r>
            <w:r w:rsidR="00550A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</w:t>
            </w:r>
            <w:r w:rsidR="00550AF9" w:rsidRPr="00550AF9">
              <w:rPr>
                <w:rFonts w:asciiTheme="minorHAnsi" w:hAnsiTheme="minorHAnsi"/>
                <w:b/>
                <w:bCs/>
                <w:sz w:val="22"/>
                <w:szCs w:val="22"/>
              </w:rPr>
              <w:t>11:30</w:t>
            </w:r>
            <w:r w:rsidR="00550A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50AF9" w:rsidRPr="00550AF9">
              <w:rPr>
                <w:rFonts w:asciiTheme="minorHAnsi" w:hAnsiTheme="minorHAnsi"/>
                <w:b/>
                <w:bCs/>
                <w:sz w:val="22"/>
                <w:szCs w:val="22"/>
              </w:rPr>
              <w:t>BST on 29th June 2016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The public opening session</w:t>
            </w:r>
            <w:r w:rsidR="00550AF9">
              <w:rPr>
                <w:rFonts w:asciiTheme="minorHAnsi" w:hAnsiTheme="minorHAnsi"/>
                <w:sz w:val="22"/>
                <w:szCs w:val="22"/>
              </w:rPr>
              <w:t>s</w:t>
            </w:r>
            <w:r w:rsidRPr="00FD312F">
              <w:rPr>
                <w:rFonts w:asciiTheme="minorHAnsi" w:hAnsiTheme="minorHAnsi"/>
                <w:sz w:val="22"/>
                <w:szCs w:val="22"/>
              </w:rPr>
              <w:t xml:space="preserve"> will take place at EBA’s premises.</w:t>
            </w:r>
          </w:p>
        </w:tc>
      </w:tr>
      <w:tr w:rsidR="00813121" w:rsidRPr="00FD312F" w:rsidTr="002A020F"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Notification of the outcome of the procurement procedure to the successful and unsuccessful tenderers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Within 1 week after the award decision is signed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813121" w:rsidRPr="00FD312F" w:rsidTr="002A020F"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 xml:space="preserve">Signature of the framework contract for the required services 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Within four weeks of the notification of the outcome</w:t>
            </w:r>
          </w:p>
        </w:tc>
        <w:tc>
          <w:tcPr>
            <w:tcW w:w="2952" w:type="dxa"/>
            <w:shd w:val="clear" w:color="auto" w:fill="auto"/>
          </w:tcPr>
          <w:p w:rsidR="00813121" w:rsidRPr="00FD312F" w:rsidRDefault="00813121" w:rsidP="002A020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FD312F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813121" w:rsidRDefault="00813121" w:rsidP="00813121">
      <w:pPr>
        <w:pStyle w:val="NoSpacing"/>
        <w:rPr>
          <w:rFonts w:asciiTheme="minorHAnsi" w:hAnsiTheme="minorHAnsi"/>
          <w:b/>
          <w:sz w:val="22"/>
          <w:szCs w:val="22"/>
        </w:rPr>
      </w:pPr>
      <w:r w:rsidRPr="00FD312F">
        <w:rPr>
          <w:rFonts w:asciiTheme="minorHAnsi" w:hAnsiTheme="minorHAnsi"/>
          <w:b/>
          <w:sz w:val="22"/>
          <w:szCs w:val="22"/>
        </w:rPr>
        <w:t>(*) Deadline: All times are expressed in UK local time</w:t>
      </w:r>
    </w:p>
    <w:p w:rsidR="00813121" w:rsidRDefault="00813121" w:rsidP="00813121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A864D7" w:rsidRPr="00A864D7" w:rsidRDefault="00A864D7" w:rsidP="00A864D7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A864D7">
        <w:rPr>
          <w:rFonts w:ascii="Arial" w:hAnsi="Arial" w:cs="Arial"/>
          <w:b/>
          <w:bCs/>
          <w:sz w:val="22"/>
          <w:szCs w:val="22"/>
          <w:u w:val="single"/>
        </w:rPr>
        <w:t>Contract Notice 2016/S 082-144818</w:t>
      </w:r>
    </w:p>
    <w:p w:rsidR="00577F72" w:rsidRDefault="00577F72" w:rsidP="00577F72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A86F90" w:rsidRPr="005D1B61" w:rsidRDefault="00A86F90" w:rsidP="00A86F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rPr>
          <w:b/>
          <w:color w:val="FFFFFF" w:themeColor="background1"/>
        </w:rPr>
      </w:pPr>
      <w:r w:rsidRPr="007F7138">
        <w:rPr>
          <w:b/>
          <w:color w:val="FFFFFF" w:themeColor="background1"/>
        </w:rPr>
        <w:t xml:space="preserve">In the </w:t>
      </w:r>
      <w:r>
        <w:rPr>
          <w:b/>
          <w:color w:val="FFFFFF" w:themeColor="background1"/>
        </w:rPr>
        <w:t xml:space="preserve">Contract Notice Section </w:t>
      </w:r>
      <w:r w:rsidRPr="00A864D7">
        <w:rPr>
          <w:b/>
          <w:color w:val="FFFFFF" w:themeColor="background1"/>
        </w:rPr>
        <w:t>IV.2.</w:t>
      </w:r>
      <w:r w:rsidR="004E0577">
        <w:rPr>
          <w:b/>
          <w:color w:val="FFFFFF" w:themeColor="background1"/>
        </w:rPr>
        <w:t>7</w:t>
      </w:r>
      <w:r w:rsidRPr="00A864D7">
        <w:rPr>
          <w:b/>
          <w:color w:val="FFFFFF" w:themeColor="background1"/>
        </w:rPr>
        <w:t>)</w:t>
      </w:r>
      <w:r>
        <w:rPr>
          <w:b/>
          <w:color w:val="FFFFFF" w:themeColor="background1"/>
        </w:rPr>
        <w:t xml:space="preserve"> </w:t>
      </w:r>
      <w:r w:rsidR="009474C3">
        <w:rPr>
          <w:b/>
          <w:color w:val="FFFFFF" w:themeColor="background1"/>
        </w:rPr>
        <w:t>currently r</w:t>
      </w:r>
      <w:r w:rsidRPr="007F7138">
        <w:rPr>
          <w:b/>
          <w:color w:val="FFFFFF" w:themeColor="background1"/>
        </w:rPr>
        <w:t>eads:</w:t>
      </w:r>
    </w:p>
    <w:p w:rsidR="00A86F90" w:rsidRDefault="00A86F90" w:rsidP="00577F72">
      <w:pPr>
        <w:pStyle w:val="NoSpacing"/>
        <w:rPr>
          <w:rFonts w:asciiTheme="minorHAnsi" w:hAnsiTheme="minorHAnsi"/>
          <w:sz w:val="22"/>
          <w:szCs w:val="22"/>
        </w:rPr>
      </w:pPr>
    </w:p>
    <w:p w:rsidR="0020529B" w:rsidRPr="004E0577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>Conditions for opening of tenders</w:t>
      </w:r>
    </w:p>
    <w:p w:rsidR="0020529B" w:rsidRPr="004E0577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</w:p>
    <w:p w:rsidR="0020529B" w:rsidRPr="004E0577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>Date: 1</w:t>
      </w:r>
      <w:r>
        <w:rPr>
          <w:rFonts w:asciiTheme="minorHAnsi" w:hAnsiTheme="minorHAnsi"/>
          <w:sz w:val="22"/>
          <w:szCs w:val="22"/>
        </w:rPr>
        <w:t>7</w:t>
      </w:r>
      <w:r w:rsidRPr="004E0577">
        <w:rPr>
          <w:rFonts w:asciiTheme="minorHAnsi" w:hAnsiTheme="minorHAnsi"/>
          <w:sz w:val="22"/>
          <w:szCs w:val="22"/>
        </w:rPr>
        <w:t>/06/2016</w:t>
      </w:r>
    </w:p>
    <w:p w:rsidR="0020529B" w:rsidRPr="004E0577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</w:p>
    <w:p w:rsidR="0020529B" w:rsidRPr="004E0577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>Local time: 11:30</w:t>
      </w:r>
    </w:p>
    <w:p w:rsidR="0020529B" w:rsidRPr="004E0577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</w:p>
    <w:p w:rsidR="0020529B" w:rsidRPr="004E0577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 xml:space="preserve">Place: Tenders will be opened at the premises of the EBA at One Canada Square, Canary Wharf, </w:t>
      </w:r>
      <w:proofErr w:type="gramStart"/>
      <w:r w:rsidRPr="004E0577">
        <w:rPr>
          <w:rFonts w:asciiTheme="minorHAnsi" w:hAnsiTheme="minorHAnsi"/>
          <w:sz w:val="22"/>
          <w:szCs w:val="22"/>
        </w:rPr>
        <w:t>London</w:t>
      </w:r>
      <w:proofErr w:type="gramEnd"/>
      <w:r w:rsidRPr="004E0577">
        <w:rPr>
          <w:rFonts w:asciiTheme="minorHAnsi" w:hAnsiTheme="minorHAnsi"/>
          <w:sz w:val="22"/>
          <w:szCs w:val="22"/>
        </w:rPr>
        <w:t>, E14 5AA, UNITED KINGDOM.</w:t>
      </w:r>
    </w:p>
    <w:p w:rsidR="0020529B" w:rsidRPr="004E0577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</w:p>
    <w:p w:rsidR="00550AF9" w:rsidRDefault="0020529B" w:rsidP="0020529B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>Information about authorised persons and opening procedure: A maximum of 2 representatives per tenderer are permitted to be present at the opening. The names of any such representatives are to be notified in advance in writing by e-mail to the EBA at tenders@eba.europa.eu with a copy to ian.palombi@eba.europa.eu at least 3 working days before the opening.</w:t>
      </w:r>
    </w:p>
    <w:p w:rsidR="00550AF9" w:rsidRDefault="00550AF9" w:rsidP="0020529B">
      <w:pPr>
        <w:pStyle w:val="NoSpacing"/>
        <w:rPr>
          <w:rFonts w:asciiTheme="minorHAnsi" w:hAnsiTheme="minorHAnsi"/>
          <w:sz w:val="22"/>
          <w:szCs w:val="22"/>
        </w:rPr>
      </w:pPr>
    </w:p>
    <w:p w:rsidR="00550AF9" w:rsidRPr="005D1B61" w:rsidRDefault="00550AF9" w:rsidP="00550A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rPr>
          <w:b/>
          <w:color w:val="FFFFFF" w:themeColor="background1"/>
        </w:rPr>
      </w:pPr>
      <w:r w:rsidRPr="007F7138">
        <w:rPr>
          <w:b/>
          <w:color w:val="FFFFFF" w:themeColor="background1"/>
        </w:rPr>
        <w:t xml:space="preserve">In the </w:t>
      </w:r>
      <w:r>
        <w:rPr>
          <w:b/>
          <w:color w:val="FFFFFF" w:themeColor="background1"/>
        </w:rPr>
        <w:t xml:space="preserve">Contract Notice Section </w:t>
      </w:r>
      <w:r w:rsidRPr="00A864D7">
        <w:rPr>
          <w:b/>
          <w:color w:val="FFFFFF" w:themeColor="background1"/>
        </w:rPr>
        <w:t>IV.2.</w:t>
      </w:r>
      <w:r>
        <w:rPr>
          <w:b/>
          <w:color w:val="FFFFFF" w:themeColor="background1"/>
        </w:rPr>
        <w:t>7</w:t>
      </w:r>
      <w:r w:rsidRPr="00A864D7">
        <w:rPr>
          <w:b/>
          <w:color w:val="FFFFFF" w:themeColor="background1"/>
        </w:rPr>
        <w:t>)</w:t>
      </w:r>
      <w:r>
        <w:rPr>
          <w:b/>
          <w:color w:val="FFFFFF" w:themeColor="background1"/>
        </w:rPr>
        <w:t xml:space="preserve"> NOW r</w:t>
      </w:r>
      <w:r w:rsidRPr="007F7138">
        <w:rPr>
          <w:b/>
          <w:color w:val="FFFFFF" w:themeColor="background1"/>
        </w:rPr>
        <w:t>eads:</w:t>
      </w:r>
    </w:p>
    <w:p w:rsidR="00550AF9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</w:p>
    <w:p w:rsidR="00550AF9" w:rsidRPr="004E0577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>Conditions for opening of tenders</w:t>
      </w:r>
    </w:p>
    <w:p w:rsidR="00550AF9" w:rsidRPr="004E0577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</w:p>
    <w:p w:rsidR="00550AF9" w:rsidRPr="004E0577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>Date</w:t>
      </w:r>
      <w:r w:rsidR="002A6FD8">
        <w:rPr>
          <w:rFonts w:asciiTheme="minorHAnsi" w:hAnsiTheme="minorHAnsi"/>
          <w:sz w:val="22"/>
          <w:szCs w:val="22"/>
        </w:rPr>
        <w:t>s</w:t>
      </w:r>
      <w:r w:rsidRPr="004E0577">
        <w:rPr>
          <w:rFonts w:asciiTheme="minorHAnsi" w:hAnsiTheme="minorHAnsi"/>
          <w:sz w:val="22"/>
          <w:szCs w:val="22"/>
        </w:rPr>
        <w:t>: 1</w:t>
      </w:r>
      <w:r>
        <w:rPr>
          <w:rFonts w:asciiTheme="minorHAnsi" w:hAnsiTheme="minorHAnsi"/>
          <w:sz w:val="22"/>
          <w:szCs w:val="22"/>
        </w:rPr>
        <w:t>7</w:t>
      </w:r>
      <w:r w:rsidRPr="004E0577">
        <w:rPr>
          <w:rFonts w:asciiTheme="minorHAnsi" w:hAnsiTheme="minorHAnsi"/>
          <w:sz w:val="22"/>
          <w:szCs w:val="22"/>
        </w:rPr>
        <w:t>/06/2016</w:t>
      </w:r>
      <w:r w:rsidR="00AE5867">
        <w:rPr>
          <w:rFonts w:asciiTheme="minorHAnsi" w:hAnsiTheme="minorHAnsi"/>
          <w:sz w:val="22"/>
          <w:szCs w:val="22"/>
        </w:rPr>
        <w:t xml:space="preserve"> and 29/06/2016</w:t>
      </w:r>
    </w:p>
    <w:p w:rsidR="00550AF9" w:rsidRPr="004E0577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</w:p>
    <w:p w:rsidR="00550AF9" w:rsidRPr="004E0577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>Local time: 11:30</w:t>
      </w:r>
    </w:p>
    <w:p w:rsidR="00550AF9" w:rsidRPr="004E0577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</w:p>
    <w:p w:rsidR="00550AF9" w:rsidRPr="004E0577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 xml:space="preserve">Place: Tenders will be opened at the premises of the EBA at One Canada Square, Canary Wharf, </w:t>
      </w:r>
      <w:proofErr w:type="gramStart"/>
      <w:r w:rsidRPr="004E0577">
        <w:rPr>
          <w:rFonts w:asciiTheme="minorHAnsi" w:hAnsiTheme="minorHAnsi"/>
          <w:sz w:val="22"/>
          <w:szCs w:val="22"/>
        </w:rPr>
        <w:t>London</w:t>
      </w:r>
      <w:proofErr w:type="gramEnd"/>
      <w:r w:rsidRPr="004E0577">
        <w:rPr>
          <w:rFonts w:asciiTheme="minorHAnsi" w:hAnsiTheme="minorHAnsi"/>
          <w:sz w:val="22"/>
          <w:szCs w:val="22"/>
        </w:rPr>
        <w:t>, E14 5AA, UNITED KINGDOM.</w:t>
      </w:r>
    </w:p>
    <w:p w:rsidR="00550AF9" w:rsidRPr="004E0577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</w:p>
    <w:p w:rsidR="00550AF9" w:rsidRDefault="00550AF9" w:rsidP="00550AF9">
      <w:pPr>
        <w:pStyle w:val="NoSpacing"/>
        <w:rPr>
          <w:rFonts w:asciiTheme="minorHAnsi" w:hAnsiTheme="minorHAnsi"/>
          <w:sz w:val="22"/>
          <w:szCs w:val="22"/>
        </w:rPr>
      </w:pPr>
      <w:r w:rsidRPr="004E0577">
        <w:rPr>
          <w:rFonts w:asciiTheme="minorHAnsi" w:hAnsiTheme="minorHAnsi"/>
          <w:sz w:val="22"/>
          <w:szCs w:val="22"/>
        </w:rPr>
        <w:t>Information about authorised persons and opening procedure: A maximum of 2 representatives per tenderer are permitted to be present at the opening</w:t>
      </w:r>
      <w:r w:rsidR="002A6FD8">
        <w:rPr>
          <w:rFonts w:asciiTheme="minorHAnsi" w:hAnsiTheme="minorHAnsi"/>
          <w:sz w:val="22"/>
          <w:szCs w:val="22"/>
        </w:rPr>
        <w:t>s</w:t>
      </w:r>
      <w:r w:rsidRPr="004E0577">
        <w:rPr>
          <w:rFonts w:asciiTheme="minorHAnsi" w:hAnsiTheme="minorHAnsi"/>
          <w:sz w:val="22"/>
          <w:szCs w:val="22"/>
        </w:rPr>
        <w:t>. The names of any such representatives are to be notified in advance in writing by e-mail to the EBA at tenders@eba.europa.eu with a copy to ian.palombi@eba.europa.eu at least 3 working days before the opening</w:t>
      </w:r>
      <w:r w:rsidR="002A6FD8">
        <w:rPr>
          <w:rFonts w:asciiTheme="minorHAnsi" w:hAnsiTheme="minorHAnsi"/>
          <w:sz w:val="22"/>
          <w:szCs w:val="22"/>
        </w:rPr>
        <w:t>s</w:t>
      </w:r>
      <w:r w:rsidRPr="004E0577">
        <w:rPr>
          <w:rFonts w:asciiTheme="minorHAnsi" w:hAnsiTheme="minorHAnsi"/>
          <w:sz w:val="22"/>
          <w:szCs w:val="22"/>
        </w:rPr>
        <w:t>.</w:t>
      </w:r>
    </w:p>
    <w:p w:rsidR="00550AF9" w:rsidRDefault="00550AF9" w:rsidP="0020529B">
      <w:pPr>
        <w:pStyle w:val="NoSpacing"/>
        <w:rPr>
          <w:rFonts w:asciiTheme="minorHAnsi" w:hAnsiTheme="minorHAnsi"/>
          <w:sz w:val="22"/>
          <w:szCs w:val="22"/>
        </w:rPr>
      </w:pPr>
    </w:p>
    <w:p w:rsidR="00550AF9" w:rsidRDefault="00550AF9" w:rsidP="0020529B">
      <w:pPr>
        <w:pStyle w:val="NoSpacing"/>
        <w:rPr>
          <w:rFonts w:asciiTheme="minorHAnsi" w:hAnsiTheme="minorHAnsi"/>
          <w:sz w:val="22"/>
          <w:szCs w:val="22"/>
        </w:rPr>
      </w:pPr>
    </w:p>
    <w:sectPr w:rsidR="00550AF9" w:rsidSect="00B06E6E">
      <w:headerReference w:type="default" r:id="rId13"/>
      <w:footerReference w:type="default" r:id="rId14"/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93" w:rsidRDefault="00E44F93" w:rsidP="00C47A41">
      <w:pPr>
        <w:spacing w:after="0"/>
      </w:pPr>
      <w:r>
        <w:separator/>
      </w:r>
    </w:p>
  </w:endnote>
  <w:endnote w:type="continuationSeparator" w:id="0">
    <w:p w:rsidR="00E44F93" w:rsidRDefault="00E44F93" w:rsidP="00C47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ylium">
    <w:charset w:val="00"/>
    <w:family w:val="auto"/>
    <w:pitch w:val="variable"/>
    <w:sig w:usb0="A00000AF" w:usb1="0000004A" w:usb2="00000000" w:usb3="00000000" w:csb0="00000193" w:csb1="00000000"/>
  </w:font>
  <w:font w:name="Helvetica 45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FF" w:rsidRDefault="00C06FFF" w:rsidP="00C06FFF">
    <w:pPr>
      <w:pStyle w:val="Footer"/>
      <w:tabs>
        <w:tab w:val="clear" w:pos="9026"/>
        <w:tab w:val="right" w:pos="1395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06E6E">
      <w:rPr>
        <w:noProof/>
      </w:rPr>
      <w:t>4</w:t>
    </w:r>
    <w:r>
      <w:fldChar w:fldCharType="end"/>
    </w:r>
    <w:r>
      <w:t xml:space="preserve"> / </w:t>
    </w:r>
    <w:fldSimple w:instr=" NUMPAGES   \* MERGEFORMAT ">
      <w:r w:rsidR="00B06E6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93" w:rsidRDefault="00E44F93" w:rsidP="00C47A41">
      <w:pPr>
        <w:spacing w:after="0"/>
      </w:pPr>
      <w:r>
        <w:separator/>
      </w:r>
    </w:p>
  </w:footnote>
  <w:footnote w:type="continuationSeparator" w:id="0">
    <w:p w:rsidR="00E44F93" w:rsidRDefault="00E44F93" w:rsidP="00C47A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6E" w:rsidRDefault="00B06E6E" w:rsidP="00B06E6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F22901" wp14:editId="211BF371">
          <wp:extent cx="1207135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EE8B47"/>
    <w:multiLevelType w:val="hybridMultilevel"/>
    <w:tmpl w:val="327756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153FB"/>
    <w:multiLevelType w:val="hybridMultilevel"/>
    <w:tmpl w:val="FBFA2C9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4E3357E"/>
    <w:multiLevelType w:val="hybridMultilevel"/>
    <w:tmpl w:val="17CE7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40DA"/>
    <w:multiLevelType w:val="hybridMultilevel"/>
    <w:tmpl w:val="E0E407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83DD7"/>
    <w:multiLevelType w:val="hybridMultilevel"/>
    <w:tmpl w:val="BFF84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401A8"/>
    <w:multiLevelType w:val="hybridMultilevel"/>
    <w:tmpl w:val="0C5CA4C8"/>
    <w:lvl w:ilvl="0" w:tplc="BF54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51D5"/>
    <w:multiLevelType w:val="hybridMultilevel"/>
    <w:tmpl w:val="62B0728E"/>
    <w:lvl w:ilvl="0" w:tplc="77D81C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D4C7"/>
    <w:multiLevelType w:val="hybridMultilevel"/>
    <w:tmpl w:val="6E73F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A51D5C"/>
    <w:multiLevelType w:val="hybridMultilevel"/>
    <w:tmpl w:val="EFE02602"/>
    <w:lvl w:ilvl="0" w:tplc="64A45DC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A81A42"/>
    <w:multiLevelType w:val="hybridMultilevel"/>
    <w:tmpl w:val="BEA68760"/>
    <w:lvl w:ilvl="0" w:tplc="FC02921C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97594"/>
    <w:multiLevelType w:val="hybridMultilevel"/>
    <w:tmpl w:val="67D84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83E8E"/>
    <w:multiLevelType w:val="hybridMultilevel"/>
    <w:tmpl w:val="0E072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2A14FD9"/>
    <w:multiLevelType w:val="hybridMultilevel"/>
    <w:tmpl w:val="C4C4350A"/>
    <w:lvl w:ilvl="0" w:tplc="90022F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57C4E"/>
    <w:multiLevelType w:val="hybridMultilevel"/>
    <w:tmpl w:val="40382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71057"/>
    <w:multiLevelType w:val="hybridMultilevel"/>
    <w:tmpl w:val="22FE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50C89"/>
    <w:multiLevelType w:val="multilevel"/>
    <w:tmpl w:val="2178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7A112F"/>
    <w:multiLevelType w:val="hybridMultilevel"/>
    <w:tmpl w:val="C28AD760"/>
    <w:lvl w:ilvl="0" w:tplc="86A2892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i w:val="0"/>
        <w:iCs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3241A"/>
    <w:multiLevelType w:val="multilevel"/>
    <w:tmpl w:val="6F126D0E"/>
    <w:numStyleLink w:val="TTPlainHeadings"/>
  </w:abstractNum>
  <w:abstractNum w:abstractNumId="18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9">
    <w:nsid w:val="2CCA6D61"/>
    <w:multiLevelType w:val="multilevel"/>
    <w:tmpl w:val="6F126D0E"/>
    <w:styleLink w:val="TTPlain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PlainHeadings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Plain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Plain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Plain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35890979"/>
    <w:multiLevelType w:val="hybridMultilevel"/>
    <w:tmpl w:val="36DAA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F1EBF"/>
    <w:multiLevelType w:val="multilevel"/>
    <w:tmpl w:val="9DA2F41C"/>
    <w:styleLink w:val="TTTables"/>
    <w:lvl w:ilvl="0">
      <w:start w:val="1"/>
      <w:numFmt w:val="none"/>
      <w:lvlText w:val="%1"/>
      <w:lvlJc w:val="left"/>
      <w:pPr>
        <w:ind w:left="0" w:firstLine="0"/>
      </w:pPr>
      <w:rPr>
        <w:rFonts w:ascii="Verdana" w:hAnsi="Verdana" w:hint="default"/>
        <w:sz w:val="18"/>
      </w:rPr>
    </w:lvl>
    <w:lvl w:ilvl="1">
      <w:start w:val="1"/>
      <w:numFmt w:val="none"/>
      <w:lvlRestart w:val="0"/>
      <w:pStyle w:val="TableText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TT1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TTItalic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>
    <w:nsid w:val="3DB50354"/>
    <w:multiLevelType w:val="multilevel"/>
    <w:tmpl w:val="9DA2F41C"/>
    <w:numStyleLink w:val="TTTables"/>
  </w:abstractNum>
  <w:abstractNum w:abstractNumId="23">
    <w:nsid w:val="42963368"/>
    <w:multiLevelType w:val="hybridMultilevel"/>
    <w:tmpl w:val="5F907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F32D03"/>
    <w:multiLevelType w:val="multilevel"/>
    <w:tmpl w:val="2178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6F307F"/>
    <w:multiLevelType w:val="hybridMultilevel"/>
    <w:tmpl w:val="502634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215BC4"/>
    <w:multiLevelType w:val="hybridMultilevel"/>
    <w:tmpl w:val="4FEC9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564A6"/>
    <w:multiLevelType w:val="hybridMultilevel"/>
    <w:tmpl w:val="F962B468"/>
    <w:lvl w:ilvl="0" w:tplc="FC02921C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A310A"/>
    <w:multiLevelType w:val="hybridMultilevel"/>
    <w:tmpl w:val="4FEC9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444DD"/>
    <w:multiLevelType w:val="hybridMultilevel"/>
    <w:tmpl w:val="0C5CA4C8"/>
    <w:lvl w:ilvl="0" w:tplc="BF54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57F45"/>
    <w:multiLevelType w:val="hybridMultilevel"/>
    <w:tmpl w:val="F6969A86"/>
    <w:lvl w:ilvl="0" w:tplc="BF54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46558"/>
    <w:multiLevelType w:val="multilevel"/>
    <w:tmpl w:val="7614763A"/>
    <w:numStyleLink w:val="NumberlistAgency"/>
  </w:abstractNum>
  <w:abstractNum w:abstractNumId="32">
    <w:nsid w:val="5D3D25E8"/>
    <w:multiLevelType w:val="hybridMultilevel"/>
    <w:tmpl w:val="C8A4D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C2229"/>
    <w:multiLevelType w:val="hybridMultilevel"/>
    <w:tmpl w:val="502634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2148E4"/>
    <w:multiLevelType w:val="multilevel"/>
    <w:tmpl w:val="4138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70827"/>
    <w:multiLevelType w:val="hybridMultilevel"/>
    <w:tmpl w:val="F0767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43047"/>
    <w:multiLevelType w:val="hybridMultilevel"/>
    <w:tmpl w:val="0C5CA4C8"/>
    <w:lvl w:ilvl="0" w:tplc="BF54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C2D57"/>
    <w:multiLevelType w:val="hybridMultilevel"/>
    <w:tmpl w:val="3C609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D12C1"/>
    <w:multiLevelType w:val="hybridMultilevel"/>
    <w:tmpl w:val="3C609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A2B27"/>
    <w:multiLevelType w:val="hybridMultilevel"/>
    <w:tmpl w:val="C28AD760"/>
    <w:lvl w:ilvl="0" w:tplc="86A2892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i w:val="0"/>
        <w:iCs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</w:num>
  <w:num w:numId="8">
    <w:abstractNumId w:val="18"/>
  </w:num>
  <w:num w:numId="9">
    <w:abstractNumId w:val="3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20"/>
  </w:num>
  <w:num w:numId="20">
    <w:abstractNumId w:val="3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1"/>
  </w:num>
  <w:num w:numId="26">
    <w:abstractNumId w:val="0"/>
  </w:num>
  <w:num w:numId="27">
    <w:abstractNumId w:val="35"/>
  </w:num>
  <w:num w:numId="28">
    <w:abstractNumId w:val="26"/>
  </w:num>
  <w:num w:numId="29">
    <w:abstractNumId w:val="3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9"/>
  </w:num>
  <w:num w:numId="33">
    <w:abstractNumId w:val="4"/>
  </w:num>
  <w:num w:numId="34">
    <w:abstractNumId w:val="33"/>
  </w:num>
  <w:num w:numId="35">
    <w:abstractNumId w:val="25"/>
  </w:num>
  <w:num w:numId="36">
    <w:abstractNumId w:val="28"/>
  </w:num>
  <w:num w:numId="37">
    <w:abstractNumId w:val="37"/>
  </w:num>
  <w:num w:numId="38">
    <w:abstractNumId w:val="6"/>
  </w:num>
  <w:num w:numId="39">
    <w:abstractNumId w:val="10"/>
  </w:num>
  <w:num w:numId="40">
    <w:abstractNumId w:val="29"/>
  </w:num>
  <w:num w:numId="41">
    <w:abstractNumId w:val="36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47A41"/>
    <w:rsid w:val="00000B91"/>
    <w:rsid w:val="0001139D"/>
    <w:rsid w:val="0001167A"/>
    <w:rsid w:val="00017754"/>
    <w:rsid w:val="000235A5"/>
    <w:rsid w:val="00025F22"/>
    <w:rsid w:val="00030FAA"/>
    <w:rsid w:val="00032904"/>
    <w:rsid w:val="00034D1A"/>
    <w:rsid w:val="00035841"/>
    <w:rsid w:val="0003788D"/>
    <w:rsid w:val="00041B93"/>
    <w:rsid w:val="00042443"/>
    <w:rsid w:val="00051C92"/>
    <w:rsid w:val="00051F10"/>
    <w:rsid w:val="00052681"/>
    <w:rsid w:val="00053531"/>
    <w:rsid w:val="0005554F"/>
    <w:rsid w:val="00056B09"/>
    <w:rsid w:val="00057B7A"/>
    <w:rsid w:val="00057FD6"/>
    <w:rsid w:val="0006454E"/>
    <w:rsid w:val="00065EC3"/>
    <w:rsid w:val="00070B65"/>
    <w:rsid w:val="00073261"/>
    <w:rsid w:val="000813A5"/>
    <w:rsid w:val="00081DB5"/>
    <w:rsid w:val="00083663"/>
    <w:rsid w:val="00086DBB"/>
    <w:rsid w:val="00091EEA"/>
    <w:rsid w:val="00093149"/>
    <w:rsid w:val="000A6799"/>
    <w:rsid w:val="000B01EB"/>
    <w:rsid w:val="000B246D"/>
    <w:rsid w:val="000B3589"/>
    <w:rsid w:val="000B622B"/>
    <w:rsid w:val="000C1309"/>
    <w:rsid w:val="000C3721"/>
    <w:rsid w:val="000C60B2"/>
    <w:rsid w:val="000C66D2"/>
    <w:rsid w:val="000E10C7"/>
    <w:rsid w:val="000E6893"/>
    <w:rsid w:val="000F4688"/>
    <w:rsid w:val="0010243B"/>
    <w:rsid w:val="00103D56"/>
    <w:rsid w:val="00110B74"/>
    <w:rsid w:val="00122A74"/>
    <w:rsid w:val="00127A21"/>
    <w:rsid w:val="0013032E"/>
    <w:rsid w:val="00130F95"/>
    <w:rsid w:val="00133D6A"/>
    <w:rsid w:val="001345D8"/>
    <w:rsid w:val="001358FA"/>
    <w:rsid w:val="00140D55"/>
    <w:rsid w:val="0015253F"/>
    <w:rsid w:val="0015625A"/>
    <w:rsid w:val="00161E07"/>
    <w:rsid w:val="00162308"/>
    <w:rsid w:val="00164498"/>
    <w:rsid w:val="001702EE"/>
    <w:rsid w:val="00171079"/>
    <w:rsid w:val="001742BF"/>
    <w:rsid w:val="0017539E"/>
    <w:rsid w:val="001754A1"/>
    <w:rsid w:val="00183774"/>
    <w:rsid w:val="001839F4"/>
    <w:rsid w:val="001A0059"/>
    <w:rsid w:val="001A126B"/>
    <w:rsid w:val="001B1A98"/>
    <w:rsid w:val="001B4851"/>
    <w:rsid w:val="001C160D"/>
    <w:rsid w:val="001C23C6"/>
    <w:rsid w:val="001C2776"/>
    <w:rsid w:val="001C316E"/>
    <w:rsid w:val="001C33C8"/>
    <w:rsid w:val="001C77C2"/>
    <w:rsid w:val="001D329D"/>
    <w:rsid w:val="001D7168"/>
    <w:rsid w:val="001E4197"/>
    <w:rsid w:val="001E5480"/>
    <w:rsid w:val="001E6119"/>
    <w:rsid w:val="001F442B"/>
    <w:rsid w:val="001F49CE"/>
    <w:rsid w:val="001F691A"/>
    <w:rsid w:val="001F6C88"/>
    <w:rsid w:val="00200C71"/>
    <w:rsid w:val="00205164"/>
    <w:rsid w:val="0020529B"/>
    <w:rsid w:val="002054EE"/>
    <w:rsid w:val="00205E41"/>
    <w:rsid w:val="00205F4B"/>
    <w:rsid w:val="00211B5D"/>
    <w:rsid w:val="00217128"/>
    <w:rsid w:val="0022474F"/>
    <w:rsid w:val="002256B4"/>
    <w:rsid w:val="002336A6"/>
    <w:rsid w:val="00233A36"/>
    <w:rsid w:val="00237D73"/>
    <w:rsid w:val="002403DD"/>
    <w:rsid w:val="00252946"/>
    <w:rsid w:val="00261195"/>
    <w:rsid w:val="0026195D"/>
    <w:rsid w:val="00265C42"/>
    <w:rsid w:val="00266E68"/>
    <w:rsid w:val="00274C49"/>
    <w:rsid w:val="002753EA"/>
    <w:rsid w:val="0028019C"/>
    <w:rsid w:val="00280556"/>
    <w:rsid w:val="00283F79"/>
    <w:rsid w:val="0029090D"/>
    <w:rsid w:val="002933A7"/>
    <w:rsid w:val="002A1036"/>
    <w:rsid w:val="002A20D6"/>
    <w:rsid w:val="002A5A56"/>
    <w:rsid w:val="002A6FD8"/>
    <w:rsid w:val="002B597B"/>
    <w:rsid w:val="002C774F"/>
    <w:rsid w:val="002D2756"/>
    <w:rsid w:val="002D603D"/>
    <w:rsid w:val="002E076E"/>
    <w:rsid w:val="002E1AAE"/>
    <w:rsid w:val="002E4F84"/>
    <w:rsid w:val="002F56D0"/>
    <w:rsid w:val="002F6DFF"/>
    <w:rsid w:val="002F7EB0"/>
    <w:rsid w:val="00300EB0"/>
    <w:rsid w:val="00302098"/>
    <w:rsid w:val="00310521"/>
    <w:rsid w:val="003140A8"/>
    <w:rsid w:val="003157A2"/>
    <w:rsid w:val="00316EFF"/>
    <w:rsid w:val="00320C40"/>
    <w:rsid w:val="0032102E"/>
    <w:rsid w:val="00322398"/>
    <w:rsid w:val="00333595"/>
    <w:rsid w:val="00335117"/>
    <w:rsid w:val="003374B3"/>
    <w:rsid w:val="0033786A"/>
    <w:rsid w:val="00342F71"/>
    <w:rsid w:val="00351A30"/>
    <w:rsid w:val="00353723"/>
    <w:rsid w:val="003559A0"/>
    <w:rsid w:val="003572A2"/>
    <w:rsid w:val="00361D8A"/>
    <w:rsid w:val="00362B81"/>
    <w:rsid w:val="00362ED6"/>
    <w:rsid w:val="00363219"/>
    <w:rsid w:val="00364C2F"/>
    <w:rsid w:val="00364D16"/>
    <w:rsid w:val="003658F0"/>
    <w:rsid w:val="003701F7"/>
    <w:rsid w:val="00373470"/>
    <w:rsid w:val="00381807"/>
    <w:rsid w:val="00382550"/>
    <w:rsid w:val="00384DEA"/>
    <w:rsid w:val="003856AB"/>
    <w:rsid w:val="0039326C"/>
    <w:rsid w:val="003A0587"/>
    <w:rsid w:val="003A395F"/>
    <w:rsid w:val="003A68F7"/>
    <w:rsid w:val="003B1B72"/>
    <w:rsid w:val="003B3642"/>
    <w:rsid w:val="003C5246"/>
    <w:rsid w:val="003D497F"/>
    <w:rsid w:val="003D59EF"/>
    <w:rsid w:val="003D6573"/>
    <w:rsid w:val="003D6766"/>
    <w:rsid w:val="003E2276"/>
    <w:rsid w:val="003E7674"/>
    <w:rsid w:val="003F6CBD"/>
    <w:rsid w:val="003F7531"/>
    <w:rsid w:val="00403770"/>
    <w:rsid w:val="004121D2"/>
    <w:rsid w:val="00414F08"/>
    <w:rsid w:val="00415151"/>
    <w:rsid w:val="00424A5F"/>
    <w:rsid w:val="004272D6"/>
    <w:rsid w:val="0042730B"/>
    <w:rsid w:val="00441C03"/>
    <w:rsid w:val="004432F0"/>
    <w:rsid w:val="004444DF"/>
    <w:rsid w:val="00453430"/>
    <w:rsid w:val="00453AF9"/>
    <w:rsid w:val="00454861"/>
    <w:rsid w:val="00456FCC"/>
    <w:rsid w:val="004653F1"/>
    <w:rsid w:val="00465718"/>
    <w:rsid w:val="00470112"/>
    <w:rsid w:val="00482D69"/>
    <w:rsid w:val="0049004E"/>
    <w:rsid w:val="00493630"/>
    <w:rsid w:val="00496D64"/>
    <w:rsid w:val="004A06E8"/>
    <w:rsid w:val="004A1DC2"/>
    <w:rsid w:val="004A430C"/>
    <w:rsid w:val="004A4CE4"/>
    <w:rsid w:val="004B4110"/>
    <w:rsid w:val="004B5410"/>
    <w:rsid w:val="004B6BF1"/>
    <w:rsid w:val="004C0282"/>
    <w:rsid w:val="004C52F7"/>
    <w:rsid w:val="004C79EB"/>
    <w:rsid w:val="004D4B85"/>
    <w:rsid w:val="004D6D32"/>
    <w:rsid w:val="004E0577"/>
    <w:rsid w:val="004E12FB"/>
    <w:rsid w:val="004E38D4"/>
    <w:rsid w:val="004E4C12"/>
    <w:rsid w:val="004E5D89"/>
    <w:rsid w:val="004E69D6"/>
    <w:rsid w:val="004F4311"/>
    <w:rsid w:val="004F667E"/>
    <w:rsid w:val="004F6C8E"/>
    <w:rsid w:val="0050004B"/>
    <w:rsid w:val="005013DA"/>
    <w:rsid w:val="005025E7"/>
    <w:rsid w:val="005114F2"/>
    <w:rsid w:val="00512F78"/>
    <w:rsid w:val="00513842"/>
    <w:rsid w:val="00513BA5"/>
    <w:rsid w:val="005169F2"/>
    <w:rsid w:val="00523A79"/>
    <w:rsid w:val="005242A9"/>
    <w:rsid w:val="00526605"/>
    <w:rsid w:val="00527276"/>
    <w:rsid w:val="00536C6B"/>
    <w:rsid w:val="00537EF7"/>
    <w:rsid w:val="00550AF9"/>
    <w:rsid w:val="0055195D"/>
    <w:rsid w:val="005546BA"/>
    <w:rsid w:val="00554C3C"/>
    <w:rsid w:val="005605C6"/>
    <w:rsid w:val="005608C4"/>
    <w:rsid w:val="0056405E"/>
    <w:rsid w:val="00577F72"/>
    <w:rsid w:val="00583D7B"/>
    <w:rsid w:val="00584915"/>
    <w:rsid w:val="005952CA"/>
    <w:rsid w:val="005A1723"/>
    <w:rsid w:val="005A1AFB"/>
    <w:rsid w:val="005A5183"/>
    <w:rsid w:val="005A69BF"/>
    <w:rsid w:val="005B353B"/>
    <w:rsid w:val="005C0370"/>
    <w:rsid w:val="005D1B61"/>
    <w:rsid w:val="005D38A5"/>
    <w:rsid w:val="005E235E"/>
    <w:rsid w:val="005E54AD"/>
    <w:rsid w:val="005F5B70"/>
    <w:rsid w:val="005F5EC6"/>
    <w:rsid w:val="00600146"/>
    <w:rsid w:val="00603C73"/>
    <w:rsid w:val="00612868"/>
    <w:rsid w:val="0061714B"/>
    <w:rsid w:val="00623986"/>
    <w:rsid w:val="0062445B"/>
    <w:rsid w:val="00625FCE"/>
    <w:rsid w:val="00626941"/>
    <w:rsid w:val="00631B61"/>
    <w:rsid w:val="00635810"/>
    <w:rsid w:val="00641F72"/>
    <w:rsid w:val="00643EC3"/>
    <w:rsid w:val="0064691F"/>
    <w:rsid w:val="00646D6F"/>
    <w:rsid w:val="00650B5A"/>
    <w:rsid w:val="006547ED"/>
    <w:rsid w:val="0065696B"/>
    <w:rsid w:val="00662E5B"/>
    <w:rsid w:val="00665B2D"/>
    <w:rsid w:val="00680088"/>
    <w:rsid w:val="00680FB0"/>
    <w:rsid w:val="0068187A"/>
    <w:rsid w:val="00681D6E"/>
    <w:rsid w:val="006826BA"/>
    <w:rsid w:val="006856B2"/>
    <w:rsid w:val="00685912"/>
    <w:rsid w:val="00690F6B"/>
    <w:rsid w:val="00692ABB"/>
    <w:rsid w:val="00696C58"/>
    <w:rsid w:val="006A12F1"/>
    <w:rsid w:val="006A153F"/>
    <w:rsid w:val="006A2081"/>
    <w:rsid w:val="006A730E"/>
    <w:rsid w:val="006B0D50"/>
    <w:rsid w:val="006B15FF"/>
    <w:rsid w:val="006B6C6D"/>
    <w:rsid w:val="006C1341"/>
    <w:rsid w:val="006C2327"/>
    <w:rsid w:val="006C5377"/>
    <w:rsid w:val="006D54D6"/>
    <w:rsid w:val="006D65EF"/>
    <w:rsid w:val="006D67FB"/>
    <w:rsid w:val="006D7143"/>
    <w:rsid w:val="006E5F19"/>
    <w:rsid w:val="006F5C50"/>
    <w:rsid w:val="006F6331"/>
    <w:rsid w:val="006F6B9F"/>
    <w:rsid w:val="006F767F"/>
    <w:rsid w:val="006F77C9"/>
    <w:rsid w:val="007078D3"/>
    <w:rsid w:val="00714871"/>
    <w:rsid w:val="00716557"/>
    <w:rsid w:val="0072353D"/>
    <w:rsid w:val="00734B8F"/>
    <w:rsid w:val="007408BC"/>
    <w:rsid w:val="00752F82"/>
    <w:rsid w:val="00755990"/>
    <w:rsid w:val="0076278A"/>
    <w:rsid w:val="00764A29"/>
    <w:rsid w:val="00770AEA"/>
    <w:rsid w:val="007718DA"/>
    <w:rsid w:val="00772ED6"/>
    <w:rsid w:val="00781344"/>
    <w:rsid w:val="00784E16"/>
    <w:rsid w:val="007869DE"/>
    <w:rsid w:val="00786D36"/>
    <w:rsid w:val="007904EB"/>
    <w:rsid w:val="00790C8B"/>
    <w:rsid w:val="00795B24"/>
    <w:rsid w:val="007A2481"/>
    <w:rsid w:val="007A5A45"/>
    <w:rsid w:val="007B658C"/>
    <w:rsid w:val="007B735D"/>
    <w:rsid w:val="007C430F"/>
    <w:rsid w:val="007C6424"/>
    <w:rsid w:val="007C756D"/>
    <w:rsid w:val="007D488A"/>
    <w:rsid w:val="007D6369"/>
    <w:rsid w:val="007E2008"/>
    <w:rsid w:val="007E2334"/>
    <w:rsid w:val="007E4A6B"/>
    <w:rsid w:val="007E67A1"/>
    <w:rsid w:val="007E6ABD"/>
    <w:rsid w:val="007F0857"/>
    <w:rsid w:val="007F11C2"/>
    <w:rsid w:val="007F2BB4"/>
    <w:rsid w:val="007F63D3"/>
    <w:rsid w:val="007F7138"/>
    <w:rsid w:val="008026B1"/>
    <w:rsid w:val="00802DE3"/>
    <w:rsid w:val="00813121"/>
    <w:rsid w:val="00813CAE"/>
    <w:rsid w:val="008163F7"/>
    <w:rsid w:val="00825F89"/>
    <w:rsid w:val="0083078E"/>
    <w:rsid w:val="008310D4"/>
    <w:rsid w:val="00847139"/>
    <w:rsid w:val="0085748B"/>
    <w:rsid w:val="00861CDD"/>
    <w:rsid w:val="008620E2"/>
    <w:rsid w:val="0086376C"/>
    <w:rsid w:val="0086609B"/>
    <w:rsid w:val="008702C2"/>
    <w:rsid w:val="00870360"/>
    <w:rsid w:val="008748F5"/>
    <w:rsid w:val="0088039D"/>
    <w:rsid w:val="008829CF"/>
    <w:rsid w:val="00884F23"/>
    <w:rsid w:val="00886EC6"/>
    <w:rsid w:val="0089114D"/>
    <w:rsid w:val="0089345D"/>
    <w:rsid w:val="008A1803"/>
    <w:rsid w:val="008A432B"/>
    <w:rsid w:val="008B2E98"/>
    <w:rsid w:val="008B7B6D"/>
    <w:rsid w:val="008C2BE5"/>
    <w:rsid w:val="008C3DA6"/>
    <w:rsid w:val="008C5C02"/>
    <w:rsid w:val="008D28E6"/>
    <w:rsid w:val="008D4324"/>
    <w:rsid w:val="008D5975"/>
    <w:rsid w:val="008D7C1E"/>
    <w:rsid w:val="008E4524"/>
    <w:rsid w:val="008E75C5"/>
    <w:rsid w:val="008E7D7F"/>
    <w:rsid w:val="008F0ED9"/>
    <w:rsid w:val="008F3787"/>
    <w:rsid w:val="008F389D"/>
    <w:rsid w:val="008F71CF"/>
    <w:rsid w:val="0090079D"/>
    <w:rsid w:val="0090216D"/>
    <w:rsid w:val="00902736"/>
    <w:rsid w:val="0090796F"/>
    <w:rsid w:val="00910BC7"/>
    <w:rsid w:val="0091578D"/>
    <w:rsid w:val="00922CB7"/>
    <w:rsid w:val="00932BAA"/>
    <w:rsid w:val="00933CE8"/>
    <w:rsid w:val="009345B1"/>
    <w:rsid w:val="00941A1D"/>
    <w:rsid w:val="009474C3"/>
    <w:rsid w:val="00950379"/>
    <w:rsid w:val="00954780"/>
    <w:rsid w:val="009615F4"/>
    <w:rsid w:val="009721FE"/>
    <w:rsid w:val="00976DCE"/>
    <w:rsid w:val="0097792E"/>
    <w:rsid w:val="00977AE7"/>
    <w:rsid w:val="00982FF5"/>
    <w:rsid w:val="009833AB"/>
    <w:rsid w:val="00985688"/>
    <w:rsid w:val="0098650E"/>
    <w:rsid w:val="00990909"/>
    <w:rsid w:val="009928A8"/>
    <w:rsid w:val="009A0BD2"/>
    <w:rsid w:val="009A3726"/>
    <w:rsid w:val="009A49F7"/>
    <w:rsid w:val="009A4B18"/>
    <w:rsid w:val="009A61B4"/>
    <w:rsid w:val="009A70CB"/>
    <w:rsid w:val="009B2E04"/>
    <w:rsid w:val="009C1BAB"/>
    <w:rsid w:val="009C3592"/>
    <w:rsid w:val="009C654F"/>
    <w:rsid w:val="009E1ADD"/>
    <w:rsid w:val="009E6698"/>
    <w:rsid w:val="009F0F4F"/>
    <w:rsid w:val="009F2910"/>
    <w:rsid w:val="009F7947"/>
    <w:rsid w:val="00A0322A"/>
    <w:rsid w:val="00A046B6"/>
    <w:rsid w:val="00A06C74"/>
    <w:rsid w:val="00A11742"/>
    <w:rsid w:val="00A16D8D"/>
    <w:rsid w:val="00A212D7"/>
    <w:rsid w:val="00A216AD"/>
    <w:rsid w:val="00A23631"/>
    <w:rsid w:val="00A24D16"/>
    <w:rsid w:val="00A2645A"/>
    <w:rsid w:val="00A273D8"/>
    <w:rsid w:val="00A35769"/>
    <w:rsid w:val="00A40305"/>
    <w:rsid w:val="00A42E65"/>
    <w:rsid w:val="00A56EE2"/>
    <w:rsid w:val="00A600D1"/>
    <w:rsid w:val="00A6158D"/>
    <w:rsid w:val="00A66C98"/>
    <w:rsid w:val="00A752D1"/>
    <w:rsid w:val="00A800A0"/>
    <w:rsid w:val="00A8447F"/>
    <w:rsid w:val="00A864D7"/>
    <w:rsid w:val="00A86F90"/>
    <w:rsid w:val="00A904E9"/>
    <w:rsid w:val="00A94479"/>
    <w:rsid w:val="00A95E60"/>
    <w:rsid w:val="00AB52AE"/>
    <w:rsid w:val="00AB7936"/>
    <w:rsid w:val="00AC1A3F"/>
    <w:rsid w:val="00AC3CD4"/>
    <w:rsid w:val="00AC4CCB"/>
    <w:rsid w:val="00AD635F"/>
    <w:rsid w:val="00AE3B5E"/>
    <w:rsid w:val="00AE4983"/>
    <w:rsid w:val="00AE5867"/>
    <w:rsid w:val="00AF4075"/>
    <w:rsid w:val="00AF42C9"/>
    <w:rsid w:val="00AF4752"/>
    <w:rsid w:val="00B03E4D"/>
    <w:rsid w:val="00B06E6E"/>
    <w:rsid w:val="00B10726"/>
    <w:rsid w:val="00B12015"/>
    <w:rsid w:val="00B14551"/>
    <w:rsid w:val="00B16244"/>
    <w:rsid w:val="00B2167E"/>
    <w:rsid w:val="00B2182C"/>
    <w:rsid w:val="00B23E4C"/>
    <w:rsid w:val="00B34DCF"/>
    <w:rsid w:val="00B3553F"/>
    <w:rsid w:val="00B40988"/>
    <w:rsid w:val="00B42B21"/>
    <w:rsid w:val="00B50264"/>
    <w:rsid w:val="00B529B9"/>
    <w:rsid w:val="00B545F6"/>
    <w:rsid w:val="00B56536"/>
    <w:rsid w:val="00B5758A"/>
    <w:rsid w:val="00B604B1"/>
    <w:rsid w:val="00B6052E"/>
    <w:rsid w:val="00B60C00"/>
    <w:rsid w:val="00B61196"/>
    <w:rsid w:val="00B62285"/>
    <w:rsid w:val="00B65F70"/>
    <w:rsid w:val="00B67A86"/>
    <w:rsid w:val="00B76725"/>
    <w:rsid w:val="00B8066C"/>
    <w:rsid w:val="00B8292D"/>
    <w:rsid w:val="00B83C1D"/>
    <w:rsid w:val="00B83ED6"/>
    <w:rsid w:val="00B90615"/>
    <w:rsid w:val="00B90D39"/>
    <w:rsid w:val="00B91F54"/>
    <w:rsid w:val="00B9207F"/>
    <w:rsid w:val="00BA3220"/>
    <w:rsid w:val="00BB2F43"/>
    <w:rsid w:val="00BB4A9B"/>
    <w:rsid w:val="00BB55AC"/>
    <w:rsid w:val="00BB731F"/>
    <w:rsid w:val="00BB7812"/>
    <w:rsid w:val="00BC16D7"/>
    <w:rsid w:val="00BC6B41"/>
    <w:rsid w:val="00BC6B97"/>
    <w:rsid w:val="00BC7DB0"/>
    <w:rsid w:val="00BD23F3"/>
    <w:rsid w:val="00BD5967"/>
    <w:rsid w:val="00BE2115"/>
    <w:rsid w:val="00BE7921"/>
    <w:rsid w:val="00BF0ED7"/>
    <w:rsid w:val="00BF1616"/>
    <w:rsid w:val="00BF2CD4"/>
    <w:rsid w:val="00BF34B3"/>
    <w:rsid w:val="00BF36ED"/>
    <w:rsid w:val="00BF3D85"/>
    <w:rsid w:val="00BF44CB"/>
    <w:rsid w:val="00BF55C7"/>
    <w:rsid w:val="00BF7E4C"/>
    <w:rsid w:val="00C01F91"/>
    <w:rsid w:val="00C031A4"/>
    <w:rsid w:val="00C035A8"/>
    <w:rsid w:val="00C0549A"/>
    <w:rsid w:val="00C06FFF"/>
    <w:rsid w:val="00C10D0E"/>
    <w:rsid w:val="00C11BB8"/>
    <w:rsid w:val="00C131E9"/>
    <w:rsid w:val="00C14DA0"/>
    <w:rsid w:val="00C155D1"/>
    <w:rsid w:val="00C1595E"/>
    <w:rsid w:val="00C22AA0"/>
    <w:rsid w:val="00C3288B"/>
    <w:rsid w:val="00C35AE0"/>
    <w:rsid w:val="00C44180"/>
    <w:rsid w:val="00C44190"/>
    <w:rsid w:val="00C44256"/>
    <w:rsid w:val="00C47A41"/>
    <w:rsid w:val="00C47E66"/>
    <w:rsid w:val="00C62057"/>
    <w:rsid w:val="00C64538"/>
    <w:rsid w:val="00C670DF"/>
    <w:rsid w:val="00C71D31"/>
    <w:rsid w:val="00C73172"/>
    <w:rsid w:val="00C77E56"/>
    <w:rsid w:val="00C83B9B"/>
    <w:rsid w:val="00C83F70"/>
    <w:rsid w:val="00C867B1"/>
    <w:rsid w:val="00C970A4"/>
    <w:rsid w:val="00CA026A"/>
    <w:rsid w:val="00CA2919"/>
    <w:rsid w:val="00CB773C"/>
    <w:rsid w:val="00CC16EF"/>
    <w:rsid w:val="00CC257E"/>
    <w:rsid w:val="00CD655B"/>
    <w:rsid w:val="00CE0065"/>
    <w:rsid w:val="00CE3FDD"/>
    <w:rsid w:val="00CE5251"/>
    <w:rsid w:val="00CF7AD4"/>
    <w:rsid w:val="00D01C88"/>
    <w:rsid w:val="00D01F22"/>
    <w:rsid w:val="00D048B3"/>
    <w:rsid w:val="00D05146"/>
    <w:rsid w:val="00D124B2"/>
    <w:rsid w:val="00D14C6B"/>
    <w:rsid w:val="00D162B6"/>
    <w:rsid w:val="00D1685E"/>
    <w:rsid w:val="00D2027A"/>
    <w:rsid w:val="00D24DCB"/>
    <w:rsid w:val="00D3104A"/>
    <w:rsid w:val="00D544EC"/>
    <w:rsid w:val="00D55504"/>
    <w:rsid w:val="00D5705A"/>
    <w:rsid w:val="00D601CE"/>
    <w:rsid w:val="00D61133"/>
    <w:rsid w:val="00D617F8"/>
    <w:rsid w:val="00D638CF"/>
    <w:rsid w:val="00D64AF7"/>
    <w:rsid w:val="00D8007F"/>
    <w:rsid w:val="00D853D4"/>
    <w:rsid w:val="00D86CA4"/>
    <w:rsid w:val="00D87D0A"/>
    <w:rsid w:val="00D92ABE"/>
    <w:rsid w:val="00D96D6D"/>
    <w:rsid w:val="00DA2050"/>
    <w:rsid w:val="00DA2D8D"/>
    <w:rsid w:val="00DA3FBC"/>
    <w:rsid w:val="00DA6E52"/>
    <w:rsid w:val="00DC01BB"/>
    <w:rsid w:val="00DC14D9"/>
    <w:rsid w:val="00DC2710"/>
    <w:rsid w:val="00DC3BA1"/>
    <w:rsid w:val="00DC4ED0"/>
    <w:rsid w:val="00DC768E"/>
    <w:rsid w:val="00DD18A9"/>
    <w:rsid w:val="00DD20F4"/>
    <w:rsid w:val="00DE16F9"/>
    <w:rsid w:val="00DE32CD"/>
    <w:rsid w:val="00DF6A95"/>
    <w:rsid w:val="00E0776E"/>
    <w:rsid w:val="00E11015"/>
    <w:rsid w:val="00E122BF"/>
    <w:rsid w:val="00E15F0C"/>
    <w:rsid w:val="00E1603B"/>
    <w:rsid w:val="00E17CCD"/>
    <w:rsid w:val="00E24488"/>
    <w:rsid w:val="00E27D7F"/>
    <w:rsid w:val="00E30606"/>
    <w:rsid w:val="00E325B9"/>
    <w:rsid w:val="00E32862"/>
    <w:rsid w:val="00E41E1B"/>
    <w:rsid w:val="00E44F93"/>
    <w:rsid w:val="00E51B80"/>
    <w:rsid w:val="00E54FCD"/>
    <w:rsid w:val="00E66EE4"/>
    <w:rsid w:val="00E70A1E"/>
    <w:rsid w:val="00E71C05"/>
    <w:rsid w:val="00E72289"/>
    <w:rsid w:val="00E84302"/>
    <w:rsid w:val="00E865F2"/>
    <w:rsid w:val="00E87331"/>
    <w:rsid w:val="00E931AE"/>
    <w:rsid w:val="00E939DB"/>
    <w:rsid w:val="00E9603B"/>
    <w:rsid w:val="00EA1049"/>
    <w:rsid w:val="00EA1402"/>
    <w:rsid w:val="00EA3607"/>
    <w:rsid w:val="00EA43DC"/>
    <w:rsid w:val="00EC20C9"/>
    <w:rsid w:val="00EC2CFF"/>
    <w:rsid w:val="00EC74DA"/>
    <w:rsid w:val="00ED24C3"/>
    <w:rsid w:val="00ED3CA7"/>
    <w:rsid w:val="00ED3DD3"/>
    <w:rsid w:val="00ED44BC"/>
    <w:rsid w:val="00ED48A4"/>
    <w:rsid w:val="00ED649C"/>
    <w:rsid w:val="00ED76B9"/>
    <w:rsid w:val="00ED7AAD"/>
    <w:rsid w:val="00EE132D"/>
    <w:rsid w:val="00EE2342"/>
    <w:rsid w:val="00EF000A"/>
    <w:rsid w:val="00EF004D"/>
    <w:rsid w:val="00EF101C"/>
    <w:rsid w:val="00EF3280"/>
    <w:rsid w:val="00EF45F3"/>
    <w:rsid w:val="00EF6D81"/>
    <w:rsid w:val="00EF7352"/>
    <w:rsid w:val="00F02EA3"/>
    <w:rsid w:val="00F05B89"/>
    <w:rsid w:val="00F10010"/>
    <w:rsid w:val="00F103E7"/>
    <w:rsid w:val="00F1108A"/>
    <w:rsid w:val="00F2404F"/>
    <w:rsid w:val="00F24CDF"/>
    <w:rsid w:val="00F34ECB"/>
    <w:rsid w:val="00F363DC"/>
    <w:rsid w:val="00F4381C"/>
    <w:rsid w:val="00F513AF"/>
    <w:rsid w:val="00F5166A"/>
    <w:rsid w:val="00F51F84"/>
    <w:rsid w:val="00F576B4"/>
    <w:rsid w:val="00F629C6"/>
    <w:rsid w:val="00F644FC"/>
    <w:rsid w:val="00F655B3"/>
    <w:rsid w:val="00F67707"/>
    <w:rsid w:val="00F75577"/>
    <w:rsid w:val="00F767C6"/>
    <w:rsid w:val="00F77847"/>
    <w:rsid w:val="00F77BC4"/>
    <w:rsid w:val="00F85A51"/>
    <w:rsid w:val="00F973A7"/>
    <w:rsid w:val="00FB017C"/>
    <w:rsid w:val="00FB01A6"/>
    <w:rsid w:val="00FB0D9E"/>
    <w:rsid w:val="00FB2155"/>
    <w:rsid w:val="00FB5F60"/>
    <w:rsid w:val="00FB743D"/>
    <w:rsid w:val="00FC0B4C"/>
    <w:rsid w:val="00FC28A4"/>
    <w:rsid w:val="00FC504B"/>
    <w:rsid w:val="00FC56F9"/>
    <w:rsid w:val="00FC7A13"/>
    <w:rsid w:val="00FD1B53"/>
    <w:rsid w:val="00FD312F"/>
    <w:rsid w:val="00FD327D"/>
    <w:rsid w:val="00FE1F71"/>
    <w:rsid w:val="00FE4EE5"/>
    <w:rsid w:val="00FE5BEB"/>
    <w:rsid w:val="00FE6BF6"/>
    <w:rsid w:val="00FF0135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21"/>
    <w:pPr>
      <w:spacing w:after="240"/>
    </w:pPr>
    <w:rPr>
      <w:rFonts w:ascii="Verdana" w:hAnsi="Verdan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TPlainHeadings">
    <w:name w:val="T&amp;T Plain Headings"/>
    <w:uiPriority w:val="99"/>
    <w:rsid w:val="00C47A41"/>
    <w:pPr>
      <w:numPr>
        <w:numId w:val="1"/>
      </w:numPr>
    </w:pPr>
  </w:style>
  <w:style w:type="paragraph" w:customStyle="1" w:styleId="PlainHeadings">
    <w:name w:val="Plain Headings"/>
    <w:next w:val="Plain2"/>
    <w:uiPriority w:val="5"/>
    <w:qFormat/>
    <w:rsid w:val="00C47A41"/>
    <w:pPr>
      <w:numPr>
        <w:ilvl w:val="1"/>
        <w:numId w:val="2"/>
      </w:numPr>
      <w:spacing w:after="60"/>
    </w:pPr>
    <w:rPr>
      <w:rFonts w:ascii="Verdana" w:eastAsia="Times New Roman" w:hAnsi="Verdana"/>
      <w:color w:val="002060"/>
      <w:sz w:val="28"/>
      <w:lang w:eastAsia="en-US"/>
    </w:rPr>
  </w:style>
  <w:style w:type="paragraph" w:customStyle="1" w:styleId="Plain2">
    <w:name w:val="Plain 2"/>
    <w:basedOn w:val="PlainHeadings"/>
    <w:semiHidden/>
    <w:qFormat/>
    <w:rsid w:val="00C47A41"/>
    <w:pPr>
      <w:numPr>
        <w:ilvl w:val="2"/>
      </w:numPr>
    </w:pPr>
    <w:rPr>
      <w:b/>
      <w:sz w:val="20"/>
    </w:rPr>
  </w:style>
  <w:style w:type="paragraph" w:customStyle="1" w:styleId="Plain3">
    <w:name w:val="Plain 3"/>
    <w:basedOn w:val="Plain2"/>
    <w:semiHidden/>
    <w:qFormat/>
    <w:rsid w:val="00C47A41"/>
    <w:pPr>
      <w:numPr>
        <w:ilvl w:val="3"/>
      </w:numPr>
    </w:pPr>
    <w:rPr>
      <w:color w:val="auto"/>
      <w:sz w:val="18"/>
    </w:rPr>
  </w:style>
  <w:style w:type="paragraph" w:customStyle="1" w:styleId="Plain4">
    <w:name w:val="Plain 4"/>
    <w:basedOn w:val="Plain3"/>
    <w:semiHidden/>
    <w:qFormat/>
    <w:rsid w:val="00C47A41"/>
    <w:pPr>
      <w:numPr>
        <w:ilvl w:val="4"/>
      </w:numPr>
    </w:pPr>
    <w:rPr>
      <w:color w:val="808080"/>
    </w:rPr>
  </w:style>
  <w:style w:type="table" w:customStyle="1" w:styleId="TTCaseStudy2Table">
    <w:name w:val="T&amp;T Case Study 2 Table"/>
    <w:basedOn w:val="TableGrid"/>
    <w:uiPriority w:val="99"/>
    <w:qFormat/>
    <w:rsid w:val="00C47A41"/>
    <w:pPr>
      <w:spacing w:before="120" w:after="120"/>
    </w:pPr>
    <w:rPr>
      <w:rFonts w:ascii="Verdana" w:hAnsi="Verdana"/>
      <w:sz w:val="18"/>
      <w:szCs w:val="18"/>
      <w:lang w:eastAsia="zh-CN"/>
    </w:rPr>
    <w:tblPr>
      <w:tblStyleRowBandSize w:val="1"/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outlineLvl w:val="9"/>
      </w:pPr>
      <w:rPr>
        <w:rFonts w:ascii="Berylium" w:hAnsi="Berylium"/>
        <w:b/>
        <w:color w:val="FFFFFF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clear" w:color="auto" w:fill="00206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/>
        <w:jc w:val="left"/>
        <w:outlineLvl w:val="9"/>
      </w:pPr>
      <w:rPr>
        <w:rFonts w:ascii="Berylium" w:hAnsi="Berylium"/>
        <w:color w:val="002060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/>
        <w:jc w:val="left"/>
        <w:outlineLvl w:val="9"/>
      </w:pPr>
      <w:rPr>
        <w:rFonts w:ascii="Berylium" w:hAnsi="Berylium"/>
        <w:color w:val="002060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</w:style>
  <w:style w:type="numbering" w:customStyle="1" w:styleId="TTTables">
    <w:name w:val="T&amp;T Tables"/>
    <w:uiPriority w:val="99"/>
    <w:rsid w:val="00C47A41"/>
    <w:pPr>
      <w:numPr>
        <w:numId w:val="3"/>
      </w:numPr>
    </w:pPr>
  </w:style>
  <w:style w:type="paragraph" w:customStyle="1" w:styleId="TableText">
    <w:name w:val="Table Text"/>
    <w:uiPriority w:val="13"/>
    <w:qFormat/>
    <w:rsid w:val="00C47A41"/>
    <w:pPr>
      <w:numPr>
        <w:ilvl w:val="1"/>
        <w:numId w:val="4"/>
      </w:numPr>
      <w:spacing w:after="240"/>
    </w:pPr>
    <w:rPr>
      <w:rFonts w:ascii="Verdana" w:eastAsia="Times New Roman" w:hAnsi="Verdana"/>
      <w:b/>
      <w:color w:val="002060"/>
      <w:sz w:val="18"/>
      <w:lang w:eastAsia="en-US"/>
    </w:rPr>
  </w:style>
  <w:style w:type="paragraph" w:customStyle="1" w:styleId="TTItalics">
    <w:name w:val="TT Italics"/>
    <w:semiHidden/>
    <w:qFormat/>
    <w:rsid w:val="00C47A41"/>
    <w:pPr>
      <w:numPr>
        <w:ilvl w:val="3"/>
        <w:numId w:val="4"/>
      </w:numPr>
      <w:spacing w:before="60" w:after="60"/>
    </w:pPr>
    <w:rPr>
      <w:rFonts w:ascii="Verdana" w:eastAsia="Times New Roman" w:hAnsi="Verdana"/>
      <w:i/>
      <w:sz w:val="18"/>
      <w:lang w:eastAsia="en-US"/>
    </w:rPr>
  </w:style>
  <w:style w:type="paragraph" w:customStyle="1" w:styleId="TT1">
    <w:name w:val="TT_1"/>
    <w:semiHidden/>
    <w:qFormat/>
    <w:rsid w:val="00C47A41"/>
    <w:pPr>
      <w:numPr>
        <w:ilvl w:val="2"/>
        <w:numId w:val="4"/>
      </w:numPr>
      <w:spacing w:after="240"/>
    </w:pPr>
    <w:rPr>
      <w:rFonts w:ascii="Verdana" w:eastAsia="Times New Roman" w:hAnsi="Verdana"/>
      <w:sz w:val="18"/>
      <w:lang w:eastAsia="en-US"/>
    </w:rPr>
  </w:style>
  <w:style w:type="table" w:styleId="TableGrid">
    <w:name w:val="Table Grid"/>
    <w:basedOn w:val="TableNormal"/>
    <w:uiPriority w:val="59"/>
    <w:rsid w:val="00C47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7A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A41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7A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A41"/>
    <w:rPr>
      <w:rFonts w:ascii="Verdana" w:hAnsi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36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-TOCheadingAgency">
    <w:name w:val="No-TOC heading (Agency)"/>
    <w:basedOn w:val="Normal"/>
    <w:next w:val="Normal"/>
    <w:rsid w:val="006D67FB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character" w:styleId="Hyperlink">
    <w:name w:val="Hyperlink"/>
    <w:basedOn w:val="DefaultParagraphFont"/>
    <w:semiHidden/>
    <w:rsid w:val="008026B1"/>
    <w:rPr>
      <w:color w:val="0000FF"/>
      <w:u w:val="single"/>
    </w:rPr>
  </w:style>
  <w:style w:type="paragraph" w:customStyle="1" w:styleId="BodytextAgency">
    <w:name w:val="Body text (Agency)"/>
    <w:basedOn w:val="Normal"/>
    <w:rsid w:val="007C6424"/>
    <w:pPr>
      <w:spacing w:after="140" w:line="280" w:lineRule="atLeast"/>
    </w:pPr>
    <w:rPr>
      <w:rFonts w:eastAsia="Verdana" w:cs="Verdana"/>
      <w:lang w:eastAsia="en-GB"/>
    </w:rPr>
  </w:style>
  <w:style w:type="paragraph" w:customStyle="1" w:styleId="Artindent2ContractsAgency">
    <w:name w:val="Art. indent 2 (Contracts) (Agency)"/>
    <w:basedOn w:val="Normal"/>
    <w:rsid w:val="00364D16"/>
    <w:pPr>
      <w:spacing w:after="140" w:line="280" w:lineRule="atLeast"/>
      <w:ind w:left="1815" w:hanging="964"/>
      <w:jc w:val="both"/>
    </w:pPr>
    <w:rPr>
      <w:rFonts w:eastAsia="Verdana" w:cs="Verdana"/>
      <w:lang w:eastAsia="en-GB"/>
    </w:rPr>
  </w:style>
  <w:style w:type="character" w:styleId="Strong">
    <w:name w:val="Strong"/>
    <w:basedOn w:val="DefaultParagraphFont"/>
    <w:uiPriority w:val="22"/>
    <w:qFormat/>
    <w:rsid w:val="00A23631"/>
    <w:rPr>
      <w:b/>
      <w:bCs/>
    </w:rPr>
  </w:style>
  <w:style w:type="paragraph" w:customStyle="1" w:styleId="DoctitleAgency">
    <w:name w:val="Doc title (Agency)"/>
    <w:basedOn w:val="Normal"/>
    <w:next w:val="Normal"/>
    <w:rsid w:val="00E87331"/>
    <w:pPr>
      <w:spacing w:before="720" w:after="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F10010"/>
    <w:pPr>
      <w:spacing w:after="0"/>
      <w:ind w:left="720"/>
    </w:pPr>
    <w:rPr>
      <w:rFonts w:ascii="Helvetica 45 Light" w:hAnsi="Helvetica 45 Light"/>
      <w:sz w:val="22"/>
      <w:szCs w:val="22"/>
      <w:lang w:eastAsia="en-GB"/>
    </w:rPr>
  </w:style>
  <w:style w:type="paragraph" w:customStyle="1" w:styleId="Tabletext0">
    <w:name w:val="Table text"/>
    <w:basedOn w:val="Normal"/>
    <w:qFormat/>
    <w:rsid w:val="00BF36ED"/>
    <w:pPr>
      <w:autoSpaceDE w:val="0"/>
      <w:autoSpaceDN w:val="0"/>
      <w:adjustRightInd w:val="0"/>
      <w:spacing w:before="60" w:after="60" w:line="260" w:lineRule="exact"/>
    </w:pPr>
    <w:rPr>
      <w:rFonts w:asciiTheme="minorHAnsi" w:eastAsia="Times New Roman" w:hAnsiTheme="minorHAnsi" w:cstheme="minorHAnsi"/>
      <w:sz w:val="20"/>
      <w:szCs w:val="20"/>
      <w:lang w:eastAsia="en-GB"/>
    </w:rPr>
  </w:style>
  <w:style w:type="character" w:customStyle="1" w:styleId="timark5">
    <w:name w:val="timark5"/>
    <w:basedOn w:val="DefaultParagraphFont"/>
    <w:rsid w:val="00BF36ED"/>
    <w:rPr>
      <w:b/>
      <w:bCs/>
      <w:vanish w:val="0"/>
      <w:webHidden w:val="0"/>
      <w:specVanish w:val="0"/>
    </w:rPr>
  </w:style>
  <w:style w:type="numbering" w:customStyle="1" w:styleId="NumberlistAgency">
    <w:name w:val="Number list (Agency)"/>
    <w:basedOn w:val="NoList"/>
    <w:rsid w:val="00BF36ED"/>
    <w:pPr>
      <w:numPr>
        <w:numId w:val="8"/>
      </w:numPr>
    </w:pPr>
  </w:style>
  <w:style w:type="paragraph" w:styleId="NoSpacing">
    <w:name w:val="No Spacing"/>
    <w:uiPriority w:val="1"/>
    <w:qFormat/>
    <w:rsid w:val="00CA2919"/>
    <w:rPr>
      <w:rFonts w:ascii="Verdana" w:hAnsi="Verdana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4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4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ubTitle">
    <w:name w:val="Sub Title"/>
    <w:basedOn w:val="Heading2"/>
    <w:rsid w:val="00C0549A"/>
    <w:pPr>
      <w:keepNext w:val="0"/>
      <w:keepLines w:val="0"/>
      <w:spacing w:before="120"/>
      <w:contextualSpacing/>
    </w:pPr>
    <w:rPr>
      <w:rFonts w:ascii="Arial" w:eastAsia="Times New Roman" w:hAnsi="Arial" w:cs="Times New Roman"/>
      <w:b w:val="0"/>
      <w:bCs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4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42"/>
    <w:rPr>
      <w:rFonts w:ascii="Verdana" w:hAnsi="Verdana"/>
      <w:b/>
      <w:bCs/>
      <w:lang w:eastAsia="en-US"/>
    </w:rPr>
  </w:style>
  <w:style w:type="paragraph" w:customStyle="1" w:styleId="body">
    <w:name w:val="body"/>
    <w:qFormat/>
    <w:rsid w:val="00884F23"/>
    <w:pPr>
      <w:spacing w:before="240" w:after="120" w:line="276" w:lineRule="auto"/>
      <w:jc w:val="both"/>
    </w:pPr>
    <w:rPr>
      <w:rFonts w:asciiTheme="minorHAnsi" w:eastAsiaTheme="minorEastAsia" w:hAnsiTheme="minorHAnsi" w:cstheme="minorBidi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EA3607"/>
    <w:rPr>
      <w:rFonts w:ascii="Verdana" w:hAnsi="Verdana"/>
      <w:sz w:val="18"/>
      <w:szCs w:val="18"/>
      <w:lang w:eastAsia="en-US"/>
    </w:rPr>
  </w:style>
  <w:style w:type="paragraph" w:customStyle="1" w:styleId="Default">
    <w:name w:val="Default"/>
    <w:rsid w:val="005C03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guretitle">
    <w:name w:val="Figure title"/>
    <w:basedOn w:val="body"/>
    <w:next w:val="Normal"/>
    <w:autoRedefine/>
    <w:qFormat/>
    <w:rsid w:val="00B40988"/>
    <w:pPr>
      <w:keepNext/>
      <w:spacing w:before="360" w:after="360"/>
    </w:pPr>
    <w:rPr>
      <w:rFonts w:eastAsia="Times New Roman" w:cs="Times New Roman"/>
      <w:bCs/>
      <w:noProof/>
      <w:color w:val="2F5773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21"/>
    <w:pPr>
      <w:spacing w:after="240"/>
    </w:pPr>
    <w:rPr>
      <w:rFonts w:ascii="Verdana" w:hAnsi="Verdan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TPlainHeadings">
    <w:name w:val="T&amp;T Plain Headings"/>
    <w:uiPriority w:val="99"/>
    <w:rsid w:val="00C47A41"/>
    <w:pPr>
      <w:numPr>
        <w:numId w:val="1"/>
      </w:numPr>
    </w:pPr>
  </w:style>
  <w:style w:type="paragraph" w:customStyle="1" w:styleId="PlainHeadings">
    <w:name w:val="Plain Headings"/>
    <w:next w:val="Plain2"/>
    <w:uiPriority w:val="5"/>
    <w:qFormat/>
    <w:rsid w:val="00C47A41"/>
    <w:pPr>
      <w:numPr>
        <w:ilvl w:val="1"/>
        <w:numId w:val="2"/>
      </w:numPr>
      <w:spacing w:after="60"/>
    </w:pPr>
    <w:rPr>
      <w:rFonts w:ascii="Verdana" w:eastAsia="Times New Roman" w:hAnsi="Verdana"/>
      <w:color w:val="002060"/>
      <w:sz w:val="28"/>
      <w:lang w:eastAsia="en-US"/>
    </w:rPr>
  </w:style>
  <w:style w:type="paragraph" w:customStyle="1" w:styleId="Plain2">
    <w:name w:val="Plain 2"/>
    <w:basedOn w:val="PlainHeadings"/>
    <w:semiHidden/>
    <w:qFormat/>
    <w:rsid w:val="00C47A41"/>
    <w:pPr>
      <w:numPr>
        <w:ilvl w:val="2"/>
      </w:numPr>
    </w:pPr>
    <w:rPr>
      <w:b/>
      <w:sz w:val="20"/>
    </w:rPr>
  </w:style>
  <w:style w:type="paragraph" w:customStyle="1" w:styleId="Plain3">
    <w:name w:val="Plain 3"/>
    <w:basedOn w:val="Plain2"/>
    <w:semiHidden/>
    <w:qFormat/>
    <w:rsid w:val="00C47A41"/>
    <w:pPr>
      <w:numPr>
        <w:ilvl w:val="3"/>
      </w:numPr>
    </w:pPr>
    <w:rPr>
      <w:color w:val="auto"/>
      <w:sz w:val="18"/>
    </w:rPr>
  </w:style>
  <w:style w:type="paragraph" w:customStyle="1" w:styleId="Plain4">
    <w:name w:val="Plain 4"/>
    <w:basedOn w:val="Plain3"/>
    <w:semiHidden/>
    <w:qFormat/>
    <w:rsid w:val="00C47A41"/>
    <w:pPr>
      <w:numPr>
        <w:ilvl w:val="4"/>
      </w:numPr>
    </w:pPr>
    <w:rPr>
      <w:color w:val="808080"/>
    </w:rPr>
  </w:style>
  <w:style w:type="table" w:customStyle="1" w:styleId="TTCaseStudy2Table">
    <w:name w:val="T&amp;T Case Study 2 Table"/>
    <w:basedOn w:val="TableGrid"/>
    <w:uiPriority w:val="99"/>
    <w:qFormat/>
    <w:rsid w:val="00C47A41"/>
    <w:pPr>
      <w:spacing w:before="120" w:after="120"/>
    </w:pPr>
    <w:rPr>
      <w:rFonts w:ascii="Verdana" w:hAnsi="Verdana"/>
      <w:sz w:val="18"/>
      <w:szCs w:val="18"/>
      <w:lang w:eastAsia="zh-CN"/>
    </w:rPr>
    <w:tblPr>
      <w:tblStyleRowBandSize w:val="1"/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outlineLvl w:val="9"/>
      </w:pPr>
      <w:rPr>
        <w:rFonts w:ascii="Berylium" w:hAnsi="Berylium"/>
        <w:b/>
        <w:color w:val="FFFFFF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clear" w:color="auto" w:fill="00206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/>
        <w:jc w:val="left"/>
        <w:outlineLvl w:val="9"/>
      </w:pPr>
      <w:rPr>
        <w:rFonts w:ascii="Berylium" w:hAnsi="Berylium"/>
        <w:color w:val="002060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/>
        <w:jc w:val="left"/>
        <w:outlineLvl w:val="9"/>
      </w:pPr>
      <w:rPr>
        <w:rFonts w:ascii="Berylium" w:hAnsi="Berylium"/>
        <w:color w:val="002060"/>
        <w:sz w:val="18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</w:tcPr>
    </w:tblStylePr>
  </w:style>
  <w:style w:type="numbering" w:customStyle="1" w:styleId="TTTables">
    <w:name w:val="T&amp;T Tables"/>
    <w:uiPriority w:val="99"/>
    <w:rsid w:val="00C47A41"/>
    <w:pPr>
      <w:numPr>
        <w:numId w:val="3"/>
      </w:numPr>
    </w:pPr>
  </w:style>
  <w:style w:type="paragraph" w:customStyle="1" w:styleId="TableText">
    <w:name w:val="Table Text"/>
    <w:uiPriority w:val="13"/>
    <w:qFormat/>
    <w:rsid w:val="00C47A41"/>
    <w:pPr>
      <w:numPr>
        <w:ilvl w:val="1"/>
        <w:numId w:val="4"/>
      </w:numPr>
      <w:spacing w:after="240"/>
    </w:pPr>
    <w:rPr>
      <w:rFonts w:ascii="Verdana" w:eastAsia="Times New Roman" w:hAnsi="Verdana"/>
      <w:b/>
      <w:color w:val="002060"/>
      <w:sz w:val="18"/>
      <w:lang w:eastAsia="en-US"/>
    </w:rPr>
  </w:style>
  <w:style w:type="paragraph" w:customStyle="1" w:styleId="TTItalics">
    <w:name w:val="TT Italics"/>
    <w:semiHidden/>
    <w:qFormat/>
    <w:rsid w:val="00C47A41"/>
    <w:pPr>
      <w:numPr>
        <w:ilvl w:val="3"/>
        <w:numId w:val="4"/>
      </w:numPr>
      <w:spacing w:before="60" w:after="60"/>
    </w:pPr>
    <w:rPr>
      <w:rFonts w:ascii="Verdana" w:eastAsia="Times New Roman" w:hAnsi="Verdana"/>
      <w:i/>
      <w:sz w:val="18"/>
      <w:lang w:eastAsia="en-US"/>
    </w:rPr>
  </w:style>
  <w:style w:type="paragraph" w:customStyle="1" w:styleId="TT1">
    <w:name w:val="TT_1"/>
    <w:semiHidden/>
    <w:qFormat/>
    <w:rsid w:val="00C47A41"/>
    <w:pPr>
      <w:numPr>
        <w:ilvl w:val="2"/>
        <w:numId w:val="4"/>
      </w:numPr>
      <w:spacing w:after="240"/>
    </w:pPr>
    <w:rPr>
      <w:rFonts w:ascii="Verdana" w:eastAsia="Times New Roman" w:hAnsi="Verdana"/>
      <w:sz w:val="18"/>
      <w:lang w:eastAsia="en-US"/>
    </w:rPr>
  </w:style>
  <w:style w:type="table" w:styleId="TableGrid">
    <w:name w:val="Table Grid"/>
    <w:basedOn w:val="TableNormal"/>
    <w:uiPriority w:val="59"/>
    <w:rsid w:val="00C47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7A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A41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7A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A41"/>
    <w:rPr>
      <w:rFonts w:ascii="Verdana" w:hAnsi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36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-TOCheadingAgency">
    <w:name w:val="No-TOC heading (Agency)"/>
    <w:basedOn w:val="Normal"/>
    <w:next w:val="Normal"/>
    <w:rsid w:val="006D67FB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character" w:styleId="Hyperlink">
    <w:name w:val="Hyperlink"/>
    <w:basedOn w:val="DefaultParagraphFont"/>
    <w:semiHidden/>
    <w:rsid w:val="008026B1"/>
    <w:rPr>
      <w:color w:val="0000FF"/>
      <w:u w:val="single"/>
    </w:rPr>
  </w:style>
  <w:style w:type="paragraph" w:customStyle="1" w:styleId="BodytextAgency">
    <w:name w:val="Body text (Agency)"/>
    <w:basedOn w:val="Normal"/>
    <w:rsid w:val="007C6424"/>
    <w:pPr>
      <w:spacing w:after="140" w:line="280" w:lineRule="atLeast"/>
    </w:pPr>
    <w:rPr>
      <w:rFonts w:eastAsia="Verdana" w:cs="Verdana"/>
      <w:lang w:eastAsia="en-GB"/>
    </w:rPr>
  </w:style>
  <w:style w:type="paragraph" w:customStyle="1" w:styleId="Artindent2ContractsAgency">
    <w:name w:val="Art. indent 2 (Contracts) (Agency)"/>
    <w:basedOn w:val="Normal"/>
    <w:rsid w:val="00364D16"/>
    <w:pPr>
      <w:spacing w:after="140" w:line="280" w:lineRule="atLeast"/>
      <w:ind w:left="1815" w:hanging="964"/>
      <w:jc w:val="both"/>
    </w:pPr>
    <w:rPr>
      <w:rFonts w:eastAsia="Verdana" w:cs="Verdana"/>
      <w:lang w:eastAsia="en-GB"/>
    </w:rPr>
  </w:style>
  <w:style w:type="character" w:styleId="Strong">
    <w:name w:val="Strong"/>
    <w:basedOn w:val="DefaultParagraphFont"/>
    <w:uiPriority w:val="22"/>
    <w:qFormat/>
    <w:rsid w:val="00A23631"/>
    <w:rPr>
      <w:b/>
      <w:bCs/>
    </w:rPr>
  </w:style>
  <w:style w:type="paragraph" w:customStyle="1" w:styleId="DoctitleAgency">
    <w:name w:val="Doc title (Agency)"/>
    <w:basedOn w:val="Normal"/>
    <w:next w:val="Normal"/>
    <w:rsid w:val="00E87331"/>
    <w:pPr>
      <w:spacing w:before="720" w:after="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F10010"/>
    <w:pPr>
      <w:spacing w:after="0"/>
      <w:ind w:left="720"/>
    </w:pPr>
    <w:rPr>
      <w:rFonts w:ascii="Helvetica 45 Light" w:hAnsi="Helvetica 45 Light"/>
      <w:sz w:val="22"/>
      <w:szCs w:val="22"/>
      <w:lang w:eastAsia="en-GB"/>
    </w:rPr>
  </w:style>
  <w:style w:type="paragraph" w:customStyle="1" w:styleId="Tabletext0">
    <w:name w:val="Table text"/>
    <w:basedOn w:val="Normal"/>
    <w:qFormat/>
    <w:rsid w:val="00BF36ED"/>
    <w:pPr>
      <w:autoSpaceDE w:val="0"/>
      <w:autoSpaceDN w:val="0"/>
      <w:adjustRightInd w:val="0"/>
      <w:spacing w:before="60" w:after="60" w:line="260" w:lineRule="exact"/>
    </w:pPr>
    <w:rPr>
      <w:rFonts w:asciiTheme="minorHAnsi" w:eastAsia="Times New Roman" w:hAnsiTheme="minorHAnsi" w:cstheme="minorHAnsi"/>
      <w:sz w:val="20"/>
      <w:szCs w:val="20"/>
      <w:lang w:eastAsia="en-GB"/>
    </w:rPr>
  </w:style>
  <w:style w:type="character" w:customStyle="1" w:styleId="timark5">
    <w:name w:val="timark5"/>
    <w:basedOn w:val="DefaultParagraphFont"/>
    <w:rsid w:val="00BF36ED"/>
    <w:rPr>
      <w:b/>
      <w:bCs/>
      <w:vanish w:val="0"/>
      <w:webHidden w:val="0"/>
      <w:specVanish w:val="0"/>
    </w:rPr>
  </w:style>
  <w:style w:type="numbering" w:customStyle="1" w:styleId="NumberlistAgency">
    <w:name w:val="Number list (Agency)"/>
    <w:basedOn w:val="NoList"/>
    <w:rsid w:val="00BF36ED"/>
    <w:pPr>
      <w:numPr>
        <w:numId w:val="8"/>
      </w:numPr>
    </w:pPr>
  </w:style>
  <w:style w:type="paragraph" w:styleId="NoSpacing">
    <w:name w:val="No Spacing"/>
    <w:uiPriority w:val="1"/>
    <w:qFormat/>
    <w:rsid w:val="00CA2919"/>
    <w:rPr>
      <w:rFonts w:ascii="Verdana" w:hAnsi="Verdana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4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4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ubTitle">
    <w:name w:val="Sub Title"/>
    <w:basedOn w:val="Heading2"/>
    <w:rsid w:val="00C0549A"/>
    <w:pPr>
      <w:keepNext w:val="0"/>
      <w:keepLines w:val="0"/>
      <w:spacing w:before="120"/>
      <w:contextualSpacing/>
    </w:pPr>
    <w:rPr>
      <w:rFonts w:ascii="Arial" w:eastAsia="Times New Roman" w:hAnsi="Arial" w:cs="Times New Roman"/>
      <w:b w:val="0"/>
      <w:bCs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4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42"/>
    <w:rPr>
      <w:rFonts w:ascii="Verdana" w:hAnsi="Verdana"/>
      <w:b/>
      <w:bCs/>
      <w:lang w:eastAsia="en-US"/>
    </w:rPr>
  </w:style>
  <w:style w:type="paragraph" w:customStyle="1" w:styleId="body">
    <w:name w:val="body"/>
    <w:qFormat/>
    <w:rsid w:val="00884F23"/>
    <w:pPr>
      <w:spacing w:before="240" w:after="120" w:line="276" w:lineRule="auto"/>
      <w:jc w:val="both"/>
    </w:pPr>
    <w:rPr>
      <w:rFonts w:asciiTheme="minorHAnsi" w:eastAsiaTheme="minorEastAsia" w:hAnsiTheme="minorHAnsi" w:cstheme="minorBidi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EA3607"/>
    <w:rPr>
      <w:rFonts w:ascii="Verdana" w:hAnsi="Verdana"/>
      <w:sz w:val="18"/>
      <w:szCs w:val="18"/>
      <w:lang w:eastAsia="en-US"/>
    </w:rPr>
  </w:style>
  <w:style w:type="paragraph" w:customStyle="1" w:styleId="Default">
    <w:name w:val="Default"/>
    <w:rsid w:val="005C03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guretitle">
    <w:name w:val="Figure title"/>
    <w:basedOn w:val="body"/>
    <w:next w:val="Normal"/>
    <w:autoRedefine/>
    <w:qFormat/>
    <w:rsid w:val="00B40988"/>
    <w:pPr>
      <w:keepNext/>
      <w:spacing w:before="360" w:after="360"/>
    </w:pPr>
    <w:rPr>
      <w:rFonts w:eastAsia="Times New Roman" w:cs="Times New Roman"/>
      <w:bCs/>
      <w:noProof/>
      <w:color w:val="2F5773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an.palombi@eba.europ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s@eba.europa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an.palombi@eba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s@eba.europa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926F-2569-47BE-92A6-CAFA7E81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967</Words>
  <Characters>4899</Characters>
  <Application>Microsoft Office Word</Application>
  <DocSecurity>0</DocSecurity>
  <Lines>132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Links>
    <vt:vector size="30" baseType="variant"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http://eba.europa.eu/Aboutus/Procurement/Current-calls-for-tender-60000.aspx</vt:lpwstr>
      </vt:variant>
      <vt:variant>
        <vt:lpwstr/>
      </vt:variant>
      <vt:variant>
        <vt:i4>1769476</vt:i4>
      </vt:variant>
      <vt:variant>
        <vt:i4>9</vt:i4>
      </vt:variant>
      <vt:variant>
        <vt:i4>0</vt:i4>
      </vt:variant>
      <vt:variant>
        <vt:i4>5</vt:i4>
      </vt:variant>
      <vt:variant>
        <vt:lpwstr>http://eba.europa.eu/Aboutus/Procurement/Current-calls-for-tender-60000.aspx</vt:lpwstr>
      </vt:variant>
      <vt:variant>
        <vt:lpwstr/>
      </vt:variant>
      <vt:variant>
        <vt:i4>7536708</vt:i4>
      </vt:variant>
      <vt:variant>
        <vt:i4>6</vt:i4>
      </vt:variant>
      <vt:variant>
        <vt:i4>0</vt:i4>
      </vt:variant>
      <vt:variant>
        <vt:i4>5</vt:i4>
      </vt:variant>
      <vt:variant>
        <vt:lpwstr>mailto:Katharina.herzog@eba.europa.eu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http://eba.europa.eu/Aboutus/Procurement/Current-calls-for-tender-60000.aspx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http://eba.europa.eu/Aboutus/Procurement/Current-calls-for-tender-60000.aspx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agoodwin</dc:creator>
  <cp:lastModifiedBy>Istina Adoua</cp:lastModifiedBy>
  <cp:revision>83</cp:revision>
  <cp:lastPrinted>2016-05-30T10:19:00Z</cp:lastPrinted>
  <dcterms:created xsi:type="dcterms:W3CDTF">2016-06-21T14:58:00Z</dcterms:created>
  <dcterms:modified xsi:type="dcterms:W3CDTF">2016-06-21T16:46:00Z</dcterms:modified>
</cp:coreProperties>
</file>