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58AB" w14:textId="325DE64A" w:rsidR="0060366F" w:rsidRPr="00BC17EC" w:rsidRDefault="0060366F" w:rsidP="0060366F">
      <w:pPr>
        <w:pStyle w:val="Titlelevel2"/>
        <w:spacing w:before="120" w:after="120"/>
        <w:rPr>
          <w:rFonts w:ascii="Times New Roman" w:hAnsi="Times New Roman" w:cs="Times New Roman"/>
          <w:b/>
          <w:color w:val="auto"/>
          <w:sz w:val="24"/>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BC17EC">
        <w:rPr>
          <w:rFonts w:ascii="Times New Roman" w:hAnsi="Times New Roman" w:cs="Times New Roman"/>
          <w:b/>
          <w:color w:val="auto"/>
          <w:sz w:val="24"/>
        </w:rPr>
        <w:t xml:space="preserve">ANNEX </w:t>
      </w:r>
      <w:r w:rsidR="00560C49">
        <w:rPr>
          <w:rFonts w:ascii="Times New Roman" w:hAnsi="Times New Roman" w:cs="Times New Roman"/>
          <w:b/>
          <w:color w:val="auto"/>
          <w:sz w:val="24"/>
        </w:rPr>
        <w:t>XXX</w:t>
      </w:r>
      <w:r w:rsidR="009F78F1" w:rsidRPr="00BC17EC">
        <w:rPr>
          <w:rFonts w:ascii="Times New Roman" w:hAnsi="Times New Roman" w:cs="Times New Roman"/>
          <w:b/>
          <w:color w:val="auto"/>
          <w:sz w:val="24"/>
        </w:rPr>
        <w:t xml:space="preserve"> </w:t>
      </w:r>
      <w:r w:rsidRPr="00BC17EC">
        <w:rPr>
          <w:rFonts w:ascii="Times New Roman" w:hAnsi="Times New Roman" w:cs="Times New Roman"/>
          <w:b/>
          <w:color w:val="auto"/>
          <w:sz w:val="24"/>
        </w:rPr>
        <w:t xml:space="preserve">– Market risk </w:t>
      </w:r>
      <w:r w:rsidR="009C0CAF" w:rsidRPr="00BC17EC">
        <w:rPr>
          <w:rFonts w:ascii="Times New Roman" w:hAnsi="Times New Roman" w:cs="Times New Roman"/>
          <w:b/>
          <w:color w:val="auto"/>
          <w:sz w:val="24"/>
        </w:rPr>
        <w:t xml:space="preserve">standardized and internal approach </w:t>
      </w:r>
      <w:r w:rsidRPr="00BC17EC">
        <w:rPr>
          <w:rFonts w:ascii="Times New Roman" w:hAnsi="Times New Roman" w:cs="Times New Roman"/>
          <w:b/>
          <w:color w:val="auto"/>
          <w:sz w:val="24"/>
        </w:rPr>
        <w:t xml:space="preserve">disclosure tables and templates: Instructions </w:t>
      </w:r>
    </w:p>
    <w:p w14:paraId="11645F3B" w14:textId="57586758" w:rsidR="0060366F" w:rsidRPr="00BC17EC" w:rsidRDefault="0060366F" w:rsidP="007A6198">
      <w:pPr>
        <w:pStyle w:val="Titlelevel2"/>
        <w:numPr>
          <w:ilvl w:val="0"/>
          <w:numId w:val="12"/>
        </w:numPr>
        <w:spacing w:before="120" w:after="120"/>
        <w:rPr>
          <w:rFonts w:ascii="Times New Roman" w:hAnsi="Times New Roman" w:cs="Times New Roman"/>
          <w:color w:val="auto"/>
          <w:sz w:val="24"/>
        </w:rPr>
      </w:pPr>
      <w:r w:rsidRPr="00BC17EC">
        <w:rPr>
          <w:rFonts w:ascii="Times New Roman" w:hAnsi="Times New Roman" w:cs="Times New Roman"/>
          <w:color w:val="auto"/>
          <w:sz w:val="24"/>
        </w:rPr>
        <w:t xml:space="preserve">This annex includes the instructions that institutions shall apply when disclosing the information included in the market </w:t>
      </w:r>
      <w:r w:rsidR="009F78F1" w:rsidRPr="00BC17EC">
        <w:rPr>
          <w:rFonts w:ascii="Times New Roman" w:hAnsi="Times New Roman" w:cs="Times New Roman"/>
          <w:color w:val="auto"/>
          <w:sz w:val="24"/>
        </w:rPr>
        <w:t>r</w:t>
      </w:r>
      <w:r w:rsidRPr="00BC17EC">
        <w:rPr>
          <w:rFonts w:ascii="Times New Roman" w:hAnsi="Times New Roman" w:cs="Times New Roman"/>
          <w:color w:val="auto"/>
          <w:sz w:val="24"/>
        </w:rPr>
        <w:t xml:space="preserve">isk disclosure tables and templates </w:t>
      </w:r>
      <w:r w:rsidR="009F78F1" w:rsidRPr="00BC17EC">
        <w:rPr>
          <w:rFonts w:ascii="Times New Roman" w:hAnsi="Times New Roman" w:cs="Times New Roman"/>
          <w:color w:val="auto"/>
          <w:sz w:val="24"/>
        </w:rPr>
        <w:t xml:space="preserve">as presented in Annex </w:t>
      </w:r>
      <w:r w:rsidR="00560C49">
        <w:rPr>
          <w:rFonts w:ascii="Times New Roman" w:hAnsi="Times New Roman" w:cs="Times New Roman"/>
          <w:color w:val="auto"/>
          <w:sz w:val="24"/>
        </w:rPr>
        <w:t>XXIX</w:t>
      </w:r>
      <w:r w:rsidR="00BC17EC">
        <w:rPr>
          <w:rFonts w:ascii="Times New Roman" w:hAnsi="Times New Roman" w:cs="Times New Roman"/>
          <w:color w:val="auto"/>
          <w:sz w:val="24"/>
        </w:rPr>
        <w:t xml:space="preserve"> to this Implementing Regulation</w:t>
      </w:r>
      <w:r w:rsidR="009F78F1" w:rsidRPr="00BC17EC">
        <w:rPr>
          <w:rFonts w:ascii="Times New Roman" w:hAnsi="Times New Roman" w:cs="Times New Roman"/>
          <w:color w:val="auto"/>
          <w:sz w:val="24"/>
        </w:rPr>
        <w:t xml:space="preserve">, </w:t>
      </w:r>
      <w:r w:rsidRPr="00BC17EC">
        <w:rPr>
          <w:rFonts w:ascii="Times New Roman" w:hAnsi="Times New Roman" w:cs="Times New Roman"/>
          <w:color w:val="auto"/>
          <w:sz w:val="24"/>
        </w:rPr>
        <w:t>in accordance with Article</w:t>
      </w:r>
      <w:r w:rsidR="00BC17EC">
        <w:rPr>
          <w:rFonts w:ascii="Times New Roman" w:hAnsi="Times New Roman" w:cs="Times New Roman"/>
          <w:color w:val="auto"/>
          <w:sz w:val="24"/>
        </w:rPr>
        <w:t>s</w:t>
      </w:r>
      <w:r w:rsidRPr="00BC17EC">
        <w:rPr>
          <w:rFonts w:ascii="Times New Roman" w:hAnsi="Times New Roman" w:cs="Times New Roman"/>
          <w:color w:val="auto"/>
          <w:sz w:val="24"/>
        </w:rPr>
        <w:t xml:space="preserve"> 435, 445 and 455 of Regulation (EU) 575/2013</w:t>
      </w:r>
      <w:r w:rsidR="00BC17EC">
        <w:rPr>
          <w:rStyle w:val="FootnoteReference"/>
          <w:rFonts w:cs="Times New Roman"/>
          <w:color w:val="auto"/>
        </w:rPr>
        <w:footnoteReference w:id="2"/>
      </w:r>
      <w:r w:rsidRPr="00BC17EC">
        <w:rPr>
          <w:rFonts w:ascii="Times New Roman" w:hAnsi="Times New Roman" w:cs="Times New Roman"/>
          <w:color w:val="auto"/>
          <w:sz w:val="24"/>
        </w:rPr>
        <w:t xml:space="preserve"> (</w:t>
      </w:r>
      <w:r w:rsidR="00BC17EC">
        <w:rPr>
          <w:rFonts w:ascii="Times New Roman" w:hAnsi="Times New Roman" w:cs="Times New Roman"/>
          <w:color w:val="auto"/>
          <w:sz w:val="24"/>
        </w:rPr>
        <w:t>“</w:t>
      </w:r>
      <w:r w:rsidRPr="00BC17EC">
        <w:rPr>
          <w:rFonts w:ascii="Times New Roman" w:hAnsi="Times New Roman" w:cs="Times New Roman"/>
          <w:color w:val="auto"/>
          <w:sz w:val="24"/>
        </w:rPr>
        <w:t>CRR</w:t>
      </w:r>
      <w:r w:rsidR="00BC17EC">
        <w:rPr>
          <w:rFonts w:ascii="Times New Roman" w:hAnsi="Times New Roman" w:cs="Times New Roman"/>
          <w:color w:val="auto"/>
          <w:sz w:val="24"/>
        </w:rPr>
        <w:t>”</w:t>
      </w:r>
      <w:r w:rsidRPr="00BC17EC">
        <w:rPr>
          <w:rFonts w:ascii="Times New Roman" w:hAnsi="Times New Roman" w:cs="Times New Roman"/>
          <w:color w:val="auto"/>
          <w:sz w:val="24"/>
        </w:rPr>
        <w:t>)</w:t>
      </w:r>
      <w:r w:rsidR="008A5212" w:rsidRPr="00BC17EC">
        <w:rPr>
          <w:rFonts w:ascii="Times New Roman" w:hAnsi="Times New Roman" w:cs="Times New Roman"/>
          <w:color w:val="auto"/>
          <w:sz w:val="24"/>
        </w:rPr>
        <w:t>.</w:t>
      </w:r>
      <w:r w:rsidRPr="00BC17EC">
        <w:rPr>
          <w:rFonts w:ascii="Times New Roman" w:hAnsi="Times New Roman" w:cs="Times New Roman"/>
          <w:color w:val="auto"/>
          <w:sz w:val="24"/>
        </w:rPr>
        <w:t xml:space="preserve"> </w:t>
      </w:r>
    </w:p>
    <w:p w14:paraId="68BE7C67" w14:textId="77777777" w:rsidR="007D2FDE" w:rsidRPr="00BC17EC" w:rsidRDefault="007D2FDE" w:rsidP="001A0C8D">
      <w:pPr>
        <w:spacing w:after="120"/>
        <w:rPr>
          <w:rFonts w:ascii="Times New Roman" w:hAnsi="Times New Roman" w:cs="Times New Roman"/>
          <w:sz w:val="24"/>
        </w:rPr>
      </w:pPr>
    </w:p>
    <w:p w14:paraId="5C88341D" w14:textId="6D9D0981" w:rsidR="001A0C8D" w:rsidRPr="00BC17EC" w:rsidRDefault="00FC6DF9" w:rsidP="001A0C8D">
      <w:pPr>
        <w:spacing w:after="120"/>
        <w:jc w:val="both"/>
        <w:rPr>
          <w:rFonts w:ascii="Times New Roman" w:hAnsi="Times New Roman" w:cs="Times New Roman"/>
          <w:sz w:val="24"/>
        </w:rPr>
      </w:pPr>
      <w:r w:rsidRPr="00BC17EC">
        <w:rPr>
          <w:rFonts w:ascii="Times New Roman" w:hAnsi="Times New Roman" w:cs="Times New Roman"/>
          <w:b/>
          <w:sz w:val="24"/>
        </w:rPr>
        <w:t xml:space="preserve">Table </w:t>
      </w:r>
      <w:r w:rsidR="009F78F1" w:rsidRPr="00BC17EC">
        <w:rPr>
          <w:rFonts w:ascii="Times New Roman" w:hAnsi="Times New Roman" w:cs="Times New Roman"/>
          <w:b/>
          <w:sz w:val="24"/>
        </w:rPr>
        <w:t xml:space="preserve">EU </w:t>
      </w:r>
      <w:r w:rsidRPr="00BC17EC">
        <w:rPr>
          <w:rFonts w:ascii="Times New Roman" w:hAnsi="Times New Roman" w:cs="Times New Roman"/>
          <w:b/>
          <w:sz w:val="24"/>
        </w:rPr>
        <w:t>MRA</w:t>
      </w:r>
      <w:r w:rsidRPr="00BC17EC">
        <w:rPr>
          <w:rFonts w:ascii="Times New Roman" w:hAnsi="Times New Roman" w:cs="Times New Roman"/>
          <w:sz w:val="24"/>
        </w:rPr>
        <w:t xml:space="preserve"> </w:t>
      </w:r>
      <w:r w:rsidRPr="00BC17EC">
        <w:rPr>
          <w:rFonts w:ascii="Times New Roman" w:hAnsi="Times New Roman" w:cs="Times New Roman"/>
          <w:b/>
          <w:sz w:val="24"/>
        </w:rPr>
        <w:t>-</w:t>
      </w:r>
      <w:r w:rsidR="00AF698B" w:rsidRPr="00BC17EC">
        <w:rPr>
          <w:rFonts w:ascii="Times New Roman" w:hAnsi="Times New Roman" w:cs="Times New Roman"/>
          <w:b/>
          <w:sz w:val="24"/>
        </w:rPr>
        <w:t xml:space="preserve"> </w:t>
      </w:r>
      <w:r w:rsidRPr="00BC17EC">
        <w:rPr>
          <w:rFonts w:ascii="Times New Roman" w:hAnsi="Times New Roman" w:cs="Times New Roman"/>
          <w:b/>
          <w:sz w:val="24"/>
        </w:rPr>
        <w:t>Qualitative disclosure requirements related to market risk:</w:t>
      </w:r>
      <w:r w:rsidRPr="00BC17EC">
        <w:rPr>
          <w:rFonts w:ascii="Times New Roman" w:hAnsi="Times New Roman" w:cs="Times New Roman"/>
          <w:sz w:val="24"/>
        </w:rPr>
        <w:t xml:space="preserve"> Free format text boxes</w:t>
      </w:r>
    </w:p>
    <w:p w14:paraId="5691A46E" w14:textId="6B89F5FE" w:rsidR="0060366F" w:rsidRPr="00BC17EC" w:rsidRDefault="0060366F" w:rsidP="007A6198">
      <w:pPr>
        <w:pStyle w:val="Titlelevel2"/>
        <w:numPr>
          <w:ilvl w:val="0"/>
          <w:numId w:val="12"/>
        </w:numPr>
        <w:spacing w:before="120" w:after="120"/>
        <w:rPr>
          <w:rFonts w:ascii="Times New Roman" w:hAnsi="Times New Roman" w:cs="Times New Roman"/>
          <w:sz w:val="24"/>
        </w:rPr>
      </w:pPr>
      <w:r w:rsidRPr="00BC17EC">
        <w:rPr>
          <w:rFonts w:ascii="Times New Roman" w:eastAsiaTheme="minorEastAsia" w:hAnsi="Times New Roman" w:cs="Times New Roman"/>
          <w:bCs w:val="0"/>
          <w:noProof/>
          <w:color w:val="000000"/>
          <w:sz w:val="24"/>
          <w:lang w:val="en-GB"/>
        </w:rPr>
        <w:t xml:space="preserve">Institutions shall </w:t>
      </w:r>
      <w:r w:rsidR="009F78F1" w:rsidRPr="00BC17EC">
        <w:rPr>
          <w:rFonts w:ascii="Times New Roman" w:eastAsiaTheme="minorEastAsia" w:hAnsi="Times New Roman" w:cs="Times New Roman"/>
          <w:bCs w:val="0"/>
          <w:noProof/>
          <w:color w:val="000000"/>
          <w:sz w:val="24"/>
          <w:lang w:val="en-GB"/>
        </w:rPr>
        <w:t>apply the instructions provided below in this Annex in order to complete table</w:t>
      </w:r>
      <w:r w:rsidR="005C41D8" w:rsidRPr="00BC17EC">
        <w:rPr>
          <w:rFonts w:ascii="Times New Roman" w:eastAsiaTheme="minorEastAsia" w:hAnsi="Times New Roman" w:cs="Times New Roman"/>
          <w:bCs w:val="0"/>
          <w:noProof/>
          <w:color w:val="000000"/>
          <w:sz w:val="24"/>
          <w:lang w:val="en-GB"/>
        </w:rPr>
        <w:t xml:space="preserve"> EU MRA</w:t>
      </w:r>
      <w:r w:rsidR="009F78F1" w:rsidRPr="00BC17EC">
        <w:rPr>
          <w:rFonts w:ascii="Times New Roman" w:eastAsiaTheme="minorEastAsia" w:hAnsi="Times New Roman" w:cs="Times New Roman"/>
          <w:bCs w:val="0"/>
          <w:noProof/>
          <w:color w:val="000000"/>
          <w:sz w:val="24"/>
          <w:lang w:val="en-GB"/>
        </w:rPr>
        <w:t xml:space="preserve"> as presented in Annex </w:t>
      </w:r>
      <w:r w:rsidR="00560C49">
        <w:rPr>
          <w:rFonts w:ascii="Times New Roman" w:eastAsiaTheme="minorEastAsia" w:hAnsi="Times New Roman" w:cs="Times New Roman"/>
          <w:bCs w:val="0"/>
          <w:noProof/>
          <w:color w:val="000000"/>
          <w:sz w:val="24"/>
          <w:lang w:val="en-GB"/>
        </w:rPr>
        <w:t>XXIX</w:t>
      </w:r>
      <w:r w:rsidR="00BC17EC">
        <w:rPr>
          <w:rFonts w:ascii="Times New Roman" w:eastAsiaTheme="minorEastAsia" w:hAnsi="Times New Roman" w:cs="Times New Roman"/>
          <w:bCs w:val="0"/>
          <w:noProof/>
          <w:color w:val="000000"/>
          <w:sz w:val="24"/>
          <w:lang w:val="en-GB"/>
        </w:rPr>
        <w:t xml:space="preserve"> to this Implementing Regulation</w:t>
      </w:r>
      <w:r w:rsidR="009F78F1" w:rsidRPr="00BC17EC">
        <w:rPr>
          <w:rFonts w:ascii="Times New Roman" w:eastAsiaTheme="minorEastAsia" w:hAnsi="Times New Roman" w:cs="Times New Roman"/>
          <w:bCs w:val="0"/>
          <w:noProof/>
          <w:color w:val="000000"/>
          <w:sz w:val="24"/>
          <w:lang w:val="en-GB"/>
        </w:rPr>
        <w:t xml:space="preserve">, </w:t>
      </w:r>
      <w:r w:rsidRPr="00BC17EC">
        <w:rPr>
          <w:rFonts w:ascii="Times New Roman" w:eastAsiaTheme="minorEastAsia" w:hAnsi="Times New Roman" w:cs="Times New Roman"/>
          <w:bCs w:val="0"/>
          <w:noProof/>
          <w:color w:val="000000"/>
          <w:sz w:val="24"/>
          <w:lang w:val="en-GB"/>
        </w:rPr>
        <w:t xml:space="preserve">in application of </w:t>
      </w:r>
      <w:r w:rsidR="00ED1788">
        <w:rPr>
          <w:rFonts w:ascii="Times New Roman" w:eastAsiaTheme="minorEastAsia" w:hAnsi="Times New Roman" w:cs="Times New Roman"/>
          <w:bCs w:val="0"/>
          <w:noProof/>
          <w:color w:val="000000"/>
          <w:sz w:val="24"/>
          <w:lang w:val="en-GB"/>
        </w:rPr>
        <w:t xml:space="preserve">points (a) to (d) of </w:t>
      </w:r>
      <w:bookmarkStart w:id="10" w:name="_GoBack"/>
      <w:bookmarkEnd w:id="10"/>
      <w:r w:rsidRPr="00BC17EC">
        <w:rPr>
          <w:rFonts w:ascii="Times New Roman" w:eastAsiaTheme="minorEastAsia" w:hAnsi="Times New Roman" w:cs="Times New Roman"/>
          <w:bCs w:val="0"/>
          <w:noProof/>
          <w:color w:val="000000"/>
          <w:sz w:val="24"/>
          <w:lang w:val="en-GB"/>
        </w:rPr>
        <w:t>Article 435(1) CRR, with regards to market risk.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A0C8D" w:rsidRPr="00BC17EC" w14:paraId="2579933B"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195B8" w14:textId="77777777" w:rsidR="001A0C8D" w:rsidRPr="00BC17EC" w:rsidRDefault="001A0C8D" w:rsidP="00810F8E">
            <w:pPr>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1A0C8D" w:rsidRPr="00BC17EC" w14:paraId="7789E705" w14:textId="77777777" w:rsidTr="00810F8E">
        <w:trPr>
          <w:trHeight w:val="238"/>
        </w:trPr>
        <w:tc>
          <w:tcPr>
            <w:tcW w:w="1384" w:type="dxa"/>
            <w:shd w:val="clear" w:color="auto" w:fill="D9D9D9" w:themeFill="background1" w:themeFillShade="D9"/>
          </w:tcPr>
          <w:p w14:paraId="4411FAAD" w14:textId="77777777" w:rsidR="001A0C8D" w:rsidRPr="00BC17EC" w:rsidRDefault="001A0C8D" w:rsidP="00810F8E">
            <w:pPr>
              <w:autoSpaceDE w:val="0"/>
              <w:autoSpaceDN w:val="0"/>
              <w:adjustRightInd w:val="0"/>
              <w:rPr>
                <w:rFonts w:ascii="Times New Roman" w:hAnsi="Times New Roman" w:cs="Times New Roman"/>
                <w:b/>
                <w:sz w:val="24"/>
                <w:lang w:val="en-GB"/>
              </w:rPr>
            </w:pPr>
            <w:r w:rsidRPr="00BC17EC">
              <w:rPr>
                <w:rFonts w:ascii="Times New Roman" w:hAnsi="Times New Roman" w:cs="Times New Roman"/>
                <w:b/>
                <w:sz w:val="24"/>
                <w:lang w:val="en-GB"/>
              </w:rPr>
              <w:t>Row number</w:t>
            </w:r>
          </w:p>
        </w:tc>
        <w:tc>
          <w:tcPr>
            <w:tcW w:w="7655" w:type="dxa"/>
            <w:shd w:val="clear" w:color="auto" w:fill="D9D9D9" w:themeFill="background1" w:themeFillShade="D9"/>
          </w:tcPr>
          <w:p w14:paraId="00CA9A30" w14:textId="77777777" w:rsidR="001A0C8D" w:rsidRPr="00BC17EC" w:rsidRDefault="001A0C8D" w:rsidP="00810F8E">
            <w:pPr>
              <w:autoSpaceDE w:val="0"/>
              <w:autoSpaceDN w:val="0"/>
              <w:adjustRightInd w:val="0"/>
              <w:rPr>
                <w:rFonts w:ascii="Times New Roman" w:hAnsi="Times New Roman" w:cs="Times New Roman"/>
                <w:color w:val="000000"/>
                <w:sz w:val="24"/>
                <w:lang w:val="en-GB"/>
              </w:rPr>
            </w:pPr>
            <w:r w:rsidRPr="00BC17EC">
              <w:rPr>
                <w:rFonts w:ascii="Times New Roman" w:hAnsi="Times New Roman" w:cs="Times New Roman"/>
                <w:b/>
                <w:sz w:val="24"/>
                <w:lang w:val="en-GB"/>
              </w:rPr>
              <w:t>Explanation</w:t>
            </w:r>
          </w:p>
        </w:tc>
      </w:tr>
      <w:tr w:rsidR="001A0C8D" w:rsidRPr="00BC17EC" w14:paraId="454BF2AA" w14:textId="77777777" w:rsidTr="001A0C8D">
        <w:trPr>
          <w:trHeight w:val="680"/>
        </w:trPr>
        <w:tc>
          <w:tcPr>
            <w:tcW w:w="1384" w:type="dxa"/>
          </w:tcPr>
          <w:p w14:paraId="0070A4E1" w14:textId="64F70010" w:rsidR="001A0C8D" w:rsidRPr="00BC17EC" w:rsidRDefault="00AB2A79" w:rsidP="00974AA6">
            <w:pPr>
              <w:pStyle w:val="Applicationdirecte"/>
              <w:spacing w:before="120"/>
              <w:jc w:val="center"/>
            </w:pPr>
            <w:r w:rsidRPr="00BC17EC">
              <w:t>(a)</w:t>
            </w:r>
          </w:p>
        </w:tc>
        <w:tc>
          <w:tcPr>
            <w:tcW w:w="7655" w:type="dxa"/>
            <w:vAlign w:val="center"/>
          </w:tcPr>
          <w:p w14:paraId="5F496592" w14:textId="53AAC613" w:rsidR="004E5E50" w:rsidRPr="00BC17EC" w:rsidRDefault="00974AA6" w:rsidP="0060366F">
            <w:pPr>
              <w:spacing w:before="120" w:after="120"/>
              <w:jc w:val="both"/>
              <w:rPr>
                <w:rFonts w:ascii="Times New Roman" w:eastAsia="Times New Roman" w:hAnsi="Times New Roman" w:cs="Times New Roman"/>
                <w:sz w:val="24"/>
              </w:rPr>
            </w:pPr>
            <w:r w:rsidRPr="00BC17EC">
              <w:rPr>
                <w:rFonts w:ascii="Times New Roman" w:hAnsi="Times New Roman" w:cs="Times New Roman"/>
                <w:sz w:val="24"/>
                <w:lang w:val="en-GB"/>
              </w:rPr>
              <w:t xml:space="preserve">When disclosing information on the risk management objectives and policies </w:t>
            </w:r>
            <w:r w:rsidRPr="00BC17EC">
              <w:rPr>
                <w:rFonts w:ascii="Times New Roman" w:eastAsia="Times New Roman" w:hAnsi="Times New Roman" w:cs="Times New Roman"/>
                <w:sz w:val="24"/>
              </w:rPr>
              <w:t xml:space="preserve">to manage market risk </w:t>
            </w:r>
            <w:r w:rsidR="00793737" w:rsidRPr="00BC17EC">
              <w:rPr>
                <w:rFonts w:ascii="Times New Roman" w:hAnsi="Times New Roman" w:cs="Times New Roman"/>
                <w:sz w:val="24"/>
                <w:lang w:val="en-GB"/>
              </w:rPr>
              <w:t xml:space="preserve">in accordance with </w:t>
            </w:r>
            <w:r w:rsidR="00BC17EC">
              <w:rPr>
                <w:rFonts w:ascii="Times New Roman" w:hAnsi="Times New Roman" w:cs="Times New Roman"/>
                <w:sz w:val="24"/>
                <w:lang w:val="en-GB"/>
              </w:rPr>
              <w:t xml:space="preserve">points (a) and (d) of </w:t>
            </w:r>
            <w:r w:rsidR="00793737" w:rsidRPr="00BC17EC">
              <w:rPr>
                <w:rFonts w:ascii="Times New Roman" w:hAnsi="Times New Roman" w:cs="Times New Roman"/>
                <w:sz w:val="24"/>
                <w:lang w:val="en-GB"/>
              </w:rPr>
              <w:t>A</w:t>
            </w:r>
            <w:r w:rsidRPr="00BC17EC">
              <w:rPr>
                <w:rFonts w:ascii="Times New Roman" w:hAnsi="Times New Roman" w:cs="Times New Roman"/>
                <w:sz w:val="24"/>
                <w:lang w:val="en-GB"/>
              </w:rPr>
              <w:t>rticle 435 (1)</w:t>
            </w:r>
            <w:r w:rsidR="00FC23F6">
              <w:rPr>
                <w:rFonts w:ascii="Times New Roman" w:hAnsi="Times New Roman" w:cs="Times New Roman"/>
                <w:sz w:val="24"/>
                <w:lang w:val="en-GB"/>
              </w:rPr>
              <w:t xml:space="preserve"> </w:t>
            </w:r>
            <w:r w:rsidRPr="00BC17EC">
              <w:rPr>
                <w:rFonts w:ascii="Times New Roman" w:hAnsi="Times New Roman" w:cs="Times New Roman"/>
                <w:sz w:val="24"/>
                <w:lang w:val="en-GB"/>
              </w:rPr>
              <w:t xml:space="preserve"> </w:t>
            </w:r>
            <w:r w:rsidR="00BC17EC">
              <w:rPr>
                <w:rFonts w:ascii="Times New Roman" w:eastAsia="Times New Roman" w:hAnsi="Times New Roman" w:cs="Times New Roman"/>
                <w:sz w:val="24"/>
              </w:rPr>
              <w:t xml:space="preserve"> </w:t>
            </w:r>
            <w:r w:rsidR="004E5E50" w:rsidRPr="00BC17EC">
              <w:rPr>
                <w:rFonts w:ascii="Times New Roman" w:eastAsia="Times New Roman" w:hAnsi="Times New Roman" w:cs="Times New Roman"/>
                <w:sz w:val="24"/>
              </w:rPr>
              <w:t>C</w:t>
            </w:r>
            <w:r w:rsidR="0060366F" w:rsidRPr="00BC17EC">
              <w:rPr>
                <w:rFonts w:ascii="Times New Roman" w:eastAsia="Times New Roman" w:hAnsi="Times New Roman" w:cs="Times New Roman"/>
                <w:sz w:val="24"/>
              </w:rPr>
              <w:t xml:space="preserve">RR, institutions shall </w:t>
            </w:r>
            <w:r w:rsidRPr="00BC17EC">
              <w:rPr>
                <w:rFonts w:ascii="Times New Roman" w:eastAsia="Times New Roman" w:hAnsi="Times New Roman" w:cs="Times New Roman"/>
                <w:sz w:val="24"/>
              </w:rPr>
              <w:t>include</w:t>
            </w:r>
            <w:r w:rsidR="004E5E50" w:rsidRPr="00BC17EC">
              <w:rPr>
                <w:rFonts w:ascii="Times New Roman" w:eastAsia="Times New Roman" w:hAnsi="Times New Roman" w:cs="Times New Roman"/>
                <w:sz w:val="24"/>
              </w:rPr>
              <w:t>:</w:t>
            </w:r>
          </w:p>
          <w:p w14:paraId="78C5A64A" w14:textId="77777777" w:rsidR="004E5E50" w:rsidRPr="00BC17EC" w:rsidRDefault="00974AA6" w:rsidP="007A6198">
            <w:pPr>
              <w:pStyle w:val="ListParagraph"/>
              <w:numPr>
                <w:ilvl w:val="0"/>
                <w:numId w:val="11"/>
              </w:numPr>
              <w:spacing w:before="120" w:after="120"/>
              <w:jc w:val="both"/>
              <w:rPr>
                <w:rFonts w:ascii="Times New Roman" w:hAnsi="Times New Roman"/>
                <w:sz w:val="24"/>
                <w:szCs w:val="24"/>
              </w:rPr>
            </w:pPr>
            <w:r w:rsidRPr="00BC17EC">
              <w:rPr>
                <w:rFonts w:ascii="Times New Roman" w:eastAsia="Times New Roman" w:hAnsi="Times New Roman"/>
                <w:sz w:val="24"/>
                <w:szCs w:val="24"/>
              </w:rPr>
              <w:t>an explanation of</w:t>
            </w:r>
            <w:r w:rsidR="004E5E50" w:rsidRPr="00BC17EC">
              <w:rPr>
                <w:rFonts w:ascii="Times New Roman" w:eastAsia="Times New Roman" w:hAnsi="Times New Roman"/>
                <w:sz w:val="24"/>
                <w:szCs w:val="24"/>
              </w:rPr>
              <w:t xml:space="preserve"> their</w:t>
            </w:r>
            <w:r w:rsidRPr="00BC17EC">
              <w:rPr>
                <w:rFonts w:ascii="Times New Roman" w:eastAsia="Times New Roman" w:hAnsi="Times New Roman"/>
                <w:sz w:val="24"/>
                <w:szCs w:val="24"/>
              </w:rPr>
              <w:t xml:space="preserve"> management’s strategic objectives in undertaking trading activities, </w:t>
            </w:r>
          </w:p>
          <w:p w14:paraId="4F6A7728" w14:textId="78EDDA1A" w:rsidR="004E5E50" w:rsidRPr="00BC17EC" w:rsidRDefault="00974AA6" w:rsidP="007A6198">
            <w:pPr>
              <w:pStyle w:val="ListParagraph"/>
              <w:numPr>
                <w:ilvl w:val="0"/>
                <w:numId w:val="11"/>
              </w:numPr>
              <w:spacing w:before="120" w:after="120"/>
              <w:jc w:val="both"/>
              <w:rPr>
                <w:rFonts w:ascii="Times New Roman" w:hAnsi="Times New Roman"/>
                <w:sz w:val="24"/>
                <w:szCs w:val="24"/>
              </w:rPr>
            </w:pPr>
            <w:r w:rsidRPr="00BC17EC">
              <w:rPr>
                <w:rFonts w:ascii="Times New Roman" w:eastAsia="Times New Roman" w:hAnsi="Times New Roman"/>
                <w:sz w:val="24"/>
                <w:szCs w:val="24"/>
              </w:rPr>
              <w:t xml:space="preserve">the processes implemented to identify, measure, monitor and control the institution’s market risks, </w:t>
            </w:r>
          </w:p>
          <w:p w14:paraId="24554B6E" w14:textId="3E5BEC9C" w:rsidR="004E5E50" w:rsidRPr="00BC17EC" w:rsidRDefault="00974AA6" w:rsidP="007A6198">
            <w:pPr>
              <w:pStyle w:val="ListParagraph"/>
              <w:numPr>
                <w:ilvl w:val="0"/>
                <w:numId w:val="11"/>
              </w:numPr>
              <w:spacing w:before="120" w:after="120"/>
              <w:jc w:val="both"/>
              <w:rPr>
                <w:rFonts w:ascii="Times New Roman" w:hAnsi="Times New Roman"/>
                <w:sz w:val="24"/>
                <w:szCs w:val="24"/>
              </w:rPr>
            </w:pPr>
            <w:r w:rsidRPr="00BC17EC">
              <w:rPr>
                <w:rFonts w:ascii="Times New Roman" w:eastAsia="Times New Roman" w:hAnsi="Times New Roman"/>
                <w:sz w:val="24"/>
                <w:szCs w:val="24"/>
              </w:rPr>
              <w:t>the policies for hedging and mitigating risk</w:t>
            </w:r>
            <w:r w:rsidR="004E5E50" w:rsidRPr="00BC17EC">
              <w:rPr>
                <w:rFonts w:ascii="Times New Roman" w:eastAsia="Times New Roman" w:hAnsi="Times New Roman"/>
                <w:sz w:val="24"/>
                <w:szCs w:val="24"/>
              </w:rPr>
              <w:t>,</w:t>
            </w:r>
            <w:r w:rsidRPr="00BC17EC">
              <w:rPr>
                <w:rFonts w:ascii="Times New Roman" w:eastAsia="Times New Roman" w:hAnsi="Times New Roman"/>
                <w:sz w:val="24"/>
                <w:szCs w:val="24"/>
              </w:rPr>
              <w:t xml:space="preserve"> </w:t>
            </w:r>
          </w:p>
          <w:p w14:paraId="3D7825B9" w14:textId="773B709B" w:rsidR="001A0C8D" w:rsidRPr="00BC17EC" w:rsidRDefault="00974AA6" w:rsidP="007A6198">
            <w:pPr>
              <w:pStyle w:val="ListParagraph"/>
              <w:numPr>
                <w:ilvl w:val="0"/>
                <w:numId w:val="11"/>
              </w:numPr>
              <w:spacing w:before="120" w:after="120"/>
              <w:jc w:val="both"/>
              <w:rPr>
                <w:rFonts w:ascii="Times New Roman" w:hAnsi="Times New Roman"/>
                <w:sz w:val="24"/>
                <w:szCs w:val="24"/>
              </w:rPr>
            </w:pPr>
            <w:proofErr w:type="gramStart"/>
            <w:r w:rsidRPr="00BC17EC">
              <w:rPr>
                <w:rFonts w:ascii="Times New Roman" w:eastAsia="Times New Roman" w:hAnsi="Times New Roman"/>
                <w:sz w:val="24"/>
                <w:szCs w:val="24"/>
              </w:rPr>
              <w:t>strategies</w:t>
            </w:r>
            <w:proofErr w:type="gramEnd"/>
            <w:r w:rsidRPr="00BC17EC">
              <w:rPr>
                <w:rFonts w:ascii="Times New Roman" w:eastAsia="Times New Roman" w:hAnsi="Times New Roman"/>
                <w:sz w:val="24"/>
                <w:szCs w:val="24"/>
              </w:rPr>
              <w:t xml:space="preserve"> and processes for monitoring the continuing effectiveness of hedges.</w:t>
            </w:r>
          </w:p>
        </w:tc>
      </w:tr>
      <w:tr w:rsidR="00793737" w:rsidRPr="00BC17EC" w14:paraId="3B1EB511" w14:textId="77777777" w:rsidTr="004A5BCD">
        <w:trPr>
          <w:trHeight w:val="680"/>
        </w:trPr>
        <w:tc>
          <w:tcPr>
            <w:tcW w:w="1384" w:type="dxa"/>
          </w:tcPr>
          <w:p w14:paraId="5ECC5777" w14:textId="592D2BFD" w:rsidR="00793737" w:rsidRPr="00BC17EC" w:rsidRDefault="00A11971" w:rsidP="00793737">
            <w:pPr>
              <w:pStyle w:val="Applicationdirecte"/>
              <w:spacing w:before="120"/>
              <w:jc w:val="center"/>
            </w:pPr>
            <w:r w:rsidRPr="00BC17EC">
              <w:t>(b</w:t>
            </w:r>
            <w:r w:rsidR="00793737" w:rsidRPr="00BC17EC">
              <w:t>)</w:t>
            </w:r>
          </w:p>
        </w:tc>
        <w:tc>
          <w:tcPr>
            <w:tcW w:w="7655" w:type="dxa"/>
          </w:tcPr>
          <w:p w14:paraId="5736B2A4" w14:textId="597DB1C0" w:rsidR="00C71B7D" w:rsidRPr="00BC17EC" w:rsidRDefault="004E5E50" w:rsidP="00C71B7D">
            <w:pPr>
              <w:spacing w:before="120" w:after="120"/>
              <w:jc w:val="both"/>
              <w:rPr>
                <w:rFonts w:ascii="Times New Roman" w:eastAsia="Times New Roman" w:hAnsi="Times New Roman" w:cs="Times New Roman"/>
                <w:sz w:val="24"/>
                <w:lang w:val="en-GB" w:eastAsia="sv-SE"/>
              </w:rPr>
            </w:pPr>
            <w:r w:rsidRPr="00BC17EC">
              <w:rPr>
                <w:rFonts w:ascii="Times New Roman" w:eastAsia="Times New Roman" w:hAnsi="Times New Roman" w:cs="Times New Roman"/>
                <w:sz w:val="24"/>
                <w:lang w:val="en-GB" w:eastAsia="sv-SE"/>
              </w:rPr>
              <w:t xml:space="preserve">When </w:t>
            </w:r>
            <w:r w:rsidR="00C71B7D" w:rsidRPr="00BC17EC">
              <w:rPr>
                <w:rFonts w:ascii="Times New Roman" w:eastAsia="Times New Roman" w:hAnsi="Times New Roman" w:cs="Times New Roman"/>
                <w:sz w:val="24"/>
                <w:lang w:val="en-GB" w:eastAsia="sv-SE"/>
              </w:rPr>
              <w:t>disclosing information on t</w:t>
            </w:r>
            <w:r w:rsidR="00793737" w:rsidRPr="00BC17EC">
              <w:rPr>
                <w:rFonts w:ascii="Times New Roman" w:eastAsia="Times New Roman" w:hAnsi="Times New Roman" w:cs="Times New Roman"/>
                <w:sz w:val="24"/>
                <w:lang w:val="en-GB" w:eastAsia="sv-SE"/>
              </w:rPr>
              <w:t xml:space="preserve">he structure and organisation of the market risk management function in accordance with </w:t>
            </w:r>
            <w:r w:rsidR="00BC17EC">
              <w:rPr>
                <w:rFonts w:ascii="Times New Roman" w:eastAsia="Times New Roman" w:hAnsi="Times New Roman" w:cs="Times New Roman"/>
                <w:sz w:val="24"/>
                <w:lang w:val="en-GB" w:eastAsia="sv-SE"/>
              </w:rPr>
              <w:t xml:space="preserve">point (b) of </w:t>
            </w:r>
            <w:r w:rsidR="00793737" w:rsidRPr="00BC17EC">
              <w:rPr>
                <w:rFonts w:ascii="Times New Roman" w:eastAsia="Times New Roman" w:hAnsi="Times New Roman" w:cs="Times New Roman"/>
                <w:sz w:val="24"/>
                <w:lang w:val="en-GB" w:eastAsia="sv-SE"/>
              </w:rPr>
              <w:t xml:space="preserve">Article 435 (1) </w:t>
            </w:r>
            <w:r w:rsidR="00BC17EC">
              <w:rPr>
                <w:rFonts w:ascii="Times New Roman" w:eastAsia="Times New Roman" w:hAnsi="Times New Roman" w:cs="Times New Roman"/>
                <w:sz w:val="24"/>
                <w:lang w:val="en-GB" w:eastAsia="sv-SE"/>
              </w:rPr>
              <w:t>CRR</w:t>
            </w:r>
            <w:r w:rsidR="00C71B7D" w:rsidRPr="00BC17EC">
              <w:rPr>
                <w:rFonts w:ascii="Times New Roman" w:eastAsia="Times New Roman" w:hAnsi="Times New Roman" w:cs="Times New Roman"/>
                <w:sz w:val="24"/>
                <w:lang w:val="en-GB" w:eastAsia="sv-SE"/>
              </w:rPr>
              <w:t>, institutions shall</w:t>
            </w:r>
            <w:r w:rsidR="00793737" w:rsidRPr="00BC17EC">
              <w:rPr>
                <w:rFonts w:ascii="Times New Roman" w:eastAsia="Times New Roman" w:hAnsi="Times New Roman" w:cs="Times New Roman"/>
                <w:sz w:val="24"/>
                <w:lang w:val="en-GB" w:eastAsia="sv-SE"/>
              </w:rPr>
              <w:t xml:space="preserve"> include</w:t>
            </w:r>
            <w:r w:rsidR="00C71B7D" w:rsidRPr="00BC17EC">
              <w:rPr>
                <w:rFonts w:ascii="Times New Roman" w:eastAsia="Times New Roman" w:hAnsi="Times New Roman" w:cs="Times New Roman"/>
                <w:sz w:val="24"/>
                <w:lang w:val="en-GB" w:eastAsia="sv-SE"/>
              </w:rPr>
              <w:t>:</w:t>
            </w:r>
          </w:p>
          <w:p w14:paraId="7DB0C2FE" w14:textId="77777777" w:rsidR="00C71B7D" w:rsidRPr="00BC17EC" w:rsidRDefault="00793737" w:rsidP="007A6198">
            <w:pPr>
              <w:pStyle w:val="ListParagraph"/>
              <w:numPr>
                <w:ilvl w:val="0"/>
                <w:numId w:val="11"/>
              </w:numPr>
              <w:spacing w:before="120" w:after="120"/>
              <w:jc w:val="both"/>
              <w:rPr>
                <w:rFonts w:ascii="Times New Roman" w:eastAsia="Times New Roman" w:hAnsi="Times New Roman"/>
                <w:sz w:val="24"/>
                <w:szCs w:val="24"/>
                <w:lang w:eastAsia="sv-SE"/>
              </w:rPr>
            </w:pPr>
            <w:r w:rsidRPr="00BC17EC">
              <w:rPr>
                <w:rFonts w:ascii="Times New Roman" w:eastAsia="Times New Roman" w:hAnsi="Times New Roman"/>
                <w:sz w:val="24"/>
                <w:szCs w:val="24"/>
                <w:lang w:eastAsia="sv-SE"/>
              </w:rPr>
              <w:t xml:space="preserve">a description of the market risk governance structure established to implement the strategies and processes of the institution discussed in row (a) above, </w:t>
            </w:r>
          </w:p>
          <w:p w14:paraId="6044668A" w14:textId="4A80EDB1" w:rsidR="00793737" w:rsidRPr="00BC17EC" w:rsidRDefault="00C71B7D" w:rsidP="007A6198">
            <w:pPr>
              <w:pStyle w:val="ListParagraph"/>
              <w:numPr>
                <w:ilvl w:val="0"/>
                <w:numId w:val="11"/>
              </w:numPr>
              <w:spacing w:before="120" w:after="120"/>
              <w:jc w:val="both"/>
              <w:rPr>
                <w:rFonts w:ascii="Times New Roman" w:eastAsia="Times New Roman" w:hAnsi="Times New Roman"/>
                <w:sz w:val="24"/>
                <w:szCs w:val="24"/>
                <w:lang w:eastAsia="sv-SE"/>
              </w:rPr>
            </w:pPr>
            <w:proofErr w:type="gramStart"/>
            <w:r w:rsidRPr="00BC17EC">
              <w:rPr>
                <w:rFonts w:ascii="Times New Roman" w:eastAsia="Times New Roman" w:hAnsi="Times New Roman"/>
                <w:sz w:val="24"/>
                <w:szCs w:val="24"/>
                <w:lang w:eastAsia="sv-SE"/>
              </w:rPr>
              <w:t>a</w:t>
            </w:r>
            <w:proofErr w:type="gramEnd"/>
            <w:r w:rsidRPr="00BC17EC">
              <w:rPr>
                <w:rFonts w:ascii="Times New Roman" w:eastAsia="Times New Roman" w:hAnsi="Times New Roman"/>
                <w:sz w:val="24"/>
                <w:szCs w:val="24"/>
                <w:lang w:eastAsia="sv-SE"/>
              </w:rPr>
              <w:t xml:space="preserve"> description of</w:t>
            </w:r>
            <w:r w:rsidR="00793737" w:rsidRPr="00BC17EC">
              <w:rPr>
                <w:rFonts w:ascii="Times New Roman" w:eastAsia="Times New Roman" w:hAnsi="Times New Roman"/>
                <w:sz w:val="24"/>
                <w:szCs w:val="24"/>
                <w:lang w:eastAsia="sv-SE"/>
              </w:rPr>
              <w:t xml:space="preserve"> the relationships and the communication mechanisms between the different parties involved in market risk management. </w:t>
            </w:r>
          </w:p>
        </w:tc>
      </w:tr>
      <w:tr w:rsidR="00793737" w:rsidRPr="00BC17EC" w14:paraId="14D41EB3" w14:textId="77777777" w:rsidTr="004A5BCD">
        <w:trPr>
          <w:trHeight w:val="436"/>
        </w:trPr>
        <w:tc>
          <w:tcPr>
            <w:tcW w:w="1384" w:type="dxa"/>
          </w:tcPr>
          <w:p w14:paraId="49CD8992" w14:textId="77777777" w:rsidR="00793737" w:rsidRPr="00BC17EC" w:rsidRDefault="00A11971" w:rsidP="00793737">
            <w:pPr>
              <w:pStyle w:val="Applicationdirecte"/>
              <w:spacing w:before="120"/>
              <w:jc w:val="center"/>
            </w:pPr>
            <w:r w:rsidRPr="00BC17EC">
              <w:lastRenderedPageBreak/>
              <w:t>(c</w:t>
            </w:r>
            <w:r w:rsidR="00793737" w:rsidRPr="00BC17EC">
              <w:t>)</w:t>
            </w:r>
          </w:p>
          <w:p w14:paraId="03E1B59E" w14:textId="32DFABC6" w:rsidR="00C71B7D" w:rsidRPr="00BC17EC" w:rsidRDefault="00C71B7D" w:rsidP="00C71B7D">
            <w:pPr>
              <w:pStyle w:val="Fait"/>
            </w:pPr>
          </w:p>
        </w:tc>
        <w:tc>
          <w:tcPr>
            <w:tcW w:w="7655" w:type="dxa"/>
          </w:tcPr>
          <w:p w14:paraId="0501101F" w14:textId="56A58216" w:rsidR="00793737" w:rsidRPr="00BC17EC" w:rsidRDefault="00C71B7D" w:rsidP="00C71B7D">
            <w:pPr>
              <w:spacing w:before="120" w:after="120"/>
              <w:jc w:val="both"/>
              <w:rPr>
                <w:rFonts w:ascii="Times New Roman" w:eastAsia="Times New Roman" w:hAnsi="Times New Roman" w:cs="Times New Roman"/>
                <w:sz w:val="24"/>
                <w:lang w:val="en-GB" w:eastAsia="sv-SE"/>
              </w:rPr>
            </w:pPr>
            <w:r w:rsidRPr="00BC17EC">
              <w:rPr>
                <w:rFonts w:ascii="Times New Roman" w:eastAsia="Times New Roman" w:hAnsi="Times New Roman" w:cs="Times New Roman"/>
                <w:sz w:val="24"/>
                <w:lang w:val="en-GB" w:eastAsia="sv-SE"/>
              </w:rPr>
              <w:t xml:space="preserve">When disclosing information on the scope and nature of market risk </w:t>
            </w:r>
            <w:r w:rsidR="00A12F41">
              <w:rPr>
                <w:rFonts w:ascii="Times New Roman" w:eastAsia="Times New Roman" w:hAnsi="Times New Roman" w:cs="Times New Roman"/>
                <w:sz w:val="24"/>
                <w:lang w:val="en-GB" w:eastAsia="sv-SE"/>
              </w:rPr>
              <w:t>disclosure</w:t>
            </w:r>
            <w:r w:rsidRPr="00BC17EC">
              <w:rPr>
                <w:rFonts w:ascii="Times New Roman" w:eastAsia="Times New Roman" w:hAnsi="Times New Roman" w:cs="Times New Roman"/>
                <w:sz w:val="24"/>
                <w:lang w:val="en-GB" w:eastAsia="sv-SE"/>
              </w:rPr>
              <w:t xml:space="preserve"> and measurement systems, in </w:t>
            </w:r>
            <w:r w:rsidR="00A11971" w:rsidRPr="00BC17EC">
              <w:rPr>
                <w:rFonts w:ascii="Times New Roman" w:eastAsia="Times New Roman" w:hAnsi="Times New Roman" w:cs="Times New Roman"/>
                <w:sz w:val="24"/>
                <w:lang w:val="en-GB" w:eastAsia="sv-SE"/>
              </w:rPr>
              <w:t>accord</w:t>
            </w:r>
            <w:r w:rsidRPr="00BC17EC">
              <w:rPr>
                <w:rFonts w:ascii="Times New Roman" w:eastAsia="Times New Roman" w:hAnsi="Times New Roman" w:cs="Times New Roman"/>
                <w:sz w:val="24"/>
                <w:lang w:val="en-GB" w:eastAsia="sv-SE"/>
              </w:rPr>
              <w:t xml:space="preserve">ance with </w:t>
            </w:r>
            <w:r w:rsidR="00BC17EC">
              <w:rPr>
                <w:rFonts w:ascii="Times New Roman" w:eastAsia="Times New Roman" w:hAnsi="Times New Roman" w:cs="Times New Roman"/>
                <w:sz w:val="24"/>
                <w:lang w:val="en-GB" w:eastAsia="sv-SE"/>
              </w:rPr>
              <w:t xml:space="preserve">point (c) of </w:t>
            </w:r>
            <w:r w:rsidR="00A11971" w:rsidRPr="00BC17EC">
              <w:rPr>
                <w:rFonts w:ascii="Times New Roman" w:eastAsia="Times New Roman" w:hAnsi="Times New Roman" w:cs="Times New Roman"/>
                <w:sz w:val="24"/>
                <w:lang w:val="en-GB" w:eastAsia="sv-SE"/>
              </w:rPr>
              <w:t xml:space="preserve">Article 435 (1) </w:t>
            </w:r>
            <w:r w:rsidRPr="00BC17EC">
              <w:rPr>
                <w:rFonts w:ascii="Times New Roman" w:eastAsia="Times New Roman" w:hAnsi="Times New Roman" w:cs="Times New Roman"/>
                <w:sz w:val="24"/>
                <w:lang w:val="en-GB" w:eastAsia="sv-SE"/>
              </w:rPr>
              <w:t>CRR</w:t>
            </w:r>
            <w:r w:rsidR="00A11971" w:rsidRPr="00BC17EC">
              <w:rPr>
                <w:rFonts w:ascii="Times New Roman" w:eastAsia="Times New Roman" w:hAnsi="Times New Roman" w:cs="Times New Roman"/>
                <w:sz w:val="24"/>
                <w:lang w:val="en-GB" w:eastAsia="sv-SE"/>
              </w:rPr>
              <w:t>, i</w:t>
            </w:r>
            <w:r w:rsidR="00793737" w:rsidRPr="00BC17EC">
              <w:rPr>
                <w:rFonts w:ascii="Times New Roman" w:eastAsia="Times New Roman" w:hAnsi="Times New Roman" w:cs="Times New Roman"/>
                <w:sz w:val="24"/>
                <w:lang w:val="en-GB" w:eastAsia="sv-SE"/>
              </w:rPr>
              <w:t xml:space="preserve">nstitutions </w:t>
            </w:r>
            <w:r w:rsidRPr="00BC17EC">
              <w:rPr>
                <w:rFonts w:ascii="Times New Roman" w:eastAsia="Times New Roman" w:hAnsi="Times New Roman" w:cs="Times New Roman"/>
                <w:sz w:val="24"/>
                <w:lang w:val="en-GB" w:eastAsia="sv-SE"/>
              </w:rPr>
              <w:t>shall</w:t>
            </w:r>
            <w:r w:rsidR="00793737" w:rsidRPr="00BC17EC">
              <w:rPr>
                <w:rFonts w:ascii="Times New Roman" w:eastAsia="Times New Roman" w:hAnsi="Times New Roman" w:cs="Times New Roman"/>
                <w:sz w:val="24"/>
                <w:lang w:val="en-GB" w:eastAsia="sv-SE"/>
              </w:rPr>
              <w:t xml:space="preserve"> </w:t>
            </w:r>
            <w:r w:rsidR="00A11971" w:rsidRPr="00BC17EC">
              <w:rPr>
                <w:rFonts w:ascii="Times New Roman" w:eastAsia="Times New Roman" w:hAnsi="Times New Roman" w:cs="Times New Roman"/>
                <w:sz w:val="24"/>
                <w:lang w:val="en-GB" w:eastAsia="sv-SE"/>
              </w:rPr>
              <w:t xml:space="preserve">provide a description of </w:t>
            </w:r>
            <w:r w:rsidR="00793737" w:rsidRPr="00BC17EC">
              <w:rPr>
                <w:rFonts w:ascii="Times New Roman" w:eastAsia="Times New Roman" w:hAnsi="Times New Roman" w:cs="Times New Roman"/>
                <w:sz w:val="24"/>
                <w:lang w:val="en-GB" w:eastAsia="sv-SE"/>
              </w:rPr>
              <w:t xml:space="preserve">the scope and nature of market </w:t>
            </w:r>
            <w:r w:rsidR="00A11971" w:rsidRPr="00BC17EC">
              <w:rPr>
                <w:rFonts w:ascii="Times New Roman" w:eastAsia="Times New Roman" w:hAnsi="Times New Roman" w:cs="Times New Roman"/>
                <w:sz w:val="24"/>
                <w:lang w:val="en-GB" w:eastAsia="sv-SE"/>
              </w:rPr>
              <w:t xml:space="preserve">risk </w:t>
            </w:r>
            <w:r w:rsidR="00A12F41">
              <w:rPr>
                <w:rFonts w:ascii="Times New Roman" w:eastAsia="Times New Roman" w:hAnsi="Times New Roman" w:cs="Times New Roman"/>
                <w:sz w:val="24"/>
                <w:lang w:val="en-GB" w:eastAsia="sv-SE"/>
              </w:rPr>
              <w:t>disclosure</w:t>
            </w:r>
            <w:r w:rsidR="00A11971" w:rsidRPr="00BC17EC">
              <w:rPr>
                <w:rFonts w:ascii="Times New Roman" w:eastAsia="Times New Roman" w:hAnsi="Times New Roman" w:cs="Times New Roman"/>
                <w:sz w:val="24"/>
                <w:lang w:val="en-GB" w:eastAsia="sv-SE"/>
              </w:rPr>
              <w:t xml:space="preserve"> and the </w:t>
            </w:r>
            <w:r w:rsidR="00793737" w:rsidRPr="00BC17EC">
              <w:rPr>
                <w:rFonts w:ascii="Times New Roman" w:eastAsia="Times New Roman" w:hAnsi="Times New Roman" w:cs="Times New Roman"/>
                <w:sz w:val="24"/>
                <w:lang w:val="en-GB" w:eastAsia="sv-SE"/>
              </w:rPr>
              <w:t>measurement systems</w:t>
            </w:r>
            <w:r w:rsidR="00A11971" w:rsidRPr="00BC17EC">
              <w:rPr>
                <w:rFonts w:ascii="Times New Roman" w:eastAsia="Times New Roman" w:hAnsi="Times New Roman" w:cs="Times New Roman"/>
                <w:sz w:val="24"/>
                <w:lang w:val="en-GB" w:eastAsia="sv-SE"/>
              </w:rPr>
              <w:t xml:space="preserve">. </w:t>
            </w:r>
          </w:p>
        </w:tc>
      </w:tr>
    </w:tbl>
    <w:p w14:paraId="6EB773FA" w14:textId="633AECA0" w:rsidR="007D2FDE" w:rsidRPr="00BC17EC" w:rsidRDefault="007D2FDE" w:rsidP="007D2FDE">
      <w:pPr>
        <w:rPr>
          <w:rFonts w:ascii="Times New Roman" w:hAnsi="Times New Roman" w:cs="Times New Roman"/>
          <w:sz w:val="24"/>
        </w:rPr>
      </w:pPr>
    </w:p>
    <w:p w14:paraId="6694AD2F" w14:textId="70C4D5F6" w:rsidR="009C0CAF" w:rsidRPr="00BC17EC" w:rsidRDefault="009C0CAF" w:rsidP="007D2FDE">
      <w:pPr>
        <w:rPr>
          <w:rFonts w:ascii="Times New Roman" w:hAnsi="Times New Roman" w:cs="Times New Roman"/>
          <w:sz w:val="24"/>
        </w:rPr>
      </w:pPr>
    </w:p>
    <w:p w14:paraId="4A51422A" w14:textId="2A643294" w:rsidR="009C0CAF" w:rsidRPr="00BC17EC" w:rsidRDefault="009C0CAF" w:rsidP="007D2FDE">
      <w:pPr>
        <w:rPr>
          <w:rFonts w:ascii="Times New Roman" w:hAnsi="Times New Roman" w:cs="Times New Roman"/>
          <w:sz w:val="24"/>
        </w:rPr>
      </w:pPr>
    </w:p>
    <w:p w14:paraId="60F53221" w14:textId="3990F813" w:rsidR="009C0CAF" w:rsidRPr="00BC17EC" w:rsidRDefault="009C0CAF" w:rsidP="007D2FDE">
      <w:pPr>
        <w:rPr>
          <w:rFonts w:ascii="Times New Roman" w:hAnsi="Times New Roman" w:cs="Times New Roman"/>
          <w:sz w:val="24"/>
        </w:rPr>
      </w:pPr>
    </w:p>
    <w:p w14:paraId="0989D3D0" w14:textId="078F7D0D" w:rsidR="009C0CAF" w:rsidRPr="00BC17EC" w:rsidRDefault="009C0CAF" w:rsidP="007D2FDE">
      <w:pPr>
        <w:rPr>
          <w:rFonts w:ascii="Times New Roman" w:hAnsi="Times New Roman" w:cs="Times New Roman"/>
          <w:sz w:val="24"/>
        </w:rPr>
      </w:pPr>
    </w:p>
    <w:p w14:paraId="26BD0ED3" w14:textId="3DEE89D9" w:rsidR="009C0CAF" w:rsidRPr="00BC17EC" w:rsidRDefault="009C0CAF" w:rsidP="007D2FDE">
      <w:pPr>
        <w:rPr>
          <w:rFonts w:ascii="Times New Roman" w:hAnsi="Times New Roman" w:cs="Times New Roman"/>
          <w:sz w:val="24"/>
        </w:rPr>
      </w:pPr>
    </w:p>
    <w:p w14:paraId="032B1178" w14:textId="77777777" w:rsidR="009C0CAF" w:rsidRPr="00BC17EC" w:rsidRDefault="009C0CAF" w:rsidP="007D2FDE">
      <w:pPr>
        <w:rPr>
          <w:rFonts w:ascii="Times New Roman" w:hAnsi="Times New Roman" w:cs="Times New Roman"/>
          <w:sz w:val="24"/>
        </w:rPr>
      </w:pPr>
    </w:p>
    <w:p w14:paraId="62EDBCB6" w14:textId="2439FC1F" w:rsidR="00AD7F13" w:rsidRPr="00BC17EC" w:rsidRDefault="006057D0" w:rsidP="00A8416A">
      <w:pPr>
        <w:pStyle w:val="Titlelevel2"/>
        <w:spacing w:before="120" w:after="120"/>
        <w:rPr>
          <w:rFonts w:ascii="Times New Roman" w:hAnsi="Times New Roman" w:cs="Times New Roman"/>
          <w:color w:val="auto"/>
          <w:sz w:val="24"/>
        </w:rPr>
      </w:pPr>
      <w:r w:rsidRPr="00BC17EC">
        <w:rPr>
          <w:rFonts w:ascii="Times New Roman" w:hAnsi="Times New Roman" w:cs="Times New Roman"/>
          <w:b/>
          <w:color w:val="auto"/>
          <w:sz w:val="24"/>
        </w:rPr>
        <w:t>Template</w:t>
      </w:r>
      <w:r w:rsidR="009F78F1" w:rsidRPr="00BC17EC">
        <w:rPr>
          <w:rFonts w:ascii="Times New Roman" w:hAnsi="Times New Roman" w:cs="Times New Roman"/>
          <w:b/>
          <w:color w:val="auto"/>
          <w:sz w:val="24"/>
        </w:rPr>
        <w:t xml:space="preserve"> EU</w:t>
      </w:r>
      <w:r w:rsidRPr="00BC17EC">
        <w:rPr>
          <w:rFonts w:ascii="Times New Roman" w:hAnsi="Times New Roman" w:cs="Times New Roman"/>
          <w:b/>
          <w:color w:val="auto"/>
          <w:sz w:val="24"/>
        </w:rPr>
        <w:t xml:space="preserve"> MR1 - Market risk under the </w:t>
      </w:r>
      <w:proofErr w:type="spellStart"/>
      <w:r w:rsidRPr="00BC17EC">
        <w:rPr>
          <w:rFonts w:ascii="Times New Roman" w:hAnsi="Times New Roman" w:cs="Times New Roman"/>
          <w:b/>
          <w:color w:val="auto"/>
          <w:sz w:val="24"/>
        </w:rPr>
        <w:t>standardised</w:t>
      </w:r>
      <w:proofErr w:type="spellEnd"/>
      <w:r w:rsidRPr="00BC17EC">
        <w:rPr>
          <w:rFonts w:ascii="Times New Roman" w:hAnsi="Times New Roman" w:cs="Times New Roman"/>
          <w:b/>
          <w:color w:val="auto"/>
          <w:sz w:val="24"/>
        </w:rPr>
        <w:t xml:space="preserve"> approach</w:t>
      </w:r>
      <w:r w:rsidRPr="00BC17EC">
        <w:rPr>
          <w:rFonts w:ascii="Times New Roman" w:hAnsi="Times New Roman" w:cs="Times New Roman"/>
          <w:color w:val="auto"/>
          <w:sz w:val="24"/>
        </w:rPr>
        <w:t>: fixed format</w:t>
      </w:r>
    </w:p>
    <w:p w14:paraId="14162A06" w14:textId="7E3EC648" w:rsidR="009C0CAF" w:rsidRPr="00BC17EC" w:rsidRDefault="009C0CAF" w:rsidP="007A6198">
      <w:pPr>
        <w:pStyle w:val="Titlelevel2"/>
        <w:numPr>
          <w:ilvl w:val="0"/>
          <w:numId w:val="12"/>
        </w:numPr>
        <w:spacing w:before="120"/>
        <w:jc w:val="both"/>
        <w:rPr>
          <w:rFonts w:ascii="Times New Roman" w:hAnsi="Times New Roman" w:cs="Times New Roman"/>
          <w:sz w:val="24"/>
        </w:rPr>
      </w:pPr>
      <w:r w:rsidRPr="00BC17EC">
        <w:rPr>
          <w:rFonts w:ascii="Times New Roman" w:eastAsiaTheme="minorEastAsia" w:hAnsi="Times New Roman" w:cs="Times New Roman"/>
          <w:bCs w:val="0"/>
          <w:noProof/>
          <w:color w:val="000000"/>
          <w:sz w:val="24"/>
          <w:lang w:val="en-GB"/>
        </w:rPr>
        <w:t xml:space="preserve">Institutions shall </w:t>
      </w:r>
      <w:r w:rsidR="009F78F1" w:rsidRPr="00BC17EC">
        <w:rPr>
          <w:rFonts w:ascii="Times New Roman" w:eastAsiaTheme="minorEastAsia" w:hAnsi="Times New Roman" w:cs="Times New Roman"/>
          <w:bCs w:val="0"/>
          <w:noProof/>
          <w:color w:val="000000"/>
          <w:sz w:val="24"/>
          <w:lang w:val="en-GB"/>
        </w:rPr>
        <w:t xml:space="preserve">apply the instructions provided below in this Annex in order to complete </w:t>
      </w:r>
      <w:r w:rsidR="005C41D8" w:rsidRPr="00BC17EC">
        <w:rPr>
          <w:rFonts w:ascii="Times New Roman" w:eastAsiaTheme="minorEastAsia" w:hAnsi="Times New Roman" w:cs="Times New Roman"/>
          <w:bCs w:val="0"/>
          <w:noProof/>
          <w:color w:val="000000"/>
          <w:sz w:val="24"/>
          <w:lang w:val="en-GB"/>
        </w:rPr>
        <w:t>template EU MR1</w:t>
      </w:r>
      <w:r w:rsidR="009F78F1" w:rsidRPr="00BC17EC">
        <w:rPr>
          <w:rFonts w:ascii="Times New Roman" w:eastAsiaTheme="minorEastAsia" w:hAnsi="Times New Roman" w:cs="Times New Roman"/>
          <w:bCs w:val="0"/>
          <w:noProof/>
          <w:color w:val="000000"/>
          <w:sz w:val="24"/>
          <w:lang w:val="en-GB"/>
        </w:rPr>
        <w:t xml:space="preserve"> as presented in Annex </w:t>
      </w:r>
      <w:r w:rsidR="00560C49">
        <w:rPr>
          <w:rFonts w:ascii="Times New Roman" w:eastAsiaTheme="minorEastAsia" w:hAnsi="Times New Roman" w:cs="Times New Roman"/>
          <w:bCs w:val="0"/>
          <w:noProof/>
          <w:color w:val="000000"/>
          <w:sz w:val="24"/>
          <w:lang w:val="en-GB"/>
        </w:rPr>
        <w:t>XXIX</w:t>
      </w:r>
      <w:r w:rsidR="00BC17EC">
        <w:rPr>
          <w:rFonts w:ascii="Times New Roman" w:eastAsiaTheme="minorEastAsia" w:hAnsi="Times New Roman" w:cs="Times New Roman"/>
          <w:bCs w:val="0"/>
          <w:noProof/>
          <w:color w:val="000000"/>
          <w:sz w:val="24"/>
          <w:lang w:val="en-GB"/>
        </w:rPr>
        <w:t xml:space="preserve"> to this Implementing Regulation</w:t>
      </w:r>
      <w:r w:rsidR="009F78F1" w:rsidRPr="00BC17EC">
        <w:rPr>
          <w:rFonts w:ascii="Times New Roman" w:eastAsiaTheme="minorEastAsia" w:hAnsi="Times New Roman" w:cs="Times New Roman"/>
          <w:bCs w:val="0"/>
          <w:noProof/>
          <w:color w:val="000000"/>
          <w:sz w:val="24"/>
          <w:lang w:val="en-GB"/>
        </w:rPr>
        <w:t xml:space="preserve">, </w:t>
      </w:r>
      <w:r w:rsidRPr="00BC17EC">
        <w:rPr>
          <w:rFonts w:ascii="Times New Roman" w:eastAsiaTheme="minorEastAsia" w:hAnsi="Times New Roman" w:cs="Times New Roman"/>
          <w:bCs w:val="0"/>
          <w:noProof/>
          <w:color w:val="000000"/>
          <w:sz w:val="24"/>
          <w:lang w:val="en-GB"/>
        </w:rPr>
        <w:t>in application of Article 445 CRR.</w:t>
      </w:r>
    </w:p>
    <w:p w14:paraId="1F8C1114" w14:textId="77777777" w:rsidR="009C0CAF" w:rsidRPr="00BC17EC" w:rsidRDefault="009C0CAF" w:rsidP="00A8416A">
      <w:pPr>
        <w:pStyle w:val="Titlelevel2"/>
        <w:spacing w:before="120" w:after="120"/>
        <w:rPr>
          <w:rFonts w:ascii="Times New Roman" w:hAnsi="Times New Roman" w:cs="Times New Roman"/>
          <w:b/>
          <w:color w:val="auto"/>
          <w:sz w:val="24"/>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AD7F13" w:rsidRPr="00BC17EC" w14:paraId="3E4A5385" w14:textId="77777777" w:rsidTr="006057D0">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82FB1" w14:textId="74A637AC" w:rsidR="00AD7F13" w:rsidRPr="00BC17EC" w:rsidRDefault="006057D0" w:rsidP="006057D0">
            <w:pPr>
              <w:spacing w:before="120" w:after="120"/>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AD7F13" w:rsidRPr="00BC17EC" w14:paraId="5E7565BC" w14:textId="77777777" w:rsidTr="006A143D">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2F453" w14:textId="77777777" w:rsidR="00AD7F13" w:rsidRPr="00BC17EC" w:rsidRDefault="00AD7F13" w:rsidP="006057D0">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3FA49" w14:textId="77777777" w:rsidR="00AD7F13" w:rsidRPr="00BC17EC" w:rsidRDefault="00AD7F13" w:rsidP="006057D0">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D7238F" w:rsidRPr="00BC17EC" w14:paraId="5CD307DE" w14:textId="77777777" w:rsidTr="006A143D">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78686502" w14:textId="77777777" w:rsidR="00D7238F" w:rsidRPr="00BC17EC" w:rsidRDefault="00D7238F" w:rsidP="006057D0">
            <w:pPr>
              <w:spacing w:before="120" w:after="120"/>
              <w:jc w:val="center"/>
              <w:rPr>
                <w:rFonts w:ascii="Times New Roman" w:hAnsi="Times New Roman" w:cs="Times New Roman"/>
                <w:sz w:val="24"/>
                <w:lang w:eastAsia="ja-JP"/>
              </w:rPr>
            </w:pP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57F7E9D9" w14:textId="5A5B1482" w:rsidR="00E04976" w:rsidRPr="00BC17EC" w:rsidRDefault="00D7238F" w:rsidP="00B55C07">
            <w:pPr>
              <w:spacing w:before="120" w:after="120"/>
              <w:rPr>
                <w:rFonts w:ascii="Times New Roman" w:hAnsi="Times New Roman" w:cs="Times New Roman"/>
                <w:b/>
                <w:i/>
                <w:sz w:val="24"/>
                <w:lang w:eastAsia="ja-JP"/>
              </w:rPr>
            </w:pPr>
            <w:r w:rsidRPr="00BC17EC">
              <w:rPr>
                <w:rFonts w:ascii="Times New Roman" w:hAnsi="Times New Roman" w:cs="Times New Roman"/>
                <w:b/>
                <w:i/>
                <w:sz w:val="24"/>
                <w:lang w:eastAsia="ja-JP"/>
              </w:rPr>
              <w:t>Outright products</w:t>
            </w:r>
          </w:p>
        </w:tc>
      </w:tr>
      <w:tr w:rsidR="00AD7F13" w:rsidRPr="00BC17EC" w14:paraId="020EDCA3" w14:textId="77777777" w:rsidTr="006057D0">
        <w:tc>
          <w:tcPr>
            <w:tcW w:w="1172" w:type="dxa"/>
            <w:tcBorders>
              <w:top w:val="single" w:sz="4" w:space="0" w:color="auto"/>
              <w:left w:val="single" w:sz="4" w:space="0" w:color="auto"/>
              <w:bottom w:val="single" w:sz="4" w:space="0" w:color="auto"/>
              <w:right w:val="single" w:sz="4" w:space="0" w:color="auto"/>
            </w:tcBorders>
          </w:tcPr>
          <w:p w14:paraId="09BCADD0" w14:textId="51E4E928" w:rsidR="00AD7F13" w:rsidRPr="00BC17EC" w:rsidRDefault="006057D0"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{1}</w:t>
            </w:r>
          </w:p>
        </w:tc>
        <w:tc>
          <w:tcPr>
            <w:tcW w:w="7242" w:type="dxa"/>
            <w:tcBorders>
              <w:top w:val="single" w:sz="4" w:space="0" w:color="auto"/>
              <w:left w:val="single" w:sz="4" w:space="0" w:color="auto"/>
              <w:bottom w:val="single" w:sz="4" w:space="0" w:color="auto"/>
              <w:right w:val="single" w:sz="4" w:space="0" w:color="auto"/>
            </w:tcBorders>
          </w:tcPr>
          <w:p w14:paraId="56F21EEE" w14:textId="77777777" w:rsidR="00AD7F13" w:rsidRPr="00BC17EC" w:rsidRDefault="009A5D23" w:rsidP="006057D0">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 xml:space="preserve">Interest rate risk (general and specific) </w:t>
            </w:r>
          </w:p>
          <w:p w14:paraId="2664BF62" w14:textId="37807759" w:rsidR="009A5D23" w:rsidRPr="00BC17EC" w:rsidRDefault="009A5D23" w:rsidP="00012BC3">
            <w:pPr>
              <w:autoSpaceDE w:val="0"/>
              <w:autoSpaceDN w:val="0"/>
              <w:adjustRightInd w:val="0"/>
              <w:spacing w:before="120" w:after="120"/>
              <w:jc w:val="both"/>
              <w:rPr>
                <w:rFonts w:ascii="Times New Roman" w:hAnsi="Times New Roman" w:cs="Times New Roman"/>
                <w:sz w:val="24"/>
                <w:lang w:eastAsia="ja-JP"/>
              </w:rPr>
            </w:pPr>
            <w:r w:rsidRPr="00BC17EC">
              <w:rPr>
                <w:rFonts w:ascii="Times New Roman" w:hAnsi="Times New Roman" w:cs="Times New Roman"/>
                <w:sz w:val="24"/>
              </w:rPr>
              <w:t xml:space="preserve">General and specific risk of positions in </w:t>
            </w:r>
            <w:r w:rsidR="00192CC5" w:rsidRPr="00BC17EC">
              <w:rPr>
                <w:rFonts w:ascii="Times New Roman" w:hAnsi="Times New Roman" w:cs="Times New Roman"/>
                <w:sz w:val="24"/>
              </w:rPr>
              <w:t xml:space="preserve">traded </w:t>
            </w:r>
            <w:r w:rsidRPr="00BC17EC">
              <w:rPr>
                <w:rFonts w:ascii="Times New Roman" w:hAnsi="Times New Roman" w:cs="Times New Roman"/>
                <w:sz w:val="24"/>
              </w:rPr>
              <w:t xml:space="preserve">debt instruments in </w:t>
            </w:r>
            <w:r w:rsidR="00192CC5" w:rsidRPr="00BC17EC">
              <w:rPr>
                <w:rFonts w:ascii="Times New Roman" w:hAnsi="Times New Roman" w:cs="Times New Roman"/>
                <w:sz w:val="24"/>
              </w:rPr>
              <w:t xml:space="preserve">the </w:t>
            </w:r>
            <w:r w:rsidRPr="00BC17EC">
              <w:rPr>
                <w:rFonts w:ascii="Times New Roman" w:hAnsi="Times New Roman" w:cs="Times New Roman"/>
                <w:sz w:val="24"/>
              </w:rPr>
              <w:t>trading book</w:t>
            </w:r>
            <w:r w:rsidR="00192CC5" w:rsidRPr="00BC17EC">
              <w:rPr>
                <w:rFonts w:ascii="Times New Roman" w:hAnsi="Times New Roman" w:cs="Times New Roman"/>
                <w:sz w:val="24"/>
              </w:rPr>
              <w:t xml:space="preserve">, </w:t>
            </w:r>
            <w:r w:rsidR="00004BB9" w:rsidRPr="00BC17EC">
              <w:rPr>
                <w:rFonts w:ascii="Times New Roman" w:hAnsi="Times New Roman" w:cs="Times New Roman"/>
                <w:sz w:val="24"/>
              </w:rPr>
              <w:t xml:space="preserve">in accordance with </w:t>
            </w:r>
            <w:r w:rsidR="00BC17EC">
              <w:rPr>
                <w:rFonts w:ascii="Times New Roman" w:hAnsi="Times New Roman" w:cs="Times New Roman"/>
                <w:sz w:val="24"/>
              </w:rPr>
              <w:t>Chapter 2 of Title IV of Part Three CRR</w:t>
            </w:r>
            <w:r w:rsidR="00950901" w:rsidRPr="00BC17EC">
              <w:rPr>
                <w:rFonts w:ascii="Times New Roman" w:eastAsia="Times New Roman" w:hAnsi="Times New Roman" w:cs="Times New Roman"/>
                <w:sz w:val="24"/>
              </w:rPr>
              <w:t xml:space="preserve">, excluding specific risk related to </w:t>
            </w:r>
            <w:proofErr w:type="gramStart"/>
            <w:r w:rsidR="00004BB9" w:rsidRPr="00BC17EC">
              <w:rPr>
                <w:rFonts w:ascii="Times New Roman" w:eastAsia="Times New Roman" w:hAnsi="Times New Roman" w:cs="Times New Roman"/>
                <w:sz w:val="24"/>
              </w:rPr>
              <w:t>securitization,</w:t>
            </w:r>
            <w:r w:rsidR="00004BB9" w:rsidRPr="00BC17EC">
              <w:rPr>
                <w:rFonts w:ascii="Times New Roman" w:hAnsi="Times New Roman" w:cs="Times New Roman"/>
                <w:sz w:val="24"/>
              </w:rPr>
              <w:t xml:space="preserve"> and which are not optional</w:t>
            </w:r>
            <w:proofErr w:type="gramEnd"/>
            <w:r w:rsidR="00192CC5" w:rsidRPr="00BC17EC">
              <w:rPr>
                <w:rFonts w:ascii="Times New Roman" w:hAnsi="Times New Roman" w:cs="Times New Roman"/>
                <w:sz w:val="24"/>
              </w:rPr>
              <w:t>.</w:t>
            </w:r>
          </w:p>
        </w:tc>
      </w:tr>
      <w:tr w:rsidR="00D7238F" w:rsidRPr="00BC17EC" w14:paraId="32C5ACDE" w14:textId="77777777" w:rsidTr="006057D0">
        <w:tc>
          <w:tcPr>
            <w:tcW w:w="1172" w:type="dxa"/>
            <w:tcBorders>
              <w:top w:val="single" w:sz="4" w:space="0" w:color="auto"/>
              <w:left w:val="single" w:sz="4" w:space="0" w:color="auto"/>
              <w:bottom w:val="single" w:sz="4" w:space="0" w:color="auto"/>
              <w:right w:val="single" w:sz="4" w:space="0" w:color="auto"/>
            </w:tcBorders>
          </w:tcPr>
          <w:p w14:paraId="7E6D1E06" w14:textId="63B3B3F5" w:rsidR="00D7238F" w:rsidRPr="00BC17EC" w:rsidRDefault="00D7238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{2}</w:t>
            </w:r>
          </w:p>
        </w:tc>
        <w:tc>
          <w:tcPr>
            <w:tcW w:w="7242" w:type="dxa"/>
            <w:tcBorders>
              <w:top w:val="single" w:sz="4" w:space="0" w:color="auto"/>
              <w:left w:val="single" w:sz="4" w:space="0" w:color="auto"/>
              <w:bottom w:val="single" w:sz="4" w:space="0" w:color="auto"/>
              <w:right w:val="single" w:sz="4" w:space="0" w:color="auto"/>
            </w:tcBorders>
          </w:tcPr>
          <w:p w14:paraId="5626CE89" w14:textId="77777777" w:rsidR="00D7238F" w:rsidRPr="00BC17EC" w:rsidRDefault="00DC19BC" w:rsidP="006057D0">
            <w:pPr>
              <w:spacing w:before="120" w:after="120"/>
              <w:rPr>
                <w:rFonts w:ascii="Times New Roman" w:hAnsi="Times New Roman" w:cs="Times New Roman"/>
                <w:sz w:val="24"/>
                <w:lang w:eastAsia="ja-JP"/>
              </w:rPr>
            </w:pPr>
            <w:r w:rsidRPr="00BC17EC">
              <w:rPr>
                <w:rFonts w:ascii="Times New Roman" w:hAnsi="Times New Roman" w:cs="Times New Roman"/>
                <w:i/>
                <w:sz w:val="24"/>
                <w:lang w:eastAsia="ja-JP"/>
              </w:rPr>
              <w:t>Equity risk (general and specific)</w:t>
            </w:r>
          </w:p>
          <w:p w14:paraId="3B25C364" w14:textId="6F6191C7" w:rsidR="00DC19BC" w:rsidRPr="00BC17EC" w:rsidRDefault="00DC19BC" w:rsidP="00012BC3">
            <w:pPr>
              <w:spacing w:before="120" w:after="120"/>
              <w:jc w:val="both"/>
              <w:rPr>
                <w:rFonts w:ascii="Times New Roman" w:hAnsi="Times New Roman" w:cs="Times New Roman"/>
                <w:sz w:val="24"/>
                <w:lang w:eastAsia="ja-JP"/>
              </w:rPr>
            </w:pPr>
            <w:r w:rsidRPr="00BC17EC">
              <w:rPr>
                <w:rFonts w:ascii="Times New Roman" w:hAnsi="Times New Roman" w:cs="Times New Roman"/>
                <w:sz w:val="24"/>
              </w:rPr>
              <w:t xml:space="preserve">General and specific risk of positions in equities in the trading book, in accordance with </w:t>
            </w:r>
            <w:r w:rsidR="00BC17EC">
              <w:rPr>
                <w:rFonts w:ascii="Times New Roman" w:hAnsi="Times New Roman" w:cs="Times New Roman"/>
                <w:sz w:val="24"/>
              </w:rPr>
              <w:t>Chapter 2 of Title IV of Part Three CRR</w:t>
            </w:r>
            <w:r w:rsidR="00950901" w:rsidRPr="00BC17EC">
              <w:rPr>
                <w:rFonts w:ascii="Times New Roman" w:eastAsia="Times New Roman" w:hAnsi="Times New Roman" w:cs="Times New Roman"/>
                <w:sz w:val="24"/>
              </w:rPr>
              <w:t xml:space="preserve">, excluding </w:t>
            </w:r>
            <w:r w:rsidR="00004BB9" w:rsidRPr="00BC17EC">
              <w:rPr>
                <w:rFonts w:ascii="Times New Roman" w:hAnsi="Times New Roman" w:cs="Times New Roman"/>
                <w:sz w:val="24"/>
              </w:rPr>
              <w:t>optional</w:t>
            </w:r>
            <w:r w:rsidR="00736B4D" w:rsidRPr="00BC17EC">
              <w:rPr>
                <w:rFonts w:ascii="Times New Roman" w:hAnsi="Times New Roman" w:cs="Times New Roman"/>
                <w:sz w:val="24"/>
              </w:rPr>
              <w:t xml:space="preserve"> instruments</w:t>
            </w:r>
            <w:r w:rsidRPr="00BC17EC">
              <w:rPr>
                <w:rFonts w:ascii="Times New Roman" w:hAnsi="Times New Roman" w:cs="Times New Roman"/>
                <w:sz w:val="24"/>
              </w:rPr>
              <w:t>.</w:t>
            </w:r>
          </w:p>
        </w:tc>
      </w:tr>
      <w:tr w:rsidR="00D7238F" w:rsidRPr="00BC17EC" w14:paraId="0629CE44" w14:textId="77777777" w:rsidTr="006057D0">
        <w:tc>
          <w:tcPr>
            <w:tcW w:w="1172" w:type="dxa"/>
            <w:tcBorders>
              <w:top w:val="single" w:sz="4" w:space="0" w:color="auto"/>
              <w:left w:val="single" w:sz="4" w:space="0" w:color="auto"/>
              <w:bottom w:val="single" w:sz="4" w:space="0" w:color="auto"/>
              <w:right w:val="single" w:sz="4" w:space="0" w:color="auto"/>
            </w:tcBorders>
          </w:tcPr>
          <w:p w14:paraId="7492F4A0" w14:textId="681938C9" w:rsidR="00D7238F" w:rsidRPr="00BC17EC" w:rsidRDefault="00D7238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{3}</w:t>
            </w:r>
          </w:p>
        </w:tc>
        <w:tc>
          <w:tcPr>
            <w:tcW w:w="7242" w:type="dxa"/>
            <w:tcBorders>
              <w:top w:val="single" w:sz="4" w:space="0" w:color="auto"/>
              <w:left w:val="single" w:sz="4" w:space="0" w:color="auto"/>
              <w:bottom w:val="single" w:sz="4" w:space="0" w:color="auto"/>
              <w:right w:val="single" w:sz="4" w:space="0" w:color="auto"/>
            </w:tcBorders>
          </w:tcPr>
          <w:p w14:paraId="5EC22EFB" w14:textId="77777777" w:rsidR="00D7238F" w:rsidRPr="00BC17EC" w:rsidRDefault="00E1462B" w:rsidP="006057D0">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Foreign exchange risk</w:t>
            </w:r>
          </w:p>
          <w:p w14:paraId="44BF9E54" w14:textId="4DEC4133" w:rsidR="00E1462B" w:rsidRPr="00BC17EC" w:rsidRDefault="00004BB9" w:rsidP="00DD34F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Risk of positions in foreign exchange in accordance with </w:t>
            </w:r>
            <w:r w:rsidR="00BC17EC">
              <w:rPr>
                <w:rFonts w:ascii="Times New Roman" w:hAnsi="Times New Roman" w:cs="Times New Roman"/>
                <w:sz w:val="24"/>
                <w:lang w:eastAsia="ja-JP"/>
              </w:rPr>
              <w:t>C</w:t>
            </w:r>
            <w:r w:rsidRPr="00BC17EC">
              <w:rPr>
                <w:rFonts w:ascii="Times New Roman" w:hAnsi="Times New Roman" w:cs="Times New Roman"/>
                <w:sz w:val="24"/>
                <w:lang w:eastAsia="ja-JP"/>
              </w:rPr>
              <w:t>hapter 3 of Title IV</w:t>
            </w:r>
            <w:r w:rsidR="00BC17EC">
              <w:rPr>
                <w:rFonts w:ascii="Times New Roman" w:hAnsi="Times New Roman" w:cs="Times New Roman"/>
                <w:sz w:val="24"/>
                <w:lang w:eastAsia="ja-JP"/>
              </w:rPr>
              <w:t xml:space="preserve"> of</w:t>
            </w:r>
            <w:r w:rsidR="00E00837" w:rsidRPr="00BC17EC">
              <w:rPr>
                <w:rFonts w:ascii="Times New Roman" w:hAnsi="Times New Roman" w:cs="Times New Roman"/>
                <w:sz w:val="24"/>
                <w:lang w:val="en-GB" w:eastAsia="ja-JP"/>
              </w:rPr>
              <w:t xml:space="preserve"> </w:t>
            </w:r>
            <w:r w:rsidR="00BC17EC">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BC17EC">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00736B4D" w:rsidRPr="00BC17EC">
              <w:rPr>
                <w:rFonts w:ascii="Times New Roman" w:eastAsia="Times New Roman" w:hAnsi="Times New Roman" w:cs="Times New Roman"/>
                <w:sz w:val="24"/>
              </w:rPr>
              <w:t xml:space="preserve">, excluding </w:t>
            </w:r>
            <w:r w:rsidR="00736B4D" w:rsidRPr="00BC17EC">
              <w:rPr>
                <w:rFonts w:ascii="Times New Roman" w:hAnsi="Times New Roman" w:cs="Times New Roman"/>
                <w:sz w:val="24"/>
              </w:rPr>
              <w:t>optional instruments.</w:t>
            </w:r>
          </w:p>
        </w:tc>
      </w:tr>
      <w:tr w:rsidR="00D7238F" w:rsidRPr="00BC17EC" w14:paraId="0D38015C" w14:textId="77777777" w:rsidTr="006A143D">
        <w:tc>
          <w:tcPr>
            <w:tcW w:w="1172" w:type="dxa"/>
            <w:tcBorders>
              <w:top w:val="single" w:sz="4" w:space="0" w:color="auto"/>
              <w:left w:val="single" w:sz="4" w:space="0" w:color="auto"/>
              <w:bottom w:val="single" w:sz="4" w:space="0" w:color="auto"/>
              <w:right w:val="single" w:sz="4" w:space="0" w:color="auto"/>
            </w:tcBorders>
          </w:tcPr>
          <w:p w14:paraId="3144AD7B" w14:textId="2CCFC139" w:rsidR="00D7238F" w:rsidRPr="00BC17EC" w:rsidRDefault="00D7238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{4}</w:t>
            </w:r>
          </w:p>
        </w:tc>
        <w:tc>
          <w:tcPr>
            <w:tcW w:w="7242" w:type="dxa"/>
            <w:tcBorders>
              <w:top w:val="single" w:sz="4" w:space="0" w:color="auto"/>
              <w:left w:val="single" w:sz="4" w:space="0" w:color="auto"/>
              <w:bottom w:val="single" w:sz="4" w:space="0" w:color="auto"/>
              <w:right w:val="single" w:sz="4" w:space="0" w:color="auto"/>
            </w:tcBorders>
          </w:tcPr>
          <w:p w14:paraId="74DE8F20" w14:textId="77777777" w:rsidR="00D7238F" w:rsidRPr="00BC17EC" w:rsidRDefault="00136E2D" w:rsidP="006057D0">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Commodity risk</w:t>
            </w:r>
          </w:p>
          <w:p w14:paraId="32C01024" w14:textId="105C5478" w:rsidR="00136E2D" w:rsidRPr="00BC17EC" w:rsidRDefault="00136E2D" w:rsidP="00DD34F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Risk of positions in commodities in accordance with </w:t>
            </w:r>
            <w:r w:rsidR="00BC17EC">
              <w:rPr>
                <w:rFonts w:ascii="Times New Roman" w:hAnsi="Times New Roman" w:cs="Times New Roman"/>
                <w:sz w:val="24"/>
                <w:lang w:eastAsia="ja-JP"/>
              </w:rPr>
              <w:t>C</w:t>
            </w:r>
            <w:r w:rsidRPr="00BC17EC">
              <w:rPr>
                <w:rFonts w:ascii="Times New Roman" w:hAnsi="Times New Roman" w:cs="Times New Roman"/>
                <w:sz w:val="24"/>
                <w:lang w:eastAsia="ja-JP"/>
              </w:rPr>
              <w:t xml:space="preserve">hapter </w:t>
            </w:r>
            <w:r w:rsidR="00DD34F3" w:rsidRPr="00BC17EC">
              <w:rPr>
                <w:rFonts w:ascii="Times New Roman" w:hAnsi="Times New Roman" w:cs="Times New Roman"/>
                <w:sz w:val="24"/>
                <w:lang w:eastAsia="ja-JP"/>
              </w:rPr>
              <w:t>4</w:t>
            </w:r>
            <w:r w:rsidRPr="00BC17EC">
              <w:rPr>
                <w:rFonts w:ascii="Times New Roman" w:hAnsi="Times New Roman" w:cs="Times New Roman"/>
                <w:sz w:val="24"/>
                <w:lang w:eastAsia="ja-JP"/>
              </w:rPr>
              <w:t xml:space="preserve"> of Title IV</w:t>
            </w:r>
            <w:r w:rsidR="00BC17EC">
              <w:rPr>
                <w:rFonts w:ascii="Times New Roman" w:hAnsi="Times New Roman" w:cs="Times New Roman"/>
                <w:sz w:val="24"/>
                <w:lang w:val="en-GB" w:eastAsia="ja-JP"/>
              </w:rPr>
              <w:t xml:space="preserve"> of P</w:t>
            </w:r>
            <w:r w:rsidR="00E00837" w:rsidRPr="00BC17EC">
              <w:rPr>
                <w:rFonts w:ascii="Times New Roman" w:hAnsi="Times New Roman" w:cs="Times New Roman"/>
                <w:sz w:val="24"/>
                <w:lang w:val="en-GB" w:eastAsia="ja-JP"/>
              </w:rPr>
              <w:t xml:space="preserve">art </w:t>
            </w:r>
            <w:r w:rsidR="00BC17EC">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 xml:space="preserve">, excluding </w:t>
            </w:r>
            <w:r w:rsidRPr="00BC17EC">
              <w:rPr>
                <w:rFonts w:ascii="Times New Roman" w:hAnsi="Times New Roman" w:cs="Times New Roman"/>
                <w:sz w:val="24"/>
              </w:rPr>
              <w:t>optional instruments.</w:t>
            </w:r>
          </w:p>
        </w:tc>
      </w:tr>
      <w:tr w:rsidR="006A143D" w:rsidRPr="00BC17EC" w14:paraId="3D5568A4" w14:textId="77777777" w:rsidTr="006A143D">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5E2FB840" w14:textId="77777777" w:rsidR="006A143D" w:rsidRPr="00BC17EC" w:rsidRDefault="006A143D" w:rsidP="006057D0">
            <w:pPr>
              <w:spacing w:before="120" w:after="120"/>
              <w:jc w:val="center"/>
              <w:rPr>
                <w:rFonts w:ascii="Times New Roman" w:hAnsi="Times New Roman" w:cs="Times New Roman"/>
                <w:sz w:val="24"/>
                <w:lang w:eastAsia="ja-JP"/>
              </w:rPr>
            </w:pP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67BC4950" w14:textId="6067898D" w:rsidR="00997407" w:rsidRPr="00BC17EC" w:rsidRDefault="006A143D" w:rsidP="00B55C07">
            <w:pPr>
              <w:spacing w:before="120" w:after="120"/>
              <w:rPr>
                <w:rFonts w:ascii="Times New Roman" w:hAnsi="Times New Roman" w:cs="Times New Roman"/>
                <w:b/>
                <w:i/>
                <w:sz w:val="24"/>
                <w:lang w:eastAsia="ja-JP"/>
              </w:rPr>
            </w:pPr>
            <w:r w:rsidRPr="00BC17EC">
              <w:rPr>
                <w:rFonts w:ascii="Times New Roman" w:hAnsi="Times New Roman" w:cs="Times New Roman"/>
                <w:b/>
                <w:i/>
                <w:sz w:val="24"/>
                <w:lang w:eastAsia="ja-JP"/>
              </w:rPr>
              <w:t>Options</w:t>
            </w:r>
          </w:p>
        </w:tc>
      </w:tr>
      <w:tr w:rsidR="00D7238F" w:rsidRPr="00BC17EC" w14:paraId="63A30A7F" w14:textId="77777777" w:rsidTr="006057D0">
        <w:tc>
          <w:tcPr>
            <w:tcW w:w="1172" w:type="dxa"/>
            <w:tcBorders>
              <w:top w:val="single" w:sz="4" w:space="0" w:color="auto"/>
              <w:left w:val="single" w:sz="4" w:space="0" w:color="auto"/>
              <w:bottom w:val="single" w:sz="4" w:space="0" w:color="auto"/>
              <w:right w:val="single" w:sz="4" w:space="0" w:color="auto"/>
            </w:tcBorders>
          </w:tcPr>
          <w:p w14:paraId="5EA9697D" w14:textId="1925A6B4" w:rsidR="00D7238F" w:rsidRPr="00BC17EC" w:rsidRDefault="00D7238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lastRenderedPageBreak/>
              <w:t>{5}</w:t>
            </w:r>
          </w:p>
        </w:tc>
        <w:tc>
          <w:tcPr>
            <w:tcW w:w="7242" w:type="dxa"/>
            <w:tcBorders>
              <w:top w:val="single" w:sz="4" w:space="0" w:color="auto"/>
              <w:left w:val="single" w:sz="4" w:space="0" w:color="auto"/>
              <w:bottom w:val="single" w:sz="4" w:space="0" w:color="auto"/>
              <w:right w:val="single" w:sz="4" w:space="0" w:color="auto"/>
            </w:tcBorders>
          </w:tcPr>
          <w:p w14:paraId="12377FA8" w14:textId="762904B4" w:rsidR="009E4C77" w:rsidRPr="00BC17EC" w:rsidRDefault="009E4C77" w:rsidP="009E4C77">
            <w:pPr>
              <w:spacing w:before="120" w:after="120"/>
              <w:jc w:val="both"/>
              <w:rPr>
                <w:rFonts w:ascii="Times New Roman" w:hAnsi="Times New Roman" w:cs="Times New Roman"/>
                <w:i/>
                <w:sz w:val="24"/>
              </w:rPr>
            </w:pPr>
            <w:r w:rsidRPr="00BC17EC">
              <w:rPr>
                <w:rFonts w:ascii="Times New Roman" w:hAnsi="Times New Roman" w:cs="Times New Roman"/>
                <w:i/>
                <w:sz w:val="24"/>
              </w:rPr>
              <w:t>Simplified approach</w:t>
            </w:r>
          </w:p>
          <w:p w14:paraId="2440C3C4" w14:textId="5E07A346" w:rsidR="00D7238F" w:rsidRPr="00BC17EC" w:rsidRDefault="009E4C77" w:rsidP="00D642EB">
            <w:pPr>
              <w:spacing w:before="120" w:after="120"/>
              <w:jc w:val="both"/>
              <w:rPr>
                <w:rFonts w:ascii="Times New Roman" w:hAnsi="Times New Roman" w:cs="Times New Roman"/>
                <w:b/>
                <w:sz w:val="24"/>
                <w:lang w:eastAsia="ja-JP"/>
              </w:rPr>
            </w:pPr>
            <w:r w:rsidRPr="00BC17EC">
              <w:rPr>
                <w:rFonts w:ascii="Times New Roman" w:hAnsi="Times New Roman" w:cs="Times New Roman"/>
                <w:sz w:val="24"/>
              </w:rPr>
              <w:t>O</w:t>
            </w:r>
            <w:r w:rsidR="00997407" w:rsidRPr="00BC17EC">
              <w:rPr>
                <w:rFonts w:ascii="Times New Roman" w:hAnsi="Times New Roman" w:cs="Times New Roman"/>
                <w:sz w:val="24"/>
              </w:rPr>
              <w:t xml:space="preserve">ptions or warrants </w:t>
            </w:r>
            <w:r w:rsidR="00997407" w:rsidRPr="00BC17EC">
              <w:rPr>
                <w:rFonts w:ascii="Times New Roman" w:hAnsi="Times New Roman" w:cs="Times New Roman"/>
                <w:sz w:val="24"/>
                <w:lang w:val="en-GB" w:eastAsia="ja-JP"/>
              </w:rPr>
              <w:t>as defined in</w:t>
            </w:r>
            <w:r w:rsidRPr="00BC17EC">
              <w:rPr>
                <w:rFonts w:ascii="Times New Roman" w:hAnsi="Times New Roman" w:cs="Times New Roman"/>
                <w:sz w:val="24"/>
                <w:lang w:val="en-GB" w:eastAsia="ja-JP"/>
              </w:rPr>
              <w:t xml:space="preserve"> Article 329 (3) of </w:t>
            </w:r>
            <w:r w:rsidR="00BC17EC">
              <w:rPr>
                <w:rFonts w:ascii="Times New Roman" w:hAnsi="Times New Roman" w:cs="Times New Roman"/>
                <w:sz w:val="24"/>
                <w:lang w:val="en-GB" w:eastAsia="ja-JP"/>
              </w:rPr>
              <w:t>C</w:t>
            </w:r>
            <w:r w:rsidRPr="00BC17EC">
              <w:rPr>
                <w:rFonts w:ascii="Times New Roman" w:hAnsi="Times New Roman" w:cs="Times New Roman"/>
                <w:sz w:val="24"/>
                <w:lang w:val="en-GB" w:eastAsia="ja-JP"/>
              </w:rPr>
              <w:t>hapter 2</w:t>
            </w:r>
            <w:r w:rsidR="00BC17EC">
              <w:rPr>
                <w:rFonts w:ascii="Times New Roman" w:hAnsi="Times New Roman" w:cs="Times New Roman"/>
                <w:sz w:val="24"/>
                <w:lang w:val="en-GB" w:eastAsia="ja-JP"/>
              </w:rPr>
              <w:t xml:space="preserve"> of</w:t>
            </w:r>
            <w:r w:rsidR="00262F11">
              <w:rPr>
                <w:rFonts w:ascii="Times New Roman" w:hAnsi="Times New Roman" w:cs="Times New Roman"/>
                <w:sz w:val="24"/>
                <w:lang w:val="en-GB" w:eastAsia="ja-JP"/>
              </w:rPr>
              <w:t xml:space="preserve"> </w:t>
            </w:r>
            <w:r w:rsidRPr="00BC17EC">
              <w:rPr>
                <w:rFonts w:ascii="Times New Roman" w:hAnsi="Times New Roman" w:cs="Times New Roman"/>
                <w:sz w:val="24"/>
                <w:lang w:val="en-GB" w:eastAsia="ja-JP"/>
              </w:rPr>
              <w:t>Title IV</w:t>
            </w:r>
            <w:r w:rsidR="00BC17EC">
              <w:rPr>
                <w:rFonts w:ascii="Times New Roman" w:hAnsi="Times New Roman" w:cs="Times New Roman"/>
                <w:sz w:val="24"/>
                <w:lang w:val="en-GB" w:eastAsia="ja-JP"/>
              </w:rPr>
              <w:t xml:space="preserve"> of</w:t>
            </w:r>
            <w:r w:rsidR="00E00837" w:rsidRPr="00BC17EC">
              <w:rPr>
                <w:rFonts w:ascii="Times New Roman" w:hAnsi="Times New Roman" w:cs="Times New Roman"/>
                <w:sz w:val="24"/>
                <w:lang w:val="en-GB" w:eastAsia="ja-JP"/>
              </w:rPr>
              <w:t xml:space="preserve"> </w:t>
            </w:r>
            <w:r w:rsidR="00BC17EC">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BC17EC">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eastAsia="Times New Roman" w:hAnsi="Times New Roman" w:cs="Times New Roman"/>
                <w:sz w:val="24"/>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 xml:space="preserve"> for which Institutions calculate the own funds requirements related to the </w:t>
            </w:r>
            <w:r w:rsidRPr="00BC17EC">
              <w:rPr>
                <w:rFonts w:ascii="Times New Roman" w:hAnsi="Times New Roman" w:cs="Times New Roman"/>
                <w:sz w:val="24"/>
              </w:rPr>
              <w:t xml:space="preserve">non-delta risk </w:t>
            </w:r>
            <w:r w:rsidRPr="00BC17EC">
              <w:rPr>
                <w:rFonts w:ascii="Times New Roman" w:eastAsia="Times New Roman" w:hAnsi="Times New Roman" w:cs="Times New Roman"/>
                <w:sz w:val="24"/>
              </w:rPr>
              <w:t>using the simplified approach</w:t>
            </w:r>
            <w:r w:rsidR="00D642EB">
              <w:rPr>
                <w:rStyle w:val="FootnoteReference"/>
                <w:rFonts w:eastAsia="Times New Roman" w:cs="Times New Roman"/>
              </w:rPr>
              <w:footnoteReference w:id="3"/>
            </w:r>
            <w:r w:rsidRPr="00BC17EC">
              <w:rPr>
                <w:rFonts w:ascii="Times New Roman" w:eastAsia="Times New Roman" w:hAnsi="Times New Roman" w:cs="Times New Roman"/>
                <w:sz w:val="24"/>
              </w:rPr>
              <w:t>.</w:t>
            </w:r>
          </w:p>
        </w:tc>
      </w:tr>
      <w:tr w:rsidR="00D7238F" w:rsidRPr="00BC17EC" w14:paraId="21BC587A" w14:textId="77777777" w:rsidTr="006057D0">
        <w:tc>
          <w:tcPr>
            <w:tcW w:w="1172" w:type="dxa"/>
            <w:tcBorders>
              <w:top w:val="single" w:sz="4" w:space="0" w:color="auto"/>
              <w:left w:val="single" w:sz="4" w:space="0" w:color="auto"/>
              <w:bottom w:val="single" w:sz="4" w:space="0" w:color="auto"/>
              <w:right w:val="single" w:sz="4" w:space="0" w:color="auto"/>
            </w:tcBorders>
          </w:tcPr>
          <w:p w14:paraId="75E6F4CF" w14:textId="2E908594" w:rsidR="00D7238F" w:rsidRPr="00BC17EC" w:rsidRDefault="00D7238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{6}</w:t>
            </w:r>
          </w:p>
        </w:tc>
        <w:tc>
          <w:tcPr>
            <w:tcW w:w="7242" w:type="dxa"/>
            <w:tcBorders>
              <w:top w:val="single" w:sz="4" w:space="0" w:color="auto"/>
              <w:left w:val="single" w:sz="4" w:space="0" w:color="auto"/>
              <w:bottom w:val="single" w:sz="4" w:space="0" w:color="auto"/>
              <w:right w:val="single" w:sz="4" w:space="0" w:color="auto"/>
            </w:tcBorders>
          </w:tcPr>
          <w:p w14:paraId="1EA661D5" w14:textId="7003E658" w:rsidR="009E4C77" w:rsidRPr="00BC17EC" w:rsidRDefault="009E4C77" w:rsidP="009E4C77">
            <w:pPr>
              <w:spacing w:before="120" w:after="120"/>
              <w:jc w:val="both"/>
              <w:rPr>
                <w:rFonts w:ascii="Times New Roman" w:hAnsi="Times New Roman" w:cs="Times New Roman"/>
                <w:i/>
                <w:sz w:val="24"/>
              </w:rPr>
            </w:pPr>
            <w:r w:rsidRPr="00BC17EC">
              <w:rPr>
                <w:rFonts w:ascii="Times New Roman" w:hAnsi="Times New Roman" w:cs="Times New Roman"/>
                <w:i/>
                <w:sz w:val="24"/>
              </w:rPr>
              <w:t>Delta plus approach</w:t>
            </w:r>
          </w:p>
          <w:p w14:paraId="384A9ED6" w14:textId="4017E6AE" w:rsidR="00D7238F" w:rsidRPr="00BC17EC" w:rsidRDefault="009E4C77" w:rsidP="00D642EB">
            <w:pPr>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Options or warrants </w:t>
            </w:r>
            <w:r w:rsidRPr="00BC17EC">
              <w:rPr>
                <w:rFonts w:ascii="Times New Roman" w:hAnsi="Times New Roman" w:cs="Times New Roman"/>
                <w:sz w:val="24"/>
                <w:lang w:val="en-GB" w:eastAsia="ja-JP"/>
              </w:rPr>
              <w:t xml:space="preserve">in the trading book as defined in Article 329 (3) of </w:t>
            </w:r>
            <w:r w:rsidR="00D642EB">
              <w:rPr>
                <w:rFonts w:ascii="Times New Roman" w:hAnsi="Times New Roman" w:cs="Times New Roman"/>
                <w:sz w:val="24"/>
                <w:lang w:val="en-GB" w:eastAsia="ja-JP"/>
              </w:rPr>
              <w:t>C</w:t>
            </w:r>
            <w:r w:rsidRPr="00BC17EC">
              <w:rPr>
                <w:rFonts w:ascii="Times New Roman" w:hAnsi="Times New Roman" w:cs="Times New Roman"/>
                <w:sz w:val="24"/>
                <w:lang w:val="en-GB" w:eastAsia="ja-JP"/>
              </w:rPr>
              <w:t>hapter 2</w:t>
            </w:r>
            <w:r w:rsidR="00D642EB">
              <w:rPr>
                <w:rFonts w:ascii="Times New Roman" w:hAnsi="Times New Roman" w:cs="Times New Roman"/>
                <w:sz w:val="24"/>
                <w:lang w:val="en-GB" w:eastAsia="ja-JP"/>
              </w:rPr>
              <w:t xml:space="preserve"> of</w:t>
            </w:r>
            <w:r w:rsidRPr="00BC17EC">
              <w:rPr>
                <w:rFonts w:ascii="Times New Roman" w:hAnsi="Times New Roman" w:cs="Times New Roman"/>
                <w:sz w:val="24"/>
                <w:lang w:val="en-GB" w:eastAsia="ja-JP"/>
              </w:rPr>
              <w:t xml:space="preserve"> Title IV</w:t>
            </w:r>
            <w:r w:rsidR="00D642EB">
              <w:rPr>
                <w:rFonts w:ascii="Times New Roman" w:hAnsi="Times New Roman" w:cs="Times New Roman"/>
                <w:sz w:val="24"/>
                <w:lang w:val="en-GB" w:eastAsia="ja-JP"/>
              </w:rPr>
              <w:t xml:space="preserve"> of</w:t>
            </w:r>
            <w:r w:rsidR="00E00837" w:rsidRPr="00BC17EC">
              <w:rPr>
                <w:rFonts w:ascii="Times New Roman" w:hAnsi="Times New Roman" w:cs="Times New Roman"/>
                <w:sz w:val="24"/>
                <w:lang w:val="en-GB" w:eastAsia="ja-JP"/>
              </w:rPr>
              <w:t xml:space="preserve"> </w:t>
            </w:r>
            <w:r w:rsidR="00D642EB">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D642EB">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eastAsia="Times New Roman" w:hAnsi="Times New Roman" w:cs="Times New Roman"/>
                <w:sz w:val="24"/>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 xml:space="preserve"> for which Institutions calculate the own funds requirements related to the </w:t>
            </w:r>
            <w:r w:rsidRPr="00BC17EC">
              <w:rPr>
                <w:rFonts w:ascii="Times New Roman" w:hAnsi="Times New Roman" w:cs="Times New Roman"/>
                <w:sz w:val="24"/>
              </w:rPr>
              <w:t xml:space="preserve">non-delta risk </w:t>
            </w:r>
            <w:r w:rsidRPr="00BC17EC">
              <w:rPr>
                <w:rFonts w:ascii="Times New Roman" w:eastAsia="Times New Roman" w:hAnsi="Times New Roman" w:cs="Times New Roman"/>
                <w:sz w:val="24"/>
              </w:rPr>
              <w:t>using the delta plus approach</w:t>
            </w:r>
            <w:r w:rsidR="00D642EB">
              <w:rPr>
                <w:rStyle w:val="FootnoteReference"/>
                <w:rFonts w:eastAsia="Times New Roman" w:cs="Times New Roman"/>
              </w:rPr>
              <w:footnoteReference w:id="4"/>
            </w:r>
            <w:r w:rsidRPr="00BC17EC">
              <w:rPr>
                <w:rFonts w:ascii="Times New Roman" w:eastAsia="Times New Roman" w:hAnsi="Times New Roman" w:cs="Times New Roman"/>
                <w:sz w:val="24"/>
              </w:rPr>
              <w:t>.</w:t>
            </w:r>
          </w:p>
        </w:tc>
      </w:tr>
      <w:tr w:rsidR="00D7238F" w:rsidRPr="00BC17EC" w14:paraId="31A2F357" w14:textId="77777777" w:rsidTr="006057D0">
        <w:tc>
          <w:tcPr>
            <w:tcW w:w="1172" w:type="dxa"/>
            <w:tcBorders>
              <w:top w:val="single" w:sz="4" w:space="0" w:color="auto"/>
              <w:left w:val="single" w:sz="4" w:space="0" w:color="auto"/>
              <w:bottom w:val="single" w:sz="4" w:space="0" w:color="auto"/>
              <w:right w:val="single" w:sz="4" w:space="0" w:color="auto"/>
            </w:tcBorders>
          </w:tcPr>
          <w:p w14:paraId="07D30E2B" w14:textId="6D5E0449" w:rsidR="00D7238F" w:rsidRPr="00BC17EC" w:rsidRDefault="00D7238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{7}</w:t>
            </w:r>
          </w:p>
        </w:tc>
        <w:tc>
          <w:tcPr>
            <w:tcW w:w="7242" w:type="dxa"/>
            <w:tcBorders>
              <w:top w:val="single" w:sz="4" w:space="0" w:color="auto"/>
              <w:left w:val="single" w:sz="4" w:space="0" w:color="auto"/>
              <w:bottom w:val="single" w:sz="4" w:space="0" w:color="auto"/>
              <w:right w:val="single" w:sz="4" w:space="0" w:color="auto"/>
            </w:tcBorders>
          </w:tcPr>
          <w:p w14:paraId="60A8A020" w14:textId="0E5284EF" w:rsidR="009E4C77" w:rsidRPr="00BC17EC" w:rsidRDefault="009E4C77" w:rsidP="009E4C77">
            <w:pPr>
              <w:spacing w:before="120" w:after="120"/>
              <w:jc w:val="both"/>
              <w:rPr>
                <w:rFonts w:ascii="Times New Roman" w:hAnsi="Times New Roman" w:cs="Times New Roman"/>
                <w:i/>
                <w:sz w:val="24"/>
              </w:rPr>
            </w:pPr>
            <w:r w:rsidRPr="00BC17EC">
              <w:rPr>
                <w:rFonts w:ascii="Times New Roman" w:hAnsi="Times New Roman" w:cs="Times New Roman"/>
                <w:i/>
                <w:sz w:val="24"/>
              </w:rPr>
              <w:t>Scenario approach</w:t>
            </w:r>
          </w:p>
          <w:p w14:paraId="46D3424A" w14:textId="660FAE30" w:rsidR="00D7238F" w:rsidRPr="00BC17EC" w:rsidRDefault="009E4C77" w:rsidP="009E4C77">
            <w:pPr>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Options or warrants </w:t>
            </w:r>
            <w:r w:rsidRPr="00BC17EC">
              <w:rPr>
                <w:rFonts w:ascii="Times New Roman" w:hAnsi="Times New Roman" w:cs="Times New Roman"/>
                <w:sz w:val="24"/>
                <w:lang w:val="en-GB" w:eastAsia="ja-JP"/>
              </w:rPr>
              <w:t xml:space="preserve">in the trading book as defined in Article 329 (3) of </w:t>
            </w:r>
            <w:r w:rsidR="00D642EB">
              <w:rPr>
                <w:rFonts w:ascii="Times New Roman" w:hAnsi="Times New Roman" w:cs="Times New Roman"/>
                <w:sz w:val="24"/>
                <w:lang w:val="en-GB" w:eastAsia="ja-JP"/>
              </w:rPr>
              <w:t>C</w:t>
            </w:r>
            <w:r w:rsidRPr="00BC17EC">
              <w:rPr>
                <w:rFonts w:ascii="Times New Roman" w:hAnsi="Times New Roman" w:cs="Times New Roman"/>
                <w:sz w:val="24"/>
                <w:lang w:val="en-GB" w:eastAsia="ja-JP"/>
              </w:rPr>
              <w:t>hapter 2</w:t>
            </w:r>
            <w:r w:rsidR="00D642EB">
              <w:rPr>
                <w:rFonts w:ascii="Times New Roman" w:hAnsi="Times New Roman" w:cs="Times New Roman"/>
                <w:sz w:val="24"/>
                <w:lang w:val="en-GB" w:eastAsia="ja-JP"/>
              </w:rPr>
              <w:t xml:space="preserve"> of</w:t>
            </w:r>
            <w:r w:rsidR="00262F11">
              <w:rPr>
                <w:rFonts w:ascii="Times New Roman" w:hAnsi="Times New Roman" w:cs="Times New Roman"/>
                <w:sz w:val="24"/>
                <w:lang w:val="en-GB" w:eastAsia="ja-JP"/>
              </w:rPr>
              <w:t xml:space="preserve"> </w:t>
            </w:r>
            <w:r w:rsidRPr="00BC17EC">
              <w:rPr>
                <w:rFonts w:ascii="Times New Roman" w:hAnsi="Times New Roman" w:cs="Times New Roman"/>
                <w:sz w:val="24"/>
                <w:lang w:val="en-GB" w:eastAsia="ja-JP"/>
              </w:rPr>
              <w:t>Title IV</w:t>
            </w:r>
            <w:r w:rsidR="00D642EB">
              <w:rPr>
                <w:rFonts w:ascii="Times New Roman" w:hAnsi="Times New Roman" w:cs="Times New Roman"/>
                <w:sz w:val="24"/>
                <w:lang w:val="en-GB" w:eastAsia="ja-JP"/>
              </w:rPr>
              <w:t xml:space="preserve"> of</w:t>
            </w:r>
            <w:r w:rsidR="00E00837" w:rsidRPr="00BC17EC">
              <w:rPr>
                <w:rFonts w:ascii="Times New Roman" w:hAnsi="Times New Roman" w:cs="Times New Roman"/>
                <w:sz w:val="24"/>
                <w:lang w:val="en-GB" w:eastAsia="ja-JP"/>
              </w:rPr>
              <w:t xml:space="preserve"> </w:t>
            </w:r>
            <w:r w:rsidR="00D642EB">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D642EB">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eastAsia="Times New Roman" w:hAnsi="Times New Roman" w:cs="Times New Roman"/>
                <w:sz w:val="24"/>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 xml:space="preserve"> for which Institutions calculate the own funds requirements related to the </w:t>
            </w:r>
            <w:r w:rsidRPr="00BC17EC">
              <w:rPr>
                <w:rFonts w:ascii="Times New Roman" w:hAnsi="Times New Roman" w:cs="Times New Roman"/>
                <w:sz w:val="24"/>
              </w:rPr>
              <w:t xml:space="preserve">non-delta risk </w:t>
            </w:r>
            <w:r w:rsidRPr="00BC17EC">
              <w:rPr>
                <w:rFonts w:ascii="Times New Roman" w:eastAsia="Times New Roman" w:hAnsi="Times New Roman" w:cs="Times New Roman"/>
                <w:sz w:val="24"/>
              </w:rPr>
              <w:t>using the scenario approach</w:t>
            </w:r>
            <w:r w:rsidR="00D642EB">
              <w:rPr>
                <w:rStyle w:val="FootnoteReference"/>
                <w:rFonts w:eastAsia="Times New Roman" w:cs="Times New Roman"/>
              </w:rPr>
              <w:footnoteReference w:id="5"/>
            </w:r>
            <w:r w:rsidRPr="00BC17EC">
              <w:rPr>
                <w:rFonts w:ascii="Times New Roman" w:eastAsia="Times New Roman" w:hAnsi="Times New Roman" w:cs="Times New Roman"/>
                <w:sz w:val="24"/>
              </w:rPr>
              <w:t>.</w:t>
            </w:r>
          </w:p>
        </w:tc>
      </w:tr>
      <w:tr w:rsidR="00D7238F" w:rsidRPr="00BC17EC" w14:paraId="445CB510" w14:textId="77777777" w:rsidTr="006057D0">
        <w:tc>
          <w:tcPr>
            <w:tcW w:w="1172" w:type="dxa"/>
            <w:tcBorders>
              <w:top w:val="single" w:sz="4" w:space="0" w:color="auto"/>
              <w:left w:val="single" w:sz="4" w:space="0" w:color="auto"/>
              <w:bottom w:val="single" w:sz="4" w:space="0" w:color="auto"/>
              <w:right w:val="single" w:sz="4" w:space="0" w:color="auto"/>
            </w:tcBorders>
          </w:tcPr>
          <w:p w14:paraId="16C6F36A" w14:textId="6DEC02E2" w:rsidR="00D7238F" w:rsidRPr="00BC17EC" w:rsidRDefault="009E4C77" w:rsidP="00D7238F">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{8}</w:t>
            </w:r>
          </w:p>
        </w:tc>
        <w:tc>
          <w:tcPr>
            <w:tcW w:w="7242" w:type="dxa"/>
            <w:tcBorders>
              <w:top w:val="single" w:sz="4" w:space="0" w:color="auto"/>
              <w:left w:val="single" w:sz="4" w:space="0" w:color="auto"/>
              <w:bottom w:val="single" w:sz="4" w:space="0" w:color="auto"/>
              <w:right w:val="single" w:sz="4" w:space="0" w:color="auto"/>
            </w:tcBorders>
          </w:tcPr>
          <w:p w14:paraId="44A5DB4A" w14:textId="77777777" w:rsidR="00D7238F" w:rsidRPr="00BC17EC" w:rsidRDefault="00CE58A4" w:rsidP="006057D0">
            <w:pPr>
              <w:spacing w:before="120" w:after="120"/>
              <w:rPr>
                <w:rFonts w:ascii="Times New Roman" w:hAnsi="Times New Roman" w:cs="Times New Roman"/>
                <w:i/>
                <w:sz w:val="24"/>
                <w:lang w:eastAsia="ja-JP"/>
              </w:rPr>
            </w:pPr>
            <w:proofErr w:type="spellStart"/>
            <w:r w:rsidRPr="00BC17EC">
              <w:rPr>
                <w:rFonts w:ascii="Times New Roman" w:hAnsi="Times New Roman" w:cs="Times New Roman"/>
                <w:i/>
                <w:sz w:val="24"/>
                <w:lang w:eastAsia="ja-JP"/>
              </w:rPr>
              <w:t>Securitisation</w:t>
            </w:r>
            <w:proofErr w:type="spellEnd"/>
            <w:r w:rsidRPr="00BC17EC">
              <w:rPr>
                <w:rFonts w:ascii="Times New Roman" w:hAnsi="Times New Roman" w:cs="Times New Roman"/>
                <w:i/>
                <w:sz w:val="24"/>
                <w:lang w:eastAsia="ja-JP"/>
              </w:rPr>
              <w:t xml:space="preserve"> (specific risk)</w:t>
            </w:r>
          </w:p>
          <w:p w14:paraId="6974E406" w14:textId="5D47F7E7" w:rsidR="00CE58A4" w:rsidRPr="00BC17EC" w:rsidRDefault="00AF3432" w:rsidP="00E00837">
            <w:pPr>
              <w:spacing w:before="120" w:after="120"/>
              <w:rPr>
                <w:rFonts w:ascii="Times New Roman" w:hAnsi="Times New Roman" w:cs="Times New Roman"/>
                <w:sz w:val="24"/>
                <w:lang w:eastAsia="ja-JP"/>
              </w:rPr>
            </w:pPr>
            <w:r w:rsidRPr="00BC17EC">
              <w:rPr>
                <w:rFonts w:ascii="Times New Roman" w:hAnsi="Times New Roman" w:cs="Times New Roman"/>
                <w:sz w:val="24"/>
                <w:lang w:eastAsia="ja-JP"/>
              </w:rPr>
              <w:t>Specific risk of securitization positions in the trading book as defined in Article</w:t>
            </w:r>
            <w:r w:rsidR="00D642EB">
              <w:rPr>
                <w:rFonts w:ascii="Times New Roman" w:hAnsi="Times New Roman" w:cs="Times New Roman"/>
                <w:sz w:val="24"/>
                <w:lang w:eastAsia="ja-JP"/>
              </w:rPr>
              <w:t>s</w:t>
            </w:r>
            <w:r w:rsidRPr="00BC17EC">
              <w:rPr>
                <w:rFonts w:ascii="Times New Roman" w:hAnsi="Times New Roman" w:cs="Times New Roman"/>
                <w:sz w:val="24"/>
                <w:lang w:eastAsia="ja-JP"/>
              </w:rPr>
              <w:t xml:space="preserve"> 337 and 338 of </w:t>
            </w:r>
            <w:r w:rsidR="00D642EB">
              <w:rPr>
                <w:rFonts w:ascii="Times New Roman" w:hAnsi="Times New Roman" w:cs="Times New Roman"/>
                <w:sz w:val="24"/>
                <w:lang w:val="en-GB" w:eastAsia="ja-JP"/>
              </w:rPr>
              <w:t>C</w:t>
            </w:r>
            <w:r w:rsidRPr="00BC17EC">
              <w:rPr>
                <w:rFonts w:ascii="Times New Roman" w:hAnsi="Times New Roman" w:cs="Times New Roman"/>
                <w:sz w:val="24"/>
                <w:lang w:val="en-GB" w:eastAsia="ja-JP"/>
              </w:rPr>
              <w:t>hapter 2</w:t>
            </w:r>
            <w:r w:rsidR="00D642EB">
              <w:rPr>
                <w:rFonts w:ascii="Times New Roman" w:hAnsi="Times New Roman" w:cs="Times New Roman"/>
                <w:sz w:val="24"/>
                <w:lang w:val="en-GB" w:eastAsia="ja-JP"/>
              </w:rPr>
              <w:t xml:space="preserve"> of</w:t>
            </w:r>
            <w:r w:rsidRPr="00BC17EC">
              <w:rPr>
                <w:rFonts w:ascii="Times New Roman" w:hAnsi="Times New Roman" w:cs="Times New Roman"/>
                <w:sz w:val="24"/>
                <w:lang w:val="en-GB" w:eastAsia="ja-JP"/>
              </w:rPr>
              <w:t xml:space="preserve"> Title IV</w:t>
            </w:r>
            <w:r w:rsidRPr="00BC17EC">
              <w:rPr>
                <w:rFonts w:ascii="Times New Roman" w:eastAsia="Times New Roman" w:hAnsi="Times New Roman" w:cs="Times New Roman"/>
                <w:sz w:val="24"/>
              </w:rPr>
              <w:t xml:space="preserve"> </w:t>
            </w:r>
            <w:r w:rsidR="00D642EB">
              <w:rPr>
                <w:rFonts w:ascii="Times New Roman" w:hAnsi="Times New Roman" w:cs="Times New Roman"/>
                <w:sz w:val="24"/>
                <w:lang w:val="en-GB" w:eastAsia="ja-JP"/>
              </w:rPr>
              <w:t>of P</w:t>
            </w:r>
            <w:r w:rsidR="00E00837" w:rsidRPr="00BC17EC">
              <w:rPr>
                <w:rFonts w:ascii="Times New Roman" w:hAnsi="Times New Roman" w:cs="Times New Roman"/>
                <w:sz w:val="24"/>
                <w:lang w:val="en-GB" w:eastAsia="ja-JP"/>
              </w:rPr>
              <w:t xml:space="preserve">art </w:t>
            </w:r>
            <w:r w:rsidR="00D642EB">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00E00837" w:rsidRPr="00BC17EC">
              <w:rPr>
                <w:rFonts w:ascii="Times New Roman" w:eastAsia="Times New Roman" w:hAnsi="Times New Roman" w:cs="Times New Roman"/>
                <w:sz w:val="24"/>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w:t>
            </w:r>
          </w:p>
        </w:tc>
      </w:tr>
      <w:tr w:rsidR="00307FA9" w:rsidRPr="00BC17EC" w14:paraId="3868F0A8" w14:textId="77777777" w:rsidTr="006057D0">
        <w:tc>
          <w:tcPr>
            <w:tcW w:w="1172" w:type="dxa"/>
            <w:tcBorders>
              <w:top w:val="single" w:sz="4" w:space="0" w:color="auto"/>
              <w:left w:val="single" w:sz="4" w:space="0" w:color="auto"/>
              <w:bottom w:val="single" w:sz="4" w:space="0" w:color="auto"/>
              <w:right w:val="single" w:sz="4" w:space="0" w:color="auto"/>
            </w:tcBorders>
          </w:tcPr>
          <w:p w14:paraId="2FB6748D" w14:textId="4A51198C" w:rsidR="00307FA9" w:rsidRPr="00BC17EC" w:rsidRDefault="00307FA9"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{9}</w:t>
            </w:r>
          </w:p>
        </w:tc>
        <w:tc>
          <w:tcPr>
            <w:tcW w:w="7242" w:type="dxa"/>
            <w:tcBorders>
              <w:top w:val="single" w:sz="4" w:space="0" w:color="auto"/>
              <w:left w:val="single" w:sz="4" w:space="0" w:color="auto"/>
              <w:bottom w:val="single" w:sz="4" w:space="0" w:color="auto"/>
              <w:right w:val="single" w:sz="4" w:space="0" w:color="auto"/>
            </w:tcBorders>
          </w:tcPr>
          <w:p w14:paraId="60AF9072" w14:textId="77777777" w:rsidR="00307FA9" w:rsidRPr="00BC17EC" w:rsidRDefault="008A5212" w:rsidP="006057D0">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Total</w:t>
            </w:r>
          </w:p>
          <w:p w14:paraId="05A224C3" w14:textId="54511499" w:rsidR="00B55C07" w:rsidRPr="00BC17EC" w:rsidRDefault="00B55C07" w:rsidP="006057D0">
            <w:pPr>
              <w:spacing w:before="120" w:after="120"/>
              <w:rPr>
                <w:rFonts w:ascii="Times New Roman" w:hAnsi="Times New Roman" w:cs="Times New Roman"/>
                <w:sz w:val="24"/>
                <w:lang w:eastAsia="ja-JP"/>
              </w:rPr>
            </w:pPr>
            <w:r w:rsidRPr="00BC17EC">
              <w:rPr>
                <w:rFonts w:ascii="Times New Roman" w:hAnsi="Times New Roman" w:cs="Times New Roman"/>
                <w:sz w:val="24"/>
                <w:lang w:eastAsia="ja-JP"/>
              </w:rPr>
              <w:t>Sum of rows 1 to 8</w:t>
            </w:r>
          </w:p>
        </w:tc>
      </w:tr>
      <w:tr w:rsidR="00AD7F13" w:rsidRPr="00BC17EC" w14:paraId="6CD3E477" w14:textId="77777777" w:rsidTr="006057D0">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44D3EA" w14:textId="6084AB1F" w:rsidR="006057D0" w:rsidRPr="00BC17EC" w:rsidRDefault="00AD7F13" w:rsidP="006057D0">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 xml:space="preserve">Column </w:t>
            </w:r>
            <w:r w:rsidR="006057D0" w:rsidRPr="00BC17EC">
              <w:rPr>
                <w:rFonts w:ascii="Times New Roman" w:hAnsi="Times New Roman" w:cs="Times New Roman"/>
                <w:b/>
                <w:sz w:val="24"/>
                <w:lang w:eastAsia="ja-JP"/>
              </w:rPr>
              <w:t>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82A3D4" w14:textId="77777777" w:rsidR="00AD7F13" w:rsidRPr="00BC17EC" w:rsidRDefault="00AD7F13" w:rsidP="006057D0">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AD7F13" w:rsidRPr="00BC17EC" w14:paraId="7E3D2C83" w14:textId="77777777" w:rsidTr="006057D0">
        <w:tc>
          <w:tcPr>
            <w:tcW w:w="1172" w:type="dxa"/>
            <w:tcBorders>
              <w:top w:val="single" w:sz="4" w:space="0" w:color="auto"/>
              <w:left w:val="single" w:sz="4" w:space="0" w:color="auto"/>
              <w:bottom w:val="single" w:sz="4" w:space="0" w:color="auto"/>
              <w:right w:val="single" w:sz="4" w:space="0" w:color="auto"/>
            </w:tcBorders>
          </w:tcPr>
          <w:p w14:paraId="337F6088" w14:textId="5920B572" w:rsidR="00AD7F13" w:rsidRPr="00BC17EC" w:rsidRDefault="00B82046"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7310E045" w14:textId="690CBBD0" w:rsidR="00AD7F13" w:rsidRPr="00BC17EC" w:rsidRDefault="002A1440" w:rsidP="006057D0">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RW</w:t>
            </w:r>
            <w:r w:rsidR="005C202F" w:rsidRPr="00BC17EC">
              <w:rPr>
                <w:rFonts w:ascii="Times New Roman" w:hAnsi="Times New Roman" w:cs="Times New Roman"/>
                <w:i/>
                <w:sz w:val="24"/>
                <w:lang w:eastAsia="ja-JP"/>
              </w:rPr>
              <w:t>E</w:t>
            </w:r>
            <w:r w:rsidRPr="00BC17EC">
              <w:rPr>
                <w:rFonts w:ascii="Times New Roman" w:hAnsi="Times New Roman" w:cs="Times New Roman"/>
                <w:i/>
                <w:sz w:val="24"/>
                <w:lang w:eastAsia="ja-JP"/>
              </w:rPr>
              <w:t>As</w:t>
            </w:r>
          </w:p>
          <w:p w14:paraId="38A71E2B" w14:textId="1BBB0B66" w:rsidR="002A1440" w:rsidRPr="00BC17EC" w:rsidRDefault="00DF6A73" w:rsidP="00A41ECC">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Disclosure of risk weighted exposures referred to in </w:t>
            </w:r>
            <w:r w:rsidR="00CA3BC1">
              <w:rPr>
                <w:rFonts w:ascii="Times New Roman" w:hAnsi="Times New Roman" w:cs="Times New Roman"/>
                <w:sz w:val="24"/>
                <w:lang w:eastAsia="ja-JP"/>
              </w:rPr>
              <w:t xml:space="preserve">point (d) of </w:t>
            </w:r>
            <w:r w:rsidRPr="00BC17EC">
              <w:rPr>
                <w:rFonts w:ascii="Times New Roman" w:hAnsi="Times New Roman" w:cs="Times New Roman"/>
                <w:sz w:val="24"/>
                <w:lang w:eastAsia="ja-JP"/>
              </w:rPr>
              <w:t xml:space="preserve">Article 438  </w:t>
            </w:r>
            <w:r w:rsidR="00012BC3" w:rsidRPr="00BC17EC">
              <w:rPr>
                <w:rFonts w:ascii="Times New Roman" w:hAnsi="Times New Roman" w:cs="Times New Roman"/>
                <w:sz w:val="24"/>
                <w:lang w:eastAsia="ja-JP"/>
              </w:rPr>
              <w:t>CRR</w:t>
            </w:r>
            <w:r w:rsidRPr="00BC17EC">
              <w:rPr>
                <w:rFonts w:ascii="Times New Roman" w:hAnsi="Times New Roman" w:cs="Times New Roman"/>
                <w:sz w:val="24"/>
                <w:lang w:eastAsia="ja-JP"/>
              </w:rPr>
              <w:t xml:space="preserve">, computed as  the value in column b  multiplied by 12.5 in accordance with </w:t>
            </w:r>
            <w:r w:rsidR="006A300B">
              <w:rPr>
                <w:rFonts w:ascii="Times New Roman" w:hAnsi="Times New Roman" w:cs="Times New Roman"/>
                <w:sz w:val="24"/>
                <w:lang w:eastAsia="ja-JP"/>
              </w:rPr>
              <w:t xml:space="preserve">point (b) of </w:t>
            </w:r>
            <w:r w:rsidR="007D2579">
              <w:rPr>
                <w:rFonts w:ascii="Times New Roman" w:hAnsi="Times New Roman" w:cs="Times New Roman"/>
                <w:sz w:val="24"/>
                <w:lang w:eastAsia="ja-JP"/>
              </w:rPr>
              <w:t>A</w:t>
            </w:r>
            <w:r w:rsidRPr="00BC17EC">
              <w:rPr>
                <w:rFonts w:ascii="Times New Roman" w:hAnsi="Times New Roman" w:cs="Times New Roman"/>
                <w:sz w:val="24"/>
                <w:lang w:eastAsia="ja-JP"/>
              </w:rPr>
              <w:t xml:space="preserve">rticle 92 (4)  </w:t>
            </w:r>
            <w:r w:rsidR="007D2579">
              <w:rPr>
                <w:rFonts w:ascii="Times New Roman" w:hAnsi="Times New Roman" w:cs="Times New Roman"/>
                <w:sz w:val="24"/>
                <w:lang w:eastAsia="ja-JP"/>
              </w:rPr>
              <w:t>CRR</w:t>
            </w:r>
            <w:r w:rsidRPr="00BC17EC">
              <w:rPr>
                <w:rFonts w:ascii="Times New Roman" w:hAnsi="Times New Roman" w:cs="Times New Roman"/>
                <w:sz w:val="24"/>
                <w:lang w:eastAsia="ja-JP"/>
              </w:rPr>
              <w:t xml:space="preserve">.  </w:t>
            </w:r>
          </w:p>
        </w:tc>
      </w:tr>
    </w:tbl>
    <w:p w14:paraId="3CFCE511" w14:textId="77777777" w:rsidR="00012BC3" w:rsidRPr="00BC17EC" w:rsidRDefault="00012BC3" w:rsidP="00AF698B">
      <w:pPr>
        <w:pStyle w:val="Titlelevel2"/>
        <w:rPr>
          <w:rFonts w:ascii="Times New Roman" w:hAnsi="Times New Roman" w:cs="Times New Roman"/>
          <w:b/>
          <w:color w:val="auto"/>
          <w:sz w:val="24"/>
        </w:rPr>
      </w:pPr>
    </w:p>
    <w:p w14:paraId="271C5649" w14:textId="77777777" w:rsidR="000006AD" w:rsidRDefault="000006AD" w:rsidP="00997407">
      <w:pPr>
        <w:spacing w:before="120" w:after="120"/>
        <w:rPr>
          <w:rFonts w:ascii="Times New Roman" w:hAnsi="Times New Roman" w:cs="Times New Roman"/>
          <w:b/>
          <w:sz w:val="24"/>
        </w:rPr>
      </w:pPr>
    </w:p>
    <w:p w14:paraId="4450706A" w14:textId="77777777" w:rsidR="000006AD" w:rsidRDefault="000006AD" w:rsidP="00997407">
      <w:pPr>
        <w:spacing w:before="120" w:after="120"/>
        <w:rPr>
          <w:rFonts w:ascii="Times New Roman" w:hAnsi="Times New Roman" w:cs="Times New Roman"/>
          <w:b/>
          <w:sz w:val="24"/>
        </w:rPr>
      </w:pPr>
    </w:p>
    <w:p w14:paraId="2347AC81" w14:textId="052700A5" w:rsidR="00541794" w:rsidRPr="00BC17EC" w:rsidRDefault="00AF698B" w:rsidP="00997407">
      <w:pPr>
        <w:spacing w:before="120" w:after="120"/>
        <w:rPr>
          <w:rFonts w:ascii="Times New Roman" w:hAnsi="Times New Roman" w:cs="Times New Roman"/>
          <w:b/>
          <w:sz w:val="24"/>
        </w:rPr>
      </w:pPr>
      <w:r w:rsidRPr="00BC17EC">
        <w:rPr>
          <w:rFonts w:ascii="Times New Roman" w:hAnsi="Times New Roman" w:cs="Times New Roman"/>
          <w:b/>
          <w:sz w:val="24"/>
        </w:rPr>
        <w:lastRenderedPageBreak/>
        <w:t>T</w:t>
      </w:r>
      <w:r w:rsidR="00541794" w:rsidRPr="00BC17EC">
        <w:rPr>
          <w:rFonts w:ascii="Times New Roman" w:hAnsi="Times New Roman" w:cs="Times New Roman"/>
          <w:b/>
          <w:sz w:val="24"/>
        </w:rPr>
        <w:t>a</w:t>
      </w:r>
      <w:r w:rsidRPr="00BC17EC">
        <w:rPr>
          <w:rFonts w:ascii="Times New Roman" w:hAnsi="Times New Roman" w:cs="Times New Roman"/>
          <w:b/>
          <w:sz w:val="24"/>
        </w:rPr>
        <w:t xml:space="preserve">ble </w:t>
      </w:r>
      <w:r w:rsidR="009F78F1" w:rsidRPr="00BC17EC">
        <w:rPr>
          <w:rFonts w:ascii="Times New Roman" w:hAnsi="Times New Roman" w:cs="Times New Roman"/>
          <w:b/>
          <w:sz w:val="24"/>
        </w:rPr>
        <w:t xml:space="preserve">EU </w:t>
      </w:r>
      <w:r w:rsidRPr="00BC17EC">
        <w:rPr>
          <w:rFonts w:ascii="Times New Roman" w:hAnsi="Times New Roman" w:cs="Times New Roman"/>
          <w:b/>
          <w:sz w:val="24"/>
        </w:rPr>
        <w:t xml:space="preserve">MRB: Qualitative disclosure requirements for institutions using the internal Market </w:t>
      </w:r>
      <w:r w:rsidR="00541794" w:rsidRPr="00BC17EC">
        <w:rPr>
          <w:rFonts w:ascii="Times New Roman" w:hAnsi="Times New Roman" w:cs="Times New Roman"/>
          <w:b/>
          <w:sz w:val="24"/>
        </w:rPr>
        <w:t>Risk Models</w:t>
      </w:r>
      <w:r w:rsidR="00541794" w:rsidRPr="00BC17EC">
        <w:rPr>
          <w:rFonts w:ascii="Times New Roman" w:hAnsi="Times New Roman" w:cs="Times New Roman"/>
          <w:sz w:val="24"/>
        </w:rPr>
        <w:t>: free text format</w:t>
      </w:r>
    </w:p>
    <w:p w14:paraId="523D2E1C" w14:textId="434D1152" w:rsidR="00541794" w:rsidRPr="00BC17EC" w:rsidRDefault="00541794" w:rsidP="007A6198">
      <w:pPr>
        <w:pStyle w:val="Titlelevel2"/>
        <w:numPr>
          <w:ilvl w:val="0"/>
          <w:numId w:val="12"/>
        </w:numPr>
        <w:spacing w:before="120"/>
        <w:jc w:val="both"/>
        <w:rPr>
          <w:rFonts w:ascii="Times New Roman" w:hAnsi="Times New Roman" w:cs="Times New Roman"/>
          <w:b/>
          <w:sz w:val="24"/>
        </w:rPr>
      </w:pPr>
      <w:r w:rsidRPr="00BC17EC">
        <w:rPr>
          <w:rFonts w:ascii="Times New Roman" w:eastAsiaTheme="minorEastAsia" w:hAnsi="Times New Roman" w:cs="Times New Roman"/>
          <w:bCs w:val="0"/>
          <w:noProof/>
          <w:color w:val="000000"/>
          <w:sz w:val="24"/>
          <w:lang w:val="en-GB"/>
        </w:rPr>
        <w:t xml:space="preserve">Institutions shall </w:t>
      </w:r>
      <w:r w:rsidR="009F78F1" w:rsidRPr="00BC17EC">
        <w:rPr>
          <w:rFonts w:ascii="Times New Roman" w:eastAsiaTheme="minorEastAsia" w:hAnsi="Times New Roman" w:cs="Times New Roman"/>
          <w:bCs w:val="0"/>
          <w:noProof/>
          <w:color w:val="000000"/>
          <w:sz w:val="24"/>
          <w:lang w:val="en-GB"/>
        </w:rPr>
        <w:t>apply the instructions provided below in this Annex in</w:t>
      </w:r>
      <w:r w:rsidR="005C41D8" w:rsidRPr="00BC17EC">
        <w:rPr>
          <w:rFonts w:ascii="Times New Roman" w:eastAsiaTheme="minorEastAsia" w:hAnsi="Times New Roman" w:cs="Times New Roman"/>
          <w:bCs w:val="0"/>
          <w:noProof/>
          <w:color w:val="000000"/>
          <w:sz w:val="24"/>
          <w:lang w:val="en-GB"/>
        </w:rPr>
        <w:t xml:space="preserve"> order to complete table EU MRB</w:t>
      </w:r>
      <w:r w:rsidR="009F78F1" w:rsidRPr="00BC17EC">
        <w:rPr>
          <w:rFonts w:ascii="Times New Roman" w:eastAsiaTheme="minorEastAsia" w:hAnsi="Times New Roman" w:cs="Times New Roman"/>
          <w:bCs w:val="0"/>
          <w:noProof/>
          <w:color w:val="000000"/>
          <w:sz w:val="24"/>
          <w:lang w:val="en-GB"/>
        </w:rPr>
        <w:t xml:space="preserve"> as presented in Annex </w:t>
      </w:r>
      <w:r w:rsidR="00560C49">
        <w:rPr>
          <w:rFonts w:ascii="Times New Roman" w:eastAsiaTheme="minorEastAsia" w:hAnsi="Times New Roman" w:cs="Times New Roman"/>
          <w:bCs w:val="0"/>
          <w:noProof/>
          <w:color w:val="000000"/>
          <w:sz w:val="24"/>
          <w:lang w:val="en-GB"/>
        </w:rPr>
        <w:t>XXIX</w:t>
      </w:r>
      <w:r w:rsidR="00B53D53">
        <w:rPr>
          <w:rFonts w:ascii="Times New Roman" w:eastAsiaTheme="minorEastAsia" w:hAnsi="Times New Roman" w:cs="Times New Roman"/>
          <w:bCs w:val="0"/>
          <w:noProof/>
          <w:color w:val="000000"/>
          <w:sz w:val="24"/>
          <w:lang w:val="en-GB"/>
        </w:rPr>
        <w:t xml:space="preserve"> to this Implementin</w:t>
      </w:r>
      <w:r w:rsidR="00C2469C">
        <w:rPr>
          <w:rFonts w:ascii="Times New Roman" w:eastAsiaTheme="minorEastAsia" w:hAnsi="Times New Roman" w:cs="Times New Roman"/>
          <w:bCs w:val="0"/>
          <w:noProof/>
          <w:color w:val="000000"/>
          <w:sz w:val="24"/>
          <w:lang w:val="en-GB"/>
        </w:rPr>
        <w:t>g</w:t>
      </w:r>
      <w:r w:rsidR="00B53D53">
        <w:rPr>
          <w:rFonts w:ascii="Times New Roman" w:eastAsiaTheme="minorEastAsia" w:hAnsi="Times New Roman" w:cs="Times New Roman"/>
          <w:bCs w:val="0"/>
          <w:noProof/>
          <w:color w:val="000000"/>
          <w:sz w:val="24"/>
          <w:lang w:val="en-GB"/>
        </w:rPr>
        <w:t xml:space="preserve"> Regulation</w:t>
      </w:r>
      <w:r w:rsidR="009F78F1" w:rsidRPr="00BC17EC">
        <w:rPr>
          <w:rFonts w:ascii="Times New Roman" w:eastAsiaTheme="minorEastAsia" w:hAnsi="Times New Roman" w:cs="Times New Roman"/>
          <w:bCs w:val="0"/>
          <w:noProof/>
          <w:color w:val="000000"/>
          <w:sz w:val="24"/>
          <w:lang w:val="en-GB"/>
        </w:rPr>
        <w:t xml:space="preserve">, </w:t>
      </w:r>
      <w:r w:rsidRPr="00BC17EC">
        <w:rPr>
          <w:rFonts w:ascii="Times New Roman" w:eastAsiaTheme="minorEastAsia" w:hAnsi="Times New Roman" w:cs="Times New Roman"/>
          <w:bCs w:val="0"/>
          <w:noProof/>
          <w:color w:val="000000"/>
          <w:sz w:val="24"/>
          <w:lang w:val="en-GB"/>
        </w:rPr>
        <w:t xml:space="preserve">in application of </w:t>
      </w:r>
      <w:r w:rsidR="00ED518B">
        <w:rPr>
          <w:rFonts w:ascii="Times New Roman" w:eastAsiaTheme="minorEastAsia" w:hAnsi="Times New Roman" w:cs="Times New Roman"/>
          <w:bCs w:val="0"/>
          <w:noProof/>
          <w:color w:val="000000"/>
          <w:sz w:val="24"/>
          <w:lang w:val="en-GB"/>
        </w:rPr>
        <w:t xml:space="preserve">points (a), (b), (c) and (f) of </w:t>
      </w:r>
      <w:r w:rsidRPr="00BC17EC">
        <w:rPr>
          <w:rFonts w:ascii="Times New Roman" w:eastAsiaTheme="minorEastAsia" w:hAnsi="Times New Roman" w:cs="Times New Roman"/>
          <w:bCs w:val="0"/>
          <w:noProof/>
          <w:color w:val="000000"/>
          <w:sz w:val="24"/>
          <w:lang w:val="en-GB"/>
        </w:rPr>
        <w:t>Article 4</w:t>
      </w:r>
      <w:r w:rsidR="009001D9">
        <w:rPr>
          <w:rFonts w:ascii="Times New Roman" w:eastAsiaTheme="minorEastAsia" w:hAnsi="Times New Roman" w:cs="Times New Roman"/>
          <w:bCs w:val="0"/>
          <w:noProof/>
          <w:color w:val="000000"/>
          <w:sz w:val="24"/>
          <w:lang w:val="en-GB"/>
        </w:rPr>
        <w:t>5</w:t>
      </w:r>
      <w:r w:rsidRPr="00BC17EC">
        <w:rPr>
          <w:rFonts w:ascii="Times New Roman" w:eastAsiaTheme="minorEastAsia" w:hAnsi="Times New Roman" w:cs="Times New Roman"/>
          <w:bCs w:val="0"/>
          <w:noProof/>
          <w:color w:val="000000"/>
          <w:sz w:val="24"/>
          <w:lang w:val="en-GB"/>
        </w:rPr>
        <w:t>5 CRR.</w:t>
      </w:r>
    </w:p>
    <w:p w14:paraId="0A6F9773" w14:textId="77777777" w:rsidR="00541794" w:rsidRPr="00BC17EC" w:rsidRDefault="00541794" w:rsidP="00997407">
      <w:pPr>
        <w:spacing w:before="120" w:after="120"/>
        <w:rPr>
          <w:rFonts w:ascii="Times New Roman" w:hAnsi="Times New Roman" w:cs="Times New Roman"/>
          <w:b/>
          <w:sz w:val="24"/>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BC17EC" w14:paraId="7E32C73E"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4B9227" w14:textId="77777777" w:rsidR="006057D0" w:rsidRPr="00BC17EC" w:rsidRDefault="006057D0" w:rsidP="00997407">
            <w:pPr>
              <w:spacing w:before="120" w:after="120"/>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6057D0" w:rsidRPr="00BC17EC" w14:paraId="6C697620"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296FF"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37B00B"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6057D0" w:rsidRPr="00BC17EC" w14:paraId="1E0DAB8E" w14:textId="77777777" w:rsidTr="000B31B4">
        <w:tc>
          <w:tcPr>
            <w:tcW w:w="1172" w:type="dxa"/>
            <w:tcBorders>
              <w:top w:val="single" w:sz="4" w:space="0" w:color="auto"/>
              <w:left w:val="single" w:sz="4" w:space="0" w:color="auto"/>
              <w:bottom w:val="single" w:sz="4" w:space="0" w:color="auto"/>
              <w:right w:val="single" w:sz="4" w:space="0" w:color="auto"/>
            </w:tcBorders>
          </w:tcPr>
          <w:p w14:paraId="24E5AB8D" w14:textId="42DE2885" w:rsidR="006057D0" w:rsidRPr="00BC17EC" w:rsidRDefault="0052242A"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0338AD05" w14:textId="71B11467" w:rsidR="00A32673" w:rsidRPr="00BC17EC" w:rsidRDefault="0052242A" w:rsidP="00A32673">
            <w:pPr>
              <w:spacing w:before="120" w:after="120"/>
              <w:jc w:val="both"/>
              <w:rPr>
                <w:rFonts w:ascii="Times New Roman" w:eastAsia="Times New Roman" w:hAnsi="Times New Roman" w:cs="Times New Roman"/>
                <w:sz w:val="24"/>
              </w:rPr>
            </w:pPr>
            <w:r w:rsidRPr="00BC17EC">
              <w:rPr>
                <w:rFonts w:ascii="Times New Roman" w:hAnsi="Times New Roman" w:cs="Times New Roman"/>
                <w:sz w:val="24"/>
                <w:lang w:eastAsia="ja-JP"/>
              </w:rPr>
              <w:t xml:space="preserve">When disclosing information </w:t>
            </w:r>
            <w:r w:rsidR="00D71F74" w:rsidRPr="00BC17EC">
              <w:rPr>
                <w:rFonts w:ascii="Times New Roman" w:hAnsi="Times New Roman" w:cs="Times New Roman"/>
                <w:sz w:val="24"/>
                <w:lang w:eastAsia="ja-JP"/>
              </w:rPr>
              <w:t xml:space="preserve">in accordance with </w:t>
            </w:r>
            <w:r w:rsidR="00CA3BC1">
              <w:rPr>
                <w:rFonts w:ascii="Times New Roman" w:hAnsi="Times New Roman" w:cs="Times New Roman"/>
                <w:sz w:val="24"/>
                <w:lang w:eastAsia="ja-JP"/>
              </w:rPr>
              <w:t xml:space="preserve">point (c) of </w:t>
            </w:r>
            <w:r w:rsidR="00D71F74" w:rsidRPr="00BC17EC">
              <w:rPr>
                <w:rFonts w:ascii="Times New Roman" w:hAnsi="Times New Roman" w:cs="Times New Roman"/>
                <w:sz w:val="24"/>
                <w:lang w:eastAsia="ja-JP"/>
              </w:rPr>
              <w:t xml:space="preserve">Article 455  </w:t>
            </w:r>
            <w:r w:rsidR="00012BC3" w:rsidRPr="00BC17EC">
              <w:rPr>
                <w:rFonts w:ascii="Times New Roman" w:eastAsia="Times New Roman" w:hAnsi="Times New Roman" w:cs="Times New Roman"/>
                <w:sz w:val="24"/>
              </w:rPr>
              <w:t>CRR</w:t>
            </w:r>
            <w:r w:rsidR="00D71F74" w:rsidRPr="00BC17EC">
              <w:rPr>
                <w:rFonts w:ascii="Times New Roman" w:eastAsia="Times New Roman" w:hAnsi="Times New Roman" w:cs="Times New Roman"/>
                <w:sz w:val="24"/>
              </w:rPr>
              <w:t>,</w:t>
            </w:r>
            <w:r w:rsidR="00D71F74"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 xml:space="preserve">on </w:t>
            </w:r>
            <w:r w:rsidR="009B4D5A" w:rsidRPr="00BC17EC">
              <w:rPr>
                <w:rFonts w:ascii="Times New Roman" w:hAnsi="Times New Roman" w:cs="Times New Roman"/>
                <w:sz w:val="24"/>
                <w:lang w:eastAsia="ja-JP"/>
              </w:rPr>
              <w:t>the extent and methodologies for compliance with the requirements of Article 10</w:t>
            </w:r>
            <w:r w:rsidR="00B53D53">
              <w:rPr>
                <w:rFonts w:ascii="Times New Roman" w:hAnsi="Times New Roman" w:cs="Times New Roman"/>
                <w:sz w:val="24"/>
                <w:lang w:eastAsia="ja-JP"/>
              </w:rPr>
              <w:t>4 CRR</w:t>
            </w:r>
            <w:r w:rsidR="009B4D5A" w:rsidRPr="00BC17EC">
              <w:rPr>
                <w:rFonts w:ascii="Times New Roman" w:eastAsia="Times New Roman" w:hAnsi="Times New Roman" w:cs="Times New Roman"/>
                <w:sz w:val="24"/>
              </w:rPr>
              <w:t xml:space="preserve">, institutions </w:t>
            </w:r>
            <w:r w:rsidR="00A32673" w:rsidRPr="00BC17EC">
              <w:rPr>
                <w:rFonts w:ascii="Times New Roman" w:eastAsia="Times New Roman" w:hAnsi="Times New Roman" w:cs="Times New Roman"/>
                <w:sz w:val="24"/>
              </w:rPr>
              <w:t>shall</w:t>
            </w:r>
            <w:r w:rsidR="009B4D5A" w:rsidRPr="00BC17EC">
              <w:rPr>
                <w:rFonts w:ascii="Times New Roman" w:eastAsia="Times New Roman" w:hAnsi="Times New Roman" w:cs="Times New Roman"/>
                <w:sz w:val="24"/>
              </w:rPr>
              <w:t xml:space="preserve"> </w:t>
            </w:r>
            <w:r w:rsidR="00A32673" w:rsidRPr="00BC17EC">
              <w:rPr>
                <w:rFonts w:ascii="Times New Roman" w:eastAsia="Times New Roman" w:hAnsi="Times New Roman" w:cs="Times New Roman"/>
                <w:sz w:val="24"/>
              </w:rPr>
              <w:t>include:</w:t>
            </w:r>
          </w:p>
          <w:p w14:paraId="559E3CDD" w14:textId="2795BCA1" w:rsidR="00A32673" w:rsidRPr="00BC17EC" w:rsidRDefault="009B4D5A" w:rsidP="007A6198">
            <w:pPr>
              <w:pStyle w:val="ListParagraph"/>
              <w:numPr>
                <w:ilvl w:val="0"/>
                <w:numId w:val="11"/>
              </w:numPr>
              <w:spacing w:before="120" w:after="120"/>
              <w:jc w:val="both"/>
              <w:rPr>
                <w:rFonts w:ascii="Times New Roman" w:hAnsi="Times New Roman"/>
                <w:b/>
                <w:sz w:val="24"/>
                <w:szCs w:val="24"/>
                <w:lang w:eastAsia="ja-JP"/>
              </w:rPr>
            </w:pPr>
            <w:r w:rsidRPr="00BC17EC">
              <w:rPr>
                <w:rFonts w:ascii="Times New Roman" w:eastAsia="Times New Roman" w:hAnsi="Times New Roman"/>
                <w:sz w:val="24"/>
                <w:szCs w:val="24"/>
              </w:rPr>
              <w:t>a d</w:t>
            </w:r>
            <w:r w:rsidR="0052242A" w:rsidRPr="00BC17EC">
              <w:rPr>
                <w:rFonts w:ascii="Times New Roman" w:hAnsi="Times New Roman"/>
                <w:sz w:val="24"/>
                <w:szCs w:val="24"/>
                <w:lang w:eastAsia="ja-JP"/>
              </w:rPr>
              <w:t>escription of the procedures and systems implemented for the assurance of tradability of the positions included in the trading book in order to comply with t</w:t>
            </w:r>
            <w:r w:rsidRPr="00BC17EC">
              <w:rPr>
                <w:rFonts w:ascii="Times New Roman" w:hAnsi="Times New Roman"/>
                <w:sz w:val="24"/>
                <w:szCs w:val="24"/>
                <w:lang w:eastAsia="ja-JP"/>
              </w:rPr>
              <w:t>he requirements of Article 104</w:t>
            </w:r>
            <w:r w:rsidR="00B53D53">
              <w:rPr>
                <w:rFonts w:ascii="Times New Roman" w:hAnsi="Times New Roman"/>
                <w:sz w:val="24"/>
                <w:szCs w:val="24"/>
                <w:lang w:eastAsia="ja-JP"/>
              </w:rPr>
              <w:t xml:space="preserve"> CRR</w:t>
            </w:r>
            <w:r w:rsidR="00A32673" w:rsidRPr="00BC17EC">
              <w:rPr>
                <w:rFonts w:ascii="Times New Roman" w:hAnsi="Times New Roman"/>
                <w:sz w:val="24"/>
                <w:szCs w:val="24"/>
                <w:lang w:eastAsia="ja-JP"/>
              </w:rPr>
              <w:t>,</w:t>
            </w:r>
          </w:p>
          <w:p w14:paraId="19F318DE" w14:textId="55405720" w:rsidR="006057D0" w:rsidRPr="00BC17EC" w:rsidRDefault="00A32673" w:rsidP="007A6198">
            <w:pPr>
              <w:pStyle w:val="ListParagraph"/>
              <w:numPr>
                <w:ilvl w:val="0"/>
                <w:numId w:val="11"/>
              </w:numPr>
              <w:spacing w:before="120" w:after="120"/>
              <w:jc w:val="both"/>
              <w:rPr>
                <w:rFonts w:ascii="Times New Roman" w:hAnsi="Times New Roman"/>
                <w:b/>
                <w:sz w:val="24"/>
                <w:szCs w:val="24"/>
                <w:lang w:eastAsia="ja-JP"/>
              </w:rPr>
            </w:pPr>
            <w:proofErr w:type="gramStart"/>
            <w:r w:rsidRPr="00BC17EC">
              <w:rPr>
                <w:rFonts w:ascii="Times New Roman" w:hAnsi="Times New Roman"/>
                <w:sz w:val="24"/>
                <w:szCs w:val="24"/>
                <w:lang w:eastAsia="ja-JP"/>
              </w:rPr>
              <w:t>and</w:t>
            </w:r>
            <w:proofErr w:type="gramEnd"/>
            <w:r w:rsidRPr="00BC17EC">
              <w:rPr>
                <w:rFonts w:ascii="Times New Roman" w:hAnsi="Times New Roman"/>
                <w:sz w:val="24"/>
                <w:szCs w:val="24"/>
                <w:lang w:eastAsia="ja-JP"/>
              </w:rPr>
              <w:t xml:space="preserve"> </w:t>
            </w:r>
            <w:r w:rsidR="009B4D5A" w:rsidRPr="00BC17EC">
              <w:rPr>
                <w:rFonts w:ascii="Times New Roman" w:hAnsi="Times New Roman"/>
                <w:sz w:val="24"/>
                <w:szCs w:val="24"/>
                <w:lang w:eastAsia="ja-JP"/>
              </w:rPr>
              <w:t>a d</w:t>
            </w:r>
            <w:r w:rsidR="0052242A" w:rsidRPr="00BC17EC">
              <w:rPr>
                <w:rFonts w:ascii="Times New Roman" w:hAnsi="Times New Roman"/>
                <w:sz w:val="24"/>
                <w:szCs w:val="24"/>
                <w:lang w:eastAsia="ja-JP"/>
              </w:rPr>
              <w:t xml:space="preserve">escription of the methodology used to ensure that the policies and procedures implemented for the overall management of the trading book are </w:t>
            </w:r>
            <w:r w:rsidR="008A5212" w:rsidRPr="00BC17EC">
              <w:rPr>
                <w:rFonts w:ascii="Times New Roman" w:hAnsi="Times New Roman"/>
                <w:sz w:val="24"/>
                <w:szCs w:val="24"/>
                <w:lang w:eastAsia="ja-JP"/>
              </w:rPr>
              <w:t>appropriate</w:t>
            </w:r>
            <w:r w:rsidR="0052242A" w:rsidRPr="00BC17EC">
              <w:rPr>
                <w:rFonts w:ascii="Times New Roman" w:hAnsi="Times New Roman"/>
                <w:sz w:val="24"/>
                <w:szCs w:val="24"/>
                <w:lang w:eastAsia="ja-JP"/>
              </w:rPr>
              <w:t>.</w:t>
            </w:r>
          </w:p>
        </w:tc>
      </w:tr>
      <w:tr w:rsidR="005C202F" w:rsidRPr="00BC17EC" w14:paraId="11146B5C" w14:textId="77777777" w:rsidTr="00BC17EC">
        <w:tc>
          <w:tcPr>
            <w:tcW w:w="1172" w:type="dxa"/>
            <w:tcBorders>
              <w:top w:val="single" w:sz="4" w:space="0" w:color="auto"/>
              <w:left w:val="single" w:sz="4" w:space="0" w:color="auto"/>
              <w:bottom w:val="single" w:sz="4" w:space="0" w:color="auto"/>
              <w:right w:val="single" w:sz="4" w:space="0" w:color="auto"/>
            </w:tcBorders>
          </w:tcPr>
          <w:p w14:paraId="14EFB508" w14:textId="35F26E70" w:rsidR="005C202F" w:rsidRPr="00BC17EC" w:rsidRDefault="005C202F" w:rsidP="005C202F">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5D6870F6" w14:textId="3168B725" w:rsidR="005C202F" w:rsidRPr="00BC17EC" w:rsidRDefault="005C202F" w:rsidP="005C202F">
            <w:pPr>
              <w:spacing w:before="120" w:after="120"/>
              <w:jc w:val="both"/>
              <w:rPr>
                <w:rFonts w:ascii="Times New Roman" w:eastAsia="Times New Roman" w:hAnsi="Times New Roman" w:cs="Times New Roman"/>
                <w:sz w:val="24"/>
              </w:rPr>
            </w:pPr>
            <w:r w:rsidRPr="00BC17EC">
              <w:rPr>
                <w:rFonts w:ascii="Times New Roman" w:hAnsi="Times New Roman" w:cs="Times New Roman"/>
                <w:sz w:val="24"/>
                <w:lang w:eastAsia="ja-JP"/>
              </w:rPr>
              <w:t xml:space="preserve">When disclosing information in accordance with </w:t>
            </w:r>
            <w:r w:rsidR="00CA3BC1">
              <w:rPr>
                <w:rFonts w:ascii="Times New Roman" w:hAnsi="Times New Roman" w:cs="Times New Roman"/>
                <w:sz w:val="24"/>
                <w:lang w:eastAsia="ja-JP"/>
              </w:rPr>
              <w:t xml:space="preserve">point (c) of </w:t>
            </w:r>
            <w:r w:rsidRPr="00BC17EC">
              <w:rPr>
                <w:rFonts w:ascii="Times New Roman" w:hAnsi="Times New Roman" w:cs="Times New Roman"/>
                <w:sz w:val="24"/>
                <w:lang w:eastAsia="ja-JP"/>
              </w:rPr>
              <w:t xml:space="preserve">Article 455  </w:t>
            </w:r>
            <w:r w:rsidRPr="00BC17EC">
              <w:rPr>
                <w:rFonts w:ascii="Times New Roman" w:eastAsia="Times New Roman" w:hAnsi="Times New Roman" w:cs="Times New Roman"/>
                <w:sz w:val="24"/>
              </w:rPr>
              <w:t>CRR,</w:t>
            </w:r>
            <w:r w:rsidRPr="00BC17EC">
              <w:rPr>
                <w:rFonts w:ascii="Times New Roman" w:hAnsi="Times New Roman" w:cs="Times New Roman"/>
                <w:sz w:val="24"/>
                <w:lang w:eastAsia="ja-JP"/>
              </w:rPr>
              <w:t xml:space="preserve"> on the extent and methodologies for compliance with the requirements of Article 105 </w:t>
            </w:r>
            <w:r w:rsidR="00F81FF2">
              <w:rPr>
                <w:rFonts w:ascii="Times New Roman" w:hAnsi="Times New Roman" w:cs="Times New Roman"/>
                <w:sz w:val="24"/>
                <w:lang w:eastAsia="ja-JP"/>
              </w:rPr>
              <w:t>CRR</w:t>
            </w:r>
            <w:r w:rsidRPr="00BC17EC">
              <w:rPr>
                <w:rFonts w:ascii="Times New Roman" w:eastAsia="Times New Roman" w:hAnsi="Times New Roman" w:cs="Times New Roman"/>
                <w:sz w:val="24"/>
              </w:rPr>
              <w:t>, institutions shall include:</w:t>
            </w:r>
          </w:p>
          <w:p w14:paraId="60909BD2" w14:textId="4EC1EC29" w:rsidR="005C202F" w:rsidRPr="00BC17EC" w:rsidRDefault="005C202F" w:rsidP="007A6198">
            <w:pPr>
              <w:pStyle w:val="ListParagraph"/>
              <w:numPr>
                <w:ilvl w:val="0"/>
                <w:numId w:val="11"/>
              </w:numPr>
              <w:spacing w:before="120" w:after="120"/>
              <w:jc w:val="both"/>
              <w:rPr>
                <w:rFonts w:ascii="Times New Roman" w:eastAsia="Times New Roman" w:hAnsi="Times New Roman"/>
                <w:sz w:val="24"/>
                <w:szCs w:val="24"/>
              </w:rPr>
            </w:pPr>
            <w:r w:rsidRPr="00BC17EC">
              <w:rPr>
                <w:rFonts w:ascii="Times New Roman" w:eastAsia="Times New Roman" w:hAnsi="Times New Roman"/>
                <w:sz w:val="24"/>
                <w:szCs w:val="24"/>
              </w:rPr>
              <w:t>A description of the valuation methodologies, including an explanation of how far mark-to-market and mark-to-model methodologies are used;</w:t>
            </w:r>
          </w:p>
          <w:p w14:paraId="26B69F2F" w14:textId="33AB9C16" w:rsidR="005C202F" w:rsidRPr="00BC17EC" w:rsidRDefault="005C202F" w:rsidP="007A6198">
            <w:pPr>
              <w:pStyle w:val="ListParagraph"/>
              <w:numPr>
                <w:ilvl w:val="0"/>
                <w:numId w:val="11"/>
              </w:numPr>
              <w:spacing w:before="120" w:after="120"/>
              <w:jc w:val="both"/>
              <w:rPr>
                <w:rFonts w:ascii="Times New Roman" w:eastAsia="Times New Roman" w:hAnsi="Times New Roman"/>
                <w:sz w:val="24"/>
                <w:szCs w:val="24"/>
              </w:rPr>
            </w:pPr>
            <w:r w:rsidRPr="00BC17EC">
              <w:rPr>
                <w:rFonts w:ascii="Times New Roman" w:eastAsia="Times New Roman" w:hAnsi="Times New Roman"/>
                <w:sz w:val="24"/>
                <w:szCs w:val="24"/>
              </w:rPr>
              <w:t>Description of the independent price verification process;</w:t>
            </w:r>
          </w:p>
          <w:p w14:paraId="5D57EC63" w14:textId="398D978B" w:rsidR="005C202F" w:rsidRPr="00BC17EC" w:rsidRDefault="005C202F" w:rsidP="007A6198">
            <w:pPr>
              <w:pStyle w:val="ListParagraph"/>
              <w:numPr>
                <w:ilvl w:val="0"/>
                <w:numId w:val="11"/>
              </w:numPr>
              <w:spacing w:before="120" w:after="120"/>
              <w:jc w:val="both"/>
              <w:rPr>
                <w:rFonts w:ascii="Times New Roman" w:hAnsi="Times New Roman"/>
                <w:b/>
                <w:sz w:val="24"/>
                <w:szCs w:val="24"/>
                <w:lang w:eastAsia="ja-JP"/>
              </w:rPr>
            </w:pPr>
            <w:r w:rsidRPr="00BC17EC">
              <w:rPr>
                <w:rFonts w:ascii="Times New Roman" w:eastAsia="Times New Roman" w:hAnsi="Times New Roman"/>
                <w:sz w:val="24"/>
                <w:szCs w:val="24"/>
              </w:rPr>
              <w:t>Procedures for valuation adjustments or reserves (including a description of the process and the methodology for valuing trading positions by type of instrument).</w:t>
            </w:r>
          </w:p>
        </w:tc>
      </w:tr>
      <w:tr w:rsidR="006057D0" w:rsidRPr="00BC17EC" w14:paraId="7F3B8FDA" w14:textId="77777777" w:rsidTr="000B31B4">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0D7B3530" w14:textId="25EE1666" w:rsidR="006057D0" w:rsidRPr="00BC17EC" w:rsidRDefault="009B4D5A"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{A}</w:t>
            </w: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4AB43AAB" w14:textId="19EE744B" w:rsidR="006057D0" w:rsidRPr="00BC17EC" w:rsidRDefault="009B4D5A" w:rsidP="003E1E5A">
            <w:pPr>
              <w:spacing w:before="120" w:after="120"/>
              <w:jc w:val="both"/>
              <w:rPr>
                <w:rFonts w:ascii="Times New Roman" w:hAnsi="Times New Roman" w:cs="Times New Roman"/>
                <w:b/>
                <w:sz w:val="24"/>
                <w:lang w:eastAsia="ja-JP"/>
              </w:rPr>
            </w:pPr>
            <w:r w:rsidRPr="00BC17EC">
              <w:rPr>
                <w:rFonts w:ascii="Times New Roman" w:hAnsi="Times New Roman" w:cs="Times New Roman"/>
                <w:b/>
                <w:sz w:val="24"/>
                <w:lang w:eastAsia="ja-JP"/>
              </w:rPr>
              <w:t xml:space="preserve">Institutions using </w:t>
            </w:r>
            <w:proofErr w:type="spellStart"/>
            <w:r w:rsidRPr="00BC17EC">
              <w:rPr>
                <w:rFonts w:ascii="Times New Roman" w:hAnsi="Times New Roman" w:cs="Times New Roman"/>
                <w:b/>
                <w:sz w:val="24"/>
                <w:lang w:eastAsia="ja-JP"/>
              </w:rPr>
              <w:t>VaR</w:t>
            </w:r>
            <w:proofErr w:type="spellEnd"/>
            <w:r w:rsidRPr="00BC17EC">
              <w:rPr>
                <w:rFonts w:ascii="Times New Roman" w:hAnsi="Times New Roman" w:cs="Times New Roman"/>
                <w:b/>
                <w:sz w:val="24"/>
                <w:lang w:eastAsia="ja-JP"/>
              </w:rPr>
              <w:t xml:space="preserve"> models and </w:t>
            </w:r>
            <w:proofErr w:type="spellStart"/>
            <w:r w:rsidRPr="00BC17EC">
              <w:rPr>
                <w:rFonts w:ascii="Times New Roman" w:hAnsi="Times New Roman" w:cs="Times New Roman"/>
                <w:b/>
                <w:sz w:val="24"/>
                <w:lang w:eastAsia="ja-JP"/>
              </w:rPr>
              <w:t>SVaR</w:t>
            </w:r>
            <w:proofErr w:type="spellEnd"/>
            <w:r w:rsidRPr="00BC17EC">
              <w:rPr>
                <w:rFonts w:ascii="Times New Roman" w:hAnsi="Times New Roman" w:cs="Times New Roman"/>
                <w:b/>
                <w:sz w:val="24"/>
                <w:lang w:eastAsia="ja-JP"/>
              </w:rPr>
              <w:t xml:space="preserve"> models</w:t>
            </w:r>
            <w:r w:rsidR="00FC046F" w:rsidRPr="00BC17EC">
              <w:rPr>
                <w:rFonts w:ascii="Times New Roman" w:hAnsi="Times New Roman" w:cs="Times New Roman"/>
                <w:sz w:val="24"/>
                <w:lang w:eastAsia="ja-JP"/>
              </w:rPr>
              <w:t>,</w:t>
            </w:r>
            <w:r w:rsidR="00D71F74" w:rsidRPr="00BC17EC">
              <w:rPr>
                <w:rFonts w:ascii="Times New Roman" w:hAnsi="Times New Roman" w:cs="Times New Roman"/>
                <w:sz w:val="24"/>
                <w:lang w:eastAsia="ja-JP"/>
              </w:rPr>
              <w:t xml:space="preserve"> as defined in Article 365</w:t>
            </w:r>
            <w:r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p>
        </w:tc>
      </w:tr>
      <w:tr w:rsidR="006057D0" w:rsidRPr="00BC17EC" w14:paraId="66F731B0" w14:textId="77777777" w:rsidTr="00997407">
        <w:tc>
          <w:tcPr>
            <w:tcW w:w="1172" w:type="dxa"/>
            <w:tcBorders>
              <w:top w:val="single" w:sz="4" w:space="0" w:color="auto"/>
              <w:left w:val="single" w:sz="4" w:space="0" w:color="auto"/>
              <w:bottom w:val="single" w:sz="4" w:space="0" w:color="auto"/>
              <w:right w:val="single" w:sz="4" w:space="0" w:color="auto"/>
            </w:tcBorders>
          </w:tcPr>
          <w:p w14:paraId="2B0AA751" w14:textId="798FBFC4" w:rsidR="006057D0" w:rsidRPr="00BC17EC" w:rsidRDefault="00D71F74"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52C1917C" w14:textId="11298305" w:rsidR="006057D0" w:rsidRPr="00BC17EC" w:rsidRDefault="00D71F74"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When disclosing information in accordance with </w:t>
            </w:r>
            <w:r w:rsidR="00F81FF2">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proofErr w:type="gramStart"/>
            <w:r w:rsidR="00CA3BC1">
              <w:rPr>
                <w:rFonts w:ascii="Times New Roman" w:hAnsi="Times New Roman" w:cs="Times New Roman"/>
                <w:sz w:val="24"/>
                <w:lang w:eastAsia="ja-JP"/>
              </w:rPr>
              <w:t>)</w:t>
            </w:r>
            <w:r w:rsidR="00F81FF2">
              <w:rPr>
                <w:rFonts w:ascii="Times New Roman" w:hAnsi="Times New Roman" w:cs="Times New Roman"/>
                <w:sz w:val="24"/>
                <w:lang w:eastAsia="ja-JP"/>
              </w:rPr>
              <w:t>(</w:t>
            </w:r>
            <w:proofErr w:type="spellStart"/>
            <w:proofErr w:type="gramEnd"/>
            <w:r w:rsidR="00F81FF2">
              <w:rPr>
                <w:rFonts w:ascii="Times New Roman" w:hAnsi="Times New Roman" w:cs="Times New Roman"/>
                <w:sz w:val="24"/>
                <w:lang w:eastAsia="ja-JP"/>
              </w:rPr>
              <w:t>i</w:t>
            </w:r>
            <w:proofErr w:type="spellEnd"/>
            <w:r w:rsidR="00F81FF2">
              <w:rPr>
                <w:rFonts w:ascii="Times New Roman" w:hAnsi="Times New Roman" w:cs="Times New Roman"/>
                <w:sz w:val="24"/>
                <w:lang w:eastAsia="ja-JP"/>
              </w:rPr>
              <w:t xml:space="preserve">) of </w:t>
            </w:r>
            <w:r w:rsidRPr="00BC17EC">
              <w:rPr>
                <w:rFonts w:ascii="Times New Roman" w:hAnsi="Times New Roman" w:cs="Times New Roman"/>
                <w:sz w:val="24"/>
                <w:lang w:eastAsia="ja-JP"/>
              </w:rPr>
              <w:t xml:space="preserve">Article 455 and </w:t>
            </w:r>
            <w:r w:rsidR="0009691F" w:rsidRPr="00BC17EC">
              <w:rPr>
                <w:rFonts w:ascii="Times New Roman" w:hAnsi="Times New Roman" w:cs="Times New Roman"/>
                <w:sz w:val="24"/>
                <w:lang w:eastAsia="ja-JP"/>
              </w:rPr>
              <w:t xml:space="preserve">with </w:t>
            </w:r>
            <w:r w:rsidR="00CA3BC1">
              <w:rPr>
                <w:rFonts w:ascii="Times New Roman" w:hAnsi="Times New Roman" w:cs="Times New Roman"/>
                <w:sz w:val="24"/>
                <w:lang w:eastAsia="ja-JP"/>
              </w:rPr>
              <w:t xml:space="preserve">point (b) of </w:t>
            </w:r>
            <w:r w:rsidR="00FC046F" w:rsidRPr="00BC17EC">
              <w:rPr>
                <w:rFonts w:ascii="Times New Roman" w:hAnsi="Times New Roman" w:cs="Times New Roman"/>
                <w:sz w:val="24"/>
                <w:lang w:eastAsia="ja-JP"/>
              </w:rPr>
              <w:t xml:space="preserve">Article </w:t>
            </w:r>
            <w:r w:rsidR="0009691F" w:rsidRPr="00BC17EC">
              <w:rPr>
                <w:rFonts w:ascii="Times New Roman" w:hAnsi="Times New Roman" w:cs="Times New Roman"/>
                <w:sz w:val="24"/>
                <w:lang w:eastAsia="ja-JP"/>
              </w:rPr>
              <w:t>455</w:t>
            </w:r>
            <w:r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00FC046F" w:rsidRPr="00BC17EC">
              <w:rPr>
                <w:rFonts w:ascii="Times New Roman" w:eastAsia="Times New Roman" w:hAnsi="Times New Roman" w:cs="Times New Roman"/>
                <w:sz w:val="24"/>
              </w:rPr>
              <w:t>,</w:t>
            </w:r>
            <w:r w:rsidR="00FC046F" w:rsidRPr="00BC17EC">
              <w:rPr>
                <w:rFonts w:ascii="Times New Roman" w:hAnsi="Times New Roman" w:cs="Times New Roman"/>
                <w:sz w:val="24"/>
                <w:lang w:eastAsia="ja-JP"/>
              </w:rPr>
              <w:t xml:space="preserve"> </w:t>
            </w:r>
            <w:r w:rsidR="00A32673" w:rsidRPr="00BC17EC">
              <w:rPr>
                <w:rFonts w:ascii="Times New Roman" w:hAnsi="Times New Roman" w:cs="Times New Roman"/>
                <w:sz w:val="24"/>
                <w:lang w:eastAsia="ja-JP"/>
              </w:rPr>
              <w:t>institutions</w:t>
            </w:r>
            <w:r w:rsidR="0009691F" w:rsidRPr="00BC17EC">
              <w:rPr>
                <w:rFonts w:ascii="Times New Roman" w:hAnsi="Times New Roman" w:cs="Times New Roman"/>
                <w:sz w:val="24"/>
                <w:lang w:eastAsia="ja-JP"/>
              </w:rPr>
              <w:t xml:space="preserve"> </w:t>
            </w:r>
            <w:r w:rsidR="00A32673" w:rsidRPr="00BC17EC">
              <w:rPr>
                <w:rFonts w:ascii="Times New Roman" w:hAnsi="Times New Roman" w:cs="Times New Roman"/>
                <w:sz w:val="24"/>
                <w:lang w:eastAsia="ja-JP"/>
              </w:rPr>
              <w:t>shall</w:t>
            </w:r>
            <w:r w:rsidR="0009691F" w:rsidRPr="00BC17EC">
              <w:rPr>
                <w:rFonts w:ascii="Times New Roman" w:hAnsi="Times New Roman" w:cs="Times New Roman"/>
                <w:sz w:val="24"/>
                <w:lang w:eastAsia="ja-JP"/>
              </w:rPr>
              <w:t xml:space="preserve"> include a </w:t>
            </w:r>
            <w:r w:rsidRPr="00BC17EC">
              <w:rPr>
                <w:rFonts w:ascii="Times New Roman" w:hAnsi="Times New Roman" w:cs="Times New Roman"/>
                <w:sz w:val="24"/>
                <w:lang w:eastAsia="ja-JP"/>
              </w:rPr>
              <w:t xml:space="preserve">description of activities and risks covered by the </w:t>
            </w:r>
            <w:proofErr w:type="spellStart"/>
            <w:r w:rsidRPr="00BC17EC">
              <w:rPr>
                <w:rFonts w:ascii="Times New Roman" w:hAnsi="Times New Roman" w:cs="Times New Roman"/>
                <w:sz w:val="24"/>
                <w:lang w:eastAsia="ja-JP"/>
              </w:rPr>
              <w:t>VaR</w:t>
            </w:r>
            <w:proofErr w:type="spellEnd"/>
            <w:r w:rsidRPr="00BC17EC">
              <w:rPr>
                <w:rFonts w:ascii="Times New Roman" w:hAnsi="Times New Roman" w:cs="Times New Roman"/>
                <w:sz w:val="24"/>
                <w:lang w:eastAsia="ja-JP"/>
              </w:rPr>
              <w:t xml:space="preserve"> and </w:t>
            </w:r>
            <w:proofErr w:type="spellStart"/>
            <w:r w:rsidRPr="00BC17EC">
              <w:rPr>
                <w:rFonts w:ascii="Times New Roman" w:hAnsi="Times New Roman" w:cs="Times New Roman"/>
                <w:sz w:val="24"/>
                <w:lang w:eastAsia="ja-JP"/>
              </w:rPr>
              <w:t>SVaR</w:t>
            </w:r>
            <w:proofErr w:type="spellEnd"/>
            <w:r w:rsidRPr="00BC17EC">
              <w:rPr>
                <w:rFonts w:ascii="Times New Roman" w:hAnsi="Times New Roman" w:cs="Times New Roman"/>
                <w:sz w:val="24"/>
                <w:lang w:eastAsia="ja-JP"/>
              </w:rPr>
              <w:t xml:space="preserve"> models, specifying how they are distributed in portfolios/sub-portfolios for which the competent authority has granted permission.</w:t>
            </w:r>
          </w:p>
        </w:tc>
      </w:tr>
      <w:tr w:rsidR="006057D0" w:rsidRPr="00BC17EC" w14:paraId="46A24A0A" w14:textId="77777777" w:rsidTr="000B31B4">
        <w:tc>
          <w:tcPr>
            <w:tcW w:w="1172" w:type="dxa"/>
            <w:tcBorders>
              <w:top w:val="single" w:sz="4" w:space="0" w:color="auto"/>
              <w:left w:val="single" w:sz="4" w:space="0" w:color="auto"/>
              <w:bottom w:val="single" w:sz="4" w:space="0" w:color="auto"/>
              <w:right w:val="single" w:sz="4" w:space="0" w:color="auto"/>
            </w:tcBorders>
          </w:tcPr>
          <w:p w14:paraId="343A1F81" w14:textId="0AD50F08" w:rsidR="006057D0" w:rsidRPr="00BC17EC" w:rsidRDefault="0009691F" w:rsidP="0009691F">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569F765B" w14:textId="4C4CFA8B" w:rsidR="00A32673" w:rsidRPr="00BC17EC" w:rsidRDefault="00A32673"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When disclosing </w:t>
            </w:r>
            <w:r w:rsidR="0009691F" w:rsidRPr="00BC17EC">
              <w:rPr>
                <w:rFonts w:ascii="Times New Roman" w:hAnsi="Times New Roman" w:cs="Times New Roman"/>
                <w:sz w:val="24"/>
                <w:lang w:eastAsia="ja-JP"/>
              </w:rPr>
              <w:t>Inform</w:t>
            </w:r>
            <w:r w:rsidR="003E1E5A" w:rsidRPr="00BC17EC">
              <w:rPr>
                <w:rFonts w:ascii="Times New Roman" w:hAnsi="Times New Roman" w:cs="Times New Roman"/>
                <w:sz w:val="24"/>
                <w:lang w:eastAsia="ja-JP"/>
              </w:rPr>
              <w:t xml:space="preserve">ation required in </w:t>
            </w:r>
            <w:r w:rsidR="00CA3BC1">
              <w:rPr>
                <w:rFonts w:ascii="Times New Roman" w:hAnsi="Times New Roman" w:cs="Times New Roman"/>
                <w:sz w:val="24"/>
                <w:lang w:eastAsia="ja-JP"/>
              </w:rPr>
              <w:t xml:space="preserve">point (b) of </w:t>
            </w:r>
            <w:r w:rsidR="003E1E5A" w:rsidRPr="00BC17EC">
              <w:rPr>
                <w:rFonts w:ascii="Times New Roman" w:hAnsi="Times New Roman" w:cs="Times New Roman"/>
                <w:sz w:val="24"/>
                <w:lang w:eastAsia="ja-JP"/>
              </w:rPr>
              <w:t>Article 455</w:t>
            </w:r>
            <w:r w:rsidR="00465682">
              <w:rPr>
                <w:rFonts w:ascii="Times New Roman" w:hAnsi="Times New Roman" w:cs="Times New Roman"/>
                <w:sz w:val="24"/>
                <w:lang w:eastAsia="ja-JP"/>
              </w:rPr>
              <w:t xml:space="preserve"> CRR</w:t>
            </w:r>
            <w:r w:rsidRPr="00BC17EC">
              <w:rPr>
                <w:rFonts w:ascii="Times New Roman" w:hAnsi="Times New Roman" w:cs="Times New Roman"/>
                <w:sz w:val="24"/>
                <w:lang w:eastAsia="ja-JP"/>
              </w:rPr>
              <w:t xml:space="preserve">, institutions shall </w:t>
            </w:r>
            <w:r w:rsidR="0060516B" w:rsidRPr="00BC17EC">
              <w:rPr>
                <w:rFonts w:ascii="Times New Roman" w:hAnsi="Times New Roman" w:cs="Times New Roman"/>
                <w:sz w:val="24"/>
                <w:lang w:eastAsia="ja-JP"/>
              </w:rPr>
              <w:t>include</w:t>
            </w:r>
            <w:r w:rsidRPr="00BC17EC">
              <w:rPr>
                <w:rFonts w:ascii="Times New Roman" w:hAnsi="Times New Roman" w:cs="Times New Roman"/>
                <w:sz w:val="24"/>
                <w:lang w:eastAsia="ja-JP"/>
              </w:rPr>
              <w:t>:</w:t>
            </w:r>
          </w:p>
          <w:p w14:paraId="27EB9587" w14:textId="77777777" w:rsidR="00A32673" w:rsidRPr="00BC17EC" w:rsidRDefault="0009691F" w:rsidP="007A6198">
            <w:pPr>
              <w:pStyle w:val="ListParagraph"/>
              <w:numPr>
                <w:ilvl w:val="0"/>
                <w:numId w:val="11"/>
              </w:numPr>
              <w:spacing w:before="120" w:after="120"/>
              <w:jc w:val="both"/>
              <w:rPr>
                <w:rFonts w:ascii="Times New Roman" w:hAnsi="Times New Roman"/>
                <w:sz w:val="24"/>
                <w:szCs w:val="24"/>
                <w:lang w:eastAsia="ja-JP"/>
              </w:rPr>
            </w:pPr>
            <w:r w:rsidRPr="00BC17EC">
              <w:rPr>
                <w:rFonts w:ascii="Times New Roman" w:hAnsi="Times New Roman"/>
                <w:sz w:val="24"/>
                <w:szCs w:val="24"/>
                <w:lang w:eastAsia="ja-JP"/>
              </w:rPr>
              <w:lastRenderedPageBreak/>
              <w:t xml:space="preserve">a description of the scope of application of the </w:t>
            </w:r>
            <w:proofErr w:type="spellStart"/>
            <w:r w:rsidRPr="00BC17EC">
              <w:rPr>
                <w:rFonts w:ascii="Times New Roman" w:hAnsi="Times New Roman"/>
                <w:sz w:val="24"/>
                <w:szCs w:val="24"/>
                <w:lang w:eastAsia="ja-JP"/>
              </w:rPr>
              <w:t>VaR</w:t>
            </w:r>
            <w:proofErr w:type="spellEnd"/>
            <w:r w:rsidRPr="00BC17EC">
              <w:rPr>
                <w:rFonts w:ascii="Times New Roman" w:hAnsi="Times New Roman"/>
                <w:sz w:val="24"/>
                <w:szCs w:val="24"/>
                <w:lang w:eastAsia="ja-JP"/>
              </w:rPr>
              <w:t xml:space="preserve"> and </w:t>
            </w:r>
            <w:proofErr w:type="spellStart"/>
            <w:r w:rsidRPr="00BC17EC">
              <w:rPr>
                <w:rFonts w:ascii="Times New Roman" w:hAnsi="Times New Roman"/>
                <w:sz w:val="24"/>
                <w:szCs w:val="24"/>
                <w:lang w:eastAsia="ja-JP"/>
              </w:rPr>
              <w:t>SVaR</w:t>
            </w:r>
            <w:proofErr w:type="spellEnd"/>
            <w:r w:rsidRPr="00BC17EC">
              <w:rPr>
                <w:rFonts w:ascii="Times New Roman" w:hAnsi="Times New Roman"/>
                <w:sz w:val="24"/>
                <w:szCs w:val="24"/>
                <w:lang w:eastAsia="ja-JP"/>
              </w:rPr>
              <w:t xml:space="preserve"> models for which the competent authority has granted permission, </w:t>
            </w:r>
          </w:p>
          <w:p w14:paraId="34D7674A" w14:textId="38DBB22C" w:rsidR="006057D0" w:rsidRPr="00BC17EC" w:rsidRDefault="00A32673" w:rsidP="007A6198">
            <w:pPr>
              <w:pStyle w:val="ListParagraph"/>
              <w:numPr>
                <w:ilvl w:val="0"/>
                <w:numId w:val="11"/>
              </w:numPr>
              <w:spacing w:before="120" w:after="120"/>
              <w:jc w:val="both"/>
              <w:rPr>
                <w:rFonts w:ascii="Times New Roman" w:hAnsi="Times New Roman"/>
                <w:sz w:val="24"/>
                <w:szCs w:val="24"/>
                <w:lang w:eastAsia="ja-JP"/>
              </w:rPr>
            </w:pPr>
            <w:r w:rsidRPr="00BC17EC">
              <w:rPr>
                <w:rFonts w:ascii="Times New Roman" w:hAnsi="Times New Roman"/>
                <w:sz w:val="24"/>
                <w:szCs w:val="24"/>
                <w:lang w:eastAsia="ja-JP"/>
              </w:rPr>
              <w:t>when relevant,</w:t>
            </w:r>
            <w:r w:rsidR="0060516B" w:rsidRPr="00BC17EC">
              <w:rPr>
                <w:rFonts w:ascii="Times New Roman" w:hAnsi="Times New Roman"/>
                <w:sz w:val="24"/>
                <w:szCs w:val="24"/>
                <w:lang w:eastAsia="ja-JP"/>
              </w:rPr>
              <w:t xml:space="preserve"> information on </w:t>
            </w:r>
            <w:r w:rsidR="0009691F" w:rsidRPr="00BC17EC">
              <w:rPr>
                <w:rFonts w:ascii="Times New Roman" w:hAnsi="Times New Roman"/>
                <w:sz w:val="24"/>
                <w:szCs w:val="24"/>
                <w:lang w:eastAsia="ja-JP"/>
              </w:rPr>
              <w:t xml:space="preserve">which entities in the group use these models and how the models represent all the models used at the group level, as well as the percentage of own funds requirements covered by the models /or if the same models of </w:t>
            </w:r>
            <w:proofErr w:type="spellStart"/>
            <w:r w:rsidR="0009691F" w:rsidRPr="00BC17EC">
              <w:rPr>
                <w:rFonts w:ascii="Times New Roman" w:hAnsi="Times New Roman"/>
                <w:sz w:val="24"/>
                <w:szCs w:val="24"/>
                <w:lang w:eastAsia="ja-JP"/>
              </w:rPr>
              <w:t>VaR</w:t>
            </w:r>
            <w:proofErr w:type="spellEnd"/>
            <w:r w:rsidR="0009691F" w:rsidRPr="00BC17EC">
              <w:rPr>
                <w:rFonts w:ascii="Times New Roman" w:hAnsi="Times New Roman"/>
                <w:sz w:val="24"/>
                <w:szCs w:val="24"/>
                <w:lang w:eastAsia="ja-JP"/>
              </w:rPr>
              <w:t>/</w:t>
            </w:r>
            <w:proofErr w:type="spellStart"/>
            <w:r w:rsidR="0009691F" w:rsidRPr="00BC17EC">
              <w:rPr>
                <w:rFonts w:ascii="Times New Roman" w:hAnsi="Times New Roman"/>
                <w:sz w:val="24"/>
                <w:szCs w:val="24"/>
                <w:lang w:eastAsia="ja-JP"/>
              </w:rPr>
              <w:t>SVaR</w:t>
            </w:r>
            <w:proofErr w:type="spellEnd"/>
            <w:r w:rsidR="0009691F" w:rsidRPr="00BC17EC">
              <w:rPr>
                <w:rFonts w:ascii="Times New Roman" w:hAnsi="Times New Roman"/>
                <w:sz w:val="24"/>
                <w:szCs w:val="24"/>
                <w:lang w:eastAsia="ja-JP"/>
              </w:rPr>
              <w:t xml:space="preserve"> are used for all entities with market risk exposure.</w:t>
            </w:r>
          </w:p>
        </w:tc>
      </w:tr>
      <w:tr w:rsidR="006057D0" w:rsidRPr="00BC17EC" w14:paraId="4A229E5C" w14:textId="77777777" w:rsidTr="000B31B4">
        <w:tc>
          <w:tcPr>
            <w:tcW w:w="1172" w:type="dxa"/>
            <w:tcBorders>
              <w:top w:val="single" w:sz="4" w:space="0" w:color="auto"/>
              <w:left w:val="single" w:sz="4" w:space="0" w:color="auto"/>
              <w:bottom w:val="single" w:sz="4" w:space="0" w:color="auto"/>
              <w:right w:val="nil"/>
            </w:tcBorders>
          </w:tcPr>
          <w:p w14:paraId="5AFF3866" w14:textId="77777777" w:rsidR="006057D0" w:rsidRPr="00BC17EC" w:rsidRDefault="006057D0" w:rsidP="006057D0">
            <w:pPr>
              <w:spacing w:before="120" w:after="120"/>
              <w:jc w:val="center"/>
              <w:rPr>
                <w:rFonts w:ascii="Times New Roman" w:hAnsi="Times New Roman" w:cs="Times New Roman"/>
                <w:b/>
                <w:sz w:val="24"/>
                <w:lang w:eastAsia="ja-JP"/>
              </w:rPr>
            </w:pPr>
          </w:p>
        </w:tc>
        <w:tc>
          <w:tcPr>
            <w:tcW w:w="7242" w:type="dxa"/>
            <w:tcBorders>
              <w:top w:val="single" w:sz="4" w:space="0" w:color="auto"/>
              <w:left w:val="nil"/>
              <w:bottom w:val="single" w:sz="4" w:space="0" w:color="auto"/>
              <w:right w:val="single" w:sz="4" w:space="0" w:color="auto"/>
            </w:tcBorders>
          </w:tcPr>
          <w:p w14:paraId="0C2387EF" w14:textId="40348FD9" w:rsidR="006057D0" w:rsidRPr="00BC17EC" w:rsidRDefault="00F54018"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Information</w:t>
            </w:r>
            <w:r w:rsidR="00B03D05" w:rsidRPr="00BC17EC">
              <w:rPr>
                <w:rFonts w:ascii="Times New Roman" w:hAnsi="Times New Roman" w:cs="Times New Roman"/>
                <w:sz w:val="24"/>
                <w:lang w:eastAsia="ja-JP"/>
              </w:rPr>
              <w:t xml:space="preserve"> disclosed</w:t>
            </w:r>
            <w:r w:rsidRPr="00BC17EC">
              <w:rPr>
                <w:rFonts w:ascii="Times New Roman" w:hAnsi="Times New Roman" w:cs="Times New Roman"/>
                <w:sz w:val="24"/>
                <w:lang w:eastAsia="ja-JP"/>
              </w:rPr>
              <w:t xml:space="preserve"> </w:t>
            </w:r>
            <w:r w:rsidR="00B03D05" w:rsidRPr="00BC17EC">
              <w:rPr>
                <w:rFonts w:ascii="Times New Roman" w:hAnsi="Times New Roman" w:cs="Times New Roman"/>
                <w:sz w:val="24"/>
                <w:lang w:eastAsia="ja-JP"/>
              </w:rPr>
              <w:t xml:space="preserve">in accordance with </w:t>
            </w:r>
            <w:r w:rsidR="003C2855">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3C2855">
              <w:rPr>
                <w:rFonts w:ascii="Times New Roman" w:hAnsi="Times New Roman" w:cs="Times New Roman"/>
                <w:sz w:val="24"/>
                <w:lang w:eastAsia="ja-JP"/>
              </w:rPr>
              <w:t>(</w:t>
            </w:r>
            <w:proofErr w:type="spellStart"/>
            <w:r w:rsidR="003C2855">
              <w:rPr>
                <w:rFonts w:ascii="Times New Roman" w:hAnsi="Times New Roman" w:cs="Times New Roman"/>
                <w:sz w:val="24"/>
                <w:lang w:eastAsia="ja-JP"/>
              </w:rPr>
              <w:t>i</w:t>
            </w:r>
            <w:proofErr w:type="spellEnd"/>
            <w:r w:rsidR="003C2855">
              <w:rPr>
                <w:rFonts w:ascii="Times New Roman" w:hAnsi="Times New Roman" w:cs="Times New Roman"/>
                <w:sz w:val="24"/>
                <w:lang w:eastAsia="ja-JP"/>
              </w:rPr>
              <w:t xml:space="preserve">) of </w:t>
            </w:r>
            <w:r w:rsidR="00B03D05" w:rsidRPr="00BC17EC">
              <w:rPr>
                <w:rFonts w:ascii="Times New Roman" w:hAnsi="Times New Roman" w:cs="Times New Roman"/>
                <w:sz w:val="24"/>
                <w:lang w:eastAsia="ja-JP"/>
              </w:rPr>
              <w:t xml:space="preserve">Article 455 </w:t>
            </w:r>
            <w:r w:rsidR="003C2855">
              <w:rPr>
                <w:rFonts w:ascii="Times New Roman" w:hAnsi="Times New Roman" w:cs="Times New Roman"/>
                <w:sz w:val="24"/>
                <w:lang w:eastAsia="ja-JP"/>
              </w:rPr>
              <w:t>CRR</w:t>
            </w:r>
            <w:r w:rsidR="00B03D05"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 xml:space="preserve">on the characteristics of the model used </w:t>
            </w:r>
            <w:r w:rsidR="00A32673" w:rsidRPr="00BC17EC">
              <w:rPr>
                <w:rFonts w:ascii="Times New Roman" w:hAnsi="Times New Roman" w:cs="Times New Roman"/>
                <w:sz w:val="24"/>
                <w:lang w:eastAsia="ja-JP"/>
              </w:rPr>
              <w:t>shall</w:t>
            </w:r>
            <w:r w:rsidR="009F0E2F"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include:</w:t>
            </w:r>
          </w:p>
        </w:tc>
      </w:tr>
      <w:tr w:rsidR="006057D0" w:rsidRPr="00BC17EC" w14:paraId="183028DD" w14:textId="77777777" w:rsidTr="00997407">
        <w:tc>
          <w:tcPr>
            <w:tcW w:w="1172" w:type="dxa"/>
            <w:tcBorders>
              <w:top w:val="single" w:sz="4" w:space="0" w:color="auto"/>
              <w:left w:val="single" w:sz="4" w:space="0" w:color="auto"/>
              <w:bottom w:val="single" w:sz="4" w:space="0" w:color="auto"/>
              <w:right w:val="single" w:sz="4" w:space="0" w:color="auto"/>
            </w:tcBorders>
          </w:tcPr>
          <w:p w14:paraId="2D2214A7" w14:textId="13CB797F" w:rsidR="006057D0" w:rsidRPr="00BC17EC" w:rsidRDefault="00F54018"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{c}</w:t>
            </w:r>
          </w:p>
        </w:tc>
        <w:tc>
          <w:tcPr>
            <w:tcW w:w="7242" w:type="dxa"/>
            <w:tcBorders>
              <w:top w:val="single" w:sz="4" w:space="0" w:color="auto"/>
              <w:left w:val="single" w:sz="4" w:space="0" w:color="auto"/>
              <w:bottom w:val="single" w:sz="4" w:space="0" w:color="auto"/>
              <w:right w:val="single" w:sz="4" w:space="0" w:color="auto"/>
            </w:tcBorders>
          </w:tcPr>
          <w:p w14:paraId="0F7F0D5C" w14:textId="6B4B3156" w:rsidR="006057D0" w:rsidRPr="00BC17EC" w:rsidRDefault="009F0E2F" w:rsidP="00E86C57">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A g</w:t>
            </w:r>
            <w:r w:rsidR="00F54018" w:rsidRPr="00BC17EC">
              <w:rPr>
                <w:rFonts w:ascii="Times New Roman" w:hAnsi="Times New Roman" w:cs="Times New Roman"/>
                <w:sz w:val="24"/>
                <w:lang w:eastAsia="ja-JP"/>
              </w:rPr>
              <w:t xml:space="preserve">eneral description of regulatory </w:t>
            </w:r>
            <w:proofErr w:type="spellStart"/>
            <w:r w:rsidR="00F54018" w:rsidRPr="00BC17EC">
              <w:rPr>
                <w:rFonts w:ascii="Times New Roman" w:hAnsi="Times New Roman" w:cs="Times New Roman"/>
                <w:sz w:val="24"/>
                <w:lang w:eastAsia="ja-JP"/>
              </w:rPr>
              <w:t>VaR</w:t>
            </w:r>
            <w:proofErr w:type="spellEnd"/>
            <w:r w:rsidR="00F54018" w:rsidRPr="00BC17EC">
              <w:rPr>
                <w:rFonts w:ascii="Times New Roman" w:hAnsi="Times New Roman" w:cs="Times New Roman"/>
                <w:sz w:val="24"/>
                <w:lang w:eastAsia="ja-JP"/>
              </w:rPr>
              <w:t xml:space="preserve"> and </w:t>
            </w:r>
            <w:proofErr w:type="spellStart"/>
            <w:r w:rsidR="00F54018" w:rsidRPr="00BC17EC">
              <w:rPr>
                <w:rFonts w:ascii="Times New Roman" w:hAnsi="Times New Roman" w:cs="Times New Roman"/>
                <w:sz w:val="24"/>
                <w:lang w:eastAsia="ja-JP"/>
              </w:rPr>
              <w:t>SVaR</w:t>
            </w:r>
            <w:proofErr w:type="spellEnd"/>
            <w:r w:rsidR="00F54018" w:rsidRPr="00BC17EC">
              <w:rPr>
                <w:rFonts w:ascii="Times New Roman" w:hAnsi="Times New Roman" w:cs="Times New Roman"/>
                <w:sz w:val="24"/>
                <w:lang w:eastAsia="ja-JP"/>
              </w:rPr>
              <w:t xml:space="preserve"> models  </w:t>
            </w:r>
          </w:p>
        </w:tc>
      </w:tr>
      <w:tr w:rsidR="00F54018" w:rsidRPr="00BC17EC" w14:paraId="4FCD4C2C" w14:textId="77777777" w:rsidTr="000B31B4">
        <w:tc>
          <w:tcPr>
            <w:tcW w:w="1172" w:type="dxa"/>
            <w:tcBorders>
              <w:top w:val="single" w:sz="4" w:space="0" w:color="auto"/>
              <w:left w:val="single" w:sz="4" w:space="0" w:color="auto"/>
              <w:bottom w:val="single" w:sz="4" w:space="0" w:color="auto"/>
              <w:right w:val="single" w:sz="4" w:space="0" w:color="auto"/>
            </w:tcBorders>
          </w:tcPr>
          <w:p w14:paraId="1132A316" w14:textId="2967416A" w:rsidR="00F54018" w:rsidRPr="00BC17EC" w:rsidRDefault="00E86C57"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w:t>
            </w:r>
            <w:r w:rsidR="009F0E2F" w:rsidRPr="00BC17EC">
              <w:rPr>
                <w:rFonts w:ascii="Times New Roman" w:hAnsi="Times New Roman" w:cs="Times New Roman"/>
                <w:sz w:val="24"/>
                <w:lang w:eastAsia="ja-JP"/>
              </w:rPr>
              <w:t>d</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5EA735F1" w14:textId="1184348A" w:rsidR="00F54018" w:rsidRPr="00BC17EC" w:rsidRDefault="009F0E2F" w:rsidP="009F0E2F">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A d</w:t>
            </w:r>
            <w:r w:rsidR="00F54018" w:rsidRPr="00BC17EC">
              <w:rPr>
                <w:rFonts w:ascii="Times New Roman" w:hAnsi="Times New Roman" w:cs="Times New Roman"/>
                <w:sz w:val="24"/>
                <w:lang w:eastAsia="ja-JP"/>
              </w:rPr>
              <w:t>iscussion of the main differences, if any, between the model</w:t>
            </w:r>
            <w:r w:rsidR="00E86C57" w:rsidRPr="00BC17EC">
              <w:rPr>
                <w:rFonts w:ascii="Times New Roman" w:hAnsi="Times New Roman" w:cs="Times New Roman"/>
                <w:sz w:val="24"/>
                <w:lang w:eastAsia="ja-JP"/>
              </w:rPr>
              <w:t>s</w:t>
            </w:r>
            <w:r w:rsidR="00F54018" w:rsidRPr="00BC17EC">
              <w:rPr>
                <w:rFonts w:ascii="Times New Roman" w:hAnsi="Times New Roman" w:cs="Times New Roman"/>
                <w:sz w:val="24"/>
                <w:lang w:eastAsia="ja-JP"/>
              </w:rPr>
              <w:t xml:space="preserve"> used for management purposes and the model used for regulatory purposes (10 day 99%) for </w:t>
            </w:r>
            <w:proofErr w:type="spellStart"/>
            <w:r w:rsidR="00F54018" w:rsidRPr="00BC17EC">
              <w:rPr>
                <w:rFonts w:ascii="Times New Roman" w:hAnsi="Times New Roman" w:cs="Times New Roman"/>
                <w:sz w:val="24"/>
                <w:lang w:eastAsia="ja-JP"/>
              </w:rPr>
              <w:t>VaR</w:t>
            </w:r>
            <w:proofErr w:type="spellEnd"/>
            <w:r w:rsidR="00F54018" w:rsidRPr="00BC17EC">
              <w:rPr>
                <w:rFonts w:ascii="Times New Roman" w:hAnsi="Times New Roman" w:cs="Times New Roman"/>
                <w:sz w:val="24"/>
                <w:lang w:eastAsia="ja-JP"/>
              </w:rPr>
              <w:t xml:space="preserve"> and </w:t>
            </w:r>
            <w:proofErr w:type="spellStart"/>
            <w:r w:rsidR="00F54018" w:rsidRPr="00BC17EC">
              <w:rPr>
                <w:rFonts w:ascii="Times New Roman" w:hAnsi="Times New Roman" w:cs="Times New Roman"/>
                <w:sz w:val="24"/>
                <w:lang w:eastAsia="ja-JP"/>
              </w:rPr>
              <w:t>SVaR</w:t>
            </w:r>
            <w:proofErr w:type="spellEnd"/>
            <w:r w:rsidR="00F54018" w:rsidRPr="00BC17EC">
              <w:rPr>
                <w:rFonts w:ascii="Times New Roman" w:hAnsi="Times New Roman" w:cs="Times New Roman"/>
                <w:sz w:val="24"/>
                <w:lang w:eastAsia="ja-JP"/>
              </w:rPr>
              <w:t xml:space="preserve"> models.</w:t>
            </w:r>
          </w:p>
        </w:tc>
      </w:tr>
      <w:tr w:rsidR="00F54018" w:rsidRPr="00BC17EC" w14:paraId="6A264991" w14:textId="77777777" w:rsidTr="000B31B4">
        <w:tc>
          <w:tcPr>
            <w:tcW w:w="1172" w:type="dxa"/>
            <w:tcBorders>
              <w:top w:val="single" w:sz="4" w:space="0" w:color="auto"/>
              <w:left w:val="single" w:sz="4" w:space="0" w:color="auto"/>
              <w:bottom w:val="nil"/>
              <w:right w:val="single" w:sz="4" w:space="0" w:color="auto"/>
            </w:tcBorders>
          </w:tcPr>
          <w:p w14:paraId="0D2AF337" w14:textId="6FE13249" w:rsidR="00F54018" w:rsidRPr="00BC17EC" w:rsidRDefault="00E86C57"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w:t>
            </w:r>
            <w:r w:rsidR="009F0E2F" w:rsidRPr="00BC17EC">
              <w:rPr>
                <w:rFonts w:ascii="Times New Roman" w:hAnsi="Times New Roman" w:cs="Times New Roman"/>
                <w:sz w:val="24"/>
                <w:lang w:eastAsia="ja-JP"/>
              </w:rPr>
              <w:t>e</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nil"/>
              <w:right w:val="single" w:sz="4" w:space="0" w:color="auto"/>
            </w:tcBorders>
          </w:tcPr>
          <w:p w14:paraId="43C14FFC" w14:textId="45B5814E" w:rsidR="00F54018" w:rsidRPr="00BC17EC" w:rsidRDefault="00F54018" w:rsidP="00E86C57">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For </w:t>
            </w:r>
            <w:proofErr w:type="spellStart"/>
            <w:r w:rsidRPr="00BC17EC">
              <w:rPr>
                <w:rFonts w:ascii="Times New Roman" w:hAnsi="Times New Roman" w:cs="Times New Roman"/>
                <w:sz w:val="24"/>
                <w:lang w:eastAsia="ja-JP"/>
              </w:rPr>
              <w:t>VaR</w:t>
            </w:r>
            <w:proofErr w:type="spellEnd"/>
            <w:r w:rsidRPr="00BC17EC">
              <w:rPr>
                <w:rFonts w:ascii="Times New Roman" w:hAnsi="Times New Roman" w:cs="Times New Roman"/>
                <w:sz w:val="24"/>
                <w:lang w:eastAsia="ja-JP"/>
              </w:rPr>
              <w:t xml:space="preserve"> models:</w:t>
            </w:r>
          </w:p>
        </w:tc>
      </w:tr>
      <w:tr w:rsidR="00E86C57" w:rsidRPr="00BC17EC" w14:paraId="694FF3E0" w14:textId="77777777" w:rsidTr="000B31B4">
        <w:tc>
          <w:tcPr>
            <w:tcW w:w="1172" w:type="dxa"/>
            <w:tcBorders>
              <w:top w:val="nil"/>
              <w:left w:val="single" w:sz="4" w:space="0" w:color="auto"/>
              <w:bottom w:val="nil"/>
              <w:right w:val="single" w:sz="4" w:space="0" w:color="auto"/>
            </w:tcBorders>
          </w:tcPr>
          <w:p w14:paraId="667EEBCB" w14:textId="114B9E9C" w:rsidR="00E86C57" w:rsidRPr="00BC17EC" w:rsidRDefault="00E86C57" w:rsidP="009F0E2F">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w:t>
            </w:r>
            <w:proofErr w:type="spellStart"/>
            <w:r w:rsidR="009F0E2F" w:rsidRPr="00BC17EC">
              <w:rPr>
                <w:rFonts w:ascii="Times New Roman" w:hAnsi="Times New Roman" w:cs="Times New Roman"/>
                <w:sz w:val="24"/>
                <w:lang w:eastAsia="ja-JP"/>
              </w:rPr>
              <w:t>i</w:t>
            </w:r>
            <w:proofErr w:type="spellEnd"/>
            <w:r w:rsidRPr="00BC17EC">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14:paraId="2E28ABB4" w14:textId="4B270BE6" w:rsidR="00E86C57" w:rsidRPr="00BC17EC" w:rsidRDefault="008A5212" w:rsidP="009F0E2F">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The data updating frequency;</w:t>
            </w:r>
          </w:p>
        </w:tc>
      </w:tr>
      <w:tr w:rsidR="00E86C57" w:rsidRPr="00BC17EC" w14:paraId="129B680F" w14:textId="77777777" w:rsidTr="000B31B4">
        <w:tc>
          <w:tcPr>
            <w:tcW w:w="1172" w:type="dxa"/>
            <w:tcBorders>
              <w:top w:val="nil"/>
              <w:left w:val="single" w:sz="4" w:space="0" w:color="auto"/>
              <w:bottom w:val="nil"/>
              <w:right w:val="single" w:sz="4" w:space="0" w:color="auto"/>
            </w:tcBorders>
          </w:tcPr>
          <w:p w14:paraId="6E387A9A" w14:textId="1E80BA94" w:rsidR="00E86C57" w:rsidRPr="00BC17EC" w:rsidRDefault="00E86C57" w:rsidP="009F0E2F">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w:t>
            </w:r>
            <w:r w:rsidR="009F0E2F" w:rsidRPr="00BC17EC">
              <w:rPr>
                <w:rFonts w:ascii="Times New Roman" w:hAnsi="Times New Roman" w:cs="Times New Roman"/>
                <w:sz w:val="24"/>
                <w:lang w:eastAsia="ja-JP"/>
              </w:rPr>
              <w:t>ii</w:t>
            </w:r>
            <w:r w:rsidRPr="00BC17EC">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14:paraId="07C4591D" w14:textId="276CC117" w:rsidR="00E86C57" w:rsidRPr="00BC17EC" w:rsidRDefault="009F0E2F" w:rsidP="009F0E2F">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The l</w:t>
            </w:r>
            <w:r w:rsidR="00E86C57" w:rsidRPr="00BC17EC">
              <w:rPr>
                <w:rFonts w:ascii="Times New Roman" w:hAnsi="Times New Roman" w:cs="Times New Roman"/>
                <w:sz w:val="24"/>
                <w:lang w:eastAsia="ja-JP"/>
              </w:rPr>
              <w:t xml:space="preserve">ength of the data period that </w:t>
            </w:r>
            <w:proofErr w:type="gramStart"/>
            <w:r w:rsidR="00E86C57" w:rsidRPr="00BC17EC">
              <w:rPr>
                <w:rFonts w:ascii="Times New Roman" w:hAnsi="Times New Roman" w:cs="Times New Roman"/>
                <w:sz w:val="24"/>
                <w:lang w:eastAsia="ja-JP"/>
              </w:rPr>
              <w:t>is used</w:t>
            </w:r>
            <w:proofErr w:type="gramEnd"/>
            <w:r w:rsidR="00E86C57" w:rsidRPr="00BC17EC">
              <w:rPr>
                <w:rFonts w:ascii="Times New Roman" w:hAnsi="Times New Roman" w:cs="Times New Roman"/>
                <w:sz w:val="24"/>
                <w:lang w:eastAsia="ja-JP"/>
              </w:rPr>
              <w:t xml:space="preserve"> to calibrate the model. </w:t>
            </w:r>
            <w:r w:rsidRPr="00BC17EC">
              <w:rPr>
                <w:rFonts w:ascii="Times New Roman" w:hAnsi="Times New Roman" w:cs="Times New Roman"/>
                <w:sz w:val="24"/>
                <w:lang w:eastAsia="ja-JP"/>
              </w:rPr>
              <w:t>A d</w:t>
            </w:r>
            <w:r w:rsidR="00E86C57" w:rsidRPr="00BC17EC">
              <w:rPr>
                <w:rFonts w:ascii="Times New Roman" w:hAnsi="Times New Roman" w:cs="Times New Roman"/>
                <w:sz w:val="24"/>
                <w:lang w:eastAsia="ja-JP"/>
              </w:rPr>
              <w:t>escri</w:t>
            </w:r>
            <w:r w:rsidRPr="00BC17EC">
              <w:rPr>
                <w:rFonts w:ascii="Times New Roman" w:hAnsi="Times New Roman" w:cs="Times New Roman"/>
                <w:sz w:val="24"/>
                <w:lang w:eastAsia="ja-JP"/>
              </w:rPr>
              <w:t xml:space="preserve">ption of </w:t>
            </w:r>
            <w:r w:rsidR="00E86C57" w:rsidRPr="00BC17EC">
              <w:rPr>
                <w:rFonts w:ascii="Times New Roman" w:hAnsi="Times New Roman" w:cs="Times New Roman"/>
                <w:sz w:val="24"/>
                <w:lang w:eastAsia="ja-JP"/>
              </w:rPr>
              <w:t>the weighting scheme that is used (if any);</w:t>
            </w:r>
          </w:p>
        </w:tc>
      </w:tr>
      <w:tr w:rsidR="00E86C57" w:rsidRPr="00BC17EC" w14:paraId="785B133F" w14:textId="77777777" w:rsidTr="000B31B4">
        <w:tc>
          <w:tcPr>
            <w:tcW w:w="1172" w:type="dxa"/>
            <w:tcBorders>
              <w:top w:val="nil"/>
              <w:left w:val="single" w:sz="4" w:space="0" w:color="auto"/>
              <w:bottom w:val="nil"/>
              <w:right w:val="single" w:sz="4" w:space="0" w:color="auto"/>
            </w:tcBorders>
          </w:tcPr>
          <w:p w14:paraId="6C1B7413" w14:textId="6A407884" w:rsidR="00E86C57" w:rsidRPr="00BC17EC" w:rsidRDefault="00E86C57" w:rsidP="009F0E2F">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w:t>
            </w:r>
            <w:r w:rsidR="009F0E2F" w:rsidRPr="00BC17EC">
              <w:rPr>
                <w:rFonts w:ascii="Times New Roman" w:hAnsi="Times New Roman" w:cs="Times New Roman"/>
                <w:sz w:val="24"/>
                <w:lang w:eastAsia="ja-JP"/>
              </w:rPr>
              <w:t>iii</w:t>
            </w:r>
            <w:r w:rsidRPr="00BC17EC">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14:paraId="7440E340" w14:textId="77D76E76" w:rsidR="00E86C57" w:rsidRPr="00BC17EC" w:rsidRDefault="009F0E2F" w:rsidP="009F0E2F">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A description on h</w:t>
            </w:r>
            <w:r w:rsidR="00E86C57" w:rsidRPr="00BC17EC">
              <w:rPr>
                <w:rFonts w:ascii="Times New Roman" w:hAnsi="Times New Roman" w:cs="Times New Roman"/>
                <w:sz w:val="24"/>
                <w:lang w:eastAsia="ja-JP"/>
              </w:rPr>
              <w:t xml:space="preserve">ow the institutions determines the 10-day holding period (for example, does it scale up a 1-day </w:t>
            </w:r>
            <w:proofErr w:type="spellStart"/>
            <w:r w:rsidR="00E86C57" w:rsidRPr="00BC17EC">
              <w:rPr>
                <w:rFonts w:ascii="Times New Roman" w:hAnsi="Times New Roman" w:cs="Times New Roman"/>
                <w:sz w:val="24"/>
                <w:lang w:eastAsia="ja-JP"/>
              </w:rPr>
              <w:t>VaR</w:t>
            </w:r>
            <w:proofErr w:type="spellEnd"/>
            <w:r w:rsidR="00E86C57" w:rsidRPr="00BC17EC">
              <w:rPr>
                <w:rFonts w:ascii="Times New Roman" w:hAnsi="Times New Roman" w:cs="Times New Roman"/>
                <w:sz w:val="24"/>
                <w:lang w:eastAsia="ja-JP"/>
              </w:rPr>
              <w:t xml:space="preserve"> by the square root of 10, or does it directly model the 10-day </w:t>
            </w:r>
            <w:proofErr w:type="spellStart"/>
            <w:r w:rsidR="00E86C57" w:rsidRPr="00BC17EC">
              <w:rPr>
                <w:rFonts w:ascii="Times New Roman" w:hAnsi="Times New Roman" w:cs="Times New Roman"/>
                <w:sz w:val="24"/>
                <w:lang w:eastAsia="ja-JP"/>
              </w:rPr>
              <w:t>VaR</w:t>
            </w:r>
            <w:proofErr w:type="spellEnd"/>
            <w:r w:rsidR="00E86C57" w:rsidRPr="00BC17EC">
              <w:rPr>
                <w:rFonts w:ascii="Times New Roman" w:hAnsi="Times New Roman" w:cs="Times New Roman"/>
                <w:sz w:val="24"/>
                <w:lang w:eastAsia="ja-JP"/>
              </w:rPr>
              <w:t>?);</w:t>
            </w:r>
          </w:p>
        </w:tc>
      </w:tr>
      <w:tr w:rsidR="00E86C57" w:rsidRPr="00BC17EC" w14:paraId="66F076D8" w14:textId="77777777" w:rsidTr="000B31B4">
        <w:tc>
          <w:tcPr>
            <w:tcW w:w="1172" w:type="dxa"/>
            <w:tcBorders>
              <w:top w:val="nil"/>
              <w:left w:val="single" w:sz="4" w:space="0" w:color="auto"/>
              <w:bottom w:val="nil"/>
              <w:right w:val="single" w:sz="4" w:space="0" w:color="auto"/>
            </w:tcBorders>
          </w:tcPr>
          <w:p w14:paraId="49ACC9BA" w14:textId="5E3B4EB9" w:rsidR="00E86C57" w:rsidRPr="00BC17EC" w:rsidRDefault="00E86C57" w:rsidP="009F0E2F">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w:t>
            </w:r>
            <w:r w:rsidR="009F0E2F" w:rsidRPr="00BC17EC">
              <w:rPr>
                <w:rFonts w:ascii="Times New Roman" w:hAnsi="Times New Roman" w:cs="Times New Roman"/>
                <w:sz w:val="24"/>
                <w:lang w:eastAsia="ja-JP"/>
              </w:rPr>
              <w:t>iv</w:t>
            </w:r>
            <w:r w:rsidRPr="00BC17EC">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14:paraId="04C3CF32" w14:textId="1EC75C0B" w:rsidR="00E86C57" w:rsidRPr="00BC17EC" w:rsidRDefault="009F0E2F" w:rsidP="009F0E2F">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A description of the a</w:t>
            </w:r>
            <w:r w:rsidR="00E86C57" w:rsidRPr="00BC17EC">
              <w:rPr>
                <w:rFonts w:ascii="Times New Roman" w:hAnsi="Times New Roman" w:cs="Times New Roman"/>
                <w:sz w:val="24"/>
                <w:lang w:eastAsia="ja-JP"/>
              </w:rPr>
              <w:t>ggregation approach, which is the method for aggregating the specific and general risk (i.e. do the institutions calculate the specific charge as a stand-alone charge by using a different method than the one used to calculate the general risk or do the institutions use a single model that diversifies general and specific risk?);</w:t>
            </w:r>
          </w:p>
        </w:tc>
      </w:tr>
      <w:tr w:rsidR="00E86C57" w:rsidRPr="00BC17EC" w14:paraId="67523BFC" w14:textId="77777777" w:rsidTr="000B31B4">
        <w:tc>
          <w:tcPr>
            <w:tcW w:w="1172" w:type="dxa"/>
            <w:tcBorders>
              <w:top w:val="nil"/>
              <w:left w:val="single" w:sz="4" w:space="0" w:color="auto"/>
              <w:bottom w:val="nil"/>
              <w:right w:val="single" w:sz="4" w:space="0" w:color="auto"/>
            </w:tcBorders>
          </w:tcPr>
          <w:p w14:paraId="4498F021" w14:textId="77B86C87" w:rsidR="00E86C57" w:rsidRPr="00BC17EC" w:rsidRDefault="00E86C57" w:rsidP="009F0E2F">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w:t>
            </w:r>
            <w:r w:rsidR="009F0E2F" w:rsidRPr="00BC17EC">
              <w:rPr>
                <w:rFonts w:ascii="Times New Roman" w:hAnsi="Times New Roman" w:cs="Times New Roman"/>
                <w:sz w:val="24"/>
                <w:lang w:eastAsia="ja-JP"/>
              </w:rPr>
              <w:t>v</w:t>
            </w:r>
            <w:r w:rsidRPr="00BC17EC">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14:paraId="3A40E9B3" w14:textId="0839E409" w:rsidR="00E86C57" w:rsidRPr="00BC17EC" w:rsidRDefault="00E86C57" w:rsidP="00E86C57">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Valuation approach (full revaluation or use of approximations);</w:t>
            </w:r>
          </w:p>
        </w:tc>
      </w:tr>
      <w:tr w:rsidR="00F54018" w:rsidRPr="00BC17EC" w14:paraId="2C82FC5A" w14:textId="77777777" w:rsidTr="000B31B4">
        <w:tc>
          <w:tcPr>
            <w:tcW w:w="1172" w:type="dxa"/>
            <w:tcBorders>
              <w:top w:val="nil"/>
              <w:left w:val="single" w:sz="4" w:space="0" w:color="auto"/>
              <w:bottom w:val="single" w:sz="4" w:space="0" w:color="auto"/>
              <w:right w:val="single" w:sz="4" w:space="0" w:color="auto"/>
            </w:tcBorders>
          </w:tcPr>
          <w:p w14:paraId="05D4DB0B" w14:textId="575416ED" w:rsidR="00F54018" w:rsidRPr="00BC17EC" w:rsidRDefault="009F0E2F" w:rsidP="009F0E2F">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{v</w:t>
            </w:r>
            <w:r w:rsidR="00934B75" w:rsidRPr="00BC17EC">
              <w:rPr>
                <w:rFonts w:ascii="Times New Roman" w:hAnsi="Times New Roman" w:cs="Times New Roman"/>
                <w:sz w:val="24"/>
                <w:lang w:eastAsia="ja-JP"/>
              </w:rPr>
              <w:t>i</w:t>
            </w:r>
            <w:r w:rsidRPr="00BC17EC">
              <w:rPr>
                <w:rFonts w:ascii="Times New Roman" w:hAnsi="Times New Roman" w:cs="Times New Roman"/>
                <w:sz w:val="24"/>
                <w:lang w:eastAsia="ja-JP"/>
              </w:rPr>
              <w:t>}</w:t>
            </w:r>
          </w:p>
        </w:tc>
        <w:tc>
          <w:tcPr>
            <w:tcW w:w="7242" w:type="dxa"/>
            <w:tcBorders>
              <w:top w:val="nil"/>
              <w:left w:val="single" w:sz="4" w:space="0" w:color="auto"/>
              <w:bottom w:val="single" w:sz="4" w:space="0" w:color="auto"/>
              <w:right w:val="single" w:sz="4" w:space="0" w:color="auto"/>
            </w:tcBorders>
          </w:tcPr>
          <w:p w14:paraId="51E3D584" w14:textId="61D7B33B" w:rsidR="00F54018" w:rsidRPr="00BC17EC" w:rsidRDefault="00F54018" w:rsidP="00E86C57">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Whether, when simulating potential movements in risk factors, absolute or relative returns (or </w:t>
            </w:r>
            <w:proofErr w:type="gramStart"/>
            <w:r w:rsidRPr="00BC17EC">
              <w:rPr>
                <w:rFonts w:ascii="Times New Roman" w:hAnsi="Times New Roman" w:cs="Times New Roman"/>
                <w:sz w:val="24"/>
                <w:lang w:eastAsia="ja-JP"/>
              </w:rPr>
              <w:t>a</w:t>
            </w:r>
            <w:r w:rsidR="00262F11">
              <w:rPr>
                <w:rFonts w:ascii="Times New Roman" w:hAnsi="Times New Roman" w:cs="Times New Roman"/>
                <w:sz w:val="24"/>
                <w:lang w:eastAsia="ja-JP"/>
              </w:rPr>
              <w:t xml:space="preserve"> </w:t>
            </w:r>
            <w:r w:rsidRPr="00BC17EC">
              <w:rPr>
                <w:rFonts w:ascii="Times New Roman" w:hAnsi="Times New Roman" w:cs="Times New Roman"/>
                <w:sz w:val="24"/>
                <w:lang w:eastAsia="ja-JP"/>
              </w:rPr>
              <w:t>mixed approach) are</w:t>
            </w:r>
            <w:proofErr w:type="gramEnd"/>
            <w:r w:rsidRPr="00BC17EC">
              <w:rPr>
                <w:rFonts w:ascii="Times New Roman" w:hAnsi="Times New Roman" w:cs="Times New Roman"/>
                <w:sz w:val="24"/>
                <w:lang w:eastAsia="ja-JP"/>
              </w:rPr>
              <w:t xml:space="preserve"> used (i.e. proportional change in prices or rates or absolute change in prices or rates).</w:t>
            </w:r>
          </w:p>
        </w:tc>
      </w:tr>
      <w:tr w:rsidR="009F0E2F" w:rsidRPr="00BC17EC" w14:paraId="107EF848" w14:textId="77777777" w:rsidTr="000B31B4">
        <w:tc>
          <w:tcPr>
            <w:tcW w:w="1172" w:type="dxa"/>
            <w:tcBorders>
              <w:top w:val="single" w:sz="4" w:space="0" w:color="auto"/>
              <w:left w:val="single" w:sz="4" w:space="0" w:color="auto"/>
              <w:bottom w:val="nil"/>
              <w:right w:val="single" w:sz="4" w:space="0" w:color="auto"/>
            </w:tcBorders>
          </w:tcPr>
          <w:p w14:paraId="2CDA26A1" w14:textId="4A1BF74D" w:rsidR="009F0E2F" w:rsidRPr="00BC17EC" w:rsidRDefault="009F0E2F"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{f}</w:t>
            </w:r>
          </w:p>
        </w:tc>
        <w:tc>
          <w:tcPr>
            <w:tcW w:w="7242" w:type="dxa"/>
            <w:tcBorders>
              <w:top w:val="single" w:sz="4" w:space="0" w:color="auto"/>
              <w:left w:val="single" w:sz="4" w:space="0" w:color="auto"/>
              <w:bottom w:val="nil"/>
              <w:right w:val="single" w:sz="4" w:space="0" w:color="auto"/>
            </w:tcBorders>
          </w:tcPr>
          <w:p w14:paraId="4808B119" w14:textId="2DEB1E97" w:rsidR="009F0E2F" w:rsidRPr="00BC17EC" w:rsidRDefault="009F0E2F" w:rsidP="009F0E2F">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For </w:t>
            </w:r>
            <w:proofErr w:type="spellStart"/>
            <w:r w:rsidRPr="00BC17EC">
              <w:rPr>
                <w:rFonts w:ascii="Times New Roman" w:hAnsi="Times New Roman" w:cs="Times New Roman"/>
                <w:sz w:val="24"/>
                <w:lang w:eastAsia="ja-JP"/>
              </w:rPr>
              <w:t>SVaR</w:t>
            </w:r>
            <w:proofErr w:type="spellEnd"/>
            <w:r w:rsidRPr="00BC17EC">
              <w:rPr>
                <w:rFonts w:ascii="Times New Roman" w:hAnsi="Times New Roman" w:cs="Times New Roman"/>
                <w:sz w:val="24"/>
                <w:lang w:eastAsia="ja-JP"/>
              </w:rPr>
              <w:t xml:space="preserve"> models:</w:t>
            </w:r>
          </w:p>
        </w:tc>
      </w:tr>
      <w:tr w:rsidR="009F0E2F" w:rsidRPr="00BC17EC" w14:paraId="79B4E4B5" w14:textId="77777777" w:rsidTr="000B31B4">
        <w:tc>
          <w:tcPr>
            <w:tcW w:w="1172" w:type="dxa"/>
            <w:tcBorders>
              <w:top w:val="nil"/>
              <w:left w:val="single" w:sz="4" w:space="0" w:color="auto"/>
              <w:bottom w:val="nil"/>
              <w:right w:val="single" w:sz="4" w:space="0" w:color="auto"/>
            </w:tcBorders>
          </w:tcPr>
          <w:p w14:paraId="5BF7516B" w14:textId="62BA2D56" w:rsidR="009F0E2F" w:rsidRPr="00BC17EC" w:rsidRDefault="009F0E2F" w:rsidP="000B31B4">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w:t>
            </w:r>
            <w:proofErr w:type="spellStart"/>
            <w:r w:rsidRPr="00BC17EC">
              <w:rPr>
                <w:rFonts w:ascii="Times New Roman" w:hAnsi="Times New Roman" w:cs="Times New Roman"/>
                <w:sz w:val="24"/>
                <w:lang w:eastAsia="ja-JP"/>
              </w:rPr>
              <w:t>i</w:t>
            </w:r>
            <w:proofErr w:type="spellEnd"/>
            <w:r w:rsidRPr="00BC17EC">
              <w:rPr>
                <w:rFonts w:ascii="Times New Roman" w:hAnsi="Times New Roman" w:cs="Times New Roman"/>
                <w:sz w:val="24"/>
                <w:lang w:eastAsia="ja-JP"/>
              </w:rPr>
              <w:t>}</w:t>
            </w:r>
          </w:p>
        </w:tc>
        <w:tc>
          <w:tcPr>
            <w:tcW w:w="7242" w:type="dxa"/>
            <w:tcBorders>
              <w:top w:val="nil"/>
              <w:left w:val="single" w:sz="4" w:space="0" w:color="auto"/>
              <w:bottom w:val="nil"/>
              <w:right w:val="single" w:sz="4" w:space="0" w:color="auto"/>
            </w:tcBorders>
          </w:tcPr>
          <w:p w14:paraId="39FB533C" w14:textId="3F49EDA2" w:rsidR="009F0E2F" w:rsidRPr="00BC17EC" w:rsidRDefault="000B31B4" w:rsidP="000B31B4">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A description on how </w:t>
            </w:r>
            <w:r w:rsidR="009F0E2F" w:rsidRPr="00BC17EC">
              <w:rPr>
                <w:rFonts w:ascii="Times New Roman" w:hAnsi="Times New Roman" w:cs="Times New Roman"/>
                <w:sz w:val="24"/>
                <w:lang w:eastAsia="ja-JP"/>
              </w:rPr>
              <w:t xml:space="preserve">the 10-day holding period is determined. For example, does the institution scale up a 1-day </w:t>
            </w:r>
            <w:proofErr w:type="spellStart"/>
            <w:r w:rsidR="009F0E2F" w:rsidRPr="00BC17EC">
              <w:rPr>
                <w:rFonts w:ascii="Times New Roman" w:hAnsi="Times New Roman" w:cs="Times New Roman"/>
                <w:sz w:val="24"/>
                <w:lang w:eastAsia="ja-JP"/>
              </w:rPr>
              <w:t>VaR</w:t>
            </w:r>
            <w:proofErr w:type="spellEnd"/>
            <w:r w:rsidR="009F0E2F" w:rsidRPr="00BC17EC">
              <w:rPr>
                <w:rFonts w:ascii="Times New Roman" w:hAnsi="Times New Roman" w:cs="Times New Roman"/>
                <w:sz w:val="24"/>
                <w:lang w:eastAsia="ja-JP"/>
              </w:rPr>
              <w:t xml:space="preserve"> by the square root of 10, or does it directly model the 10-day </w:t>
            </w:r>
            <w:proofErr w:type="spellStart"/>
            <w:r w:rsidR="009F0E2F" w:rsidRPr="00BC17EC">
              <w:rPr>
                <w:rFonts w:ascii="Times New Roman" w:hAnsi="Times New Roman" w:cs="Times New Roman"/>
                <w:sz w:val="24"/>
                <w:lang w:eastAsia="ja-JP"/>
              </w:rPr>
              <w:t>VaR</w:t>
            </w:r>
            <w:proofErr w:type="spellEnd"/>
            <w:r w:rsidR="009F0E2F" w:rsidRPr="00BC17EC">
              <w:rPr>
                <w:rFonts w:ascii="Times New Roman" w:hAnsi="Times New Roman" w:cs="Times New Roman"/>
                <w:sz w:val="24"/>
                <w:lang w:eastAsia="ja-JP"/>
              </w:rPr>
              <w:t xml:space="preserve">? If the approach is the same as for the </w:t>
            </w:r>
            <w:proofErr w:type="spellStart"/>
            <w:r w:rsidR="009F0E2F" w:rsidRPr="00BC17EC">
              <w:rPr>
                <w:rFonts w:ascii="Times New Roman" w:hAnsi="Times New Roman" w:cs="Times New Roman"/>
                <w:sz w:val="24"/>
                <w:lang w:eastAsia="ja-JP"/>
              </w:rPr>
              <w:t>VaR</w:t>
            </w:r>
            <w:proofErr w:type="spellEnd"/>
            <w:r w:rsidR="009F0E2F" w:rsidRPr="00BC17EC">
              <w:rPr>
                <w:rFonts w:ascii="Times New Roman" w:hAnsi="Times New Roman" w:cs="Times New Roman"/>
                <w:sz w:val="24"/>
                <w:lang w:eastAsia="ja-JP"/>
              </w:rPr>
              <w:t xml:space="preserve"> models, the institutions may confirm this and refer to disclosure (e) (iii) above;</w:t>
            </w:r>
          </w:p>
        </w:tc>
      </w:tr>
      <w:tr w:rsidR="009F0E2F" w:rsidRPr="00BC17EC" w14:paraId="1B30AC32" w14:textId="77777777" w:rsidTr="000B31B4">
        <w:tc>
          <w:tcPr>
            <w:tcW w:w="1172" w:type="dxa"/>
            <w:tcBorders>
              <w:top w:val="nil"/>
              <w:left w:val="single" w:sz="4" w:space="0" w:color="auto"/>
              <w:bottom w:val="nil"/>
              <w:right w:val="single" w:sz="4" w:space="0" w:color="auto"/>
            </w:tcBorders>
          </w:tcPr>
          <w:p w14:paraId="36CDDD3D" w14:textId="1B6A1DF4" w:rsidR="009F0E2F" w:rsidRPr="00BC17EC" w:rsidRDefault="009F0E2F" w:rsidP="000B31B4">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lastRenderedPageBreak/>
              <w:t>{ii}</w:t>
            </w:r>
          </w:p>
        </w:tc>
        <w:tc>
          <w:tcPr>
            <w:tcW w:w="7242" w:type="dxa"/>
            <w:tcBorders>
              <w:top w:val="nil"/>
              <w:left w:val="single" w:sz="4" w:space="0" w:color="auto"/>
              <w:bottom w:val="nil"/>
              <w:right w:val="single" w:sz="4" w:space="0" w:color="auto"/>
            </w:tcBorders>
          </w:tcPr>
          <w:p w14:paraId="12AD3E03" w14:textId="44B8D595" w:rsidR="009F0E2F" w:rsidRPr="00BC17EC" w:rsidRDefault="000B31B4" w:rsidP="000B31B4">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A description of t</w:t>
            </w:r>
            <w:r w:rsidR="009F0E2F" w:rsidRPr="00BC17EC">
              <w:rPr>
                <w:rFonts w:ascii="Times New Roman" w:hAnsi="Times New Roman" w:cs="Times New Roman"/>
                <w:sz w:val="24"/>
                <w:lang w:eastAsia="ja-JP"/>
              </w:rPr>
              <w:t>he stress period chosen by the institution and the rationale for this choice;</w:t>
            </w:r>
          </w:p>
        </w:tc>
      </w:tr>
      <w:tr w:rsidR="009F0E2F" w:rsidRPr="00BC17EC" w14:paraId="7229B5E5" w14:textId="77777777" w:rsidTr="000B31B4">
        <w:tc>
          <w:tcPr>
            <w:tcW w:w="1172" w:type="dxa"/>
            <w:tcBorders>
              <w:top w:val="nil"/>
              <w:left w:val="single" w:sz="4" w:space="0" w:color="auto"/>
              <w:bottom w:val="single" w:sz="4" w:space="0" w:color="auto"/>
              <w:right w:val="single" w:sz="4" w:space="0" w:color="auto"/>
            </w:tcBorders>
          </w:tcPr>
          <w:p w14:paraId="1A3CE14C" w14:textId="510BC7B9" w:rsidR="009F0E2F" w:rsidRPr="00BC17EC" w:rsidRDefault="009F0E2F" w:rsidP="000B31B4">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{iii}</w:t>
            </w:r>
          </w:p>
        </w:tc>
        <w:tc>
          <w:tcPr>
            <w:tcW w:w="7242" w:type="dxa"/>
            <w:tcBorders>
              <w:top w:val="nil"/>
              <w:left w:val="single" w:sz="4" w:space="0" w:color="auto"/>
              <w:bottom w:val="single" w:sz="4" w:space="0" w:color="auto"/>
              <w:right w:val="single" w:sz="4" w:space="0" w:color="auto"/>
            </w:tcBorders>
          </w:tcPr>
          <w:p w14:paraId="2C9BDAE8" w14:textId="0C4AC752" w:rsidR="009F0E2F" w:rsidRPr="00BC17EC" w:rsidRDefault="000B31B4" w:rsidP="000B31B4">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A description of the v</w:t>
            </w:r>
            <w:r w:rsidR="009F0E2F" w:rsidRPr="00BC17EC">
              <w:rPr>
                <w:rFonts w:ascii="Times New Roman" w:hAnsi="Times New Roman" w:cs="Times New Roman"/>
                <w:sz w:val="24"/>
                <w:lang w:eastAsia="ja-JP"/>
              </w:rPr>
              <w:t>aluation approach (full revaluation or use of approximations).</w:t>
            </w:r>
          </w:p>
        </w:tc>
      </w:tr>
      <w:tr w:rsidR="00FA6041" w:rsidRPr="00BC17EC" w14:paraId="4ADFB04B" w14:textId="77777777" w:rsidTr="00FA6041">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42FDF" w14:textId="2A65FB2A" w:rsidR="00FA6041" w:rsidRPr="00BC17EC" w:rsidRDefault="00FA6041" w:rsidP="000B31B4">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{g}</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168D6EC8" w14:textId="3B7F459C" w:rsidR="00FA6041" w:rsidRPr="00BC17EC" w:rsidRDefault="00A32673"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When disclosing information i</w:t>
            </w:r>
            <w:r w:rsidR="00FA6041" w:rsidRPr="00BC17EC">
              <w:rPr>
                <w:rFonts w:ascii="Times New Roman" w:hAnsi="Times New Roman" w:cs="Times New Roman"/>
                <w:sz w:val="24"/>
                <w:lang w:eastAsia="ja-JP"/>
              </w:rPr>
              <w:t xml:space="preserve">n accordance with </w:t>
            </w:r>
            <w:r w:rsidR="0084459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844594">
              <w:rPr>
                <w:rFonts w:ascii="Times New Roman" w:hAnsi="Times New Roman" w:cs="Times New Roman"/>
                <w:sz w:val="24"/>
                <w:lang w:eastAsia="ja-JP"/>
              </w:rPr>
              <w:t xml:space="preserve">(iii) of </w:t>
            </w:r>
            <w:r w:rsidR="00FA6041" w:rsidRPr="00BC17EC">
              <w:rPr>
                <w:rFonts w:ascii="Times New Roman" w:hAnsi="Times New Roman" w:cs="Times New Roman"/>
                <w:sz w:val="24"/>
                <w:lang w:eastAsia="ja-JP"/>
              </w:rPr>
              <w:t xml:space="preserve">Article 455 </w:t>
            </w:r>
            <w:r w:rsidR="00844594">
              <w:rPr>
                <w:rFonts w:ascii="Times New Roman" w:hAnsi="Times New Roman" w:cs="Times New Roman"/>
                <w:sz w:val="24"/>
                <w:lang w:eastAsia="ja-JP"/>
              </w:rPr>
              <w:t>CRR</w:t>
            </w:r>
            <w:r w:rsidRPr="00BC17EC">
              <w:rPr>
                <w:rFonts w:ascii="Times New Roman" w:hAnsi="Times New Roman" w:cs="Times New Roman"/>
                <w:sz w:val="24"/>
                <w:lang w:eastAsia="ja-JP"/>
              </w:rPr>
              <w:t>,</w:t>
            </w:r>
            <w:r w:rsidR="00FA6041"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institutions shall</w:t>
            </w:r>
            <w:r w:rsidR="00FA6041" w:rsidRPr="00BC17EC">
              <w:rPr>
                <w:rFonts w:ascii="Times New Roman" w:hAnsi="Times New Roman" w:cs="Times New Roman"/>
                <w:sz w:val="24"/>
                <w:lang w:eastAsia="ja-JP"/>
              </w:rPr>
              <w:t xml:space="preserve"> include a description of stress testing applied to the modelling parameters </w:t>
            </w:r>
            <w:r w:rsidR="00171BE6" w:rsidRPr="00BC17EC">
              <w:rPr>
                <w:rFonts w:ascii="Times New Roman" w:hAnsi="Times New Roman" w:cs="Times New Roman"/>
                <w:sz w:val="24"/>
                <w:lang w:eastAsia="ja-JP"/>
              </w:rPr>
              <w:t xml:space="preserve">consistent with </w:t>
            </w:r>
            <w:r w:rsidR="00B03D05" w:rsidRPr="00BC17EC">
              <w:rPr>
                <w:rFonts w:ascii="Times New Roman" w:hAnsi="Times New Roman" w:cs="Times New Roman"/>
                <w:sz w:val="24"/>
                <w:lang w:eastAsia="ja-JP"/>
              </w:rPr>
              <w:t xml:space="preserve">information disclosed according to </w:t>
            </w:r>
            <w:r w:rsidR="00FA6041" w:rsidRPr="00BC17EC">
              <w:rPr>
                <w:rFonts w:ascii="Times New Roman" w:hAnsi="Times New Roman" w:cs="Times New Roman"/>
                <w:sz w:val="24"/>
                <w:lang w:eastAsia="ja-JP"/>
              </w:rPr>
              <w:t xml:space="preserve">requirement {A}{a} above (main scenarios developed to capture the characteristics of the portfolios to which the </w:t>
            </w:r>
            <w:proofErr w:type="spellStart"/>
            <w:r w:rsidR="00FA6041" w:rsidRPr="00BC17EC">
              <w:rPr>
                <w:rFonts w:ascii="Times New Roman" w:hAnsi="Times New Roman" w:cs="Times New Roman"/>
                <w:sz w:val="24"/>
                <w:lang w:eastAsia="ja-JP"/>
              </w:rPr>
              <w:t>VaR</w:t>
            </w:r>
            <w:proofErr w:type="spellEnd"/>
            <w:r w:rsidR="00FA6041" w:rsidRPr="00BC17EC">
              <w:rPr>
                <w:rFonts w:ascii="Times New Roman" w:hAnsi="Times New Roman" w:cs="Times New Roman"/>
                <w:sz w:val="24"/>
                <w:lang w:eastAsia="ja-JP"/>
              </w:rPr>
              <w:t xml:space="preserve"> and </w:t>
            </w:r>
            <w:proofErr w:type="spellStart"/>
            <w:r w:rsidR="00FA6041" w:rsidRPr="00BC17EC">
              <w:rPr>
                <w:rFonts w:ascii="Times New Roman" w:hAnsi="Times New Roman" w:cs="Times New Roman"/>
                <w:sz w:val="24"/>
                <w:lang w:eastAsia="ja-JP"/>
              </w:rPr>
              <w:t>SVaR</w:t>
            </w:r>
            <w:proofErr w:type="spellEnd"/>
            <w:r w:rsidR="00FA6041" w:rsidRPr="00BC17EC">
              <w:rPr>
                <w:rFonts w:ascii="Times New Roman" w:hAnsi="Times New Roman" w:cs="Times New Roman"/>
                <w:sz w:val="24"/>
                <w:lang w:eastAsia="ja-JP"/>
              </w:rPr>
              <w:t xml:space="preserve"> models apply at the group level).</w:t>
            </w:r>
          </w:p>
        </w:tc>
      </w:tr>
      <w:tr w:rsidR="00FA6041" w:rsidRPr="00BC17EC" w14:paraId="2C0EE423" w14:textId="77777777" w:rsidTr="00FA6041">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7DDAF5" w14:textId="1DC52438" w:rsidR="00FA6041" w:rsidRPr="00BC17EC" w:rsidRDefault="00FA6041"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{h}</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45B3C9" w14:textId="1C9E39FB" w:rsidR="00FA6041" w:rsidRPr="00BC17EC" w:rsidRDefault="00A32673"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When disclosing information in accordance with </w:t>
            </w:r>
            <w:r w:rsidR="00CF14F7">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proofErr w:type="gramStart"/>
            <w:r w:rsidR="00CA3BC1">
              <w:rPr>
                <w:rFonts w:ascii="Times New Roman" w:hAnsi="Times New Roman" w:cs="Times New Roman"/>
                <w:sz w:val="24"/>
                <w:lang w:eastAsia="ja-JP"/>
              </w:rPr>
              <w:t>)</w:t>
            </w:r>
            <w:r w:rsidR="00CF14F7">
              <w:rPr>
                <w:rFonts w:ascii="Times New Roman" w:hAnsi="Times New Roman" w:cs="Times New Roman"/>
                <w:sz w:val="24"/>
                <w:lang w:eastAsia="ja-JP"/>
              </w:rPr>
              <w:t>(</w:t>
            </w:r>
            <w:proofErr w:type="gramEnd"/>
            <w:r w:rsidR="00CF14F7">
              <w:rPr>
                <w:rFonts w:ascii="Times New Roman" w:hAnsi="Times New Roman" w:cs="Times New Roman"/>
                <w:sz w:val="24"/>
                <w:lang w:eastAsia="ja-JP"/>
              </w:rPr>
              <w:t xml:space="preserve">iv) of </w:t>
            </w:r>
            <w:r w:rsidR="00171BE6" w:rsidRPr="00BC17EC">
              <w:rPr>
                <w:rFonts w:ascii="Times New Roman" w:hAnsi="Times New Roman" w:cs="Times New Roman"/>
                <w:sz w:val="24"/>
                <w:lang w:eastAsia="ja-JP"/>
              </w:rPr>
              <w:t xml:space="preserve">Article 455 </w:t>
            </w:r>
            <w:r w:rsidR="00CF14F7">
              <w:rPr>
                <w:rFonts w:ascii="Times New Roman" w:hAnsi="Times New Roman" w:cs="Times New Roman"/>
                <w:sz w:val="24"/>
                <w:lang w:eastAsia="ja-JP"/>
              </w:rPr>
              <w:t>CRR</w:t>
            </w:r>
            <w:r w:rsidRPr="00BC17EC">
              <w:rPr>
                <w:rFonts w:ascii="Times New Roman" w:hAnsi="Times New Roman" w:cs="Times New Roman"/>
                <w:sz w:val="24"/>
                <w:lang w:eastAsia="ja-JP"/>
              </w:rPr>
              <w:t>,</w:t>
            </w:r>
            <w:r w:rsidR="00171BE6" w:rsidRPr="00BC17EC">
              <w:rPr>
                <w:rFonts w:ascii="Times New Roman" w:hAnsi="Times New Roman" w:cs="Times New Roman"/>
                <w:sz w:val="24"/>
                <w:lang w:eastAsia="ja-JP"/>
              </w:rPr>
              <w:t xml:space="preserve"> institutions </w:t>
            </w:r>
            <w:r w:rsidRPr="00BC17EC">
              <w:rPr>
                <w:rFonts w:ascii="Times New Roman" w:hAnsi="Times New Roman" w:cs="Times New Roman"/>
                <w:sz w:val="24"/>
                <w:lang w:eastAsia="ja-JP"/>
              </w:rPr>
              <w:t>shall</w:t>
            </w:r>
            <w:r w:rsidR="00171BE6" w:rsidRPr="00BC17EC">
              <w:rPr>
                <w:rFonts w:ascii="Times New Roman" w:hAnsi="Times New Roman" w:cs="Times New Roman"/>
                <w:sz w:val="24"/>
                <w:lang w:eastAsia="ja-JP"/>
              </w:rPr>
              <w:t xml:space="preserve"> disclose a d</w:t>
            </w:r>
            <w:r w:rsidR="00FA6041" w:rsidRPr="00BC17EC">
              <w:rPr>
                <w:rFonts w:ascii="Times New Roman" w:hAnsi="Times New Roman" w:cs="Times New Roman"/>
                <w:sz w:val="24"/>
                <w:lang w:eastAsia="ja-JP"/>
              </w:rPr>
              <w:t xml:space="preserve">escription of the approach used for </w:t>
            </w:r>
            <w:proofErr w:type="spellStart"/>
            <w:r w:rsidR="00FA6041" w:rsidRPr="00BC17EC">
              <w:rPr>
                <w:rFonts w:ascii="Times New Roman" w:hAnsi="Times New Roman" w:cs="Times New Roman"/>
                <w:sz w:val="24"/>
                <w:lang w:eastAsia="ja-JP"/>
              </w:rPr>
              <w:t>backtesting</w:t>
            </w:r>
            <w:proofErr w:type="spellEnd"/>
            <w:r w:rsidR="00FA6041" w:rsidRPr="00BC17EC">
              <w:rPr>
                <w:rFonts w:ascii="Times New Roman" w:hAnsi="Times New Roman" w:cs="Times New Roman"/>
                <w:sz w:val="24"/>
                <w:lang w:eastAsia="ja-JP"/>
              </w:rPr>
              <w:t>/validating the accuracy and internal consistency of data and parameters used for the internal models and modelling processes.</w:t>
            </w:r>
          </w:p>
        </w:tc>
      </w:tr>
      <w:tr w:rsidR="009F0E2F" w:rsidRPr="00BC17EC" w14:paraId="3712EE8E" w14:textId="77777777" w:rsidTr="000B31B4">
        <w:tc>
          <w:tcPr>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EC072" w14:textId="54964F3B" w:rsidR="009F0E2F" w:rsidRPr="00BC17EC" w:rsidRDefault="000B31B4" w:rsidP="000B31B4">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9CD39" w14:textId="197CAC27" w:rsidR="009F0E2F" w:rsidRPr="00BC17EC" w:rsidRDefault="000B31B4" w:rsidP="00C2469C">
            <w:pPr>
              <w:spacing w:before="120" w:after="120"/>
              <w:jc w:val="both"/>
              <w:rPr>
                <w:rFonts w:ascii="Times New Roman" w:hAnsi="Times New Roman" w:cs="Times New Roman"/>
                <w:sz w:val="24"/>
                <w:lang w:eastAsia="ja-JP"/>
              </w:rPr>
            </w:pPr>
            <w:r w:rsidRPr="00BC17EC">
              <w:rPr>
                <w:rFonts w:ascii="Times New Roman" w:hAnsi="Times New Roman" w:cs="Times New Roman"/>
                <w:b/>
                <w:sz w:val="24"/>
                <w:lang w:eastAsia="ja-JP"/>
              </w:rPr>
              <w:t>Institutions using internal models to measure the own funds requirements for the incremental default and migration risk (IRC)</w:t>
            </w:r>
            <w:r w:rsidRPr="00BC17EC">
              <w:rPr>
                <w:rFonts w:ascii="Times New Roman" w:hAnsi="Times New Roman" w:cs="Times New Roman"/>
                <w:sz w:val="24"/>
                <w:lang w:eastAsia="ja-JP"/>
              </w:rPr>
              <w:t xml:space="preserve"> </w:t>
            </w:r>
            <w:r w:rsidR="004861EB" w:rsidRPr="00BC17EC">
              <w:rPr>
                <w:rFonts w:ascii="Times New Roman" w:hAnsi="Times New Roman" w:cs="Times New Roman"/>
                <w:sz w:val="24"/>
                <w:lang w:eastAsia="ja-JP"/>
              </w:rPr>
              <w:t xml:space="preserve">in accordance with </w:t>
            </w:r>
            <w:r w:rsidR="00EB7734">
              <w:rPr>
                <w:rFonts w:ascii="Times New Roman" w:hAnsi="Times New Roman" w:cs="Times New Roman"/>
                <w:sz w:val="24"/>
                <w:lang w:eastAsia="ja-JP"/>
              </w:rPr>
              <w:t>S</w:t>
            </w:r>
            <w:r w:rsidR="004861EB" w:rsidRPr="00BC17EC">
              <w:rPr>
                <w:rFonts w:ascii="Times New Roman" w:hAnsi="Times New Roman" w:cs="Times New Roman"/>
                <w:sz w:val="24"/>
                <w:lang w:eastAsia="ja-JP"/>
              </w:rPr>
              <w:t>ection</w:t>
            </w:r>
            <w:r w:rsidR="00EB7734">
              <w:rPr>
                <w:rFonts w:ascii="Times New Roman" w:hAnsi="Times New Roman" w:cs="Times New Roman"/>
                <w:sz w:val="24"/>
                <w:lang w:eastAsia="ja-JP"/>
              </w:rPr>
              <w:t>s</w:t>
            </w:r>
            <w:r w:rsidR="004861EB" w:rsidRPr="00BC17EC">
              <w:rPr>
                <w:rFonts w:ascii="Times New Roman" w:hAnsi="Times New Roman" w:cs="Times New Roman"/>
                <w:sz w:val="24"/>
                <w:lang w:eastAsia="ja-JP"/>
              </w:rPr>
              <w:t xml:space="preserve"> 3 and 4 of Chapter 5 </w:t>
            </w:r>
            <w:r w:rsidR="00EB7734">
              <w:rPr>
                <w:rFonts w:ascii="Times New Roman" w:hAnsi="Times New Roman" w:cs="Times New Roman"/>
                <w:sz w:val="24"/>
                <w:lang w:eastAsia="ja-JP"/>
              </w:rPr>
              <w:t xml:space="preserve">of </w:t>
            </w:r>
            <w:r w:rsidR="004861EB" w:rsidRPr="00BC17EC">
              <w:rPr>
                <w:rFonts w:ascii="Times New Roman" w:hAnsi="Times New Roman" w:cs="Times New Roman"/>
                <w:sz w:val="24"/>
                <w:lang w:eastAsia="ja-JP"/>
              </w:rPr>
              <w:t>Title IV</w:t>
            </w:r>
            <w:r w:rsidR="00E00837" w:rsidRPr="00BC17EC">
              <w:rPr>
                <w:rFonts w:ascii="Times New Roman" w:hAnsi="Times New Roman" w:cs="Times New Roman"/>
                <w:sz w:val="24"/>
                <w:lang w:eastAsia="ja-JP"/>
              </w:rPr>
              <w:t xml:space="preserve"> </w:t>
            </w:r>
            <w:r w:rsidR="00EB7734">
              <w:rPr>
                <w:rFonts w:ascii="Times New Roman" w:hAnsi="Times New Roman" w:cs="Times New Roman"/>
                <w:sz w:val="24"/>
                <w:lang w:eastAsia="ja-JP"/>
              </w:rPr>
              <w:t xml:space="preserve">of </w:t>
            </w:r>
            <w:r w:rsidR="00EB7734">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EB7734">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004861EB"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p>
        </w:tc>
      </w:tr>
      <w:tr w:rsidR="00FA6041" w:rsidRPr="00BC17EC" w14:paraId="132848FC" w14:textId="77777777" w:rsidTr="00997407">
        <w:tc>
          <w:tcPr>
            <w:tcW w:w="1172" w:type="dxa"/>
            <w:tcBorders>
              <w:top w:val="single" w:sz="4" w:space="0" w:color="auto"/>
              <w:left w:val="single" w:sz="4" w:space="0" w:color="auto"/>
              <w:bottom w:val="single" w:sz="4" w:space="0" w:color="auto"/>
              <w:right w:val="single" w:sz="4" w:space="0" w:color="auto"/>
            </w:tcBorders>
          </w:tcPr>
          <w:p w14:paraId="1D2BC99E" w14:textId="514FA25F" w:rsidR="00FA6041" w:rsidRPr="00BC17EC" w:rsidRDefault="00FA6041"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33E27ED4" w14:textId="453DC350" w:rsidR="00FA6041" w:rsidRPr="00BC17EC" w:rsidRDefault="003E1E5A"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When disclosing information 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proofErr w:type="gramStart"/>
            <w:r w:rsidR="00CA3BC1">
              <w:rPr>
                <w:rFonts w:ascii="Times New Roman" w:hAnsi="Times New Roman" w:cs="Times New Roman"/>
                <w:sz w:val="24"/>
                <w:lang w:eastAsia="ja-JP"/>
              </w:rPr>
              <w:t>)</w:t>
            </w:r>
            <w:r w:rsidR="00EB7734">
              <w:rPr>
                <w:rFonts w:ascii="Times New Roman" w:hAnsi="Times New Roman" w:cs="Times New Roman"/>
                <w:sz w:val="24"/>
                <w:lang w:eastAsia="ja-JP"/>
              </w:rPr>
              <w:t>(</w:t>
            </w:r>
            <w:proofErr w:type="gramEnd"/>
            <w:r w:rsidR="00EB7734">
              <w:rPr>
                <w:rFonts w:ascii="Times New Roman" w:hAnsi="Times New Roman" w:cs="Times New Roman"/>
                <w:sz w:val="24"/>
                <w:lang w:eastAsia="ja-JP"/>
              </w:rPr>
              <w:t xml:space="preserve">ii) of </w:t>
            </w:r>
            <w:r w:rsidRPr="00BC17EC">
              <w:rPr>
                <w:rFonts w:ascii="Times New Roman" w:hAnsi="Times New Roman" w:cs="Times New Roman"/>
                <w:sz w:val="24"/>
                <w:lang w:eastAsia="ja-JP"/>
              </w:rPr>
              <w:t xml:space="preserve">Article 455 and with </w:t>
            </w:r>
            <w:r w:rsidR="00CA3BC1">
              <w:rPr>
                <w:rFonts w:ascii="Times New Roman" w:hAnsi="Times New Roman" w:cs="Times New Roman"/>
                <w:sz w:val="24"/>
                <w:lang w:eastAsia="ja-JP"/>
              </w:rPr>
              <w:t xml:space="preserve">point (b) of </w:t>
            </w:r>
            <w:r w:rsidRPr="00BC17EC">
              <w:rPr>
                <w:rFonts w:ascii="Times New Roman" w:hAnsi="Times New Roman" w:cs="Times New Roman"/>
                <w:sz w:val="24"/>
                <w:lang w:eastAsia="ja-JP"/>
              </w:rPr>
              <w:t xml:space="preserve">Article 455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w:t>
            </w:r>
            <w:r w:rsidRPr="00BC17EC">
              <w:rPr>
                <w:rFonts w:ascii="Times New Roman" w:hAnsi="Times New Roman" w:cs="Times New Roman"/>
                <w:sz w:val="24"/>
                <w:lang w:eastAsia="ja-JP"/>
              </w:rPr>
              <w:t xml:space="preserve"> </w:t>
            </w:r>
            <w:r w:rsidR="00A32673" w:rsidRPr="00BC17EC">
              <w:rPr>
                <w:rFonts w:ascii="Times New Roman" w:hAnsi="Times New Roman" w:cs="Times New Roman"/>
                <w:sz w:val="24"/>
                <w:lang w:eastAsia="ja-JP"/>
              </w:rPr>
              <w:t>institutions</w:t>
            </w:r>
            <w:r w:rsidRPr="00BC17EC">
              <w:rPr>
                <w:rFonts w:ascii="Times New Roman" w:hAnsi="Times New Roman" w:cs="Times New Roman"/>
                <w:sz w:val="24"/>
                <w:lang w:eastAsia="ja-JP"/>
              </w:rPr>
              <w:t xml:space="preserve"> </w:t>
            </w:r>
            <w:r w:rsidR="00A32673" w:rsidRPr="00BC17EC">
              <w:rPr>
                <w:rFonts w:ascii="Times New Roman" w:hAnsi="Times New Roman" w:cs="Times New Roman"/>
                <w:sz w:val="24"/>
                <w:lang w:eastAsia="ja-JP"/>
              </w:rPr>
              <w:t>shall</w:t>
            </w:r>
            <w:r w:rsidRPr="00BC17EC">
              <w:rPr>
                <w:rFonts w:ascii="Times New Roman" w:hAnsi="Times New Roman" w:cs="Times New Roman"/>
                <w:sz w:val="24"/>
                <w:lang w:eastAsia="ja-JP"/>
              </w:rPr>
              <w:t xml:space="preserve"> include a d</w:t>
            </w:r>
            <w:r w:rsidR="00FA6041" w:rsidRPr="00BC17EC">
              <w:rPr>
                <w:rFonts w:ascii="Times New Roman" w:hAnsi="Times New Roman" w:cs="Times New Roman"/>
                <w:sz w:val="24"/>
                <w:lang w:eastAsia="ja-JP"/>
              </w:rPr>
              <w:t>escription of risks covered by the IRC models, specifying how they are distributed in portfolios/sub-portfolios for which the competent authority has granted permission.</w:t>
            </w:r>
          </w:p>
        </w:tc>
      </w:tr>
      <w:tr w:rsidR="00FA6041" w:rsidRPr="00BC17EC" w14:paraId="2AF5F12A" w14:textId="77777777" w:rsidTr="00997407">
        <w:tc>
          <w:tcPr>
            <w:tcW w:w="1172" w:type="dxa"/>
            <w:tcBorders>
              <w:top w:val="single" w:sz="4" w:space="0" w:color="auto"/>
              <w:left w:val="single" w:sz="4" w:space="0" w:color="auto"/>
              <w:bottom w:val="single" w:sz="4" w:space="0" w:color="auto"/>
              <w:right w:val="single" w:sz="4" w:space="0" w:color="auto"/>
            </w:tcBorders>
          </w:tcPr>
          <w:p w14:paraId="45B2DD77" w14:textId="7714F42B" w:rsidR="00FA6041" w:rsidRPr="00BC17EC" w:rsidRDefault="00FA6041"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79E6EBEE" w14:textId="18CFAD2D" w:rsidR="00FA6041" w:rsidRPr="00BC17EC" w:rsidRDefault="003E1E5A"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Inform</w:t>
            </w:r>
            <w:r w:rsidR="00E95E05" w:rsidRPr="00BC17EC">
              <w:rPr>
                <w:rFonts w:ascii="Times New Roman" w:hAnsi="Times New Roman" w:cs="Times New Roman"/>
                <w:sz w:val="24"/>
                <w:lang w:eastAsia="ja-JP"/>
              </w:rPr>
              <w:t xml:space="preserve">ation required in </w:t>
            </w:r>
            <w:r w:rsidR="00CA3BC1">
              <w:rPr>
                <w:rFonts w:ascii="Times New Roman" w:hAnsi="Times New Roman" w:cs="Times New Roman"/>
                <w:sz w:val="24"/>
                <w:lang w:eastAsia="ja-JP"/>
              </w:rPr>
              <w:t xml:space="preserve">point (b) of </w:t>
            </w:r>
            <w:r w:rsidR="00E95E05" w:rsidRPr="00BC17EC">
              <w:rPr>
                <w:rFonts w:ascii="Times New Roman" w:hAnsi="Times New Roman" w:cs="Times New Roman"/>
                <w:sz w:val="24"/>
                <w:lang w:eastAsia="ja-JP"/>
              </w:rPr>
              <w:t>Article 455</w:t>
            </w:r>
            <w:r w:rsidR="00EB7734">
              <w:rPr>
                <w:rFonts w:ascii="Times New Roman" w:hAnsi="Times New Roman" w:cs="Times New Roman"/>
                <w:sz w:val="24"/>
                <w:lang w:eastAsia="ja-JP"/>
              </w:rPr>
              <w:t xml:space="preserve"> CRR</w:t>
            </w:r>
            <w:r w:rsidRPr="00BC17EC">
              <w:rPr>
                <w:rFonts w:ascii="Times New Roman" w:hAnsi="Times New Roman" w:cs="Times New Roman"/>
                <w:sz w:val="24"/>
                <w:lang w:eastAsia="ja-JP"/>
              </w:rPr>
              <w:t xml:space="preserve"> </w:t>
            </w:r>
            <w:r w:rsidR="0060516B" w:rsidRPr="00BC17EC">
              <w:rPr>
                <w:rFonts w:ascii="Times New Roman" w:hAnsi="Times New Roman" w:cs="Times New Roman"/>
                <w:sz w:val="24"/>
                <w:lang w:eastAsia="ja-JP"/>
              </w:rPr>
              <w:t xml:space="preserve">must include </w:t>
            </w:r>
            <w:r w:rsidRPr="00BC17EC">
              <w:rPr>
                <w:rFonts w:ascii="Times New Roman" w:hAnsi="Times New Roman" w:cs="Times New Roman"/>
                <w:sz w:val="24"/>
                <w:lang w:eastAsia="ja-JP"/>
              </w:rPr>
              <w:t>a d</w:t>
            </w:r>
            <w:r w:rsidR="00FA6041" w:rsidRPr="00BC17EC">
              <w:rPr>
                <w:rFonts w:ascii="Times New Roman" w:hAnsi="Times New Roman" w:cs="Times New Roman"/>
                <w:sz w:val="24"/>
                <w:lang w:eastAsia="ja-JP"/>
              </w:rPr>
              <w:t>escription of the scope of application of the IRC model for which the competent authority has granted permission,</w:t>
            </w:r>
            <w:r w:rsidR="0060516B" w:rsidRPr="00BC17EC">
              <w:rPr>
                <w:rFonts w:ascii="Times New Roman" w:hAnsi="Times New Roman" w:cs="Times New Roman"/>
                <w:sz w:val="24"/>
                <w:lang w:eastAsia="ja-JP"/>
              </w:rPr>
              <w:t xml:space="preserve"> and</w:t>
            </w:r>
            <w:r w:rsidR="00FA6041" w:rsidRPr="00BC17EC">
              <w:rPr>
                <w:rFonts w:ascii="Times New Roman" w:hAnsi="Times New Roman" w:cs="Times New Roman"/>
                <w:sz w:val="24"/>
                <w:lang w:eastAsia="ja-JP"/>
              </w:rPr>
              <w:t xml:space="preserve"> </w:t>
            </w:r>
            <w:r w:rsidR="00A32673" w:rsidRPr="00BC17EC">
              <w:rPr>
                <w:rFonts w:ascii="Times New Roman" w:hAnsi="Times New Roman" w:cs="Times New Roman"/>
                <w:sz w:val="24"/>
                <w:lang w:eastAsia="ja-JP"/>
              </w:rPr>
              <w:t>shall</w:t>
            </w:r>
            <w:r w:rsidR="0060516B" w:rsidRPr="00BC17EC">
              <w:rPr>
                <w:rFonts w:ascii="Times New Roman" w:hAnsi="Times New Roman" w:cs="Times New Roman"/>
                <w:sz w:val="24"/>
                <w:lang w:eastAsia="ja-JP"/>
              </w:rPr>
              <w:t xml:space="preserve"> be complemented by information on </w:t>
            </w:r>
            <w:r w:rsidR="00FA6041" w:rsidRPr="00BC17EC">
              <w:rPr>
                <w:rFonts w:ascii="Times New Roman" w:hAnsi="Times New Roman" w:cs="Times New Roman"/>
                <w:sz w:val="24"/>
                <w:lang w:eastAsia="ja-JP"/>
              </w:rPr>
              <w:t>which entities in the group use these models and how the models represent all the models used at the group level, including the percentage of own funds requirements covered by the models /or if the same models of IRC is used for all entities with market risk exposure</w:t>
            </w:r>
          </w:p>
        </w:tc>
      </w:tr>
      <w:tr w:rsidR="00E95E05" w:rsidRPr="00BC17EC" w14:paraId="43F716D1" w14:textId="77777777" w:rsidTr="00DA01E7">
        <w:tc>
          <w:tcPr>
            <w:tcW w:w="1172" w:type="dxa"/>
            <w:tcBorders>
              <w:top w:val="single" w:sz="4" w:space="0" w:color="auto"/>
              <w:left w:val="single" w:sz="4" w:space="0" w:color="auto"/>
              <w:bottom w:val="single" w:sz="4" w:space="0" w:color="auto"/>
              <w:right w:val="nil"/>
            </w:tcBorders>
          </w:tcPr>
          <w:p w14:paraId="7E871F08" w14:textId="77777777" w:rsidR="00E95E05" w:rsidRPr="00BC17EC" w:rsidRDefault="00E95E05" w:rsidP="00DA01E7">
            <w:pPr>
              <w:spacing w:before="120" w:after="120"/>
              <w:jc w:val="center"/>
              <w:rPr>
                <w:rFonts w:ascii="Times New Roman" w:hAnsi="Times New Roman" w:cs="Times New Roman"/>
                <w:b/>
                <w:sz w:val="24"/>
                <w:lang w:eastAsia="ja-JP"/>
              </w:rPr>
            </w:pPr>
          </w:p>
        </w:tc>
        <w:tc>
          <w:tcPr>
            <w:tcW w:w="7242" w:type="dxa"/>
            <w:tcBorders>
              <w:top w:val="single" w:sz="4" w:space="0" w:color="auto"/>
              <w:left w:val="nil"/>
              <w:bottom w:val="single" w:sz="4" w:space="0" w:color="auto"/>
              <w:right w:val="single" w:sz="4" w:space="0" w:color="auto"/>
            </w:tcBorders>
          </w:tcPr>
          <w:p w14:paraId="20BE6A0C" w14:textId="72335336" w:rsidR="00E95E05" w:rsidRPr="00BC17EC" w:rsidRDefault="00E95E05"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Information </w:t>
            </w:r>
            <w:r w:rsidR="00B03D05" w:rsidRPr="00BC17EC">
              <w:rPr>
                <w:rFonts w:ascii="Times New Roman" w:hAnsi="Times New Roman" w:cs="Times New Roman"/>
                <w:sz w:val="24"/>
                <w:lang w:eastAsia="ja-JP"/>
              </w:rPr>
              <w:t xml:space="preserve">disclosed 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EB7734">
              <w:rPr>
                <w:rFonts w:ascii="Times New Roman" w:hAnsi="Times New Roman" w:cs="Times New Roman"/>
                <w:sz w:val="24"/>
                <w:lang w:eastAsia="ja-JP"/>
              </w:rPr>
              <w:t xml:space="preserve">(ii) of </w:t>
            </w:r>
            <w:r w:rsidR="00B03D05" w:rsidRPr="00BC17EC">
              <w:rPr>
                <w:rFonts w:ascii="Times New Roman" w:hAnsi="Times New Roman" w:cs="Times New Roman"/>
                <w:sz w:val="24"/>
                <w:lang w:eastAsia="ja-JP"/>
              </w:rPr>
              <w:t xml:space="preserve">Article 455 </w:t>
            </w:r>
            <w:r w:rsidR="00EB7734">
              <w:rPr>
                <w:rFonts w:ascii="Times New Roman" w:hAnsi="Times New Roman" w:cs="Times New Roman"/>
                <w:sz w:val="24"/>
                <w:lang w:eastAsia="ja-JP"/>
              </w:rPr>
              <w:t>CRR</w:t>
            </w:r>
            <w:r w:rsidR="00B03D05"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 xml:space="preserve">on the characteristics of the IRC models used </w:t>
            </w:r>
            <w:r w:rsidR="00A32673" w:rsidRPr="00BC17EC">
              <w:rPr>
                <w:rFonts w:ascii="Times New Roman" w:hAnsi="Times New Roman" w:cs="Times New Roman"/>
                <w:sz w:val="24"/>
                <w:lang w:eastAsia="ja-JP"/>
              </w:rPr>
              <w:t>shall</w:t>
            </w:r>
            <w:r w:rsidRPr="00BC17EC">
              <w:rPr>
                <w:rFonts w:ascii="Times New Roman" w:hAnsi="Times New Roman" w:cs="Times New Roman"/>
                <w:sz w:val="24"/>
                <w:lang w:eastAsia="ja-JP"/>
              </w:rPr>
              <w:t xml:space="preserve"> include:</w:t>
            </w:r>
          </w:p>
        </w:tc>
      </w:tr>
      <w:tr w:rsidR="00FA6041" w:rsidRPr="00BC17EC" w14:paraId="6D3C28F7" w14:textId="77777777" w:rsidTr="00997407">
        <w:tc>
          <w:tcPr>
            <w:tcW w:w="1172" w:type="dxa"/>
            <w:tcBorders>
              <w:top w:val="single" w:sz="4" w:space="0" w:color="auto"/>
              <w:left w:val="single" w:sz="4" w:space="0" w:color="auto"/>
              <w:bottom w:val="single" w:sz="4" w:space="0" w:color="auto"/>
              <w:right w:val="single" w:sz="4" w:space="0" w:color="auto"/>
            </w:tcBorders>
          </w:tcPr>
          <w:p w14:paraId="32C1711C" w14:textId="00D45626" w:rsidR="00FA6041" w:rsidRPr="00BC17EC" w:rsidRDefault="00171BE6"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{c}</w:t>
            </w:r>
          </w:p>
        </w:tc>
        <w:tc>
          <w:tcPr>
            <w:tcW w:w="7242" w:type="dxa"/>
            <w:tcBorders>
              <w:top w:val="single" w:sz="4" w:space="0" w:color="auto"/>
              <w:left w:val="single" w:sz="4" w:space="0" w:color="auto"/>
              <w:bottom w:val="single" w:sz="4" w:space="0" w:color="auto"/>
              <w:right w:val="single" w:sz="4" w:space="0" w:color="auto"/>
            </w:tcBorders>
          </w:tcPr>
          <w:p w14:paraId="421CFDAA" w14:textId="4DD77E1F" w:rsidR="00FA6041" w:rsidRPr="00BC17EC" w:rsidRDefault="00E95E05" w:rsidP="00E95E05">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A g</w:t>
            </w:r>
            <w:r w:rsidR="00FA6041" w:rsidRPr="00BC17EC">
              <w:rPr>
                <w:rFonts w:ascii="Times New Roman" w:hAnsi="Times New Roman" w:cs="Times New Roman"/>
                <w:sz w:val="24"/>
                <w:lang w:eastAsia="ja-JP"/>
              </w:rPr>
              <w:t>eneral description of the methodology used for internal models for incremental default and migration risk, including:</w:t>
            </w:r>
          </w:p>
        </w:tc>
      </w:tr>
      <w:tr w:rsidR="00171BE6" w:rsidRPr="00BC17EC" w14:paraId="5803A491" w14:textId="77777777" w:rsidTr="00997407">
        <w:tc>
          <w:tcPr>
            <w:tcW w:w="1172" w:type="dxa"/>
            <w:tcBorders>
              <w:top w:val="single" w:sz="4" w:space="0" w:color="auto"/>
              <w:left w:val="single" w:sz="4" w:space="0" w:color="auto"/>
              <w:bottom w:val="single" w:sz="4" w:space="0" w:color="auto"/>
              <w:right w:val="single" w:sz="4" w:space="0" w:color="auto"/>
            </w:tcBorders>
          </w:tcPr>
          <w:p w14:paraId="1CA14264" w14:textId="3ACBA913" w:rsidR="00171BE6" w:rsidRPr="00BC17EC" w:rsidRDefault="00171BE6" w:rsidP="00934B75">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w:t>
            </w:r>
            <w:proofErr w:type="spellStart"/>
            <w:r w:rsidRPr="00BC17EC">
              <w:rPr>
                <w:rFonts w:ascii="Times New Roman" w:hAnsi="Times New Roman" w:cs="Times New Roman"/>
                <w:sz w:val="24"/>
                <w:lang w:eastAsia="ja-JP"/>
              </w:rPr>
              <w:t>i</w:t>
            </w:r>
            <w:proofErr w:type="spellEnd"/>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717CB39E" w14:textId="5067B1A5" w:rsidR="00171BE6" w:rsidRPr="00BC17EC" w:rsidRDefault="00171BE6" w:rsidP="00934B75">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Information about the overall modelling approach (notably, the use of </w:t>
            </w:r>
            <w:r w:rsidR="008A5212" w:rsidRPr="00BC17EC">
              <w:rPr>
                <w:rFonts w:ascii="Times New Roman" w:hAnsi="Times New Roman" w:cs="Times New Roman"/>
                <w:sz w:val="24"/>
                <w:lang w:eastAsia="ja-JP"/>
              </w:rPr>
              <w:t>spread-based models or transition matrix-based models</w:t>
            </w:r>
            <w:r w:rsidRPr="00BC17EC">
              <w:rPr>
                <w:rFonts w:ascii="Times New Roman" w:hAnsi="Times New Roman" w:cs="Times New Roman"/>
                <w:sz w:val="24"/>
                <w:lang w:eastAsia="ja-JP"/>
              </w:rPr>
              <w:t>);</w:t>
            </w:r>
          </w:p>
        </w:tc>
      </w:tr>
      <w:tr w:rsidR="00171BE6" w:rsidRPr="00BC17EC" w14:paraId="20DF4D13" w14:textId="77777777" w:rsidTr="00997407">
        <w:tc>
          <w:tcPr>
            <w:tcW w:w="1172" w:type="dxa"/>
            <w:tcBorders>
              <w:top w:val="single" w:sz="4" w:space="0" w:color="auto"/>
              <w:left w:val="single" w:sz="4" w:space="0" w:color="auto"/>
              <w:bottom w:val="single" w:sz="4" w:space="0" w:color="auto"/>
              <w:right w:val="single" w:sz="4" w:space="0" w:color="auto"/>
            </w:tcBorders>
          </w:tcPr>
          <w:p w14:paraId="620BD0F0" w14:textId="4816782C" w:rsidR="00171BE6" w:rsidRPr="00BC17EC" w:rsidRDefault="00171BE6" w:rsidP="00934B75">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{ii}</w:t>
            </w:r>
          </w:p>
        </w:tc>
        <w:tc>
          <w:tcPr>
            <w:tcW w:w="7242" w:type="dxa"/>
            <w:tcBorders>
              <w:top w:val="single" w:sz="4" w:space="0" w:color="auto"/>
              <w:left w:val="single" w:sz="4" w:space="0" w:color="auto"/>
              <w:bottom w:val="single" w:sz="4" w:space="0" w:color="auto"/>
              <w:right w:val="single" w:sz="4" w:space="0" w:color="auto"/>
            </w:tcBorders>
          </w:tcPr>
          <w:p w14:paraId="7A5B6FDC" w14:textId="7C0AF76D" w:rsidR="00171BE6" w:rsidRPr="00BC17EC" w:rsidRDefault="00171BE6" w:rsidP="00934B75">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Information on the calibration of the transition matrix;</w:t>
            </w:r>
          </w:p>
        </w:tc>
      </w:tr>
      <w:tr w:rsidR="00171BE6" w:rsidRPr="00BC17EC" w14:paraId="1F77033D" w14:textId="77777777" w:rsidTr="00997407">
        <w:tc>
          <w:tcPr>
            <w:tcW w:w="1172" w:type="dxa"/>
            <w:tcBorders>
              <w:top w:val="single" w:sz="4" w:space="0" w:color="auto"/>
              <w:left w:val="single" w:sz="4" w:space="0" w:color="auto"/>
              <w:bottom w:val="single" w:sz="4" w:space="0" w:color="auto"/>
              <w:right w:val="single" w:sz="4" w:space="0" w:color="auto"/>
            </w:tcBorders>
          </w:tcPr>
          <w:p w14:paraId="5BCC00F9" w14:textId="1FFFFBD7" w:rsidR="00171BE6" w:rsidRPr="00BC17EC" w:rsidRDefault="00171BE6" w:rsidP="00934B75">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lastRenderedPageBreak/>
              <w:t>{iii}</w:t>
            </w:r>
          </w:p>
        </w:tc>
        <w:tc>
          <w:tcPr>
            <w:tcW w:w="7242" w:type="dxa"/>
            <w:tcBorders>
              <w:top w:val="single" w:sz="4" w:space="0" w:color="auto"/>
              <w:left w:val="single" w:sz="4" w:space="0" w:color="auto"/>
              <w:bottom w:val="single" w:sz="4" w:space="0" w:color="auto"/>
              <w:right w:val="single" w:sz="4" w:space="0" w:color="auto"/>
            </w:tcBorders>
          </w:tcPr>
          <w:p w14:paraId="3C4E35E9" w14:textId="2BD2FE5B" w:rsidR="00171BE6" w:rsidRPr="00BC17EC" w:rsidRDefault="00171BE6" w:rsidP="00934B75">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Information about correlation assumptions;</w:t>
            </w:r>
          </w:p>
        </w:tc>
      </w:tr>
      <w:tr w:rsidR="00FA6041" w:rsidRPr="00BC17EC" w14:paraId="59A6BD7D" w14:textId="77777777" w:rsidTr="00997407">
        <w:tc>
          <w:tcPr>
            <w:tcW w:w="1172" w:type="dxa"/>
            <w:tcBorders>
              <w:top w:val="single" w:sz="4" w:space="0" w:color="auto"/>
              <w:left w:val="single" w:sz="4" w:space="0" w:color="auto"/>
              <w:bottom w:val="single" w:sz="4" w:space="0" w:color="auto"/>
              <w:right w:val="single" w:sz="4" w:space="0" w:color="auto"/>
            </w:tcBorders>
          </w:tcPr>
          <w:p w14:paraId="42B6B735" w14:textId="079E8C6D" w:rsidR="00FA6041" w:rsidRPr="00BC17EC" w:rsidRDefault="00FA6041"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w:t>
            </w:r>
            <w:r w:rsidR="00171BE6" w:rsidRPr="00BC17EC">
              <w:rPr>
                <w:rFonts w:ascii="Times New Roman" w:hAnsi="Times New Roman" w:cs="Times New Roman"/>
                <w:sz w:val="24"/>
                <w:lang w:eastAsia="ja-JP"/>
              </w:rPr>
              <w:t>d</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769F55AD" w14:textId="38B5E83C" w:rsidR="00FA6041" w:rsidRPr="00BC17EC" w:rsidRDefault="00E95E05" w:rsidP="00E95E05">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Information disclosed must include </w:t>
            </w:r>
            <w:r w:rsidR="00B03D05" w:rsidRPr="00BC17EC">
              <w:rPr>
                <w:rFonts w:ascii="Times New Roman" w:hAnsi="Times New Roman" w:cs="Times New Roman"/>
                <w:sz w:val="24"/>
                <w:lang w:eastAsia="ja-JP"/>
              </w:rPr>
              <w:t xml:space="preserve">a description of </w:t>
            </w:r>
            <w:r w:rsidRPr="00BC17EC">
              <w:rPr>
                <w:rFonts w:ascii="Times New Roman" w:hAnsi="Times New Roman" w:cs="Times New Roman"/>
                <w:sz w:val="24"/>
                <w:lang w:eastAsia="ja-JP"/>
              </w:rPr>
              <w:t>the a</w:t>
            </w:r>
            <w:r w:rsidR="00FA6041" w:rsidRPr="00BC17EC">
              <w:rPr>
                <w:rFonts w:ascii="Times New Roman" w:hAnsi="Times New Roman" w:cs="Times New Roman"/>
                <w:sz w:val="24"/>
                <w:lang w:eastAsia="ja-JP"/>
              </w:rPr>
              <w:t>pproach used to determine liquidity horizons;</w:t>
            </w:r>
          </w:p>
        </w:tc>
      </w:tr>
      <w:tr w:rsidR="00FA6041" w:rsidRPr="00BC17EC" w14:paraId="0F708556" w14:textId="77777777" w:rsidTr="00997407">
        <w:tc>
          <w:tcPr>
            <w:tcW w:w="1172" w:type="dxa"/>
            <w:tcBorders>
              <w:top w:val="single" w:sz="4" w:space="0" w:color="auto"/>
              <w:left w:val="single" w:sz="4" w:space="0" w:color="auto"/>
              <w:bottom w:val="single" w:sz="4" w:space="0" w:color="auto"/>
              <w:right w:val="single" w:sz="4" w:space="0" w:color="auto"/>
            </w:tcBorders>
          </w:tcPr>
          <w:p w14:paraId="22FAA5B7" w14:textId="5D4FFCB6" w:rsidR="00FA6041" w:rsidRPr="00BC17EC" w:rsidRDefault="00FA6041"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w:t>
            </w:r>
            <w:r w:rsidR="00171BE6" w:rsidRPr="00BC17EC">
              <w:rPr>
                <w:rFonts w:ascii="Times New Roman" w:hAnsi="Times New Roman" w:cs="Times New Roman"/>
                <w:sz w:val="24"/>
                <w:lang w:eastAsia="ja-JP"/>
              </w:rPr>
              <w:t>e</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04B42EB5" w14:textId="7391BABD" w:rsidR="00FA6041" w:rsidRPr="00BC17EC" w:rsidRDefault="00E95E05" w:rsidP="00B03D05">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Information disclosed must include </w:t>
            </w:r>
            <w:r w:rsidR="00B03D05" w:rsidRPr="00BC17EC">
              <w:rPr>
                <w:rFonts w:ascii="Times New Roman" w:hAnsi="Times New Roman" w:cs="Times New Roman"/>
                <w:sz w:val="24"/>
                <w:lang w:eastAsia="ja-JP"/>
              </w:rPr>
              <w:t>a description of the m</w:t>
            </w:r>
            <w:r w:rsidR="00FA6041" w:rsidRPr="00BC17EC">
              <w:rPr>
                <w:rFonts w:ascii="Times New Roman" w:hAnsi="Times New Roman" w:cs="Times New Roman"/>
                <w:sz w:val="24"/>
                <w:lang w:eastAsia="ja-JP"/>
              </w:rPr>
              <w:t>ethodology used to achieve a capital assessment that is consistent with the required soundness standard;</w:t>
            </w:r>
          </w:p>
        </w:tc>
      </w:tr>
      <w:tr w:rsidR="00FA6041" w:rsidRPr="00BC17EC" w14:paraId="0C008DC9" w14:textId="77777777" w:rsidTr="00997407">
        <w:tc>
          <w:tcPr>
            <w:tcW w:w="1172" w:type="dxa"/>
            <w:tcBorders>
              <w:top w:val="single" w:sz="4" w:space="0" w:color="auto"/>
              <w:left w:val="single" w:sz="4" w:space="0" w:color="auto"/>
              <w:bottom w:val="single" w:sz="4" w:space="0" w:color="auto"/>
              <w:right w:val="single" w:sz="4" w:space="0" w:color="auto"/>
            </w:tcBorders>
          </w:tcPr>
          <w:p w14:paraId="22955FF1" w14:textId="28BD397E" w:rsidR="00FA6041" w:rsidRPr="00BC17EC" w:rsidRDefault="00FA6041" w:rsidP="00171BE6">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w:t>
            </w:r>
            <w:r w:rsidR="00171BE6" w:rsidRPr="00BC17EC">
              <w:rPr>
                <w:rFonts w:ascii="Times New Roman" w:hAnsi="Times New Roman" w:cs="Times New Roman"/>
                <w:sz w:val="24"/>
                <w:lang w:eastAsia="ja-JP"/>
              </w:rPr>
              <w:t>f</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578E5FDD" w14:textId="5702E464" w:rsidR="00FA6041" w:rsidRPr="00BC17EC" w:rsidRDefault="00B03D05" w:rsidP="00B03D05">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Information disclosed must include a description of the a</w:t>
            </w:r>
            <w:r w:rsidR="00FA6041" w:rsidRPr="00BC17EC">
              <w:rPr>
                <w:rFonts w:ascii="Times New Roman" w:hAnsi="Times New Roman" w:cs="Times New Roman"/>
                <w:sz w:val="24"/>
                <w:lang w:eastAsia="ja-JP"/>
              </w:rPr>
              <w:t>pproach used in the validation of the models.</w:t>
            </w:r>
          </w:p>
        </w:tc>
      </w:tr>
      <w:tr w:rsidR="00FA6041" w:rsidRPr="00BC17EC" w14:paraId="7A9180FE" w14:textId="77777777" w:rsidTr="00997407">
        <w:tc>
          <w:tcPr>
            <w:tcW w:w="1172" w:type="dxa"/>
            <w:tcBorders>
              <w:top w:val="single" w:sz="4" w:space="0" w:color="auto"/>
              <w:left w:val="single" w:sz="4" w:space="0" w:color="auto"/>
              <w:bottom w:val="single" w:sz="4" w:space="0" w:color="auto"/>
              <w:right w:val="single" w:sz="4" w:space="0" w:color="auto"/>
            </w:tcBorders>
          </w:tcPr>
          <w:p w14:paraId="7A122444" w14:textId="16950EAA" w:rsidR="00FA6041" w:rsidRPr="00BC17EC" w:rsidRDefault="00FA6041" w:rsidP="00171BE6">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w:t>
            </w:r>
            <w:r w:rsidR="00171BE6" w:rsidRPr="00BC17EC">
              <w:rPr>
                <w:rFonts w:ascii="Times New Roman" w:hAnsi="Times New Roman" w:cs="Times New Roman"/>
                <w:sz w:val="24"/>
                <w:lang w:eastAsia="ja-JP"/>
              </w:rPr>
              <w:t xml:space="preserve">g </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250637A5" w14:textId="360C43D7" w:rsidR="00FA6041" w:rsidRPr="00BC17EC" w:rsidRDefault="00171BE6" w:rsidP="00B03D05">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EB7734">
              <w:rPr>
                <w:rFonts w:ascii="Times New Roman" w:hAnsi="Times New Roman" w:cs="Times New Roman"/>
                <w:sz w:val="24"/>
                <w:lang w:eastAsia="ja-JP"/>
              </w:rPr>
              <w:t xml:space="preserve">(iii) of </w:t>
            </w:r>
            <w:r w:rsidRPr="00BC17EC">
              <w:rPr>
                <w:rFonts w:ascii="Times New Roman" w:hAnsi="Times New Roman" w:cs="Times New Roman"/>
                <w:sz w:val="24"/>
                <w:lang w:eastAsia="ja-JP"/>
              </w:rPr>
              <w:t xml:space="preserve">Article 455 </w:t>
            </w:r>
            <w:r w:rsidR="00EB7734">
              <w:rPr>
                <w:rFonts w:ascii="Times New Roman" w:hAnsi="Times New Roman" w:cs="Times New Roman"/>
                <w:sz w:val="24"/>
                <w:lang w:eastAsia="ja-JP"/>
              </w:rPr>
              <w:t>CRR</w:t>
            </w:r>
            <w:r w:rsidRPr="00BC17EC">
              <w:rPr>
                <w:rFonts w:ascii="Times New Roman" w:hAnsi="Times New Roman" w:cs="Times New Roman"/>
                <w:sz w:val="24"/>
                <w:lang w:eastAsia="ja-JP"/>
              </w:rPr>
              <w:t xml:space="preserve"> information disclosed must include a description of </w:t>
            </w:r>
            <w:r w:rsidR="00B03D05" w:rsidRPr="00BC17EC">
              <w:rPr>
                <w:rFonts w:ascii="Times New Roman" w:hAnsi="Times New Roman" w:cs="Times New Roman"/>
                <w:sz w:val="24"/>
                <w:lang w:eastAsia="ja-JP"/>
              </w:rPr>
              <w:t xml:space="preserve">the </w:t>
            </w:r>
            <w:r w:rsidR="00FA6041" w:rsidRPr="00BC17EC">
              <w:rPr>
                <w:rFonts w:ascii="Times New Roman" w:hAnsi="Times New Roman" w:cs="Times New Roman"/>
                <w:sz w:val="24"/>
                <w:lang w:eastAsia="ja-JP"/>
              </w:rPr>
              <w:t xml:space="preserve">stress testing applied to the modelling parameters </w:t>
            </w:r>
            <w:r w:rsidRPr="00BC17EC">
              <w:rPr>
                <w:rFonts w:ascii="Times New Roman" w:hAnsi="Times New Roman" w:cs="Times New Roman"/>
                <w:sz w:val="24"/>
                <w:lang w:eastAsia="ja-JP"/>
              </w:rPr>
              <w:t xml:space="preserve">consistent </w:t>
            </w:r>
            <w:r w:rsidR="00B03D05" w:rsidRPr="00BC17EC">
              <w:rPr>
                <w:rFonts w:ascii="Times New Roman" w:hAnsi="Times New Roman" w:cs="Times New Roman"/>
                <w:sz w:val="24"/>
                <w:lang w:eastAsia="ja-JP"/>
              </w:rPr>
              <w:t xml:space="preserve">with information disclosed </w:t>
            </w:r>
            <w:r w:rsidR="00586B1F">
              <w:rPr>
                <w:rFonts w:ascii="Times New Roman" w:hAnsi="Times New Roman" w:cs="Times New Roman"/>
                <w:sz w:val="24"/>
                <w:lang w:eastAsia="ja-JP"/>
              </w:rPr>
              <w:t>in accordance with</w:t>
            </w:r>
            <w:r w:rsidR="00B03D05" w:rsidRPr="00BC17EC">
              <w:rPr>
                <w:rFonts w:ascii="Times New Roman" w:hAnsi="Times New Roman" w:cs="Times New Roman"/>
                <w:sz w:val="24"/>
                <w:lang w:eastAsia="ja-JP"/>
              </w:rPr>
              <w:t xml:space="preserve"> requirement {B</w:t>
            </w:r>
            <w:r w:rsidRPr="00BC17EC">
              <w:rPr>
                <w:rFonts w:ascii="Times New Roman" w:hAnsi="Times New Roman" w:cs="Times New Roman"/>
                <w:sz w:val="24"/>
                <w:lang w:eastAsia="ja-JP"/>
              </w:rPr>
              <w:t xml:space="preserve">}{a} above </w:t>
            </w:r>
            <w:r w:rsidR="00FA6041" w:rsidRPr="00BC17EC">
              <w:rPr>
                <w:rFonts w:ascii="Times New Roman" w:hAnsi="Times New Roman" w:cs="Times New Roman"/>
                <w:sz w:val="24"/>
                <w:lang w:eastAsia="ja-JP"/>
              </w:rPr>
              <w:t>(main scenarios developed to capture the characteristics of the portfolios to which the IRC models apply at the group level).</w:t>
            </w:r>
          </w:p>
        </w:tc>
      </w:tr>
      <w:tr w:rsidR="00FA6041" w:rsidRPr="00BC17EC" w14:paraId="40508BBD" w14:textId="77777777" w:rsidTr="00934B75">
        <w:tc>
          <w:tcPr>
            <w:tcW w:w="1172" w:type="dxa"/>
            <w:tcBorders>
              <w:top w:val="single" w:sz="4" w:space="0" w:color="auto"/>
              <w:left w:val="single" w:sz="4" w:space="0" w:color="auto"/>
              <w:bottom w:val="single" w:sz="4" w:space="0" w:color="auto"/>
              <w:right w:val="single" w:sz="4" w:space="0" w:color="auto"/>
            </w:tcBorders>
          </w:tcPr>
          <w:p w14:paraId="2C812B9D" w14:textId="5D75AA25" w:rsidR="00FA6041" w:rsidRPr="00BC17EC" w:rsidRDefault="00FA6041"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w:t>
            </w:r>
            <w:r w:rsidR="00171BE6" w:rsidRPr="00BC17EC">
              <w:rPr>
                <w:rFonts w:ascii="Times New Roman" w:hAnsi="Times New Roman" w:cs="Times New Roman"/>
                <w:sz w:val="24"/>
                <w:lang w:eastAsia="ja-JP"/>
              </w:rPr>
              <w:t>h</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7272FC93" w14:textId="0F936773" w:rsidR="00FA6041" w:rsidRPr="00BC17EC" w:rsidRDefault="00171BE6" w:rsidP="00171BE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EB7734">
              <w:rPr>
                <w:rFonts w:ascii="Times New Roman" w:hAnsi="Times New Roman" w:cs="Times New Roman"/>
                <w:sz w:val="24"/>
                <w:lang w:eastAsia="ja-JP"/>
              </w:rPr>
              <w:t xml:space="preserve">(iv) of </w:t>
            </w:r>
            <w:r w:rsidRPr="00BC17EC">
              <w:rPr>
                <w:rFonts w:ascii="Times New Roman" w:hAnsi="Times New Roman" w:cs="Times New Roman"/>
                <w:sz w:val="24"/>
                <w:lang w:eastAsia="ja-JP"/>
              </w:rPr>
              <w:t xml:space="preserve">Article 455 </w:t>
            </w:r>
            <w:r w:rsidR="00EB7734">
              <w:rPr>
                <w:rFonts w:ascii="Times New Roman" w:hAnsi="Times New Roman" w:cs="Times New Roman"/>
                <w:sz w:val="24"/>
                <w:lang w:eastAsia="ja-JP"/>
              </w:rPr>
              <w:t>CRR</w:t>
            </w:r>
            <w:r w:rsidRPr="00BC17EC">
              <w:rPr>
                <w:rFonts w:ascii="Times New Roman" w:hAnsi="Times New Roman" w:cs="Times New Roman"/>
                <w:sz w:val="24"/>
                <w:lang w:eastAsia="ja-JP"/>
              </w:rPr>
              <w:t xml:space="preserve"> institutions must disclose a d</w:t>
            </w:r>
            <w:r w:rsidR="00FA6041" w:rsidRPr="00BC17EC">
              <w:rPr>
                <w:rFonts w:ascii="Times New Roman" w:hAnsi="Times New Roman" w:cs="Times New Roman"/>
                <w:sz w:val="24"/>
                <w:lang w:eastAsia="ja-JP"/>
              </w:rPr>
              <w:t xml:space="preserve">escription of the approach used for </w:t>
            </w:r>
            <w:proofErr w:type="spellStart"/>
            <w:r w:rsidR="00FA6041" w:rsidRPr="00BC17EC">
              <w:rPr>
                <w:rFonts w:ascii="Times New Roman" w:hAnsi="Times New Roman" w:cs="Times New Roman"/>
                <w:sz w:val="24"/>
                <w:lang w:eastAsia="ja-JP"/>
              </w:rPr>
              <w:t>backtesting</w:t>
            </w:r>
            <w:proofErr w:type="spellEnd"/>
            <w:r w:rsidR="00FA6041" w:rsidRPr="00BC17EC">
              <w:rPr>
                <w:rFonts w:ascii="Times New Roman" w:hAnsi="Times New Roman" w:cs="Times New Roman"/>
                <w:sz w:val="24"/>
                <w:lang w:eastAsia="ja-JP"/>
              </w:rPr>
              <w:t>/validating the accuracy and internal consistency of data and parameters used for the IRC internal models and modelling processes</w:t>
            </w:r>
          </w:p>
        </w:tc>
      </w:tr>
      <w:tr w:rsidR="00FA6041" w:rsidRPr="00BC17EC" w14:paraId="25EEE772" w14:textId="77777777" w:rsidTr="00934B75">
        <w:tc>
          <w:tcPr>
            <w:tcW w:w="1172" w:type="dxa"/>
            <w:tcBorders>
              <w:top w:val="single" w:sz="4" w:space="0" w:color="auto"/>
              <w:left w:val="single" w:sz="4" w:space="0" w:color="auto"/>
              <w:bottom w:val="single" w:sz="4" w:space="0" w:color="auto"/>
              <w:right w:val="nil"/>
            </w:tcBorders>
            <w:shd w:val="clear" w:color="auto" w:fill="F2F2F2" w:themeFill="background1" w:themeFillShade="F2"/>
          </w:tcPr>
          <w:p w14:paraId="793AF22E" w14:textId="443A48F3" w:rsidR="00FA6041"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{C}</w:t>
            </w:r>
          </w:p>
        </w:tc>
        <w:tc>
          <w:tcPr>
            <w:tcW w:w="7242" w:type="dxa"/>
            <w:tcBorders>
              <w:top w:val="single" w:sz="4" w:space="0" w:color="auto"/>
              <w:left w:val="nil"/>
              <w:bottom w:val="single" w:sz="4" w:space="0" w:color="auto"/>
              <w:right w:val="single" w:sz="4" w:space="0" w:color="auto"/>
            </w:tcBorders>
            <w:shd w:val="clear" w:color="auto" w:fill="F2F2F2" w:themeFill="background1" w:themeFillShade="F2"/>
          </w:tcPr>
          <w:p w14:paraId="6569C672" w14:textId="573CC646" w:rsidR="00FA6041" w:rsidRPr="00BC17EC" w:rsidRDefault="00FA6041" w:rsidP="00C2469C">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Institutions using internal models to measure own funds requirements for correlation trading portfolio (comprehensive risk measure) </w:t>
            </w:r>
            <w:r w:rsidR="00B03D05" w:rsidRPr="00BC17EC">
              <w:rPr>
                <w:rFonts w:ascii="Times New Roman" w:hAnsi="Times New Roman" w:cs="Times New Roman"/>
                <w:sz w:val="24"/>
                <w:lang w:eastAsia="ja-JP"/>
              </w:rPr>
              <w:t xml:space="preserve">in accordance with </w:t>
            </w:r>
            <w:r w:rsidR="00EB7734">
              <w:rPr>
                <w:rFonts w:ascii="Times New Roman" w:hAnsi="Times New Roman" w:cs="Times New Roman"/>
                <w:sz w:val="24"/>
                <w:lang w:eastAsia="ja-JP"/>
              </w:rPr>
              <w:t>S</w:t>
            </w:r>
            <w:r w:rsidR="00B03D05" w:rsidRPr="00BC17EC">
              <w:rPr>
                <w:rFonts w:ascii="Times New Roman" w:hAnsi="Times New Roman" w:cs="Times New Roman"/>
                <w:sz w:val="24"/>
                <w:lang w:eastAsia="ja-JP"/>
              </w:rPr>
              <w:t xml:space="preserve">ection 5 of Chapter 5 </w:t>
            </w:r>
            <w:r w:rsidR="00EB7734">
              <w:rPr>
                <w:rFonts w:ascii="Times New Roman" w:hAnsi="Times New Roman" w:cs="Times New Roman"/>
                <w:sz w:val="24"/>
                <w:lang w:eastAsia="ja-JP"/>
              </w:rPr>
              <w:t xml:space="preserve">of </w:t>
            </w:r>
            <w:r w:rsidR="00B03D05" w:rsidRPr="00BC17EC">
              <w:rPr>
                <w:rFonts w:ascii="Times New Roman" w:hAnsi="Times New Roman" w:cs="Times New Roman"/>
                <w:sz w:val="24"/>
                <w:lang w:eastAsia="ja-JP"/>
              </w:rPr>
              <w:t>Title IV</w:t>
            </w:r>
            <w:r w:rsidR="00E00837" w:rsidRPr="00BC17EC">
              <w:rPr>
                <w:rFonts w:ascii="Times New Roman" w:hAnsi="Times New Roman" w:cs="Times New Roman"/>
                <w:sz w:val="24"/>
                <w:lang w:eastAsia="ja-JP"/>
              </w:rPr>
              <w:t xml:space="preserve"> </w:t>
            </w:r>
            <w:r w:rsidR="00EB7734">
              <w:rPr>
                <w:rFonts w:ascii="Times New Roman" w:hAnsi="Times New Roman" w:cs="Times New Roman"/>
                <w:sz w:val="24"/>
                <w:lang w:eastAsia="ja-JP"/>
              </w:rPr>
              <w:t xml:space="preserve">of </w:t>
            </w:r>
            <w:r w:rsidR="00EB7734">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EB7734">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00B03D05"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p>
        </w:tc>
      </w:tr>
      <w:tr w:rsidR="00934B75" w:rsidRPr="00BC17EC" w14:paraId="6DD628EF" w14:textId="77777777" w:rsidTr="00934B7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8889F4" w14:textId="55DB0B7E" w:rsidR="00934B75"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4E21480E" w14:textId="4E1A5711" w:rsidR="00934B75" w:rsidRPr="00BC17EC" w:rsidRDefault="00B03D05"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When disclosing information 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proofErr w:type="gramStart"/>
            <w:r w:rsidR="00CA3BC1">
              <w:rPr>
                <w:rFonts w:ascii="Times New Roman" w:hAnsi="Times New Roman" w:cs="Times New Roman"/>
                <w:sz w:val="24"/>
                <w:lang w:eastAsia="ja-JP"/>
              </w:rPr>
              <w:t>)</w:t>
            </w:r>
            <w:r w:rsidR="00EB7734">
              <w:rPr>
                <w:rFonts w:ascii="Times New Roman" w:hAnsi="Times New Roman" w:cs="Times New Roman"/>
                <w:sz w:val="24"/>
                <w:lang w:eastAsia="ja-JP"/>
              </w:rPr>
              <w:t>(</w:t>
            </w:r>
            <w:proofErr w:type="gramEnd"/>
            <w:r w:rsidR="00EB7734">
              <w:rPr>
                <w:rFonts w:ascii="Times New Roman" w:hAnsi="Times New Roman" w:cs="Times New Roman"/>
                <w:sz w:val="24"/>
                <w:lang w:eastAsia="ja-JP"/>
              </w:rPr>
              <w:t xml:space="preserve">ii) of </w:t>
            </w:r>
            <w:r w:rsidRPr="00BC17EC">
              <w:rPr>
                <w:rFonts w:ascii="Times New Roman" w:hAnsi="Times New Roman" w:cs="Times New Roman"/>
                <w:sz w:val="24"/>
                <w:lang w:eastAsia="ja-JP"/>
              </w:rPr>
              <w:t xml:space="preserve">Article 455  and with </w:t>
            </w:r>
            <w:r w:rsidR="00CA3BC1">
              <w:rPr>
                <w:rFonts w:ascii="Times New Roman" w:hAnsi="Times New Roman" w:cs="Times New Roman"/>
                <w:sz w:val="24"/>
                <w:lang w:eastAsia="ja-JP"/>
              </w:rPr>
              <w:t xml:space="preserve">point (b) of </w:t>
            </w:r>
            <w:r w:rsidRPr="00BC17EC">
              <w:rPr>
                <w:rFonts w:ascii="Times New Roman" w:hAnsi="Times New Roman" w:cs="Times New Roman"/>
                <w:sz w:val="24"/>
                <w:lang w:eastAsia="ja-JP"/>
              </w:rPr>
              <w:t xml:space="preserve">Article 455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w:t>
            </w:r>
            <w:r w:rsidRPr="00BC17EC">
              <w:rPr>
                <w:rFonts w:ascii="Times New Roman" w:hAnsi="Times New Roman" w:cs="Times New Roman"/>
                <w:sz w:val="24"/>
                <w:lang w:eastAsia="ja-JP"/>
              </w:rPr>
              <w:t xml:space="preserve"> </w:t>
            </w:r>
            <w:r w:rsidR="00A32673" w:rsidRPr="00BC17EC">
              <w:rPr>
                <w:rFonts w:ascii="Times New Roman" w:hAnsi="Times New Roman" w:cs="Times New Roman"/>
                <w:sz w:val="24"/>
                <w:lang w:eastAsia="ja-JP"/>
              </w:rPr>
              <w:t>institutions shall</w:t>
            </w:r>
            <w:r w:rsidRPr="00BC17EC">
              <w:rPr>
                <w:rFonts w:ascii="Times New Roman" w:hAnsi="Times New Roman" w:cs="Times New Roman"/>
                <w:sz w:val="24"/>
                <w:lang w:eastAsia="ja-JP"/>
              </w:rPr>
              <w:t xml:space="preserve"> include a d</w:t>
            </w:r>
            <w:r w:rsidR="00934B75" w:rsidRPr="00BC17EC">
              <w:rPr>
                <w:rFonts w:ascii="Times New Roman" w:hAnsi="Times New Roman" w:cs="Times New Roman"/>
                <w:sz w:val="24"/>
                <w:lang w:eastAsia="ja-JP"/>
              </w:rPr>
              <w:t>escription of risks covered by the comprehensive risk measure models, specifying how they are distributed in portfolios/sub-portfolios for which the competent authority has granted permission.</w:t>
            </w:r>
          </w:p>
        </w:tc>
      </w:tr>
      <w:tr w:rsidR="00934B75" w:rsidRPr="00BC17EC" w14:paraId="10EEEE69" w14:textId="77777777" w:rsidTr="00B03D0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1ADB16C8" w14:textId="4F54B764" w:rsidR="00934B75"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5BB4A" w14:textId="638B1445" w:rsidR="00934B75" w:rsidRPr="00BC17EC" w:rsidRDefault="00B03D05" w:rsidP="00CA3BC1">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Information required in </w:t>
            </w:r>
            <w:r w:rsidR="00CA3BC1">
              <w:rPr>
                <w:rFonts w:ascii="Times New Roman" w:hAnsi="Times New Roman" w:cs="Times New Roman"/>
                <w:sz w:val="24"/>
                <w:lang w:eastAsia="ja-JP"/>
              </w:rPr>
              <w:t xml:space="preserve">point (b) of </w:t>
            </w:r>
            <w:r w:rsidRPr="00BC17EC">
              <w:rPr>
                <w:rFonts w:ascii="Times New Roman" w:hAnsi="Times New Roman" w:cs="Times New Roman"/>
                <w:sz w:val="24"/>
                <w:lang w:eastAsia="ja-JP"/>
              </w:rPr>
              <w:t xml:space="preserve">Article 455 </w:t>
            </w:r>
            <w:r w:rsidR="00EB7734">
              <w:rPr>
                <w:rFonts w:ascii="Times New Roman" w:hAnsi="Times New Roman" w:cs="Times New Roman"/>
                <w:sz w:val="24"/>
                <w:lang w:eastAsia="ja-JP"/>
              </w:rPr>
              <w:t xml:space="preserve">CRR </w:t>
            </w:r>
            <w:r w:rsidR="0060516B" w:rsidRPr="00BC17EC">
              <w:rPr>
                <w:rFonts w:ascii="Times New Roman" w:hAnsi="Times New Roman" w:cs="Times New Roman"/>
                <w:sz w:val="24"/>
                <w:lang w:eastAsia="ja-JP"/>
              </w:rPr>
              <w:t xml:space="preserve">must include </w:t>
            </w:r>
            <w:r w:rsidRPr="00BC17EC">
              <w:rPr>
                <w:rFonts w:ascii="Times New Roman" w:hAnsi="Times New Roman" w:cs="Times New Roman"/>
                <w:sz w:val="24"/>
                <w:lang w:eastAsia="ja-JP"/>
              </w:rPr>
              <w:t>a d</w:t>
            </w:r>
            <w:r w:rsidR="00934B75" w:rsidRPr="00BC17EC">
              <w:rPr>
                <w:rFonts w:ascii="Times New Roman" w:hAnsi="Times New Roman" w:cs="Times New Roman"/>
                <w:sz w:val="24"/>
                <w:lang w:eastAsia="ja-JP"/>
              </w:rPr>
              <w:t xml:space="preserve">escription of the scope of application of the  comprehensive risk measure models for which the competent authority has granted permission, </w:t>
            </w:r>
            <w:r w:rsidR="00A32673" w:rsidRPr="00BC17EC">
              <w:rPr>
                <w:rFonts w:ascii="Times New Roman" w:hAnsi="Times New Roman" w:cs="Times New Roman"/>
                <w:sz w:val="24"/>
                <w:lang w:eastAsia="ja-JP"/>
              </w:rPr>
              <w:t>shall</w:t>
            </w:r>
            <w:r w:rsidR="0060516B" w:rsidRPr="00BC17EC">
              <w:rPr>
                <w:rFonts w:ascii="Times New Roman" w:hAnsi="Times New Roman" w:cs="Times New Roman"/>
                <w:sz w:val="24"/>
                <w:lang w:eastAsia="ja-JP"/>
              </w:rPr>
              <w:t xml:space="preserve"> be complemented by information on </w:t>
            </w:r>
            <w:r w:rsidR="00934B75" w:rsidRPr="00BC17EC">
              <w:rPr>
                <w:rFonts w:ascii="Times New Roman" w:hAnsi="Times New Roman" w:cs="Times New Roman"/>
                <w:sz w:val="24"/>
                <w:lang w:eastAsia="ja-JP"/>
              </w:rPr>
              <w:t>which entities in the group use these models and how the models represent all the models used at the group level, including the percentage of own funds requirements covered by the models /or if the same models of IRC is used for all entities with market risk exposure</w:t>
            </w:r>
          </w:p>
        </w:tc>
      </w:tr>
      <w:tr w:rsidR="00B03D05" w:rsidRPr="00BC17EC" w14:paraId="165A87B5" w14:textId="77777777" w:rsidTr="00B03D05">
        <w:tc>
          <w:tcPr>
            <w:tcW w:w="1172" w:type="dxa"/>
            <w:tcBorders>
              <w:top w:val="single" w:sz="4" w:space="0" w:color="auto"/>
              <w:left w:val="single" w:sz="4" w:space="0" w:color="auto"/>
              <w:bottom w:val="single" w:sz="4" w:space="0" w:color="auto"/>
              <w:right w:val="nil"/>
            </w:tcBorders>
            <w:shd w:val="clear" w:color="auto" w:fill="FFFFFF" w:themeFill="background1"/>
          </w:tcPr>
          <w:p w14:paraId="644E71BE" w14:textId="77777777" w:rsidR="00B03D05" w:rsidRPr="00BC17EC" w:rsidRDefault="00B03D05" w:rsidP="00FA6041">
            <w:pPr>
              <w:spacing w:before="120" w:after="120"/>
              <w:jc w:val="center"/>
              <w:rPr>
                <w:rFonts w:ascii="Times New Roman" w:hAnsi="Times New Roman" w:cs="Times New Roman"/>
                <w:sz w:val="24"/>
                <w:lang w:eastAsia="ja-JP"/>
              </w:rPr>
            </w:pPr>
          </w:p>
        </w:tc>
        <w:tc>
          <w:tcPr>
            <w:tcW w:w="7242" w:type="dxa"/>
            <w:tcBorders>
              <w:top w:val="single" w:sz="4" w:space="0" w:color="auto"/>
              <w:left w:val="nil"/>
              <w:bottom w:val="single" w:sz="4" w:space="0" w:color="auto"/>
              <w:right w:val="single" w:sz="4" w:space="0" w:color="auto"/>
            </w:tcBorders>
            <w:shd w:val="clear" w:color="auto" w:fill="FFFFFF" w:themeFill="background1"/>
          </w:tcPr>
          <w:p w14:paraId="306E6662" w14:textId="699586E3" w:rsidR="00B03D05" w:rsidRPr="00BC17EC" w:rsidRDefault="00B03D05" w:rsidP="00A32673">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Information disclosed 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EB7734">
              <w:rPr>
                <w:rFonts w:ascii="Times New Roman" w:hAnsi="Times New Roman" w:cs="Times New Roman"/>
                <w:sz w:val="24"/>
                <w:lang w:eastAsia="ja-JP"/>
              </w:rPr>
              <w:t xml:space="preserve">(ii) of </w:t>
            </w:r>
            <w:r w:rsidRPr="00BC17EC">
              <w:rPr>
                <w:rFonts w:ascii="Times New Roman" w:hAnsi="Times New Roman" w:cs="Times New Roman"/>
                <w:sz w:val="24"/>
                <w:lang w:eastAsia="ja-JP"/>
              </w:rPr>
              <w:t xml:space="preserve">Article 455  </w:t>
            </w:r>
            <w:r w:rsidR="00EB7734">
              <w:rPr>
                <w:rFonts w:ascii="Times New Roman" w:hAnsi="Times New Roman" w:cs="Times New Roman"/>
                <w:sz w:val="24"/>
                <w:lang w:eastAsia="ja-JP"/>
              </w:rPr>
              <w:t>CRR</w:t>
            </w:r>
            <w:r w:rsidRPr="00BC17EC">
              <w:rPr>
                <w:rFonts w:ascii="Times New Roman" w:hAnsi="Times New Roman" w:cs="Times New Roman"/>
                <w:sz w:val="24"/>
                <w:lang w:eastAsia="ja-JP"/>
              </w:rPr>
              <w:t xml:space="preserve"> on the characteristics of the comprehensive risk measure models used </w:t>
            </w:r>
            <w:r w:rsidR="00A32673" w:rsidRPr="00BC17EC">
              <w:rPr>
                <w:rFonts w:ascii="Times New Roman" w:hAnsi="Times New Roman" w:cs="Times New Roman"/>
                <w:sz w:val="24"/>
                <w:lang w:eastAsia="ja-JP"/>
              </w:rPr>
              <w:t>shall</w:t>
            </w:r>
            <w:r w:rsidRPr="00BC17EC">
              <w:rPr>
                <w:rFonts w:ascii="Times New Roman" w:hAnsi="Times New Roman" w:cs="Times New Roman"/>
                <w:sz w:val="24"/>
                <w:lang w:eastAsia="ja-JP"/>
              </w:rPr>
              <w:t xml:space="preserve"> include:</w:t>
            </w:r>
          </w:p>
        </w:tc>
      </w:tr>
      <w:tr w:rsidR="00934B75" w:rsidRPr="00BC17EC" w14:paraId="0E5787D3" w14:textId="77777777" w:rsidTr="00934B7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9FDB" w14:textId="000C5046" w:rsidR="00934B75"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lastRenderedPageBreak/>
              <w:t>{c}</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7D284E7A" w14:textId="269541A8" w:rsidR="00934B75" w:rsidRPr="00BC17EC" w:rsidRDefault="00E95E05" w:rsidP="00E95E05">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A g</w:t>
            </w:r>
            <w:r w:rsidR="00934B75" w:rsidRPr="00BC17EC">
              <w:rPr>
                <w:rFonts w:ascii="Times New Roman" w:hAnsi="Times New Roman" w:cs="Times New Roman"/>
                <w:sz w:val="24"/>
                <w:lang w:eastAsia="ja-JP"/>
              </w:rPr>
              <w:t>eneral description of the methodology used for correlation trading, including:</w:t>
            </w:r>
          </w:p>
        </w:tc>
      </w:tr>
      <w:tr w:rsidR="00934B75" w:rsidRPr="00BC17EC" w14:paraId="5E5DEBA4" w14:textId="77777777" w:rsidTr="00934B75">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1C49" w14:textId="737031D8" w:rsidR="00934B75" w:rsidRPr="00BC17EC" w:rsidRDefault="00934B75" w:rsidP="00934B75">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w:t>
            </w:r>
            <w:proofErr w:type="spellStart"/>
            <w:r w:rsidRPr="00BC17EC">
              <w:rPr>
                <w:rFonts w:ascii="Times New Roman" w:hAnsi="Times New Roman" w:cs="Times New Roman"/>
                <w:sz w:val="24"/>
                <w:lang w:eastAsia="ja-JP"/>
              </w:rPr>
              <w:t>i</w:t>
            </w:r>
            <w:proofErr w:type="spellEnd"/>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14:paraId="6877FE26" w14:textId="0F08B13F" w:rsidR="00934B75" w:rsidRPr="00BC17EC" w:rsidRDefault="00934B75" w:rsidP="00934B75">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Information about the overall modelling approach (choice of model correlation between default/migrations and spread: (</w:t>
            </w:r>
            <w:proofErr w:type="spellStart"/>
            <w:r w:rsidRPr="00BC17EC">
              <w:rPr>
                <w:rFonts w:ascii="Times New Roman" w:hAnsi="Times New Roman" w:cs="Times New Roman"/>
                <w:sz w:val="24"/>
                <w:lang w:eastAsia="ja-JP"/>
              </w:rPr>
              <w:t>i</w:t>
            </w:r>
            <w:proofErr w:type="spellEnd"/>
            <w:r w:rsidRPr="00BC17EC">
              <w:rPr>
                <w:rFonts w:ascii="Times New Roman" w:hAnsi="Times New Roman" w:cs="Times New Roman"/>
                <w:sz w:val="24"/>
                <w:lang w:eastAsia="ja-JP"/>
              </w:rPr>
              <w:t>) separate but correlated stochastic processes driving migration/default and spread movement; (ii) spread changes driving migration/default; or (iii) default/migrations driving spread changes);</w:t>
            </w:r>
          </w:p>
        </w:tc>
      </w:tr>
      <w:tr w:rsidR="00934B75" w:rsidRPr="00BC17EC" w14:paraId="19E2289C" w14:textId="77777777" w:rsidTr="00997407">
        <w:tc>
          <w:tcPr>
            <w:tcW w:w="1172" w:type="dxa"/>
            <w:tcBorders>
              <w:top w:val="single" w:sz="4" w:space="0" w:color="auto"/>
              <w:left w:val="single" w:sz="4" w:space="0" w:color="auto"/>
              <w:bottom w:val="single" w:sz="4" w:space="0" w:color="auto"/>
              <w:right w:val="single" w:sz="4" w:space="0" w:color="auto"/>
            </w:tcBorders>
          </w:tcPr>
          <w:p w14:paraId="4C6E776B" w14:textId="7A233CED" w:rsidR="00934B75" w:rsidRPr="00BC17EC" w:rsidRDefault="00934B75" w:rsidP="00934B75">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{ii}</w:t>
            </w:r>
          </w:p>
        </w:tc>
        <w:tc>
          <w:tcPr>
            <w:tcW w:w="7242" w:type="dxa"/>
            <w:tcBorders>
              <w:top w:val="single" w:sz="4" w:space="0" w:color="auto"/>
              <w:left w:val="single" w:sz="4" w:space="0" w:color="auto"/>
              <w:bottom w:val="single" w:sz="4" w:space="0" w:color="auto"/>
              <w:right w:val="single" w:sz="4" w:space="0" w:color="auto"/>
            </w:tcBorders>
          </w:tcPr>
          <w:p w14:paraId="44E82BB9" w14:textId="5A378CDF" w:rsidR="00934B75" w:rsidRPr="00BC17EC" w:rsidRDefault="00934B75" w:rsidP="00934B75">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Information used to calibrate the parameters of the base correlation: LGD pricing of the tranches (constant or stochastic);</w:t>
            </w:r>
          </w:p>
        </w:tc>
      </w:tr>
      <w:tr w:rsidR="00934B75" w:rsidRPr="00BC17EC" w14:paraId="63DB172D" w14:textId="77777777" w:rsidTr="00997407">
        <w:tc>
          <w:tcPr>
            <w:tcW w:w="1172" w:type="dxa"/>
            <w:tcBorders>
              <w:top w:val="single" w:sz="4" w:space="0" w:color="auto"/>
              <w:left w:val="single" w:sz="4" w:space="0" w:color="auto"/>
              <w:bottom w:val="single" w:sz="4" w:space="0" w:color="auto"/>
              <w:right w:val="single" w:sz="4" w:space="0" w:color="auto"/>
            </w:tcBorders>
          </w:tcPr>
          <w:p w14:paraId="17A0722D" w14:textId="41F4453C" w:rsidR="00934B75" w:rsidRPr="00BC17EC" w:rsidRDefault="00934B75" w:rsidP="00934B75">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{iii}</w:t>
            </w:r>
          </w:p>
        </w:tc>
        <w:tc>
          <w:tcPr>
            <w:tcW w:w="7242" w:type="dxa"/>
            <w:tcBorders>
              <w:top w:val="single" w:sz="4" w:space="0" w:color="auto"/>
              <w:left w:val="single" w:sz="4" w:space="0" w:color="auto"/>
              <w:bottom w:val="single" w:sz="4" w:space="0" w:color="auto"/>
              <w:right w:val="single" w:sz="4" w:space="0" w:color="auto"/>
            </w:tcBorders>
          </w:tcPr>
          <w:p w14:paraId="0148E08C" w14:textId="43291E70" w:rsidR="00934B75" w:rsidRPr="00BC17EC" w:rsidRDefault="00934B75" w:rsidP="00934B75">
            <w:pPr>
              <w:spacing w:before="120" w:after="120"/>
              <w:ind w:left="280"/>
              <w:jc w:val="both"/>
              <w:rPr>
                <w:rFonts w:ascii="Times New Roman" w:hAnsi="Times New Roman" w:cs="Times New Roman"/>
                <w:sz w:val="24"/>
                <w:lang w:eastAsia="ja-JP"/>
              </w:rPr>
            </w:pPr>
            <w:r w:rsidRPr="00BC17EC">
              <w:rPr>
                <w:rFonts w:ascii="Times New Roman" w:hAnsi="Times New Roman" w:cs="Times New Roman"/>
                <w:sz w:val="24"/>
                <w:lang w:eastAsia="ja-JP"/>
              </w:rPr>
              <w:t>Information on the choice of whether to age positions (profits and losses based on the simulated market movement in the model calculated based on the time to expiry of each position at the end of the 1-year capital horizon or using their time to expiry at the calculation date);</w:t>
            </w:r>
          </w:p>
        </w:tc>
      </w:tr>
      <w:tr w:rsidR="00934B75" w:rsidRPr="00BC17EC" w14:paraId="39CF9DF8" w14:textId="77777777" w:rsidTr="00997407">
        <w:tc>
          <w:tcPr>
            <w:tcW w:w="1172" w:type="dxa"/>
            <w:tcBorders>
              <w:top w:val="single" w:sz="4" w:space="0" w:color="auto"/>
              <w:left w:val="single" w:sz="4" w:space="0" w:color="auto"/>
              <w:bottom w:val="single" w:sz="4" w:space="0" w:color="auto"/>
              <w:right w:val="single" w:sz="4" w:space="0" w:color="auto"/>
            </w:tcBorders>
          </w:tcPr>
          <w:p w14:paraId="38CECE98" w14:textId="13BDBFF3" w:rsidR="00934B75"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{d}</w:t>
            </w:r>
          </w:p>
        </w:tc>
        <w:tc>
          <w:tcPr>
            <w:tcW w:w="7242" w:type="dxa"/>
            <w:tcBorders>
              <w:top w:val="single" w:sz="4" w:space="0" w:color="auto"/>
              <w:left w:val="single" w:sz="4" w:space="0" w:color="auto"/>
              <w:bottom w:val="single" w:sz="4" w:space="0" w:color="auto"/>
              <w:right w:val="single" w:sz="4" w:space="0" w:color="auto"/>
            </w:tcBorders>
          </w:tcPr>
          <w:p w14:paraId="70D86CB7" w14:textId="7A3CECBA" w:rsidR="00934B75" w:rsidRPr="00BC17EC" w:rsidRDefault="006449C6" w:rsidP="006449C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Information disclosed must include a description of the a</w:t>
            </w:r>
            <w:r w:rsidR="00934B75" w:rsidRPr="00BC17EC">
              <w:rPr>
                <w:rFonts w:ascii="Times New Roman" w:hAnsi="Times New Roman" w:cs="Times New Roman"/>
                <w:sz w:val="24"/>
                <w:lang w:eastAsia="ja-JP"/>
              </w:rPr>
              <w:t>pproach used to determine liquidity horizons.</w:t>
            </w:r>
          </w:p>
        </w:tc>
      </w:tr>
      <w:tr w:rsidR="00934B75" w:rsidRPr="00BC17EC" w14:paraId="37A1AB08" w14:textId="77777777" w:rsidTr="00997407">
        <w:tc>
          <w:tcPr>
            <w:tcW w:w="1172" w:type="dxa"/>
            <w:tcBorders>
              <w:top w:val="single" w:sz="4" w:space="0" w:color="auto"/>
              <w:left w:val="single" w:sz="4" w:space="0" w:color="auto"/>
              <w:bottom w:val="single" w:sz="4" w:space="0" w:color="auto"/>
              <w:right w:val="single" w:sz="4" w:space="0" w:color="auto"/>
            </w:tcBorders>
          </w:tcPr>
          <w:p w14:paraId="1717B02B" w14:textId="71797A88" w:rsidR="00934B75"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{e}</w:t>
            </w:r>
          </w:p>
        </w:tc>
        <w:tc>
          <w:tcPr>
            <w:tcW w:w="7242" w:type="dxa"/>
            <w:tcBorders>
              <w:top w:val="single" w:sz="4" w:space="0" w:color="auto"/>
              <w:left w:val="single" w:sz="4" w:space="0" w:color="auto"/>
              <w:bottom w:val="single" w:sz="4" w:space="0" w:color="auto"/>
              <w:right w:val="single" w:sz="4" w:space="0" w:color="auto"/>
            </w:tcBorders>
          </w:tcPr>
          <w:p w14:paraId="02CE18FF" w14:textId="187D1A0E" w:rsidR="00934B75" w:rsidRPr="00BC17EC" w:rsidRDefault="006449C6" w:rsidP="006449C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Information disclosed must include a description of the m</w:t>
            </w:r>
            <w:r w:rsidR="00934B75" w:rsidRPr="00BC17EC">
              <w:rPr>
                <w:rFonts w:ascii="Times New Roman" w:hAnsi="Times New Roman" w:cs="Times New Roman"/>
                <w:sz w:val="24"/>
                <w:lang w:eastAsia="ja-JP"/>
              </w:rPr>
              <w:t>ethodology used to achieve a capital assessment that is consistent with the required soundness standard.</w:t>
            </w:r>
          </w:p>
        </w:tc>
      </w:tr>
      <w:tr w:rsidR="00934B75" w:rsidRPr="00BC17EC" w14:paraId="64CC6B8F" w14:textId="77777777" w:rsidTr="00997407">
        <w:tc>
          <w:tcPr>
            <w:tcW w:w="1172" w:type="dxa"/>
            <w:tcBorders>
              <w:top w:val="single" w:sz="4" w:space="0" w:color="auto"/>
              <w:left w:val="single" w:sz="4" w:space="0" w:color="auto"/>
              <w:bottom w:val="single" w:sz="4" w:space="0" w:color="auto"/>
              <w:right w:val="single" w:sz="4" w:space="0" w:color="auto"/>
            </w:tcBorders>
          </w:tcPr>
          <w:p w14:paraId="76E07299" w14:textId="5C5EA885" w:rsidR="00934B75" w:rsidRPr="00BC17EC" w:rsidRDefault="00934B75" w:rsidP="00FA6041">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{f}</w:t>
            </w:r>
          </w:p>
        </w:tc>
        <w:tc>
          <w:tcPr>
            <w:tcW w:w="7242" w:type="dxa"/>
            <w:tcBorders>
              <w:top w:val="single" w:sz="4" w:space="0" w:color="auto"/>
              <w:left w:val="single" w:sz="4" w:space="0" w:color="auto"/>
              <w:bottom w:val="single" w:sz="4" w:space="0" w:color="auto"/>
              <w:right w:val="single" w:sz="4" w:space="0" w:color="auto"/>
            </w:tcBorders>
          </w:tcPr>
          <w:p w14:paraId="1B9957DD" w14:textId="502F1322" w:rsidR="00934B75" w:rsidRPr="00BC17EC" w:rsidRDefault="006449C6" w:rsidP="006449C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Information disclosed must include a description of the a</w:t>
            </w:r>
            <w:r w:rsidR="00934B75" w:rsidRPr="00BC17EC">
              <w:rPr>
                <w:rFonts w:ascii="Times New Roman" w:hAnsi="Times New Roman" w:cs="Times New Roman"/>
                <w:sz w:val="24"/>
                <w:lang w:eastAsia="ja-JP"/>
              </w:rPr>
              <w:t>pproach used in the validation of the models.</w:t>
            </w:r>
          </w:p>
        </w:tc>
      </w:tr>
      <w:tr w:rsidR="00934B75" w:rsidRPr="00BC17EC" w14:paraId="556D5225" w14:textId="77777777" w:rsidTr="00997407">
        <w:tc>
          <w:tcPr>
            <w:tcW w:w="1172" w:type="dxa"/>
            <w:tcBorders>
              <w:top w:val="single" w:sz="4" w:space="0" w:color="auto"/>
              <w:left w:val="single" w:sz="4" w:space="0" w:color="auto"/>
              <w:bottom w:val="single" w:sz="4" w:space="0" w:color="auto"/>
              <w:right w:val="single" w:sz="4" w:space="0" w:color="auto"/>
            </w:tcBorders>
          </w:tcPr>
          <w:p w14:paraId="78BC5BBC" w14:textId="3673CC8F" w:rsidR="00934B75" w:rsidRPr="00BC17EC" w:rsidRDefault="00934B75" w:rsidP="006449C6">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{g }</w:t>
            </w:r>
          </w:p>
        </w:tc>
        <w:tc>
          <w:tcPr>
            <w:tcW w:w="7242" w:type="dxa"/>
            <w:tcBorders>
              <w:top w:val="single" w:sz="4" w:space="0" w:color="auto"/>
              <w:left w:val="single" w:sz="4" w:space="0" w:color="auto"/>
              <w:bottom w:val="single" w:sz="4" w:space="0" w:color="auto"/>
              <w:right w:val="single" w:sz="4" w:space="0" w:color="auto"/>
            </w:tcBorders>
          </w:tcPr>
          <w:p w14:paraId="6D1839C6" w14:textId="28649AEB" w:rsidR="00934B75" w:rsidRPr="00BC17EC" w:rsidRDefault="006449C6" w:rsidP="006449C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EB7734">
              <w:rPr>
                <w:rFonts w:ascii="Times New Roman" w:hAnsi="Times New Roman" w:cs="Times New Roman"/>
                <w:sz w:val="24"/>
                <w:lang w:eastAsia="ja-JP"/>
              </w:rPr>
              <w:t xml:space="preserve">(iii) of </w:t>
            </w:r>
            <w:r w:rsidRPr="00BC17EC">
              <w:rPr>
                <w:rFonts w:ascii="Times New Roman" w:hAnsi="Times New Roman" w:cs="Times New Roman"/>
                <w:sz w:val="24"/>
                <w:lang w:eastAsia="ja-JP"/>
              </w:rPr>
              <w:t xml:space="preserve">Article 455 </w:t>
            </w:r>
            <w:r w:rsidR="00EB7734">
              <w:rPr>
                <w:rFonts w:ascii="Times New Roman" w:hAnsi="Times New Roman" w:cs="Times New Roman"/>
                <w:sz w:val="24"/>
                <w:lang w:eastAsia="ja-JP"/>
              </w:rPr>
              <w:t>CRR</w:t>
            </w:r>
            <w:r w:rsidRPr="00BC17EC">
              <w:rPr>
                <w:rFonts w:ascii="Times New Roman" w:hAnsi="Times New Roman" w:cs="Times New Roman"/>
                <w:sz w:val="24"/>
                <w:lang w:eastAsia="ja-JP"/>
              </w:rPr>
              <w:t xml:space="preserve"> information disclosed must include a description of the d</w:t>
            </w:r>
            <w:r w:rsidR="00934B75" w:rsidRPr="00BC17EC">
              <w:rPr>
                <w:rFonts w:ascii="Times New Roman" w:hAnsi="Times New Roman" w:cs="Times New Roman"/>
                <w:sz w:val="24"/>
                <w:lang w:eastAsia="ja-JP"/>
              </w:rPr>
              <w:t>escription of stress testing applied to the modelling parameters (main scenarios developed to capture the characteristics of the portfolios to which the comprehensive risk measure models apply at the group level).</w:t>
            </w:r>
          </w:p>
        </w:tc>
      </w:tr>
      <w:tr w:rsidR="00934B75" w:rsidRPr="00BC17EC" w14:paraId="2895B9F3" w14:textId="77777777" w:rsidTr="00997407">
        <w:tc>
          <w:tcPr>
            <w:tcW w:w="1172" w:type="dxa"/>
            <w:tcBorders>
              <w:top w:val="single" w:sz="4" w:space="0" w:color="auto"/>
              <w:left w:val="single" w:sz="4" w:space="0" w:color="auto"/>
              <w:bottom w:val="single" w:sz="4" w:space="0" w:color="auto"/>
              <w:right w:val="single" w:sz="4" w:space="0" w:color="auto"/>
            </w:tcBorders>
          </w:tcPr>
          <w:p w14:paraId="61BB5E8B" w14:textId="137B666A" w:rsidR="00934B75" w:rsidRPr="00BC17EC" w:rsidRDefault="00934B75" w:rsidP="00934B75">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{h}</w:t>
            </w:r>
          </w:p>
        </w:tc>
        <w:tc>
          <w:tcPr>
            <w:tcW w:w="7242" w:type="dxa"/>
            <w:tcBorders>
              <w:top w:val="single" w:sz="4" w:space="0" w:color="auto"/>
              <w:left w:val="single" w:sz="4" w:space="0" w:color="auto"/>
              <w:bottom w:val="single" w:sz="4" w:space="0" w:color="auto"/>
              <w:right w:val="single" w:sz="4" w:space="0" w:color="auto"/>
            </w:tcBorders>
          </w:tcPr>
          <w:p w14:paraId="6C26D3BC" w14:textId="3697E4CA" w:rsidR="00934B75" w:rsidRPr="00BC17EC" w:rsidRDefault="006449C6" w:rsidP="006449C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In accordance with </w:t>
            </w:r>
            <w:r w:rsidR="00EB7734">
              <w:rPr>
                <w:rFonts w:ascii="Times New Roman" w:hAnsi="Times New Roman" w:cs="Times New Roman"/>
                <w:sz w:val="24"/>
                <w:lang w:eastAsia="ja-JP"/>
              </w:rPr>
              <w:t xml:space="preserve">point </w:t>
            </w:r>
            <w:r w:rsidR="00CA3BC1">
              <w:rPr>
                <w:rFonts w:ascii="Times New Roman" w:hAnsi="Times New Roman" w:cs="Times New Roman"/>
                <w:sz w:val="24"/>
                <w:lang w:eastAsia="ja-JP"/>
              </w:rPr>
              <w:t>(a)</w:t>
            </w:r>
            <w:r w:rsidR="00EB7734">
              <w:rPr>
                <w:rFonts w:ascii="Times New Roman" w:hAnsi="Times New Roman" w:cs="Times New Roman"/>
                <w:sz w:val="24"/>
                <w:lang w:eastAsia="ja-JP"/>
              </w:rPr>
              <w:t xml:space="preserve">(iv) of </w:t>
            </w:r>
            <w:r w:rsidRPr="00BC17EC">
              <w:rPr>
                <w:rFonts w:ascii="Times New Roman" w:hAnsi="Times New Roman" w:cs="Times New Roman"/>
                <w:sz w:val="24"/>
                <w:lang w:eastAsia="ja-JP"/>
              </w:rPr>
              <w:t>Article 455</w:t>
            </w:r>
            <w:r w:rsidR="00262F11">
              <w:rPr>
                <w:rFonts w:ascii="Times New Roman" w:hAnsi="Times New Roman" w:cs="Times New Roman"/>
                <w:sz w:val="24"/>
                <w:lang w:eastAsia="ja-JP"/>
              </w:rPr>
              <w:t xml:space="preserve"> </w:t>
            </w:r>
            <w:r w:rsidR="00EB7734">
              <w:rPr>
                <w:rFonts w:ascii="Times New Roman" w:hAnsi="Times New Roman" w:cs="Times New Roman"/>
                <w:sz w:val="24"/>
                <w:lang w:eastAsia="ja-JP"/>
              </w:rPr>
              <w:t>CRR</w:t>
            </w:r>
            <w:r w:rsidRPr="00BC17EC">
              <w:rPr>
                <w:rFonts w:ascii="Times New Roman" w:hAnsi="Times New Roman" w:cs="Times New Roman"/>
                <w:sz w:val="24"/>
                <w:lang w:eastAsia="ja-JP"/>
              </w:rPr>
              <w:t xml:space="preserve"> information disclosed must include a description of the </w:t>
            </w:r>
            <w:r w:rsidR="00934B75" w:rsidRPr="00BC17EC">
              <w:rPr>
                <w:rFonts w:ascii="Times New Roman" w:hAnsi="Times New Roman" w:cs="Times New Roman"/>
                <w:sz w:val="24"/>
                <w:lang w:eastAsia="ja-JP"/>
              </w:rPr>
              <w:t xml:space="preserve">approach used for </w:t>
            </w:r>
            <w:proofErr w:type="spellStart"/>
            <w:r w:rsidR="00934B75" w:rsidRPr="00BC17EC">
              <w:rPr>
                <w:rFonts w:ascii="Times New Roman" w:hAnsi="Times New Roman" w:cs="Times New Roman"/>
                <w:sz w:val="24"/>
                <w:lang w:eastAsia="ja-JP"/>
              </w:rPr>
              <w:t>backtesting</w:t>
            </w:r>
            <w:proofErr w:type="spellEnd"/>
            <w:r w:rsidR="00934B75" w:rsidRPr="00BC17EC">
              <w:rPr>
                <w:rFonts w:ascii="Times New Roman" w:hAnsi="Times New Roman" w:cs="Times New Roman"/>
                <w:sz w:val="24"/>
                <w:lang w:eastAsia="ja-JP"/>
              </w:rPr>
              <w:t>/validating the accuracy and internal consistency of data and parameters used for the comprehensive risk measure internal models and modelling processes.</w:t>
            </w:r>
          </w:p>
        </w:tc>
      </w:tr>
      <w:tr w:rsidR="00561C9D" w:rsidRPr="00BC17EC" w14:paraId="72809C30" w14:textId="77777777" w:rsidTr="00997407">
        <w:tc>
          <w:tcPr>
            <w:tcW w:w="1172" w:type="dxa"/>
            <w:tcBorders>
              <w:top w:val="single" w:sz="4" w:space="0" w:color="auto"/>
              <w:left w:val="single" w:sz="4" w:space="0" w:color="auto"/>
              <w:bottom w:val="single" w:sz="4" w:space="0" w:color="auto"/>
              <w:right w:val="single" w:sz="4" w:space="0" w:color="auto"/>
            </w:tcBorders>
          </w:tcPr>
          <w:p w14:paraId="169E50D6" w14:textId="2B77B3C5" w:rsidR="00561C9D" w:rsidRPr="00BC17EC" w:rsidRDefault="00561C9D" w:rsidP="00561C9D">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EU {</w:t>
            </w:r>
            <w:proofErr w:type="spellStart"/>
            <w:r w:rsidRPr="00BC17EC">
              <w:rPr>
                <w:rFonts w:ascii="Times New Roman" w:hAnsi="Times New Roman" w:cs="Times New Roman"/>
                <w:sz w:val="24"/>
                <w:lang w:eastAsia="ja-JP"/>
              </w:rPr>
              <w:t>i</w:t>
            </w:r>
            <w:proofErr w:type="spellEnd"/>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528FD238" w14:textId="7C30F4CB" w:rsidR="00561C9D" w:rsidRPr="00BC17EC" w:rsidRDefault="00561C9D" w:rsidP="00561C9D">
            <w:pPr>
              <w:spacing w:before="120" w:after="120"/>
              <w:jc w:val="both"/>
              <w:rPr>
                <w:rFonts w:ascii="Times New Roman" w:hAnsi="Times New Roman" w:cs="Times New Roman"/>
                <w:sz w:val="24"/>
                <w:lang w:eastAsia="ja-JP"/>
              </w:rPr>
            </w:pPr>
            <w:proofErr w:type="gramStart"/>
            <w:r w:rsidRPr="00BC17EC">
              <w:rPr>
                <w:rFonts w:ascii="Times New Roman" w:hAnsi="Times New Roman" w:cs="Times New Roman"/>
                <w:sz w:val="24"/>
                <w:lang w:eastAsia="ja-JP"/>
              </w:rPr>
              <w:t xml:space="preserve">Institutions must complement information disclosed regarding the internal models for the incremental default and migration risk and for correlation trading portfolios with the weighted average liquidity horizon for sub-portfolios covered </w:t>
            </w:r>
            <w:r w:rsidR="00586B1F">
              <w:rPr>
                <w:rFonts w:ascii="Times New Roman" w:hAnsi="Times New Roman" w:cs="Times New Roman"/>
                <w:sz w:val="24"/>
                <w:lang w:eastAsia="ja-JP"/>
              </w:rPr>
              <w:t>in accordance with</w:t>
            </w:r>
            <w:r w:rsidRPr="00BC17EC">
              <w:rPr>
                <w:rFonts w:ascii="Times New Roman" w:hAnsi="Times New Roman" w:cs="Times New Roman"/>
                <w:sz w:val="24"/>
                <w:lang w:eastAsia="ja-JP"/>
              </w:rPr>
              <w:t xml:space="preserve"> </w:t>
            </w:r>
            <w:r w:rsidR="00CA3BC1">
              <w:rPr>
                <w:rFonts w:ascii="Times New Roman" w:hAnsi="Times New Roman" w:cs="Times New Roman"/>
                <w:sz w:val="24"/>
                <w:lang w:eastAsia="ja-JP"/>
              </w:rPr>
              <w:t xml:space="preserve">point (f) of </w:t>
            </w:r>
            <w:r w:rsidRPr="00BC17EC">
              <w:rPr>
                <w:rFonts w:ascii="Times New Roman" w:hAnsi="Times New Roman" w:cs="Times New Roman"/>
                <w:sz w:val="24"/>
                <w:lang w:eastAsia="ja-JP"/>
              </w:rPr>
              <w:t>Article 455</w:t>
            </w:r>
            <w:r w:rsidR="00EB7734">
              <w:rPr>
                <w:rFonts w:ascii="Times New Roman" w:hAnsi="Times New Roman" w:cs="Times New Roman"/>
                <w:sz w:val="24"/>
                <w:lang w:eastAsia="ja-JP"/>
              </w:rPr>
              <w:t xml:space="preserve"> CRR</w:t>
            </w:r>
            <w:r w:rsidRPr="00BC17EC">
              <w:rPr>
                <w:rFonts w:ascii="Times New Roman" w:hAnsi="Times New Roman" w:cs="Times New Roman"/>
                <w:sz w:val="24"/>
                <w:lang w:eastAsia="ja-JP"/>
              </w:rPr>
              <w:t>, consistent with the description provided in accordance with rows (B) (a) and (d) and (C) (a) and (d)) of table EU MRB.</w:t>
            </w:r>
            <w:proofErr w:type="gramEnd"/>
          </w:p>
        </w:tc>
      </w:tr>
    </w:tbl>
    <w:p w14:paraId="683FD6E1" w14:textId="77777777" w:rsidR="009E66AA" w:rsidRPr="00BC17EC" w:rsidRDefault="009E66AA" w:rsidP="00846C63">
      <w:pPr>
        <w:pStyle w:val="Titlelevel2"/>
        <w:spacing w:before="0" w:after="0"/>
        <w:rPr>
          <w:rFonts w:ascii="Times New Roman" w:hAnsi="Times New Roman" w:cs="Times New Roman"/>
          <w:b/>
          <w:color w:val="auto"/>
          <w:sz w:val="24"/>
        </w:rPr>
      </w:pPr>
    </w:p>
    <w:p w14:paraId="10349CE6" w14:textId="7B480489" w:rsidR="00934B75" w:rsidRPr="00BC17EC" w:rsidRDefault="00F15837" w:rsidP="00846C63">
      <w:pPr>
        <w:pStyle w:val="Titlelevel2"/>
        <w:spacing w:before="0" w:after="0"/>
        <w:rPr>
          <w:rFonts w:ascii="Times New Roman" w:hAnsi="Times New Roman" w:cs="Times New Roman"/>
          <w:color w:val="auto"/>
          <w:sz w:val="24"/>
        </w:rPr>
      </w:pPr>
      <w:r w:rsidRPr="00BC17EC">
        <w:rPr>
          <w:rFonts w:ascii="Times New Roman" w:hAnsi="Times New Roman" w:cs="Times New Roman"/>
          <w:b/>
          <w:color w:val="auto"/>
          <w:sz w:val="24"/>
          <w:lang w:val="en-GB"/>
        </w:rPr>
        <w:t>Template EU MR2-A - Market risk under the internal Model Approach (IMA)</w:t>
      </w:r>
      <w:r w:rsidR="0073376A" w:rsidRPr="00BC17EC">
        <w:rPr>
          <w:rFonts w:ascii="Times New Roman" w:hAnsi="Times New Roman" w:cs="Times New Roman"/>
          <w:b/>
          <w:color w:val="auto"/>
          <w:sz w:val="24"/>
          <w:lang w:val="en-GB"/>
        </w:rPr>
        <w:t>:</w:t>
      </w:r>
      <w:r w:rsidR="0073376A" w:rsidRPr="00BC17EC">
        <w:rPr>
          <w:rFonts w:ascii="Times New Roman" w:hAnsi="Times New Roman" w:cs="Times New Roman"/>
          <w:color w:val="auto"/>
          <w:sz w:val="24"/>
        </w:rPr>
        <w:t xml:space="preserve"> fixed format</w:t>
      </w:r>
    </w:p>
    <w:p w14:paraId="14E304BE" w14:textId="77777777" w:rsidR="00107D4B" w:rsidRPr="00BC17EC" w:rsidRDefault="00107D4B" w:rsidP="00846C63">
      <w:pPr>
        <w:pStyle w:val="Titlelevel2"/>
        <w:spacing w:before="0" w:after="0"/>
        <w:rPr>
          <w:rFonts w:ascii="Times New Roman" w:hAnsi="Times New Roman" w:cs="Times New Roman"/>
          <w:color w:val="auto"/>
          <w:sz w:val="24"/>
        </w:rPr>
      </w:pPr>
    </w:p>
    <w:p w14:paraId="5D758292" w14:textId="7294D056" w:rsidR="004356B5" w:rsidRPr="00BC17EC" w:rsidRDefault="004356B5" w:rsidP="007A6198">
      <w:pPr>
        <w:pStyle w:val="Titlelevel2"/>
        <w:numPr>
          <w:ilvl w:val="0"/>
          <w:numId w:val="12"/>
        </w:numPr>
        <w:spacing w:before="0" w:after="0"/>
        <w:rPr>
          <w:rFonts w:ascii="Times New Roman" w:hAnsi="Times New Roman" w:cs="Times New Roman"/>
          <w:b/>
          <w:color w:val="auto"/>
          <w:sz w:val="24"/>
          <w:lang w:val="en-GB"/>
        </w:rPr>
      </w:pPr>
      <w:r w:rsidRPr="00BC17EC">
        <w:rPr>
          <w:rFonts w:ascii="Times New Roman" w:eastAsiaTheme="minorEastAsia" w:hAnsi="Times New Roman" w:cs="Times New Roman"/>
          <w:bCs w:val="0"/>
          <w:noProof/>
          <w:color w:val="000000"/>
          <w:sz w:val="24"/>
          <w:lang w:val="en-GB"/>
        </w:rPr>
        <w:t xml:space="preserve">Institutions shall </w:t>
      </w:r>
      <w:r w:rsidR="009F78F1" w:rsidRPr="00BC17EC">
        <w:rPr>
          <w:rFonts w:ascii="Times New Roman" w:eastAsiaTheme="minorEastAsia" w:hAnsi="Times New Roman" w:cs="Times New Roman"/>
          <w:bCs w:val="0"/>
          <w:noProof/>
          <w:color w:val="000000"/>
          <w:sz w:val="24"/>
          <w:lang w:val="en-GB"/>
        </w:rPr>
        <w:t xml:space="preserve">apply the instructions provided below in this Annex in order to complete </w:t>
      </w:r>
      <w:r w:rsidR="005C41D8" w:rsidRPr="00BC17EC">
        <w:rPr>
          <w:rFonts w:ascii="Times New Roman" w:eastAsiaTheme="minorEastAsia" w:hAnsi="Times New Roman" w:cs="Times New Roman"/>
          <w:bCs w:val="0"/>
          <w:noProof/>
          <w:color w:val="000000"/>
          <w:sz w:val="24"/>
          <w:lang w:val="en-GB"/>
        </w:rPr>
        <w:t>template EU MR2-A</w:t>
      </w:r>
      <w:r w:rsidR="009F78F1" w:rsidRPr="00BC17EC">
        <w:rPr>
          <w:rFonts w:ascii="Times New Roman" w:eastAsiaTheme="minorEastAsia" w:hAnsi="Times New Roman" w:cs="Times New Roman"/>
          <w:bCs w:val="0"/>
          <w:noProof/>
          <w:color w:val="000000"/>
          <w:sz w:val="24"/>
          <w:lang w:val="en-GB"/>
        </w:rPr>
        <w:t xml:space="preserve"> as presented in Annex </w:t>
      </w:r>
      <w:r w:rsidR="00560C49">
        <w:rPr>
          <w:rFonts w:ascii="Times New Roman" w:eastAsiaTheme="minorEastAsia" w:hAnsi="Times New Roman" w:cs="Times New Roman"/>
          <w:bCs w:val="0"/>
          <w:noProof/>
          <w:color w:val="000000"/>
          <w:sz w:val="24"/>
          <w:lang w:val="en-GB"/>
        </w:rPr>
        <w:t>XXIX</w:t>
      </w:r>
      <w:r w:rsidR="00563DC6">
        <w:rPr>
          <w:rFonts w:ascii="Times New Roman" w:eastAsiaTheme="minorEastAsia" w:hAnsi="Times New Roman" w:cs="Times New Roman"/>
          <w:bCs w:val="0"/>
          <w:noProof/>
          <w:color w:val="000000"/>
          <w:sz w:val="24"/>
          <w:lang w:val="en-GB"/>
        </w:rPr>
        <w:t xml:space="preserve"> to this Implementing Regulation</w:t>
      </w:r>
      <w:r w:rsidR="009F78F1" w:rsidRPr="00BC17EC">
        <w:rPr>
          <w:rFonts w:ascii="Times New Roman" w:eastAsiaTheme="minorEastAsia" w:hAnsi="Times New Roman" w:cs="Times New Roman"/>
          <w:bCs w:val="0"/>
          <w:noProof/>
          <w:color w:val="000000"/>
          <w:sz w:val="24"/>
          <w:lang w:val="en-GB"/>
        </w:rPr>
        <w:t xml:space="preserve">, </w:t>
      </w:r>
      <w:r w:rsidRPr="00BC17EC">
        <w:rPr>
          <w:rFonts w:ascii="Times New Roman" w:eastAsiaTheme="minorEastAsia" w:hAnsi="Times New Roman" w:cs="Times New Roman"/>
          <w:bCs w:val="0"/>
          <w:noProof/>
          <w:color w:val="000000"/>
          <w:sz w:val="24"/>
          <w:lang w:val="en-GB"/>
        </w:rPr>
        <w:t xml:space="preserve"> in application of </w:t>
      </w:r>
      <w:r w:rsidR="00ED518B">
        <w:rPr>
          <w:rFonts w:ascii="Times New Roman" w:eastAsiaTheme="minorEastAsia" w:hAnsi="Times New Roman" w:cs="Times New Roman"/>
          <w:bCs w:val="0"/>
          <w:noProof/>
          <w:color w:val="000000"/>
          <w:sz w:val="24"/>
          <w:lang w:val="en-GB"/>
        </w:rPr>
        <w:t xml:space="preserve">point (e) of </w:t>
      </w:r>
      <w:r w:rsidRPr="00BC17EC">
        <w:rPr>
          <w:rFonts w:ascii="Times New Roman" w:eastAsiaTheme="minorEastAsia" w:hAnsi="Times New Roman" w:cs="Times New Roman"/>
          <w:bCs w:val="0"/>
          <w:noProof/>
          <w:color w:val="000000"/>
          <w:sz w:val="24"/>
          <w:lang w:val="en-GB"/>
        </w:rPr>
        <w:t>Article 4</w:t>
      </w:r>
      <w:r w:rsidR="00107D4B" w:rsidRPr="00BC17EC">
        <w:rPr>
          <w:rFonts w:ascii="Times New Roman" w:eastAsiaTheme="minorEastAsia" w:hAnsi="Times New Roman" w:cs="Times New Roman"/>
          <w:bCs w:val="0"/>
          <w:noProof/>
          <w:color w:val="000000"/>
          <w:sz w:val="24"/>
          <w:lang w:val="en-GB"/>
        </w:rPr>
        <w:t>5</w:t>
      </w:r>
      <w:r w:rsidRPr="00BC17EC">
        <w:rPr>
          <w:rFonts w:ascii="Times New Roman" w:eastAsiaTheme="minorEastAsia" w:hAnsi="Times New Roman" w:cs="Times New Roman"/>
          <w:bCs w:val="0"/>
          <w:noProof/>
          <w:color w:val="000000"/>
          <w:sz w:val="24"/>
          <w:lang w:val="en-GB"/>
        </w:rPr>
        <w:t>5 CRR</w:t>
      </w:r>
      <w:r w:rsidR="00563DC6">
        <w:rPr>
          <w:rFonts w:ascii="Times New Roman" w:eastAsiaTheme="minorEastAsia" w:hAnsi="Times New Roman" w:cs="Times New Roman"/>
          <w:bCs w:val="0"/>
          <w:noProof/>
          <w:color w:val="000000"/>
          <w:sz w:val="24"/>
          <w:lang w:val="en-GB"/>
        </w:rPr>
        <w:t>.</w:t>
      </w:r>
    </w:p>
    <w:p w14:paraId="4D73E484" w14:textId="77777777" w:rsidR="00934B75" w:rsidRPr="00BC17EC" w:rsidRDefault="00934B75" w:rsidP="00846C63">
      <w:pPr>
        <w:pStyle w:val="Titlelevel2"/>
        <w:spacing w:before="0" w:after="0"/>
        <w:rPr>
          <w:rFonts w:ascii="Times New Roman" w:hAnsi="Times New Roman" w:cs="Times New Roman"/>
          <w:b/>
          <w:color w:val="auto"/>
          <w:sz w:val="24"/>
          <w:lang w:val="en-GB"/>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BC17EC" w14:paraId="52BF328A"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02C152" w14:textId="77777777" w:rsidR="006057D0" w:rsidRPr="00BC17EC" w:rsidRDefault="006057D0" w:rsidP="00997407">
            <w:pPr>
              <w:spacing w:before="120" w:after="120"/>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6057D0" w:rsidRPr="00BC17EC" w14:paraId="430F60A0"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2CA7A"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1E64D6"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F15837" w:rsidRPr="00BC17EC" w14:paraId="216B0AEF" w14:textId="77777777" w:rsidTr="00997407">
        <w:tc>
          <w:tcPr>
            <w:tcW w:w="1172" w:type="dxa"/>
            <w:tcBorders>
              <w:top w:val="single" w:sz="4" w:space="0" w:color="auto"/>
              <w:left w:val="single" w:sz="4" w:space="0" w:color="auto"/>
              <w:bottom w:val="single" w:sz="4" w:space="0" w:color="auto"/>
              <w:right w:val="single" w:sz="4" w:space="0" w:color="auto"/>
            </w:tcBorders>
          </w:tcPr>
          <w:p w14:paraId="3FFAAFC5" w14:textId="38DD5D21" w:rsidR="00F15837" w:rsidRPr="00BC17EC" w:rsidRDefault="00F15837"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{1}</w:t>
            </w:r>
          </w:p>
        </w:tc>
        <w:tc>
          <w:tcPr>
            <w:tcW w:w="7242" w:type="dxa"/>
            <w:tcBorders>
              <w:top w:val="single" w:sz="4" w:space="0" w:color="auto"/>
              <w:left w:val="single" w:sz="4" w:space="0" w:color="auto"/>
              <w:bottom w:val="single" w:sz="4" w:space="0" w:color="auto"/>
              <w:right w:val="single" w:sz="4" w:space="0" w:color="auto"/>
            </w:tcBorders>
          </w:tcPr>
          <w:p w14:paraId="0F35E3A6" w14:textId="7EEC0B6E" w:rsidR="00F15837" w:rsidRPr="00BC17EC" w:rsidRDefault="00F15837" w:rsidP="00997407">
            <w:pPr>
              <w:spacing w:before="120" w:after="120"/>
              <w:rPr>
                <w:rFonts w:ascii="Times New Roman" w:hAnsi="Times New Roman" w:cs="Times New Roman"/>
                <w:b/>
                <w:sz w:val="24"/>
                <w:lang w:eastAsia="ja-JP"/>
              </w:rPr>
            </w:pPr>
            <w:proofErr w:type="spellStart"/>
            <w:r w:rsidRPr="00BC17EC">
              <w:rPr>
                <w:rFonts w:ascii="Times New Roman" w:hAnsi="Times New Roman" w:cs="Times New Roman"/>
                <w:b/>
                <w:sz w:val="24"/>
                <w:lang w:eastAsia="ja-JP"/>
              </w:rPr>
              <w:t>VaR</w:t>
            </w:r>
            <w:proofErr w:type="spellEnd"/>
            <w:r w:rsidRPr="00BC17EC">
              <w:rPr>
                <w:rFonts w:ascii="Times New Roman" w:hAnsi="Times New Roman" w:cs="Times New Roman"/>
                <w:sz w:val="24"/>
                <w:lang w:eastAsia="ja-JP"/>
              </w:rPr>
              <w:t xml:space="preserve"> (higher of values a and b)</w:t>
            </w:r>
          </w:p>
        </w:tc>
      </w:tr>
      <w:tr w:rsidR="00F15837" w:rsidRPr="00BC17EC" w14:paraId="672151E9" w14:textId="77777777" w:rsidTr="00997407">
        <w:tc>
          <w:tcPr>
            <w:tcW w:w="1172" w:type="dxa"/>
            <w:tcBorders>
              <w:top w:val="single" w:sz="4" w:space="0" w:color="auto"/>
              <w:left w:val="single" w:sz="4" w:space="0" w:color="auto"/>
              <w:bottom w:val="single" w:sz="4" w:space="0" w:color="auto"/>
              <w:right w:val="single" w:sz="4" w:space="0" w:color="auto"/>
            </w:tcBorders>
          </w:tcPr>
          <w:p w14:paraId="228F2C12" w14:textId="02A4E359" w:rsidR="00F15837" w:rsidRPr="00BC17EC" w:rsidRDefault="00F15837" w:rsidP="00F11834">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w:t>
            </w:r>
            <w:r w:rsidR="00F11834" w:rsidRPr="00BC17EC">
              <w:rPr>
                <w:rFonts w:ascii="Times New Roman" w:hAnsi="Times New Roman" w:cs="Times New Roman"/>
                <w:sz w:val="24"/>
                <w:lang w:eastAsia="ja-JP"/>
              </w:rPr>
              <w:t>a</w:t>
            </w:r>
            <w:r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699A7FAF" w14:textId="44AA0220" w:rsidR="00F15837" w:rsidRPr="00BC17EC" w:rsidRDefault="00F11834" w:rsidP="00D055CB">
            <w:pPr>
              <w:autoSpaceDE w:val="0"/>
              <w:autoSpaceDN w:val="0"/>
              <w:adjustRightInd w:val="0"/>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Previous day’s </w:t>
            </w:r>
            <w:r w:rsidR="008938A4" w:rsidRPr="00BC17EC">
              <w:rPr>
                <w:rFonts w:ascii="Times New Roman" w:hAnsi="Times New Roman" w:cs="Times New Roman"/>
                <w:sz w:val="24"/>
                <w:lang w:eastAsia="ja-JP"/>
              </w:rPr>
              <w:t xml:space="preserve">value at-risk number </w:t>
            </w:r>
            <w:r w:rsidR="008938A4" w:rsidRPr="00BC17EC">
              <w:rPr>
                <w:rFonts w:ascii="Times New Roman" w:hAnsi="Times New Roman" w:cs="Times New Roman"/>
                <w:sz w:val="24"/>
              </w:rPr>
              <w:t>(VaR</w:t>
            </w:r>
            <w:r w:rsidR="008938A4" w:rsidRPr="00BC17EC">
              <w:rPr>
                <w:rFonts w:ascii="Times New Roman" w:hAnsi="Times New Roman" w:cs="Times New Roman"/>
                <w:sz w:val="24"/>
                <w:vertAlign w:val="subscript"/>
              </w:rPr>
              <w:t>t-1</w:t>
            </w:r>
            <w:r w:rsidR="008938A4" w:rsidRPr="00BC17EC">
              <w:rPr>
                <w:rFonts w:ascii="Times New Roman" w:hAnsi="Times New Roman" w:cs="Times New Roman"/>
                <w:sz w:val="24"/>
              </w:rPr>
              <w:t xml:space="preserve">) </w:t>
            </w:r>
            <w:r w:rsidR="008938A4" w:rsidRPr="00BC17EC">
              <w:rPr>
                <w:rFonts w:ascii="Times New Roman" w:hAnsi="Times New Roman" w:cs="Times New Roman"/>
                <w:sz w:val="24"/>
                <w:lang w:eastAsia="ja-JP"/>
              </w:rPr>
              <w:t>calculated in accordance with A</w:t>
            </w:r>
            <w:r w:rsidRPr="00BC17EC">
              <w:rPr>
                <w:rFonts w:ascii="Times New Roman" w:hAnsi="Times New Roman" w:cs="Times New Roman"/>
                <w:sz w:val="24"/>
                <w:lang w:eastAsia="ja-JP"/>
              </w:rPr>
              <w:t xml:space="preserve">rticle 365 (1) </w:t>
            </w:r>
            <w:r w:rsidR="00012BC3" w:rsidRPr="00BC17EC">
              <w:rPr>
                <w:rFonts w:ascii="Times New Roman" w:eastAsia="Times New Roman" w:hAnsi="Times New Roman" w:cs="Times New Roman"/>
                <w:sz w:val="24"/>
              </w:rPr>
              <w:t>CRR</w:t>
            </w:r>
            <w:r w:rsidR="00D055CB" w:rsidRPr="00BC17EC">
              <w:rPr>
                <w:rFonts w:ascii="Times New Roman" w:eastAsia="Times New Roman" w:hAnsi="Times New Roman" w:cs="Times New Roman"/>
                <w:sz w:val="24"/>
              </w:rPr>
              <w:t>.</w:t>
            </w:r>
          </w:p>
        </w:tc>
      </w:tr>
      <w:tr w:rsidR="00F15837" w:rsidRPr="00BC17EC" w14:paraId="581B1616" w14:textId="77777777" w:rsidTr="00997407">
        <w:tc>
          <w:tcPr>
            <w:tcW w:w="1172" w:type="dxa"/>
            <w:tcBorders>
              <w:top w:val="single" w:sz="4" w:space="0" w:color="auto"/>
              <w:left w:val="single" w:sz="4" w:space="0" w:color="auto"/>
              <w:bottom w:val="single" w:sz="4" w:space="0" w:color="auto"/>
              <w:right w:val="single" w:sz="4" w:space="0" w:color="auto"/>
            </w:tcBorders>
          </w:tcPr>
          <w:p w14:paraId="045042B9" w14:textId="080CC3A8" w:rsidR="00F15837" w:rsidRPr="00BC17EC" w:rsidRDefault="00F11834" w:rsidP="00F11834">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{b</w:t>
            </w:r>
            <w:r w:rsidR="00F15837"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161C55FA" w14:textId="279D8F80" w:rsidR="00F15837" w:rsidRPr="00BC17EC" w:rsidRDefault="008938A4" w:rsidP="00861366">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Average of the daily value at-risk numbers calculated in accordance with </w:t>
            </w:r>
            <w:r w:rsidR="0060516B" w:rsidRPr="00BC17EC">
              <w:rPr>
                <w:rFonts w:ascii="Times New Roman" w:hAnsi="Times New Roman" w:cs="Times New Roman"/>
                <w:sz w:val="24"/>
                <w:lang w:eastAsia="ja-JP"/>
              </w:rPr>
              <w:t>Article 365(1)</w:t>
            </w:r>
            <w:r w:rsidR="00861366"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00861366" w:rsidRPr="00BC17EC">
              <w:rPr>
                <w:rFonts w:ascii="Times New Roman" w:eastAsia="Times New Roman" w:hAnsi="Times New Roman" w:cs="Times New Roman"/>
                <w:sz w:val="24"/>
              </w:rPr>
              <w:t>,</w:t>
            </w:r>
            <w:r w:rsidR="00861366"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on each of the preceding 60 business days (</w:t>
            </w:r>
            <w:proofErr w:type="spellStart"/>
            <w:r w:rsidRPr="00BC17EC">
              <w:rPr>
                <w:rFonts w:ascii="Times New Roman" w:hAnsi="Times New Roman" w:cs="Times New Roman"/>
                <w:sz w:val="24"/>
                <w:lang w:eastAsia="ja-JP"/>
              </w:rPr>
              <w:t>VaR</w:t>
            </w:r>
            <w:r w:rsidRPr="00BC17EC">
              <w:rPr>
                <w:rFonts w:ascii="Times New Roman" w:hAnsi="Times New Roman" w:cs="Times New Roman"/>
                <w:sz w:val="24"/>
                <w:vertAlign w:val="subscript"/>
                <w:lang w:eastAsia="ja-JP"/>
              </w:rPr>
              <w:t>avg</w:t>
            </w:r>
            <w:proofErr w:type="spellEnd"/>
            <w:r w:rsidRPr="00BC17EC">
              <w:rPr>
                <w:rFonts w:ascii="Times New Roman" w:hAnsi="Times New Roman" w:cs="Times New Roman"/>
                <w:sz w:val="24"/>
                <w:lang w:eastAsia="ja-JP"/>
              </w:rPr>
              <w:t>) x multipli</w:t>
            </w:r>
            <w:r w:rsidR="00861366" w:rsidRPr="00BC17EC">
              <w:rPr>
                <w:rFonts w:ascii="Times New Roman" w:hAnsi="Times New Roman" w:cs="Times New Roman"/>
                <w:sz w:val="24"/>
                <w:lang w:eastAsia="ja-JP"/>
              </w:rPr>
              <w:t>ed by the multipli</w:t>
            </w:r>
            <w:r w:rsidRPr="00BC17EC">
              <w:rPr>
                <w:rFonts w:ascii="Times New Roman" w:hAnsi="Times New Roman" w:cs="Times New Roman"/>
                <w:sz w:val="24"/>
                <w:lang w:eastAsia="ja-JP"/>
              </w:rPr>
              <w:t xml:space="preserve">cation factor (mc) in accordance with Article 366 </w:t>
            </w:r>
            <w:r w:rsidR="00563DC6">
              <w:rPr>
                <w:rFonts w:ascii="Times New Roman" w:hAnsi="Times New Roman" w:cs="Times New Roman"/>
                <w:sz w:val="24"/>
                <w:lang w:eastAsia="ja-JP"/>
              </w:rPr>
              <w:t>CRR</w:t>
            </w:r>
            <w:r w:rsidR="00861366" w:rsidRPr="00BC17EC">
              <w:rPr>
                <w:rFonts w:ascii="Times New Roman" w:hAnsi="Times New Roman" w:cs="Times New Roman"/>
                <w:sz w:val="24"/>
                <w:lang w:eastAsia="ja-JP"/>
              </w:rPr>
              <w:t>.</w:t>
            </w:r>
          </w:p>
        </w:tc>
      </w:tr>
      <w:tr w:rsidR="00F15837" w:rsidRPr="00BC17EC" w14:paraId="6A18F148" w14:textId="77777777" w:rsidTr="00997407">
        <w:tc>
          <w:tcPr>
            <w:tcW w:w="1172" w:type="dxa"/>
            <w:tcBorders>
              <w:top w:val="single" w:sz="4" w:space="0" w:color="auto"/>
              <w:left w:val="single" w:sz="4" w:space="0" w:color="auto"/>
              <w:bottom w:val="single" w:sz="4" w:space="0" w:color="auto"/>
              <w:right w:val="single" w:sz="4" w:space="0" w:color="auto"/>
            </w:tcBorders>
          </w:tcPr>
          <w:p w14:paraId="222B21A9" w14:textId="3CA4906D" w:rsidR="00F15837" w:rsidRPr="00BC17EC" w:rsidRDefault="00861366"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{2</w:t>
            </w:r>
            <w:r w:rsidR="00F15837" w:rsidRPr="00BC17EC">
              <w:rPr>
                <w:rFonts w:ascii="Times New Roman" w:hAnsi="Times New Roman" w:cs="Times New Roman"/>
                <w:b/>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6BB717CD" w14:textId="00741892" w:rsidR="00F15837" w:rsidRPr="00BC17EC" w:rsidRDefault="00861366" w:rsidP="008938A4">
            <w:pPr>
              <w:spacing w:before="120" w:after="120"/>
              <w:rPr>
                <w:rFonts w:ascii="Times New Roman" w:hAnsi="Times New Roman" w:cs="Times New Roman"/>
                <w:b/>
                <w:sz w:val="24"/>
                <w:lang w:eastAsia="ja-JP"/>
              </w:rPr>
            </w:pPr>
            <w:proofErr w:type="spellStart"/>
            <w:r w:rsidRPr="00BC17EC">
              <w:rPr>
                <w:rFonts w:ascii="Times New Roman" w:hAnsi="Times New Roman" w:cs="Times New Roman"/>
                <w:b/>
                <w:sz w:val="24"/>
                <w:lang w:eastAsia="ja-JP"/>
              </w:rPr>
              <w:t>SVaR</w:t>
            </w:r>
            <w:proofErr w:type="spellEnd"/>
            <w:r w:rsidRPr="00BC17EC">
              <w:rPr>
                <w:rFonts w:ascii="Times New Roman" w:hAnsi="Times New Roman" w:cs="Times New Roman"/>
                <w:b/>
                <w:sz w:val="24"/>
                <w:lang w:eastAsia="ja-JP"/>
              </w:rPr>
              <w:t xml:space="preserve"> </w:t>
            </w:r>
            <w:r w:rsidRPr="00BC17EC">
              <w:rPr>
                <w:rFonts w:ascii="Times New Roman" w:hAnsi="Times New Roman" w:cs="Times New Roman"/>
                <w:sz w:val="24"/>
                <w:lang w:eastAsia="ja-JP"/>
              </w:rPr>
              <w:t>(higher of values a and b)</w:t>
            </w:r>
          </w:p>
        </w:tc>
      </w:tr>
      <w:tr w:rsidR="00F15837" w:rsidRPr="00BC17EC" w14:paraId="69CCF8E8" w14:textId="77777777" w:rsidTr="00997407">
        <w:tc>
          <w:tcPr>
            <w:tcW w:w="1172" w:type="dxa"/>
            <w:tcBorders>
              <w:top w:val="single" w:sz="4" w:space="0" w:color="auto"/>
              <w:left w:val="single" w:sz="4" w:space="0" w:color="auto"/>
              <w:bottom w:val="single" w:sz="4" w:space="0" w:color="auto"/>
              <w:right w:val="single" w:sz="4" w:space="0" w:color="auto"/>
            </w:tcBorders>
          </w:tcPr>
          <w:p w14:paraId="59ED40E1" w14:textId="4BB73AB9" w:rsidR="00F15837" w:rsidRPr="00BC17EC" w:rsidRDefault="00861366" w:rsidP="00861366">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{a</w:t>
            </w:r>
            <w:r w:rsidR="00F15837"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7DDEDCE3" w14:textId="6296D9EB" w:rsidR="00F15837" w:rsidRPr="00BC17EC" w:rsidRDefault="00861366" w:rsidP="00861366">
            <w:pPr>
              <w:autoSpaceDE w:val="0"/>
              <w:autoSpaceDN w:val="0"/>
              <w:adjustRightInd w:val="0"/>
              <w:spacing w:before="120" w:after="120"/>
              <w:jc w:val="both"/>
              <w:rPr>
                <w:rFonts w:ascii="Times New Roman" w:hAnsi="Times New Roman" w:cs="Times New Roman"/>
                <w:b/>
                <w:sz w:val="24"/>
                <w:lang w:eastAsia="ja-JP"/>
              </w:rPr>
            </w:pPr>
            <w:r w:rsidRPr="00BC17EC">
              <w:rPr>
                <w:rFonts w:ascii="Times New Roman" w:hAnsi="Times New Roman" w:cs="Times New Roman"/>
                <w:sz w:val="24"/>
              </w:rPr>
              <w:t>Latest available stressed-value-at-risk number (sVaR</w:t>
            </w:r>
            <w:r w:rsidRPr="00BC17EC">
              <w:rPr>
                <w:rFonts w:ascii="Times New Roman" w:hAnsi="Times New Roman" w:cs="Times New Roman"/>
                <w:sz w:val="24"/>
                <w:vertAlign w:val="subscript"/>
              </w:rPr>
              <w:t>t-1</w:t>
            </w:r>
            <w:r w:rsidRPr="00BC17EC">
              <w:rPr>
                <w:rFonts w:ascii="Times New Roman" w:hAnsi="Times New Roman" w:cs="Times New Roman"/>
                <w:sz w:val="24"/>
              </w:rPr>
              <w:t xml:space="preserve">) calculated in accordance with Article 365(2) </w:t>
            </w:r>
            <w:r w:rsidR="00012BC3" w:rsidRPr="00BC17EC">
              <w:rPr>
                <w:rFonts w:ascii="Times New Roman" w:eastAsia="Times New Roman" w:hAnsi="Times New Roman" w:cs="Times New Roman"/>
                <w:sz w:val="24"/>
              </w:rPr>
              <w:t>CRR</w:t>
            </w:r>
            <w:r w:rsidR="00D055CB" w:rsidRPr="00BC17EC">
              <w:rPr>
                <w:rFonts w:ascii="Times New Roman" w:eastAsia="Times New Roman" w:hAnsi="Times New Roman" w:cs="Times New Roman"/>
                <w:sz w:val="24"/>
              </w:rPr>
              <w:t>.</w:t>
            </w:r>
          </w:p>
        </w:tc>
      </w:tr>
      <w:tr w:rsidR="00F15837" w:rsidRPr="00BC17EC" w14:paraId="3D356723" w14:textId="77777777" w:rsidTr="00997407">
        <w:tc>
          <w:tcPr>
            <w:tcW w:w="1172" w:type="dxa"/>
            <w:tcBorders>
              <w:top w:val="single" w:sz="4" w:space="0" w:color="auto"/>
              <w:left w:val="single" w:sz="4" w:space="0" w:color="auto"/>
              <w:bottom w:val="single" w:sz="4" w:space="0" w:color="auto"/>
              <w:right w:val="single" w:sz="4" w:space="0" w:color="auto"/>
            </w:tcBorders>
          </w:tcPr>
          <w:p w14:paraId="7775D3A4" w14:textId="66E41109" w:rsidR="00F15837" w:rsidRPr="00BC17EC" w:rsidRDefault="00861366" w:rsidP="00861366">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t>{b</w:t>
            </w:r>
            <w:r w:rsidR="00F15837" w:rsidRPr="00BC17EC">
              <w:rPr>
                <w:rFonts w:ascii="Times New Roman" w:hAnsi="Times New Roman" w:cs="Times New Roman"/>
                <w:sz w:val="24"/>
                <w:lang w:eastAsia="ja-JP"/>
              </w:rPr>
              <w:t>}</w:t>
            </w:r>
          </w:p>
        </w:tc>
        <w:tc>
          <w:tcPr>
            <w:tcW w:w="7242" w:type="dxa"/>
            <w:tcBorders>
              <w:top w:val="single" w:sz="4" w:space="0" w:color="auto"/>
              <w:left w:val="single" w:sz="4" w:space="0" w:color="auto"/>
              <w:bottom w:val="single" w:sz="4" w:space="0" w:color="auto"/>
              <w:right w:val="single" w:sz="4" w:space="0" w:color="auto"/>
            </w:tcBorders>
          </w:tcPr>
          <w:p w14:paraId="7E4521FA" w14:textId="503303F5" w:rsidR="00F15837" w:rsidRPr="00BC17EC" w:rsidRDefault="00861366" w:rsidP="00861366">
            <w:pPr>
              <w:autoSpaceDE w:val="0"/>
              <w:autoSpaceDN w:val="0"/>
              <w:adjustRightInd w:val="0"/>
              <w:spacing w:before="120" w:after="120"/>
              <w:jc w:val="both"/>
              <w:rPr>
                <w:rFonts w:ascii="Times New Roman" w:hAnsi="Times New Roman" w:cs="Times New Roman"/>
                <w:sz w:val="24"/>
              </w:rPr>
            </w:pPr>
            <w:r w:rsidRPr="00BC17EC">
              <w:rPr>
                <w:rFonts w:ascii="Times New Roman" w:hAnsi="Times New Roman" w:cs="Times New Roman"/>
                <w:sz w:val="24"/>
              </w:rPr>
              <w:t xml:space="preserve">Average of the stressed value-at-risk numbers calculated in the manner and frequency specified in Article 365(2) </w:t>
            </w:r>
            <w:r w:rsidR="00563DC6">
              <w:rPr>
                <w:rFonts w:ascii="Times New Roman" w:hAnsi="Times New Roman" w:cs="Times New Roman"/>
                <w:sz w:val="24"/>
              </w:rPr>
              <w:t xml:space="preserve">CRR </w:t>
            </w:r>
            <w:r w:rsidRPr="00BC17EC">
              <w:rPr>
                <w:rFonts w:ascii="Times New Roman" w:hAnsi="Times New Roman" w:cs="Times New Roman"/>
                <w:sz w:val="24"/>
              </w:rPr>
              <w:t>during the preceding sixty business days (</w:t>
            </w:r>
            <w:proofErr w:type="spellStart"/>
            <w:r w:rsidRPr="00BC17EC">
              <w:rPr>
                <w:rFonts w:ascii="Times New Roman" w:hAnsi="Times New Roman" w:cs="Times New Roman"/>
                <w:sz w:val="24"/>
              </w:rPr>
              <w:t>sVaR</w:t>
            </w:r>
            <w:r w:rsidRPr="00BC17EC">
              <w:rPr>
                <w:rFonts w:ascii="Times New Roman" w:hAnsi="Times New Roman" w:cs="Times New Roman"/>
                <w:sz w:val="24"/>
                <w:vertAlign w:val="subscript"/>
              </w:rPr>
              <w:t>avg</w:t>
            </w:r>
            <w:proofErr w:type="spellEnd"/>
            <w:r w:rsidRPr="00BC17EC">
              <w:rPr>
                <w:rFonts w:ascii="Times New Roman" w:hAnsi="Times New Roman" w:cs="Times New Roman"/>
                <w:sz w:val="24"/>
              </w:rPr>
              <w:t>), multiplied by the multiplication factor (</w:t>
            </w:r>
            <w:proofErr w:type="spellStart"/>
            <w:r w:rsidRPr="00BC17EC">
              <w:rPr>
                <w:rFonts w:ascii="Times New Roman" w:hAnsi="Times New Roman" w:cs="Times New Roman"/>
                <w:sz w:val="24"/>
              </w:rPr>
              <w:t>ms</w:t>
            </w:r>
            <w:proofErr w:type="spellEnd"/>
            <w:r w:rsidRPr="00BC17EC">
              <w:rPr>
                <w:rFonts w:ascii="Times New Roman" w:hAnsi="Times New Roman" w:cs="Times New Roman"/>
                <w:sz w:val="24"/>
              </w:rPr>
              <w:t>) in accordance with Article 366</w:t>
            </w:r>
            <w:r w:rsidR="00D055CB"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00D055CB" w:rsidRPr="00BC17EC">
              <w:rPr>
                <w:rFonts w:ascii="Times New Roman" w:eastAsia="Times New Roman" w:hAnsi="Times New Roman" w:cs="Times New Roman"/>
                <w:sz w:val="24"/>
              </w:rPr>
              <w:t>.</w:t>
            </w:r>
          </w:p>
        </w:tc>
      </w:tr>
      <w:tr w:rsidR="00D055CB" w:rsidRPr="00BC17EC" w14:paraId="2E4A1337" w14:textId="77777777" w:rsidTr="00997407">
        <w:tc>
          <w:tcPr>
            <w:tcW w:w="1172" w:type="dxa"/>
            <w:tcBorders>
              <w:top w:val="single" w:sz="4" w:space="0" w:color="auto"/>
              <w:left w:val="single" w:sz="4" w:space="0" w:color="auto"/>
              <w:bottom w:val="single" w:sz="4" w:space="0" w:color="auto"/>
              <w:right w:val="single" w:sz="4" w:space="0" w:color="auto"/>
            </w:tcBorders>
          </w:tcPr>
          <w:p w14:paraId="2BC8526B" w14:textId="296C8D36" w:rsidR="00D055CB" w:rsidRPr="00BC17EC" w:rsidRDefault="00D055CB"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{3}</w:t>
            </w:r>
          </w:p>
        </w:tc>
        <w:tc>
          <w:tcPr>
            <w:tcW w:w="7242" w:type="dxa"/>
            <w:tcBorders>
              <w:top w:val="single" w:sz="4" w:space="0" w:color="auto"/>
              <w:left w:val="single" w:sz="4" w:space="0" w:color="auto"/>
              <w:bottom w:val="single" w:sz="4" w:space="0" w:color="auto"/>
              <w:right w:val="single" w:sz="4" w:space="0" w:color="auto"/>
            </w:tcBorders>
          </w:tcPr>
          <w:p w14:paraId="3F0E9A81" w14:textId="0A1E75A7" w:rsidR="00D055CB" w:rsidRPr="00BC17EC" w:rsidRDefault="00D055CB" w:rsidP="008938A4">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IRC</w:t>
            </w:r>
            <w:r w:rsidRPr="00BC17EC">
              <w:rPr>
                <w:rFonts w:ascii="Times New Roman" w:hAnsi="Times New Roman" w:cs="Times New Roman"/>
                <w:sz w:val="24"/>
                <w:lang w:eastAsia="ja-JP"/>
              </w:rPr>
              <w:t xml:space="preserve"> (higher of values a and b)</w:t>
            </w:r>
          </w:p>
        </w:tc>
      </w:tr>
      <w:tr w:rsidR="00D055CB" w:rsidRPr="00BC17EC" w14:paraId="0B2DAB43" w14:textId="77777777" w:rsidTr="00997407">
        <w:tc>
          <w:tcPr>
            <w:tcW w:w="1172" w:type="dxa"/>
            <w:tcBorders>
              <w:top w:val="single" w:sz="4" w:space="0" w:color="auto"/>
              <w:left w:val="single" w:sz="4" w:space="0" w:color="auto"/>
              <w:bottom w:val="single" w:sz="4" w:space="0" w:color="auto"/>
              <w:right w:val="single" w:sz="4" w:space="0" w:color="auto"/>
            </w:tcBorders>
          </w:tcPr>
          <w:p w14:paraId="726B3934" w14:textId="278C112B" w:rsidR="00D055CB" w:rsidRPr="00BC17EC" w:rsidRDefault="00D055CB" w:rsidP="00D055CB">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167E6D24" w14:textId="0EE04B28" w:rsidR="00D055CB" w:rsidRPr="00BC17EC" w:rsidRDefault="0082162A" w:rsidP="0082162A">
            <w:pPr>
              <w:autoSpaceDE w:val="0"/>
              <w:autoSpaceDN w:val="0"/>
              <w:adjustRightInd w:val="0"/>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Most recent risk number for the incremental default and migration risk calculated in accordance </w:t>
            </w:r>
            <w:r w:rsidR="00563DC6">
              <w:rPr>
                <w:rFonts w:ascii="Times New Roman" w:hAnsi="Times New Roman" w:cs="Times New Roman"/>
                <w:sz w:val="24"/>
              </w:rPr>
              <w:t>with S</w:t>
            </w:r>
            <w:r w:rsidRPr="00BC17EC">
              <w:rPr>
                <w:rFonts w:ascii="Times New Roman" w:hAnsi="Times New Roman" w:cs="Times New Roman"/>
                <w:sz w:val="24"/>
              </w:rPr>
              <w:t xml:space="preserve">ection 3 of </w:t>
            </w:r>
            <w:r w:rsidR="00563DC6">
              <w:rPr>
                <w:rFonts w:ascii="Times New Roman" w:hAnsi="Times New Roman" w:cs="Times New Roman"/>
                <w:sz w:val="24"/>
              </w:rPr>
              <w:t>Chapter 5 of Title IV of Part Three CRR</w:t>
            </w:r>
            <w:r w:rsidRPr="00BC17EC">
              <w:rPr>
                <w:rFonts w:ascii="Times New Roman" w:eastAsia="Times New Roman" w:hAnsi="Times New Roman" w:cs="Times New Roman"/>
                <w:sz w:val="24"/>
              </w:rPr>
              <w:t>.</w:t>
            </w:r>
          </w:p>
        </w:tc>
      </w:tr>
      <w:tr w:rsidR="00D055CB" w:rsidRPr="00BC17EC" w14:paraId="32B367A3" w14:textId="77777777" w:rsidTr="00997407">
        <w:tc>
          <w:tcPr>
            <w:tcW w:w="1172" w:type="dxa"/>
            <w:tcBorders>
              <w:top w:val="single" w:sz="4" w:space="0" w:color="auto"/>
              <w:left w:val="single" w:sz="4" w:space="0" w:color="auto"/>
              <w:bottom w:val="single" w:sz="4" w:space="0" w:color="auto"/>
              <w:right w:val="single" w:sz="4" w:space="0" w:color="auto"/>
            </w:tcBorders>
          </w:tcPr>
          <w:p w14:paraId="48A46669" w14:textId="437B6979" w:rsidR="00D055CB" w:rsidRPr="00BC17EC" w:rsidRDefault="00D055CB" w:rsidP="00D055CB">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65F99419" w14:textId="72D47EDA" w:rsidR="00D055CB" w:rsidRPr="00BC17EC" w:rsidRDefault="0082162A" w:rsidP="0082162A">
            <w:pPr>
              <w:autoSpaceDE w:val="0"/>
              <w:autoSpaceDN w:val="0"/>
              <w:adjustRightInd w:val="0"/>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Average of risk number for the incremental default and migration risk calculated in accordance </w:t>
            </w:r>
            <w:r w:rsidR="00563DC6">
              <w:rPr>
                <w:rFonts w:ascii="Times New Roman" w:hAnsi="Times New Roman" w:cs="Times New Roman"/>
                <w:sz w:val="24"/>
              </w:rPr>
              <w:t>with S</w:t>
            </w:r>
            <w:r w:rsidR="00563DC6" w:rsidRPr="00BC17EC">
              <w:rPr>
                <w:rFonts w:ascii="Times New Roman" w:hAnsi="Times New Roman" w:cs="Times New Roman"/>
                <w:sz w:val="24"/>
              </w:rPr>
              <w:t xml:space="preserve">ection 3 of </w:t>
            </w:r>
            <w:r w:rsidR="00563DC6">
              <w:rPr>
                <w:rFonts w:ascii="Times New Roman" w:hAnsi="Times New Roman" w:cs="Times New Roman"/>
                <w:sz w:val="24"/>
              </w:rPr>
              <w:t xml:space="preserve">Chapter 5 of Title IV of Part Three </w:t>
            </w:r>
            <w:proofErr w:type="gramStart"/>
            <w:r w:rsidR="00563DC6">
              <w:rPr>
                <w:rFonts w:ascii="Times New Roman" w:hAnsi="Times New Roman" w:cs="Times New Roman"/>
                <w:sz w:val="24"/>
              </w:rPr>
              <w:t>CRR</w:t>
            </w:r>
            <w:r w:rsidR="00563DC6" w:rsidRPr="00BC17EC" w:rsidDel="00563DC6">
              <w:rPr>
                <w:rFonts w:ascii="Times New Roman" w:hAnsi="Times New Roman" w:cs="Times New Roman"/>
                <w:sz w:val="24"/>
              </w:rPr>
              <w:t xml:space="preserve"> </w:t>
            </w:r>
            <w:r w:rsidRPr="00BC17EC">
              <w:rPr>
                <w:rFonts w:ascii="Times New Roman" w:hAnsi="Times New Roman" w:cs="Times New Roman"/>
                <w:sz w:val="24"/>
              </w:rPr>
              <w:t xml:space="preserve"> over</w:t>
            </w:r>
            <w:proofErr w:type="gramEnd"/>
            <w:r w:rsidRPr="00BC17EC">
              <w:rPr>
                <w:rFonts w:ascii="Times New Roman" w:hAnsi="Times New Roman" w:cs="Times New Roman"/>
                <w:sz w:val="24"/>
              </w:rPr>
              <w:t xml:space="preserve"> the preceding 12 weeks.</w:t>
            </w:r>
          </w:p>
        </w:tc>
      </w:tr>
      <w:tr w:rsidR="00D055CB" w:rsidRPr="00BC17EC" w14:paraId="5A6FAE89" w14:textId="77777777" w:rsidTr="00997407">
        <w:tc>
          <w:tcPr>
            <w:tcW w:w="1172" w:type="dxa"/>
            <w:tcBorders>
              <w:top w:val="single" w:sz="4" w:space="0" w:color="auto"/>
              <w:left w:val="single" w:sz="4" w:space="0" w:color="auto"/>
              <w:bottom w:val="single" w:sz="4" w:space="0" w:color="auto"/>
              <w:right w:val="single" w:sz="4" w:space="0" w:color="auto"/>
            </w:tcBorders>
          </w:tcPr>
          <w:p w14:paraId="6A2EA47E" w14:textId="67E27E0F" w:rsidR="00D055CB" w:rsidRPr="00BC17EC" w:rsidRDefault="00D055CB"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{4}</w:t>
            </w:r>
          </w:p>
        </w:tc>
        <w:tc>
          <w:tcPr>
            <w:tcW w:w="7242" w:type="dxa"/>
            <w:tcBorders>
              <w:top w:val="single" w:sz="4" w:space="0" w:color="auto"/>
              <w:left w:val="single" w:sz="4" w:space="0" w:color="auto"/>
              <w:bottom w:val="single" w:sz="4" w:space="0" w:color="auto"/>
              <w:right w:val="single" w:sz="4" w:space="0" w:color="auto"/>
            </w:tcBorders>
          </w:tcPr>
          <w:p w14:paraId="1A69730E" w14:textId="5CD1FFEA" w:rsidR="00D055CB" w:rsidRPr="00BC17EC" w:rsidRDefault="00D055CB" w:rsidP="00D055CB">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Comprehensive risk measure</w:t>
            </w:r>
            <w:r w:rsidRPr="00BC17EC">
              <w:rPr>
                <w:rFonts w:ascii="Times New Roman" w:hAnsi="Times New Roman" w:cs="Times New Roman"/>
                <w:sz w:val="24"/>
                <w:lang w:eastAsia="ja-JP"/>
              </w:rPr>
              <w:t xml:space="preserve"> (higher of values a, b and c)</w:t>
            </w:r>
          </w:p>
        </w:tc>
      </w:tr>
      <w:tr w:rsidR="00D055CB" w:rsidRPr="00BC17EC" w14:paraId="532E7726" w14:textId="77777777" w:rsidTr="00997407">
        <w:tc>
          <w:tcPr>
            <w:tcW w:w="1172" w:type="dxa"/>
            <w:tcBorders>
              <w:top w:val="single" w:sz="4" w:space="0" w:color="auto"/>
              <w:left w:val="single" w:sz="4" w:space="0" w:color="auto"/>
              <w:bottom w:val="single" w:sz="4" w:space="0" w:color="auto"/>
              <w:right w:val="single" w:sz="4" w:space="0" w:color="auto"/>
            </w:tcBorders>
          </w:tcPr>
          <w:p w14:paraId="5584E6FA" w14:textId="0EDDA94C" w:rsidR="00D055CB" w:rsidRPr="00BC17EC" w:rsidRDefault="00D055CB" w:rsidP="00D055CB">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669DEA32" w14:textId="1AE3B991" w:rsidR="00D055CB" w:rsidRPr="00BC17EC" w:rsidRDefault="0082162A" w:rsidP="0082162A">
            <w:pPr>
              <w:autoSpaceDE w:val="0"/>
              <w:autoSpaceDN w:val="0"/>
              <w:adjustRightInd w:val="0"/>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Most recent risk number for the </w:t>
            </w:r>
            <w:proofErr w:type="gramStart"/>
            <w:r w:rsidRPr="00BC17EC">
              <w:rPr>
                <w:rFonts w:ascii="Times New Roman" w:hAnsi="Times New Roman" w:cs="Times New Roman"/>
                <w:sz w:val="24"/>
              </w:rPr>
              <w:t>correlation trading</w:t>
            </w:r>
            <w:proofErr w:type="gramEnd"/>
            <w:r w:rsidRPr="00BC17EC">
              <w:rPr>
                <w:rFonts w:ascii="Times New Roman" w:hAnsi="Times New Roman" w:cs="Times New Roman"/>
                <w:sz w:val="24"/>
              </w:rPr>
              <w:t xml:space="preserve"> portfolio calculated in accordance with</w:t>
            </w:r>
            <w:r w:rsidR="00563DC6">
              <w:rPr>
                <w:rFonts w:ascii="Times New Roman" w:hAnsi="Times New Roman" w:cs="Times New Roman"/>
                <w:sz w:val="24"/>
              </w:rPr>
              <w:t xml:space="preserve"> Section 5</w:t>
            </w:r>
            <w:r w:rsidR="00563DC6" w:rsidRPr="00BC17EC">
              <w:rPr>
                <w:rFonts w:ascii="Times New Roman" w:hAnsi="Times New Roman" w:cs="Times New Roman"/>
                <w:sz w:val="24"/>
              </w:rPr>
              <w:t xml:space="preserve"> of </w:t>
            </w:r>
            <w:r w:rsidR="00563DC6">
              <w:rPr>
                <w:rFonts w:ascii="Times New Roman" w:hAnsi="Times New Roman" w:cs="Times New Roman"/>
                <w:sz w:val="24"/>
              </w:rPr>
              <w:t>Chapter 5 of Title IV of Part Three CRR</w:t>
            </w:r>
            <w:r w:rsidR="00FC147E" w:rsidRPr="00BC17EC">
              <w:rPr>
                <w:rFonts w:ascii="Times New Roman" w:eastAsia="Times New Roman" w:hAnsi="Times New Roman" w:cs="Times New Roman"/>
                <w:sz w:val="24"/>
              </w:rPr>
              <w:t>.</w:t>
            </w:r>
          </w:p>
        </w:tc>
      </w:tr>
      <w:tr w:rsidR="00D055CB" w:rsidRPr="00BC17EC" w14:paraId="57E9AA54" w14:textId="77777777" w:rsidTr="00997407">
        <w:tc>
          <w:tcPr>
            <w:tcW w:w="1172" w:type="dxa"/>
            <w:tcBorders>
              <w:top w:val="single" w:sz="4" w:space="0" w:color="auto"/>
              <w:left w:val="single" w:sz="4" w:space="0" w:color="auto"/>
              <w:bottom w:val="single" w:sz="4" w:space="0" w:color="auto"/>
              <w:right w:val="single" w:sz="4" w:space="0" w:color="auto"/>
            </w:tcBorders>
          </w:tcPr>
          <w:p w14:paraId="08AF69D9" w14:textId="68B4811A" w:rsidR="00D055CB" w:rsidRPr="00BC17EC" w:rsidRDefault="00D055CB" w:rsidP="00D055CB">
            <w:pPr>
              <w:spacing w:before="120" w:after="120"/>
              <w:jc w:val="right"/>
              <w:rPr>
                <w:rFonts w:ascii="Times New Roman" w:hAnsi="Times New Roman" w:cs="Times New Roman"/>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4C7C4ED9" w14:textId="10BC9EE3" w:rsidR="00D055CB" w:rsidRPr="00BC17EC" w:rsidRDefault="00FC147E" w:rsidP="00FC147E">
            <w:pPr>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Average of the risk number for the </w:t>
            </w:r>
            <w:proofErr w:type="gramStart"/>
            <w:r w:rsidRPr="00BC17EC">
              <w:rPr>
                <w:rFonts w:ascii="Times New Roman" w:hAnsi="Times New Roman" w:cs="Times New Roman"/>
                <w:sz w:val="24"/>
              </w:rPr>
              <w:t>correlation trading</w:t>
            </w:r>
            <w:proofErr w:type="gramEnd"/>
            <w:r w:rsidRPr="00BC17EC">
              <w:rPr>
                <w:rFonts w:ascii="Times New Roman" w:hAnsi="Times New Roman" w:cs="Times New Roman"/>
                <w:sz w:val="24"/>
              </w:rPr>
              <w:t xml:space="preserve"> portfolio calculated in accordance with</w:t>
            </w:r>
            <w:r w:rsidR="00563DC6">
              <w:rPr>
                <w:rFonts w:ascii="Times New Roman" w:hAnsi="Times New Roman" w:cs="Times New Roman"/>
                <w:sz w:val="24"/>
              </w:rPr>
              <w:t xml:space="preserve"> Section 5</w:t>
            </w:r>
            <w:r w:rsidR="00563DC6" w:rsidRPr="00BC17EC">
              <w:rPr>
                <w:rFonts w:ascii="Times New Roman" w:hAnsi="Times New Roman" w:cs="Times New Roman"/>
                <w:sz w:val="24"/>
              </w:rPr>
              <w:t xml:space="preserve"> of </w:t>
            </w:r>
            <w:r w:rsidR="00563DC6">
              <w:rPr>
                <w:rFonts w:ascii="Times New Roman" w:hAnsi="Times New Roman" w:cs="Times New Roman"/>
                <w:sz w:val="24"/>
              </w:rPr>
              <w:t>Chapter 5 of Title IV of Part Three CRR</w:t>
            </w:r>
            <w:r w:rsidR="00B97826" w:rsidRPr="00BC17EC">
              <w:rPr>
                <w:rFonts w:ascii="Times New Roman" w:eastAsia="Times New Roman" w:hAnsi="Times New Roman" w:cs="Times New Roman"/>
                <w:sz w:val="24"/>
              </w:rPr>
              <w:t>,</w:t>
            </w:r>
            <w:r w:rsidRPr="00BC17EC">
              <w:rPr>
                <w:rFonts w:ascii="Times New Roman" w:hAnsi="Times New Roman" w:cs="Times New Roman"/>
                <w:sz w:val="24"/>
              </w:rPr>
              <w:t xml:space="preserve"> over the preceding 12-weeks. </w:t>
            </w:r>
          </w:p>
        </w:tc>
      </w:tr>
      <w:tr w:rsidR="00D055CB" w:rsidRPr="00BC17EC" w14:paraId="6ACFB6BB" w14:textId="77777777" w:rsidTr="00997407">
        <w:tc>
          <w:tcPr>
            <w:tcW w:w="1172" w:type="dxa"/>
            <w:tcBorders>
              <w:top w:val="single" w:sz="4" w:space="0" w:color="auto"/>
              <w:left w:val="single" w:sz="4" w:space="0" w:color="auto"/>
              <w:bottom w:val="single" w:sz="4" w:space="0" w:color="auto"/>
              <w:right w:val="single" w:sz="4" w:space="0" w:color="auto"/>
            </w:tcBorders>
          </w:tcPr>
          <w:p w14:paraId="44C2722C" w14:textId="77E862C2" w:rsidR="00D055CB" w:rsidRPr="00BC17EC" w:rsidRDefault="00D055CB" w:rsidP="00D055CB">
            <w:pPr>
              <w:spacing w:before="120" w:after="120"/>
              <w:jc w:val="right"/>
              <w:rPr>
                <w:rFonts w:ascii="Times New Roman" w:hAnsi="Times New Roman" w:cs="Times New Roman"/>
                <w:b/>
                <w:sz w:val="24"/>
                <w:lang w:eastAsia="ja-JP"/>
              </w:rPr>
            </w:pPr>
            <w:r w:rsidRPr="00BC17EC">
              <w:rPr>
                <w:rFonts w:ascii="Times New Roman" w:hAnsi="Times New Roman" w:cs="Times New Roman"/>
                <w:sz w:val="24"/>
                <w:lang w:eastAsia="ja-JP"/>
              </w:rPr>
              <w:lastRenderedPageBreak/>
              <w:t>{c}</w:t>
            </w:r>
          </w:p>
        </w:tc>
        <w:tc>
          <w:tcPr>
            <w:tcW w:w="7242" w:type="dxa"/>
            <w:tcBorders>
              <w:top w:val="single" w:sz="4" w:space="0" w:color="auto"/>
              <w:left w:val="single" w:sz="4" w:space="0" w:color="auto"/>
              <w:bottom w:val="single" w:sz="4" w:space="0" w:color="auto"/>
              <w:right w:val="single" w:sz="4" w:space="0" w:color="auto"/>
            </w:tcBorders>
          </w:tcPr>
          <w:p w14:paraId="72A2CE42" w14:textId="2F282D14" w:rsidR="00D055CB" w:rsidRPr="00BC17EC" w:rsidRDefault="00FC147E" w:rsidP="00B97826">
            <w:pPr>
              <w:autoSpaceDE w:val="0"/>
              <w:autoSpaceDN w:val="0"/>
              <w:adjustRightInd w:val="0"/>
              <w:spacing w:before="120" w:after="120"/>
              <w:jc w:val="both"/>
              <w:rPr>
                <w:rFonts w:ascii="Times New Roman" w:hAnsi="Times New Roman" w:cs="Times New Roman"/>
                <w:b/>
                <w:sz w:val="24"/>
                <w:lang w:eastAsia="ja-JP"/>
              </w:rPr>
            </w:pPr>
            <w:r w:rsidRPr="00BC17EC">
              <w:rPr>
                <w:rFonts w:ascii="Times New Roman" w:hAnsi="Times New Roman" w:cs="Times New Roman"/>
                <w:sz w:val="24"/>
              </w:rPr>
              <w:t>8 % of the own funds requirement that would, at the time of calculation of the most recent risk number referred to in</w:t>
            </w:r>
            <w:r w:rsidR="00B97826" w:rsidRPr="00BC17EC">
              <w:rPr>
                <w:rFonts w:ascii="Times New Roman" w:hAnsi="Times New Roman" w:cs="Times New Roman"/>
                <w:sz w:val="24"/>
              </w:rPr>
              <w:t xml:space="preserve"> row</w:t>
            </w:r>
            <w:r w:rsidRPr="00BC17EC">
              <w:rPr>
                <w:rFonts w:ascii="Times New Roman" w:hAnsi="Times New Roman" w:cs="Times New Roman"/>
                <w:sz w:val="24"/>
              </w:rPr>
              <w:t xml:space="preserve"> (a), be calculated in accordance with Article 338</w:t>
            </w:r>
            <w:r w:rsidR="00B97826" w:rsidRPr="00BC17EC">
              <w:rPr>
                <w:rFonts w:ascii="Times New Roman" w:hAnsi="Times New Roman" w:cs="Times New Roman"/>
                <w:sz w:val="24"/>
              </w:rPr>
              <w:t xml:space="preserve"> </w:t>
            </w:r>
            <w:r w:rsidRPr="00BC17EC">
              <w:rPr>
                <w:rFonts w:ascii="Times New Roman" w:hAnsi="Times New Roman" w:cs="Times New Roman"/>
                <w:sz w:val="24"/>
              </w:rPr>
              <w:t xml:space="preserve">(4) </w:t>
            </w:r>
            <w:r w:rsidR="00012BC3" w:rsidRPr="00BC17EC">
              <w:rPr>
                <w:rFonts w:ascii="Times New Roman" w:eastAsia="Times New Roman" w:hAnsi="Times New Roman" w:cs="Times New Roman"/>
                <w:sz w:val="24"/>
              </w:rPr>
              <w:t>CRR</w:t>
            </w:r>
            <w:r w:rsidR="00B97826" w:rsidRPr="00BC17EC">
              <w:rPr>
                <w:rFonts w:ascii="Times New Roman" w:eastAsia="Times New Roman" w:hAnsi="Times New Roman" w:cs="Times New Roman"/>
                <w:sz w:val="24"/>
              </w:rPr>
              <w:t xml:space="preserve">, </w:t>
            </w:r>
            <w:r w:rsidRPr="00BC17EC">
              <w:rPr>
                <w:rFonts w:ascii="Times New Roman" w:hAnsi="Times New Roman" w:cs="Times New Roman"/>
                <w:sz w:val="24"/>
              </w:rPr>
              <w:t>for</w:t>
            </w:r>
            <w:r w:rsidR="00B97826" w:rsidRPr="00BC17EC">
              <w:rPr>
                <w:rFonts w:ascii="Times New Roman" w:hAnsi="Times New Roman" w:cs="Times New Roman"/>
                <w:sz w:val="24"/>
              </w:rPr>
              <w:t xml:space="preserve"> </w:t>
            </w:r>
            <w:r w:rsidRPr="00BC17EC">
              <w:rPr>
                <w:rFonts w:ascii="Times New Roman" w:hAnsi="Times New Roman" w:cs="Times New Roman"/>
                <w:sz w:val="24"/>
              </w:rPr>
              <w:t>all those positions incorporated into the internal model for</w:t>
            </w:r>
            <w:r w:rsidR="00B97826" w:rsidRPr="00BC17EC">
              <w:rPr>
                <w:rFonts w:ascii="Times New Roman" w:hAnsi="Times New Roman" w:cs="Times New Roman"/>
                <w:sz w:val="24"/>
              </w:rPr>
              <w:t xml:space="preserve"> </w:t>
            </w:r>
            <w:r w:rsidRPr="00BC17EC">
              <w:rPr>
                <w:rFonts w:ascii="Times New Roman" w:hAnsi="Times New Roman" w:cs="Times New Roman"/>
                <w:sz w:val="24"/>
              </w:rPr>
              <w:t>the correlation trading portfolio.</w:t>
            </w:r>
          </w:p>
        </w:tc>
      </w:tr>
      <w:tr w:rsidR="00621A04" w:rsidRPr="00BC17EC" w14:paraId="723975FA" w14:textId="77777777" w:rsidTr="00997407">
        <w:tc>
          <w:tcPr>
            <w:tcW w:w="1172" w:type="dxa"/>
            <w:tcBorders>
              <w:top w:val="single" w:sz="4" w:space="0" w:color="auto"/>
              <w:left w:val="single" w:sz="4" w:space="0" w:color="auto"/>
              <w:bottom w:val="single" w:sz="4" w:space="0" w:color="auto"/>
              <w:right w:val="single" w:sz="4" w:space="0" w:color="auto"/>
            </w:tcBorders>
          </w:tcPr>
          <w:p w14:paraId="468E1FE6" w14:textId="7E9F9D68" w:rsidR="00621A04" w:rsidRPr="00BC17EC" w:rsidRDefault="00621A04" w:rsidP="00621A04">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{5}</w:t>
            </w:r>
          </w:p>
        </w:tc>
        <w:tc>
          <w:tcPr>
            <w:tcW w:w="7242" w:type="dxa"/>
            <w:tcBorders>
              <w:top w:val="single" w:sz="4" w:space="0" w:color="auto"/>
              <w:left w:val="single" w:sz="4" w:space="0" w:color="auto"/>
              <w:bottom w:val="single" w:sz="4" w:space="0" w:color="auto"/>
              <w:right w:val="single" w:sz="4" w:space="0" w:color="auto"/>
            </w:tcBorders>
          </w:tcPr>
          <w:p w14:paraId="1185ACC6" w14:textId="3052CB59" w:rsidR="00621A04" w:rsidRPr="00BC17EC" w:rsidRDefault="00621A04" w:rsidP="00B97826">
            <w:pPr>
              <w:autoSpaceDE w:val="0"/>
              <w:autoSpaceDN w:val="0"/>
              <w:adjustRightInd w:val="0"/>
              <w:spacing w:before="120" w:after="120"/>
              <w:jc w:val="both"/>
              <w:rPr>
                <w:rFonts w:ascii="Times New Roman" w:hAnsi="Times New Roman" w:cs="Times New Roman"/>
                <w:b/>
                <w:i/>
                <w:sz w:val="24"/>
              </w:rPr>
            </w:pPr>
            <w:r w:rsidRPr="00BC17EC">
              <w:rPr>
                <w:rFonts w:ascii="Times New Roman" w:hAnsi="Times New Roman" w:cs="Times New Roman"/>
                <w:b/>
                <w:i/>
                <w:sz w:val="24"/>
              </w:rPr>
              <w:t>Other</w:t>
            </w:r>
          </w:p>
          <w:p w14:paraId="556A833C" w14:textId="4C7D512A" w:rsidR="00621A04" w:rsidRPr="00BC17EC" w:rsidRDefault="00621A04" w:rsidP="00761299">
            <w:pPr>
              <w:autoSpaceDE w:val="0"/>
              <w:autoSpaceDN w:val="0"/>
              <w:adjustRightInd w:val="0"/>
              <w:spacing w:before="120" w:after="120"/>
              <w:jc w:val="both"/>
              <w:rPr>
                <w:rFonts w:ascii="Times New Roman" w:hAnsi="Times New Roman" w:cs="Times New Roman"/>
                <w:sz w:val="24"/>
              </w:rPr>
            </w:pPr>
            <w:r w:rsidRPr="00BC17EC">
              <w:rPr>
                <w:rFonts w:ascii="Times New Roman" w:hAnsi="Times New Roman" w:cs="Times New Roman"/>
                <w:sz w:val="24"/>
              </w:rPr>
              <w:t>Other refers to additional o</w:t>
            </w:r>
            <w:r w:rsidR="00761299" w:rsidRPr="00BC17EC">
              <w:rPr>
                <w:rFonts w:ascii="Times New Roman" w:hAnsi="Times New Roman" w:cs="Times New Roman"/>
                <w:sz w:val="24"/>
              </w:rPr>
              <w:t>w</w:t>
            </w:r>
            <w:r w:rsidRPr="00BC17EC">
              <w:rPr>
                <w:rFonts w:ascii="Times New Roman" w:hAnsi="Times New Roman" w:cs="Times New Roman"/>
                <w:sz w:val="24"/>
              </w:rPr>
              <w:t>n funds required by supervisors for institutions using the internal model approach for market risk (e.g. additional capital according to Article 101 of Directive 2013/36/UE).</w:t>
            </w:r>
          </w:p>
        </w:tc>
      </w:tr>
      <w:tr w:rsidR="00621A04" w:rsidRPr="00BC17EC" w14:paraId="16B6B2BE" w14:textId="77777777" w:rsidTr="00997407">
        <w:tc>
          <w:tcPr>
            <w:tcW w:w="1172" w:type="dxa"/>
            <w:tcBorders>
              <w:top w:val="single" w:sz="4" w:space="0" w:color="auto"/>
              <w:left w:val="single" w:sz="4" w:space="0" w:color="auto"/>
              <w:bottom w:val="single" w:sz="4" w:space="0" w:color="auto"/>
              <w:right w:val="single" w:sz="4" w:space="0" w:color="auto"/>
            </w:tcBorders>
          </w:tcPr>
          <w:p w14:paraId="074B70A9" w14:textId="24D0A1AC" w:rsidR="00621A04" w:rsidRPr="00BC17EC" w:rsidRDefault="00621A04" w:rsidP="00621A04">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t>{6}</w:t>
            </w:r>
          </w:p>
        </w:tc>
        <w:tc>
          <w:tcPr>
            <w:tcW w:w="7242" w:type="dxa"/>
            <w:tcBorders>
              <w:top w:val="single" w:sz="4" w:space="0" w:color="auto"/>
              <w:left w:val="single" w:sz="4" w:space="0" w:color="auto"/>
              <w:bottom w:val="single" w:sz="4" w:space="0" w:color="auto"/>
              <w:right w:val="single" w:sz="4" w:space="0" w:color="auto"/>
            </w:tcBorders>
          </w:tcPr>
          <w:p w14:paraId="742DA8EE" w14:textId="73C617A3" w:rsidR="00621A04" w:rsidRPr="00BC17EC" w:rsidRDefault="00621A04" w:rsidP="00621A04">
            <w:pPr>
              <w:autoSpaceDE w:val="0"/>
              <w:autoSpaceDN w:val="0"/>
              <w:adjustRightInd w:val="0"/>
              <w:spacing w:before="120" w:after="120"/>
              <w:jc w:val="both"/>
              <w:rPr>
                <w:rFonts w:ascii="Times New Roman" w:hAnsi="Times New Roman" w:cs="Times New Roman"/>
                <w:sz w:val="24"/>
              </w:rPr>
            </w:pPr>
            <w:r w:rsidRPr="00BC17EC">
              <w:rPr>
                <w:rFonts w:ascii="Times New Roman" w:hAnsi="Times New Roman" w:cs="Times New Roman"/>
                <w:b/>
                <w:sz w:val="24"/>
              </w:rPr>
              <w:t>Total</w:t>
            </w:r>
            <w:r w:rsidRPr="00BC17EC">
              <w:rPr>
                <w:rFonts w:ascii="Times New Roman" w:hAnsi="Times New Roman" w:cs="Times New Roman"/>
                <w:sz w:val="24"/>
              </w:rPr>
              <w:t xml:space="preserve"> (1+2+3+ 4+5)</w:t>
            </w:r>
          </w:p>
        </w:tc>
      </w:tr>
      <w:tr w:rsidR="00D055CB" w:rsidRPr="00BC17EC" w14:paraId="282CAEEF"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A20E68" w14:textId="77777777" w:rsidR="00D055CB" w:rsidRPr="00BC17EC" w:rsidRDefault="00D055CB"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0F89F8" w14:textId="77777777" w:rsidR="00D055CB" w:rsidRPr="00BC17EC" w:rsidRDefault="00D055CB"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DF6A73" w:rsidRPr="00BC17EC" w14:paraId="749429E8" w14:textId="77777777" w:rsidTr="00997407">
        <w:tc>
          <w:tcPr>
            <w:tcW w:w="1172" w:type="dxa"/>
            <w:tcBorders>
              <w:top w:val="single" w:sz="4" w:space="0" w:color="auto"/>
              <w:left w:val="single" w:sz="4" w:space="0" w:color="auto"/>
              <w:bottom w:val="single" w:sz="4" w:space="0" w:color="auto"/>
              <w:right w:val="single" w:sz="4" w:space="0" w:color="auto"/>
            </w:tcBorders>
          </w:tcPr>
          <w:p w14:paraId="553FD75F" w14:textId="30E03E95" w:rsidR="00DF6A73" w:rsidRPr="00BC17EC" w:rsidRDefault="00DF6A73"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25CD96D3" w14:textId="3F100FD6" w:rsidR="00DF6A73" w:rsidRPr="00BC17EC" w:rsidRDefault="00DF6A73" w:rsidP="00DA01E7">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RW</w:t>
            </w:r>
            <w:r w:rsidR="001D01B2" w:rsidRPr="00BC17EC">
              <w:rPr>
                <w:rFonts w:ascii="Times New Roman" w:hAnsi="Times New Roman" w:cs="Times New Roman"/>
                <w:i/>
                <w:sz w:val="24"/>
                <w:lang w:eastAsia="ja-JP"/>
              </w:rPr>
              <w:t>E</w:t>
            </w:r>
            <w:r w:rsidRPr="00BC17EC">
              <w:rPr>
                <w:rFonts w:ascii="Times New Roman" w:hAnsi="Times New Roman" w:cs="Times New Roman"/>
                <w:i/>
                <w:sz w:val="24"/>
                <w:lang w:eastAsia="ja-JP"/>
              </w:rPr>
              <w:t>As</w:t>
            </w:r>
          </w:p>
          <w:p w14:paraId="0D363B78" w14:textId="7D2C00A9" w:rsidR="00DF6A73" w:rsidRPr="00BC17EC" w:rsidRDefault="00DF6A73" w:rsidP="00DF6A73">
            <w:pPr>
              <w:spacing w:before="120" w:after="120"/>
              <w:jc w:val="both"/>
              <w:rPr>
                <w:rFonts w:ascii="Times New Roman" w:hAnsi="Times New Roman" w:cs="Times New Roman"/>
                <w:b/>
                <w:sz w:val="24"/>
                <w:lang w:eastAsia="ja-JP"/>
              </w:rPr>
            </w:pPr>
            <w:r w:rsidRPr="00BC17EC">
              <w:rPr>
                <w:rFonts w:ascii="Times New Roman" w:hAnsi="Times New Roman" w:cs="Times New Roman"/>
                <w:sz w:val="24"/>
                <w:lang w:eastAsia="ja-JP"/>
              </w:rPr>
              <w:t xml:space="preserve">Disclosure of risk weighted exposures referred to in </w:t>
            </w:r>
            <w:r w:rsidR="00CA3BC1">
              <w:rPr>
                <w:rFonts w:ascii="Times New Roman" w:hAnsi="Times New Roman" w:cs="Times New Roman"/>
                <w:sz w:val="24"/>
                <w:lang w:eastAsia="ja-JP"/>
              </w:rPr>
              <w:t xml:space="preserve">point (d) of </w:t>
            </w:r>
            <w:r w:rsidRPr="00BC17EC">
              <w:rPr>
                <w:rFonts w:ascii="Times New Roman" w:hAnsi="Times New Roman" w:cs="Times New Roman"/>
                <w:sz w:val="24"/>
                <w:lang w:eastAsia="ja-JP"/>
              </w:rPr>
              <w:t>Article 438</w:t>
            </w:r>
            <w:r w:rsidR="0033191C">
              <w:rPr>
                <w:rFonts w:ascii="Times New Roman" w:hAnsi="Times New Roman" w:cs="Times New Roman"/>
                <w:sz w:val="24"/>
                <w:lang w:eastAsia="ja-JP"/>
              </w:rPr>
              <w:t xml:space="preserve"> </w:t>
            </w:r>
            <w:r w:rsidR="00012BC3" w:rsidRPr="00BC17EC">
              <w:rPr>
                <w:rFonts w:ascii="Times New Roman" w:hAnsi="Times New Roman" w:cs="Times New Roman"/>
                <w:sz w:val="24"/>
                <w:lang w:eastAsia="ja-JP"/>
              </w:rPr>
              <w:t>CRR</w:t>
            </w:r>
            <w:r w:rsidRPr="00BC17EC">
              <w:rPr>
                <w:rFonts w:ascii="Times New Roman" w:hAnsi="Times New Roman" w:cs="Times New Roman"/>
                <w:sz w:val="24"/>
                <w:lang w:eastAsia="ja-JP"/>
              </w:rPr>
              <w:t xml:space="preserve">, computed as  the value in column b  multiplied by 12.5 in accordance with </w:t>
            </w:r>
            <w:r w:rsidR="0033191C">
              <w:rPr>
                <w:rFonts w:ascii="Times New Roman" w:hAnsi="Times New Roman" w:cs="Times New Roman"/>
                <w:sz w:val="24"/>
                <w:lang w:eastAsia="ja-JP"/>
              </w:rPr>
              <w:t>point (b) of A</w:t>
            </w:r>
            <w:r w:rsidRPr="00BC17EC">
              <w:rPr>
                <w:rFonts w:ascii="Times New Roman" w:hAnsi="Times New Roman" w:cs="Times New Roman"/>
                <w:sz w:val="24"/>
                <w:lang w:eastAsia="ja-JP"/>
              </w:rPr>
              <w:t xml:space="preserve">rticle 92 (4) </w:t>
            </w:r>
            <w:r w:rsidR="0033191C">
              <w:rPr>
                <w:rFonts w:ascii="Times New Roman" w:hAnsi="Times New Roman" w:cs="Times New Roman"/>
                <w:sz w:val="24"/>
                <w:lang w:eastAsia="ja-JP"/>
              </w:rPr>
              <w:t>CRR</w:t>
            </w:r>
            <w:r w:rsidRPr="00BC17EC">
              <w:rPr>
                <w:rFonts w:ascii="Times New Roman" w:hAnsi="Times New Roman" w:cs="Times New Roman"/>
                <w:sz w:val="24"/>
                <w:lang w:eastAsia="ja-JP"/>
              </w:rPr>
              <w:t xml:space="preserve">.  </w:t>
            </w:r>
          </w:p>
        </w:tc>
      </w:tr>
      <w:tr w:rsidR="00DF6A73" w:rsidRPr="00BC17EC" w14:paraId="7E7F620F" w14:textId="77777777" w:rsidTr="00997407">
        <w:tc>
          <w:tcPr>
            <w:tcW w:w="1172" w:type="dxa"/>
            <w:tcBorders>
              <w:top w:val="single" w:sz="4" w:space="0" w:color="auto"/>
              <w:left w:val="single" w:sz="4" w:space="0" w:color="auto"/>
              <w:bottom w:val="single" w:sz="4" w:space="0" w:color="auto"/>
              <w:right w:val="single" w:sz="4" w:space="0" w:color="auto"/>
            </w:tcBorders>
          </w:tcPr>
          <w:p w14:paraId="731895C6" w14:textId="7ED9D0D6" w:rsidR="00DF6A73" w:rsidRPr="00BC17EC" w:rsidRDefault="00A41ECC"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1136CDBC" w14:textId="26FB7439" w:rsidR="00DF6A73" w:rsidRPr="00BC17EC" w:rsidRDefault="00181385" w:rsidP="00A41ECC">
            <w:pPr>
              <w:spacing w:before="120" w:after="120"/>
              <w:jc w:val="both"/>
              <w:rPr>
                <w:rFonts w:ascii="Times New Roman" w:hAnsi="Times New Roman" w:cs="Times New Roman"/>
                <w:b/>
                <w:sz w:val="24"/>
                <w:lang w:eastAsia="ja-JP"/>
              </w:rPr>
            </w:pPr>
            <w:r w:rsidRPr="00BC17EC">
              <w:rPr>
                <w:rFonts w:ascii="Times New Roman" w:eastAsia="Times New Roman" w:hAnsi="Times New Roman" w:cs="Times New Roman"/>
                <w:sz w:val="24"/>
              </w:rPr>
              <w:t xml:space="preserve">Own funds requirements </w:t>
            </w:r>
            <w:r w:rsidR="00A41ECC" w:rsidRPr="00BC17EC">
              <w:rPr>
                <w:rFonts w:ascii="Times New Roman" w:eastAsia="Times New Roman" w:hAnsi="Times New Roman" w:cs="Times New Roman"/>
                <w:sz w:val="24"/>
              </w:rPr>
              <w:t xml:space="preserve">for market risk as </w:t>
            </w:r>
            <w:r w:rsidR="00A41ECC" w:rsidRPr="00BC17EC">
              <w:rPr>
                <w:rFonts w:ascii="Times New Roman" w:hAnsi="Times New Roman" w:cs="Times New Roman"/>
                <w:sz w:val="24"/>
                <w:lang w:eastAsia="ja-JP"/>
              </w:rPr>
              <w:t xml:space="preserve">determined in </w:t>
            </w:r>
            <w:r w:rsidR="007C51A8">
              <w:rPr>
                <w:rFonts w:ascii="Times New Roman" w:hAnsi="Times New Roman" w:cs="Times New Roman"/>
                <w:sz w:val="24"/>
                <w:lang w:eastAsia="ja-JP"/>
              </w:rPr>
              <w:t>Chapter 5 of Title IV of Part Three CRR</w:t>
            </w:r>
            <w:r w:rsidR="004B668A" w:rsidRPr="00BC17EC">
              <w:rPr>
                <w:rFonts w:ascii="Times New Roman" w:eastAsia="Times New Roman" w:hAnsi="Times New Roman" w:cs="Times New Roman"/>
                <w:sz w:val="24"/>
              </w:rPr>
              <w:t xml:space="preserve"> in accordance with instructions in rows {1} to {4} above</w:t>
            </w:r>
            <w:r w:rsidR="00A41ECC" w:rsidRPr="00BC17EC">
              <w:rPr>
                <w:rFonts w:ascii="Times New Roman" w:eastAsia="Times New Roman" w:hAnsi="Times New Roman" w:cs="Times New Roman"/>
                <w:sz w:val="24"/>
              </w:rPr>
              <w:t>.</w:t>
            </w:r>
          </w:p>
        </w:tc>
      </w:tr>
    </w:tbl>
    <w:p w14:paraId="60E0AABB" w14:textId="7A37D077" w:rsidR="006057D0" w:rsidRPr="00BC17EC" w:rsidRDefault="00621A04" w:rsidP="00621A04">
      <w:pPr>
        <w:pStyle w:val="Titlelevel2"/>
        <w:rPr>
          <w:rFonts w:ascii="Times New Roman" w:hAnsi="Times New Roman" w:cs="Times New Roman"/>
          <w:color w:val="auto"/>
          <w:sz w:val="24"/>
        </w:rPr>
      </w:pPr>
      <w:r w:rsidRPr="00BC17EC">
        <w:rPr>
          <w:rFonts w:ascii="Times New Roman" w:hAnsi="Times New Roman" w:cs="Times New Roman"/>
          <w:b/>
          <w:color w:val="auto"/>
          <w:sz w:val="24"/>
          <w:lang w:val="en-GB"/>
        </w:rPr>
        <w:t>Template EU MR2-B - RWA flow statements of market risk exposures under the IMA</w:t>
      </w:r>
      <w:r w:rsidR="0073376A" w:rsidRPr="00BC17EC">
        <w:rPr>
          <w:rFonts w:ascii="Times New Roman" w:hAnsi="Times New Roman" w:cs="Times New Roman"/>
          <w:b/>
          <w:color w:val="auto"/>
          <w:sz w:val="24"/>
          <w:lang w:val="en-GB"/>
        </w:rPr>
        <w:t>:</w:t>
      </w:r>
      <w:r w:rsidR="0073376A" w:rsidRPr="00BC17EC">
        <w:rPr>
          <w:rFonts w:ascii="Times New Roman" w:hAnsi="Times New Roman" w:cs="Times New Roman"/>
          <w:color w:val="auto"/>
          <w:sz w:val="24"/>
        </w:rPr>
        <w:t xml:space="preserve"> fixed format</w:t>
      </w:r>
    </w:p>
    <w:p w14:paraId="4EA7726F" w14:textId="1C224969" w:rsidR="00F6019F" w:rsidRPr="00BC17EC" w:rsidRDefault="004E50CD" w:rsidP="00F6019F">
      <w:pPr>
        <w:pStyle w:val="Titlelevel2"/>
        <w:numPr>
          <w:ilvl w:val="0"/>
          <w:numId w:val="12"/>
        </w:numPr>
        <w:spacing w:before="120"/>
        <w:ind w:left="1066" w:hanging="357"/>
        <w:jc w:val="both"/>
        <w:rPr>
          <w:rFonts w:ascii="Times New Roman" w:hAnsi="Times New Roman" w:cs="Times New Roman"/>
          <w:b/>
          <w:color w:val="auto"/>
          <w:sz w:val="24"/>
          <w:lang w:val="en-GB"/>
        </w:rPr>
      </w:pPr>
      <w:r w:rsidRPr="00BC17EC">
        <w:rPr>
          <w:rFonts w:ascii="Times New Roman" w:eastAsiaTheme="minorEastAsia" w:hAnsi="Times New Roman" w:cs="Times New Roman"/>
          <w:bCs w:val="0"/>
          <w:noProof/>
          <w:color w:val="000000"/>
          <w:sz w:val="24"/>
          <w:lang w:val="en-GB"/>
        </w:rPr>
        <w:t xml:space="preserve">Institutions shall </w:t>
      </w:r>
      <w:r w:rsidR="009F78F1" w:rsidRPr="00BC17EC">
        <w:rPr>
          <w:rFonts w:ascii="Times New Roman" w:eastAsiaTheme="minorEastAsia" w:hAnsi="Times New Roman" w:cs="Times New Roman"/>
          <w:bCs w:val="0"/>
          <w:noProof/>
          <w:color w:val="000000"/>
          <w:sz w:val="24"/>
          <w:lang w:val="en-GB"/>
        </w:rPr>
        <w:t xml:space="preserve">apply the instructions provided below in this Annex in order to complete </w:t>
      </w:r>
      <w:r w:rsidR="005C41D8" w:rsidRPr="00BC17EC">
        <w:rPr>
          <w:rFonts w:ascii="Times New Roman" w:eastAsiaTheme="minorEastAsia" w:hAnsi="Times New Roman" w:cs="Times New Roman"/>
          <w:bCs w:val="0"/>
          <w:noProof/>
          <w:color w:val="000000"/>
          <w:sz w:val="24"/>
          <w:lang w:val="en-GB"/>
        </w:rPr>
        <w:t>template EU MR2-B</w:t>
      </w:r>
      <w:r w:rsidR="009F78F1" w:rsidRPr="00BC17EC">
        <w:rPr>
          <w:rFonts w:ascii="Times New Roman" w:eastAsiaTheme="minorEastAsia" w:hAnsi="Times New Roman" w:cs="Times New Roman"/>
          <w:bCs w:val="0"/>
          <w:noProof/>
          <w:color w:val="000000"/>
          <w:sz w:val="24"/>
          <w:lang w:val="en-GB"/>
        </w:rPr>
        <w:t xml:space="preserve"> as presented in Annex </w:t>
      </w:r>
      <w:r w:rsidR="00560C49">
        <w:rPr>
          <w:rFonts w:ascii="Times New Roman" w:eastAsiaTheme="minorEastAsia" w:hAnsi="Times New Roman" w:cs="Times New Roman"/>
          <w:bCs w:val="0"/>
          <w:noProof/>
          <w:color w:val="000000"/>
          <w:sz w:val="24"/>
          <w:lang w:val="en-GB"/>
        </w:rPr>
        <w:t>XXIX</w:t>
      </w:r>
      <w:r w:rsidR="001A1984">
        <w:rPr>
          <w:rFonts w:ascii="Times New Roman" w:eastAsiaTheme="minorEastAsia" w:hAnsi="Times New Roman" w:cs="Times New Roman"/>
          <w:bCs w:val="0"/>
          <w:noProof/>
          <w:color w:val="000000"/>
          <w:sz w:val="24"/>
          <w:lang w:val="en-GB"/>
        </w:rPr>
        <w:t xml:space="preserve"> to this Implementing Regulation</w:t>
      </w:r>
      <w:r w:rsidR="009F78F1" w:rsidRPr="00BC17EC">
        <w:rPr>
          <w:rFonts w:ascii="Times New Roman" w:eastAsiaTheme="minorEastAsia" w:hAnsi="Times New Roman" w:cs="Times New Roman"/>
          <w:bCs w:val="0"/>
          <w:noProof/>
          <w:color w:val="000000"/>
          <w:sz w:val="24"/>
          <w:lang w:val="en-GB"/>
        </w:rPr>
        <w:t xml:space="preserve">, </w:t>
      </w:r>
      <w:r w:rsidRPr="00BC17EC">
        <w:rPr>
          <w:rFonts w:ascii="Times New Roman" w:eastAsiaTheme="minorEastAsia" w:hAnsi="Times New Roman" w:cs="Times New Roman"/>
          <w:bCs w:val="0"/>
          <w:noProof/>
          <w:color w:val="000000"/>
          <w:sz w:val="24"/>
          <w:lang w:val="en-GB"/>
        </w:rPr>
        <w:t xml:space="preserve">in application of </w:t>
      </w:r>
      <w:r w:rsidR="00CA3BC1">
        <w:rPr>
          <w:rFonts w:ascii="Times New Roman" w:eastAsiaTheme="minorEastAsia" w:hAnsi="Times New Roman" w:cs="Times New Roman"/>
          <w:bCs w:val="0"/>
          <w:noProof/>
          <w:color w:val="000000"/>
          <w:sz w:val="24"/>
          <w:lang w:val="en-GB"/>
        </w:rPr>
        <w:t xml:space="preserve">point (h) of </w:t>
      </w:r>
      <w:r w:rsidR="00181385" w:rsidRPr="00BC17EC">
        <w:rPr>
          <w:rFonts w:ascii="Times New Roman" w:eastAsiaTheme="minorEastAsia" w:hAnsi="Times New Roman" w:cs="Times New Roman"/>
          <w:bCs w:val="0"/>
          <w:noProof/>
          <w:color w:val="000000"/>
          <w:sz w:val="24"/>
          <w:lang w:val="en-GB"/>
        </w:rPr>
        <w:t>Article 43</w:t>
      </w:r>
      <w:r w:rsidR="00CA3BC1">
        <w:rPr>
          <w:rFonts w:ascii="Times New Roman" w:eastAsiaTheme="minorEastAsia" w:hAnsi="Times New Roman" w:cs="Times New Roman"/>
          <w:bCs w:val="0"/>
          <w:noProof/>
          <w:color w:val="000000"/>
          <w:sz w:val="24"/>
          <w:lang w:val="en-GB"/>
        </w:rPr>
        <w:t>8</w:t>
      </w:r>
      <w:r w:rsidR="00181385" w:rsidRPr="00BC17EC">
        <w:rPr>
          <w:rFonts w:ascii="Times New Roman" w:eastAsiaTheme="minorEastAsia" w:hAnsi="Times New Roman" w:cs="Times New Roman"/>
          <w:bCs w:val="0"/>
          <w:noProof/>
          <w:color w:val="000000"/>
          <w:sz w:val="24"/>
          <w:lang w:val="en-GB"/>
        </w:rPr>
        <w:t xml:space="preserve"> CRR</w:t>
      </w:r>
      <w:r w:rsidR="00D5720E" w:rsidRPr="00BC17EC">
        <w:rPr>
          <w:rFonts w:ascii="Times New Roman" w:eastAsiaTheme="minorEastAsia" w:hAnsi="Times New Roman" w:cs="Times New Roman"/>
          <w:bCs w:val="0"/>
          <w:noProof/>
          <w:color w:val="000000"/>
          <w:sz w:val="24"/>
          <w:lang w:val="en-GB"/>
        </w:rPr>
        <w:t xml:space="preserve">. </w:t>
      </w:r>
    </w:p>
    <w:p w14:paraId="493437A8" w14:textId="655673A4" w:rsidR="00CF48E7" w:rsidRPr="00262F11" w:rsidRDefault="00CF48E7" w:rsidP="00CF48E7">
      <w:pPr>
        <w:pStyle w:val="Titlelevel2"/>
        <w:numPr>
          <w:ilvl w:val="0"/>
          <w:numId w:val="12"/>
        </w:numPr>
        <w:spacing w:before="120"/>
        <w:jc w:val="both"/>
        <w:rPr>
          <w:rFonts w:ascii="Times New Roman" w:eastAsiaTheme="minorEastAsia" w:hAnsi="Times New Roman" w:cs="Times New Roman"/>
          <w:bCs w:val="0"/>
          <w:noProof/>
          <w:color w:val="auto"/>
          <w:sz w:val="24"/>
          <w:lang w:val="en-GB" w:eastAsia="en-GB"/>
        </w:rPr>
      </w:pPr>
      <w:proofErr w:type="gramStart"/>
      <w:r w:rsidRPr="00262F11">
        <w:rPr>
          <w:rFonts w:ascii="Times New Roman" w:eastAsiaTheme="minorEastAsia" w:hAnsi="Times New Roman" w:cs="Times New Roman"/>
          <w:bCs w:val="0"/>
          <w:noProof/>
          <w:color w:val="auto"/>
          <w:sz w:val="24"/>
          <w:lang w:val="en-GB" w:eastAsia="en-GB"/>
        </w:rPr>
        <w:t xml:space="preserve">Institutions shall disclose the flows of RWEA as the changes </w:t>
      </w:r>
      <w:r w:rsidRPr="00262F11">
        <w:rPr>
          <w:rFonts w:ascii="Times New Roman" w:eastAsiaTheme="minorEastAsia" w:hAnsi="Times New Roman" w:cs="Times New Roman"/>
          <w:bCs w:val="0"/>
          <w:noProof/>
          <w:color w:val="auto"/>
          <w:sz w:val="24"/>
          <w:lang w:val="en-GB"/>
        </w:rPr>
        <w:t>between the r</w:t>
      </w:r>
      <w:proofErr w:type="spellStart"/>
      <w:r w:rsidRPr="00262F11">
        <w:rPr>
          <w:rFonts w:ascii="Times New Roman" w:hAnsi="Times New Roman" w:cs="Times New Roman"/>
          <w:color w:val="auto"/>
          <w:sz w:val="24"/>
          <w:lang w:eastAsia="ja-JP"/>
        </w:rPr>
        <w:t>isk</w:t>
      </w:r>
      <w:proofErr w:type="spellEnd"/>
      <w:r w:rsidRPr="00262F11">
        <w:rPr>
          <w:rFonts w:ascii="Times New Roman" w:hAnsi="Times New Roman" w:cs="Times New Roman"/>
          <w:color w:val="auto"/>
          <w:sz w:val="24"/>
          <w:lang w:eastAsia="ja-JP"/>
        </w:rPr>
        <w:t xml:space="preserve">-weighted exposure amounts at the end of the </w:t>
      </w:r>
      <w:r w:rsidRPr="00262F11">
        <w:rPr>
          <w:rFonts w:ascii="Times New Roman" w:eastAsiaTheme="minorEastAsia" w:hAnsi="Times New Roman" w:cs="Times New Roman"/>
          <w:bCs w:val="0"/>
          <w:noProof/>
          <w:color w:val="auto"/>
          <w:sz w:val="24"/>
          <w:lang w:val="en-GB"/>
        </w:rPr>
        <w:t xml:space="preserve">disclosure reference date (as specified below in row </w:t>
      </w:r>
      <w:r w:rsidR="00FE156E" w:rsidRPr="00262F11">
        <w:rPr>
          <w:rFonts w:ascii="Times New Roman" w:eastAsiaTheme="minorEastAsia" w:hAnsi="Times New Roman" w:cs="Times New Roman"/>
          <w:bCs w:val="0"/>
          <w:noProof/>
          <w:color w:val="auto"/>
          <w:sz w:val="24"/>
          <w:lang w:val="en-GB"/>
        </w:rPr>
        <w:t>8</w:t>
      </w:r>
      <w:r w:rsidRPr="00262F11">
        <w:rPr>
          <w:rFonts w:ascii="Times New Roman" w:eastAsiaTheme="minorEastAsia" w:hAnsi="Times New Roman" w:cs="Times New Roman"/>
          <w:bCs w:val="0"/>
          <w:noProof/>
          <w:color w:val="auto"/>
          <w:sz w:val="24"/>
          <w:lang w:val="en-GB"/>
        </w:rPr>
        <w:t xml:space="preserve">) </w:t>
      </w:r>
      <w:r w:rsidR="00FE156E" w:rsidRPr="00262F11">
        <w:rPr>
          <w:rFonts w:ascii="Times New Roman" w:eastAsiaTheme="minorEastAsia" w:hAnsi="Times New Roman" w:cs="Times New Roman"/>
          <w:bCs w:val="0"/>
          <w:noProof/>
          <w:color w:val="auto"/>
          <w:sz w:val="24"/>
          <w:lang w:val="en-GB"/>
        </w:rPr>
        <w:t>and the r</w:t>
      </w:r>
      <w:proofErr w:type="spellStart"/>
      <w:r w:rsidR="00FE156E" w:rsidRPr="00262F11">
        <w:rPr>
          <w:rFonts w:ascii="Times New Roman" w:hAnsi="Times New Roman" w:cs="Times New Roman"/>
          <w:color w:val="auto"/>
          <w:sz w:val="24"/>
          <w:lang w:eastAsia="ja-JP"/>
        </w:rPr>
        <w:t>isk</w:t>
      </w:r>
      <w:proofErr w:type="spellEnd"/>
      <w:r w:rsidR="00FE156E" w:rsidRPr="00262F11">
        <w:rPr>
          <w:rFonts w:ascii="Times New Roman" w:hAnsi="Times New Roman" w:cs="Times New Roman"/>
          <w:color w:val="auto"/>
          <w:sz w:val="24"/>
          <w:lang w:eastAsia="ja-JP"/>
        </w:rPr>
        <w:t xml:space="preserve">-weighted exposure amounts at </w:t>
      </w:r>
      <w:r w:rsidR="00FE156E" w:rsidRPr="00262F11">
        <w:rPr>
          <w:rFonts w:ascii="Times New Roman" w:eastAsiaTheme="minorEastAsia" w:hAnsi="Times New Roman" w:cs="Times New Roman"/>
          <w:bCs w:val="0"/>
          <w:noProof/>
          <w:color w:val="auto"/>
          <w:sz w:val="24"/>
          <w:lang w:val="en-GB"/>
        </w:rPr>
        <w:t>end of the prior disclosure reference date (as specified below in row 1; in the case of quaterly disclosures,  end-of-quarter prior to the quarter of the disclosure reference date)</w:t>
      </w:r>
      <w:r w:rsidRPr="00262F11">
        <w:rPr>
          <w:rFonts w:ascii="Times New Roman" w:eastAsiaTheme="minorEastAsia" w:hAnsi="Times New Roman" w:cs="Times New Roman"/>
          <w:bCs w:val="0"/>
          <w:noProof/>
          <w:color w:val="auto"/>
          <w:sz w:val="24"/>
          <w:lang w:val="en-GB"/>
        </w:rPr>
        <w:t>.</w:t>
      </w:r>
      <w:proofErr w:type="gramEnd"/>
      <w:r w:rsidRPr="00262F11">
        <w:rPr>
          <w:rFonts w:ascii="Times New Roman" w:eastAsiaTheme="minorEastAsia" w:hAnsi="Times New Roman" w:cs="Times New Roman"/>
          <w:bCs w:val="0"/>
          <w:noProof/>
          <w:color w:val="auto"/>
          <w:sz w:val="24"/>
          <w:lang w:val="en-GB"/>
        </w:rPr>
        <w:t xml:space="preserve"> Institutions may complement their </w:t>
      </w:r>
      <w:r w:rsidR="001A1984" w:rsidRPr="00262F11">
        <w:rPr>
          <w:rFonts w:ascii="Times New Roman" w:eastAsiaTheme="minorEastAsia" w:hAnsi="Times New Roman" w:cs="Times New Roman"/>
          <w:bCs w:val="0"/>
          <w:noProof/>
          <w:color w:val="auto"/>
          <w:sz w:val="24"/>
          <w:lang w:val="en-GB"/>
        </w:rPr>
        <w:t>P</w:t>
      </w:r>
      <w:r w:rsidRPr="00262F11">
        <w:rPr>
          <w:rFonts w:ascii="Times New Roman" w:eastAsiaTheme="minorEastAsia" w:hAnsi="Times New Roman" w:cs="Times New Roman"/>
          <w:bCs w:val="0"/>
          <w:noProof/>
          <w:color w:val="auto"/>
          <w:sz w:val="24"/>
          <w:lang w:val="en-GB"/>
        </w:rPr>
        <w:t>illar 3 disclosures by disclosing the same information for the three previous quarters.</w:t>
      </w:r>
    </w:p>
    <w:p w14:paraId="2D00D3BC" w14:textId="49F2B899" w:rsidR="00CF48E7" w:rsidRPr="00262F11" w:rsidRDefault="00CF48E7" w:rsidP="00CF48E7">
      <w:pPr>
        <w:pStyle w:val="Titlelevel2"/>
        <w:numPr>
          <w:ilvl w:val="0"/>
          <w:numId w:val="12"/>
        </w:numPr>
        <w:spacing w:before="120"/>
        <w:jc w:val="both"/>
        <w:rPr>
          <w:rFonts w:ascii="Times New Roman" w:eastAsiaTheme="minorEastAsia" w:hAnsi="Times New Roman" w:cs="Times New Roman"/>
          <w:bCs w:val="0"/>
          <w:noProof/>
          <w:color w:val="auto"/>
          <w:sz w:val="24"/>
          <w:lang w:val="en-GB" w:eastAsia="en-GB"/>
        </w:rPr>
      </w:pPr>
      <w:r w:rsidRPr="00262F11">
        <w:rPr>
          <w:rFonts w:ascii="Times New Roman" w:hAnsi="Times New Roman" w:cs="Times New Roman"/>
          <w:noProof/>
          <w:color w:val="auto"/>
          <w:sz w:val="24"/>
        </w:rPr>
        <w:t>Institutions shall explain in the accompanying narrative to the template the figures diclosed in row 8 of the template, i.e. any other drivers that contribute significantly to RWEA variations.</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BC17EC" w14:paraId="5833406D"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30B8EE" w14:textId="77777777" w:rsidR="006057D0" w:rsidRPr="00BC17EC" w:rsidRDefault="006057D0" w:rsidP="00997407">
            <w:pPr>
              <w:spacing w:before="120" w:after="120"/>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6057D0" w:rsidRPr="00BC17EC" w14:paraId="13DCA5AE"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3B77C1"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Row number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6DFF02"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621A04" w:rsidRPr="00BC17EC" w14:paraId="79AF624E" w14:textId="77777777" w:rsidTr="00997407">
        <w:tc>
          <w:tcPr>
            <w:tcW w:w="1172" w:type="dxa"/>
            <w:tcBorders>
              <w:top w:val="single" w:sz="4" w:space="0" w:color="auto"/>
              <w:left w:val="single" w:sz="4" w:space="0" w:color="auto"/>
              <w:bottom w:val="single" w:sz="4" w:space="0" w:color="auto"/>
              <w:right w:val="single" w:sz="4" w:space="0" w:color="auto"/>
            </w:tcBorders>
          </w:tcPr>
          <w:p w14:paraId="12CCAF4C" w14:textId="652E3BF6" w:rsidR="00621A04" w:rsidRPr="00BC17EC" w:rsidRDefault="00621A04"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b/>
                <w:sz w:val="24"/>
                <w:lang w:eastAsia="ja-JP"/>
              </w:rPr>
              <w:lastRenderedPageBreak/>
              <w:t>{1}</w:t>
            </w:r>
          </w:p>
        </w:tc>
        <w:tc>
          <w:tcPr>
            <w:tcW w:w="7242" w:type="dxa"/>
            <w:tcBorders>
              <w:top w:val="single" w:sz="4" w:space="0" w:color="auto"/>
              <w:left w:val="single" w:sz="4" w:space="0" w:color="auto"/>
              <w:bottom w:val="single" w:sz="4" w:space="0" w:color="auto"/>
              <w:right w:val="single" w:sz="4" w:space="0" w:color="auto"/>
            </w:tcBorders>
          </w:tcPr>
          <w:p w14:paraId="4A90B639" w14:textId="50790BB8" w:rsidR="00621A04" w:rsidRPr="00BC17EC" w:rsidRDefault="00017528"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 xml:space="preserve">RWAs at previous </w:t>
            </w:r>
            <w:r w:rsidR="0068565D" w:rsidRPr="00BC17EC">
              <w:rPr>
                <w:rFonts w:ascii="Times New Roman" w:hAnsi="Times New Roman" w:cs="Times New Roman"/>
                <w:b/>
                <w:sz w:val="24"/>
                <w:lang w:eastAsia="ja-JP"/>
              </w:rPr>
              <w:t>period</w:t>
            </w:r>
            <w:r w:rsidRPr="00BC17EC">
              <w:rPr>
                <w:rFonts w:ascii="Times New Roman" w:hAnsi="Times New Roman" w:cs="Times New Roman"/>
                <w:b/>
                <w:sz w:val="24"/>
                <w:lang w:eastAsia="ja-JP"/>
              </w:rPr>
              <w:t xml:space="preserve"> end</w:t>
            </w:r>
          </w:p>
          <w:p w14:paraId="516DBB18" w14:textId="4ADAF26A" w:rsidR="00E40847" w:rsidRPr="00BC17EC" w:rsidRDefault="00E40847" w:rsidP="00D36C9F">
            <w:pPr>
              <w:spacing w:before="120" w:after="120"/>
              <w:jc w:val="both"/>
              <w:rPr>
                <w:rFonts w:ascii="Times New Roman" w:hAnsi="Times New Roman" w:cs="Times New Roman"/>
                <w:b/>
                <w:sz w:val="24"/>
                <w:lang w:eastAsia="ja-JP"/>
              </w:rPr>
            </w:pPr>
            <w:proofErr w:type="gramStart"/>
            <w:r w:rsidRPr="00BC17EC">
              <w:rPr>
                <w:rFonts w:ascii="Times New Roman" w:hAnsi="Times New Roman" w:cs="Times New Roman"/>
                <w:sz w:val="24"/>
                <w:lang w:eastAsia="ja-JP"/>
              </w:rPr>
              <w:t xml:space="preserve">Risk weighted exposure amounts </w:t>
            </w:r>
            <w:r w:rsidR="00761299" w:rsidRPr="00BC17EC">
              <w:rPr>
                <w:rFonts w:ascii="Times New Roman" w:hAnsi="Times New Roman" w:cs="Times New Roman"/>
                <w:sz w:val="24"/>
                <w:lang w:eastAsia="ja-JP"/>
              </w:rPr>
              <w:t xml:space="preserve">at the end of the previous period </w:t>
            </w:r>
            <w:r w:rsidRPr="00BC17EC">
              <w:rPr>
                <w:rFonts w:ascii="Times New Roman" w:hAnsi="Times New Roman" w:cs="Times New Roman"/>
                <w:sz w:val="24"/>
                <w:lang w:eastAsia="ja-JP"/>
              </w:rPr>
              <w:t xml:space="preserve">derived from </w:t>
            </w:r>
            <w:r w:rsidR="00D36C9F" w:rsidRPr="00BC17EC">
              <w:rPr>
                <w:rFonts w:ascii="Times New Roman" w:hAnsi="Times New Roman" w:cs="Times New Roman"/>
                <w:sz w:val="24"/>
                <w:lang w:eastAsia="ja-JP"/>
              </w:rPr>
              <w:t xml:space="preserve">the sum of </w:t>
            </w:r>
            <w:r w:rsidRPr="00BC17EC">
              <w:rPr>
                <w:rFonts w:ascii="Times New Roman" w:hAnsi="Times New Roman" w:cs="Times New Roman"/>
                <w:sz w:val="24"/>
                <w:lang w:eastAsia="ja-JP"/>
              </w:rPr>
              <w:t xml:space="preserve">own funds requirements </w:t>
            </w:r>
            <w:r w:rsidR="00761299" w:rsidRPr="00BC17EC">
              <w:rPr>
                <w:rFonts w:ascii="Times New Roman" w:hAnsi="Times New Roman" w:cs="Times New Roman"/>
                <w:sz w:val="24"/>
                <w:lang w:eastAsia="ja-JP"/>
              </w:rPr>
              <w:t xml:space="preserve">in accordance with </w:t>
            </w:r>
            <w:r w:rsidRPr="00BC17EC">
              <w:rPr>
                <w:rFonts w:ascii="Times New Roman" w:hAnsi="Times New Roman" w:cs="Times New Roman"/>
                <w:sz w:val="24"/>
                <w:lang w:eastAsia="ja-JP"/>
              </w:rPr>
              <w:t>Article 364</w:t>
            </w:r>
            <w:r w:rsidR="001A1984">
              <w:rPr>
                <w:rFonts w:ascii="Times New Roman" w:hAnsi="Times New Roman" w:cs="Times New Roman"/>
                <w:sz w:val="24"/>
                <w:lang w:eastAsia="ja-JP"/>
              </w:rPr>
              <w:t xml:space="preserve"> CRR</w:t>
            </w:r>
            <w:r w:rsidR="00761299" w:rsidRPr="00BC17EC">
              <w:rPr>
                <w:rFonts w:ascii="Times New Roman" w:hAnsi="Times New Roman" w:cs="Times New Roman"/>
                <w:sz w:val="24"/>
                <w:lang w:eastAsia="ja-JP"/>
              </w:rPr>
              <w:t xml:space="preserve"> with the exception of </w:t>
            </w:r>
            <w:r w:rsidR="003C7116">
              <w:rPr>
                <w:rFonts w:ascii="Times New Roman" w:hAnsi="Times New Roman" w:cs="Times New Roman"/>
                <w:sz w:val="24"/>
                <w:lang w:eastAsia="ja-JP"/>
              </w:rPr>
              <w:t xml:space="preserve">point </w:t>
            </w:r>
            <w:r w:rsidR="00761299" w:rsidRPr="00BC17EC">
              <w:rPr>
                <w:rFonts w:ascii="Times New Roman" w:hAnsi="Times New Roman" w:cs="Times New Roman"/>
                <w:sz w:val="24"/>
                <w:lang w:eastAsia="ja-JP"/>
              </w:rPr>
              <w:t>(a) of Article</w:t>
            </w:r>
            <w:r w:rsidR="003C7116">
              <w:rPr>
                <w:rFonts w:ascii="Times New Roman" w:hAnsi="Times New Roman" w:cs="Times New Roman"/>
                <w:sz w:val="24"/>
                <w:lang w:eastAsia="ja-JP"/>
              </w:rPr>
              <w:t xml:space="preserve"> 364 (2)</w:t>
            </w:r>
            <w:r w:rsidR="00D36C9F" w:rsidRPr="00BC17EC">
              <w:rPr>
                <w:rFonts w:ascii="Times New Roman" w:hAnsi="Times New Roman" w:cs="Times New Roman"/>
                <w:sz w:val="24"/>
                <w:lang w:eastAsia="ja-JP"/>
              </w:rPr>
              <w:t xml:space="preserve"> </w:t>
            </w:r>
            <w:r w:rsidR="00012BC3" w:rsidRPr="00BC17EC">
              <w:rPr>
                <w:rFonts w:ascii="Times New Roman" w:hAnsi="Times New Roman" w:cs="Times New Roman"/>
                <w:sz w:val="24"/>
                <w:lang w:eastAsia="ja-JP"/>
              </w:rPr>
              <w:t>CRR</w:t>
            </w:r>
            <w:r w:rsidR="00761299" w:rsidRPr="00BC17EC">
              <w:rPr>
                <w:rFonts w:ascii="Times New Roman" w:hAnsi="Times New Roman" w:cs="Times New Roman"/>
                <w:sz w:val="24"/>
                <w:lang w:eastAsia="ja-JP"/>
              </w:rPr>
              <w:t>,</w:t>
            </w:r>
            <w:r w:rsidRPr="00BC17EC">
              <w:rPr>
                <w:rFonts w:ascii="Times New Roman" w:hAnsi="Times New Roman" w:cs="Times New Roman"/>
                <w:sz w:val="24"/>
                <w:lang w:eastAsia="ja-JP"/>
              </w:rPr>
              <w:t xml:space="preserve"> </w:t>
            </w:r>
            <w:r w:rsidR="00761299" w:rsidRPr="00BC17EC">
              <w:rPr>
                <w:rFonts w:ascii="Times New Roman" w:hAnsi="Times New Roman" w:cs="Times New Roman"/>
                <w:sz w:val="24"/>
                <w:lang w:eastAsia="ja-JP"/>
              </w:rPr>
              <w:t xml:space="preserve">and any </w:t>
            </w:r>
            <w:r w:rsidR="00761299" w:rsidRPr="00BC17EC">
              <w:rPr>
                <w:rFonts w:ascii="Times New Roman" w:hAnsi="Times New Roman" w:cs="Times New Roman"/>
                <w:sz w:val="24"/>
              </w:rPr>
              <w:t>additional own funds required by supervisors for institutions using the internal model approach for market risk,</w:t>
            </w:r>
            <w:r w:rsidR="00761299"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 xml:space="preserve">multiplied by 12.5 in accordance with </w:t>
            </w:r>
            <w:r w:rsidR="003C7116">
              <w:rPr>
                <w:rFonts w:ascii="Times New Roman" w:hAnsi="Times New Roman" w:cs="Times New Roman"/>
                <w:sz w:val="24"/>
                <w:lang w:eastAsia="ja-JP"/>
              </w:rPr>
              <w:t>point (b) of A</w:t>
            </w:r>
            <w:r w:rsidRPr="00BC17EC">
              <w:rPr>
                <w:rFonts w:ascii="Times New Roman" w:hAnsi="Times New Roman" w:cs="Times New Roman"/>
                <w:sz w:val="24"/>
                <w:lang w:eastAsia="ja-JP"/>
              </w:rPr>
              <w:t>rticle 92 (4</w:t>
            </w:r>
            <w:r w:rsidR="003C7116">
              <w:rPr>
                <w:rFonts w:ascii="Times New Roman" w:hAnsi="Times New Roman" w:cs="Times New Roman"/>
                <w:sz w:val="24"/>
                <w:lang w:eastAsia="ja-JP"/>
              </w:rPr>
              <w:t>) CRR</w:t>
            </w:r>
            <w:r w:rsidRPr="00BC17EC">
              <w:rPr>
                <w:rFonts w:ascii="Times New Roman" w:hAnsi="Times New Roman" w:cs="Times New Roman"/>
                <w:sz w:val="24"/>
                <w:lang w:eastAsia="ja-JP"/>
              </w:rPr>
              <w:t>.</w:t>
            </w:r>
            <w:proofErr w:type="gramEnd"/>
            <w:r w:rsidR="00761299" w:rsidRPr="00BC17EC">
              <w:rPr>
                <w:rFonts w:ascii="Times New Roman" w:hAnsi="Times New Roman" w:cs="Times New Roman"/>
                <w:sz w:val="24"/>
                <w:lang w:eastAsia="ja-JP"/>
              </w:rPr>
              <w:t xml:space="preserve"> </w:t>
            </w:r>
            <w:r w:rsidRPr="00BC17EC">
              <w:rPr>
                <w:rFonts w:ascii="Times New Roman" w:hAnsi="Times New Roman" w:cs="Times New Roman"/>
                <w:sz w:val="24"/>
                <w:lang w:eastAsia="ja-JP"/>
              </w:rPr>
              <w:t xml:space="preserve">  </w:t>
            </w:r>
          </w:p>
        </w:tc>
      </w:tr>
      <w:tr w:rsidR="0038641D" w:rsidRPr="00BC17EC" w14:paraId="78A9FD6B" w14:textId="77777777" w:rsidTr="00997407">
        <w:tc>
          <w:tcPr>
            <w:tcW w:w="1172" w:type="dxa"/>
            <w:tcBorders>
              <w:top w:val="single" w:sz="4" w:space="0" w:color="auto"/>
              <w:left w:val="single" w:sz="4" w:space="0" w:color="auto"/>
              <w:bottom w:val="single" w:sz="4" w:space="0" w:color="auto"/>
              <w:right w:val="single" w:sz="4" w:space="0" w:color="auto"/>
            </w:tcBorders>
          </w:tcPr>
          <w:p w14:paraId="585B3B54" w14:textId="39BF272E" w:rsidR="0038641D" w:rsidRPr="00BC17EC" w:rsidRDefault="0038641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{2}</w:t>
            </w:r>
          </w:p>
        </w:tc>
        <w:tc>
          <w:tcPr>
            <w:tcW w:w="7242" w:type="dxa"/>
            <w:tcBorders>
              <w:top w:val="single" w:sz="4" w:space="0" w:color="auto"/>
              <w:left w:val="single" w:sz="4" w:space="0" w:color="auto"/>
              <w:bottom w:val="single" w:sz="4" w:space="0" w:color="auto"/>
              <w:right w:val="single" w:sz="4" w:space="0" w:color="auto"/>
            </w:tcBorders>
          </w:tcPr>
          <w:p w14:paraId="486F0C27" w14:textId="5186945B" w:rsidR="0038641D" w:rsidRPr="00BC17EC" w:rsidRDefault="0038641D" w:rsidP="0038641D">
            <w:pPr>
              <w:autoSpaceDE w:val="0"/>
              <w:autoSpaceDN w:val="0"/>
              <w:adjustRightInd w:val="0"/>
              <w:spacing w:before="120" w:after="120"/>
              <w:jc w:val="both"/>
              <w:rPr>
                <w:rFonts w:ascii="Times New Roman" w:hAnsi="Times New Roman" w:cs="Times New Roman"/>
                <w:color w:val="000000"/>
                <w:sz w:val="24"/>
              </w:rPr>
            </w:pPr>
            <w:r w:rsidRPr="00BC17EC">
              <w:rPr>
                <w:rFonts w:ascii="Times New Roman" w:hAnsi="Times New Roman" w:cs="Times New Roman"/>
                <w:i/>
                <w:iCs/>
                <w:color w:val="000000"/>
                <w:sz w:val="24"/>
              </w:rPr>
              <w:t>Movement in risk levels</w:t>
            </w:r>
          </w:p>
          <w:p w14:paraId="3EFFDC0F" w14:textId="4C4D7E3C" w:rsidR="0038641D" w:rsidRPr="00BC17EC" w:rsidRDefault="0038641D" w:rsidP="0038641D">
            <w:pPr>
              <w:autoSpaceDE w:val="0"/>
              <w:autoSpaceDN w:val="0"/>
              <w:adjustRightInd w:val="0"/>
              <w:spacing w:before="120" w:after="120"/>
              <w:jc w:val="both"/>
              <w:rPr>
                <w:rFonts w:ascii="Times New Roman" w:hAnsi="Times New Roman" w:cs="Times New Roman"/>
                <w:b/>
                <w:sz w:val="24"/>
                <w:lang w:eastAsia="ja-JP"/>
              </w:rPr>
            </w:pPr>
            <w:r w:rsidRPr="00BC17EC">
              <w:rPr>
                <w:rFonts w:ascii="Times New Roman" w:hAnsi="Times New Roman" w:cs="Times New Roman"/>
                <w:color w:val="000000"/>
                <w:sz w:val="24"/>
              </w:rPr>
              <w:t xml:space="preserve">Changes due to position </w:t>
            </w:r>
            <w:r w:rsidR="006F5595" w:rsidRPr="00BC17EC">
              <w:rPr>
                <w:rFonts w:ascii="Times New Roman" w:hAnsi="Times New Roman" w:cs="Times New Roman"/>
                <w:color w:val="000000"/>
                <w:sz w:val="24"/>
              </w:rPr>
              <w:t>changes</w:t>
            </w:r>
            <w:r w:rsidR="001D01B2" w:rsidRPr="00BC17EC">
              <w:rPr>
                <w:rFonts w:ascii="Times New Roman" w:hAnsi="Times New Roman" w:cs="Times New Roman"/>
                <w:color w:val="000000"/>
                <w:sz w:val="24"/>
              </w:rPr>
              <w:t>, other than those driven by regulatory policy changes</w:t>
            </w:r>
            <w:r w:rsidRPr="00BC17EC">
              <w:rPr>
                <w:rFonts w:ascii="Times New Roman" w:hAnsi="Times New Roman" w:cs="Times New Roman"/>
                <w:color w:val="000000"/>
                <w:sz w:val="24"/>
              </w:rPr>
              <w:t xml:space="preserve">. </w:t>
            </w:r>
          </w:p>
        </w:tc>
      </w:tr>
      <w:tr w:rsidR="0038641D" w:rsidRPr="00BC17EC" w14:paraId="7F55209F" w14:textId="77777777" w:rsidTr="00997407">
        <w:tc>
          <w:tcPr>
            <w:tcW w:w="1172" w:type="dxa"/>
            <w:tcBorders>
              <w:top w:val="single" w:sz="4" w:space="0" w:color="auto"/>
              <w:left w:val="single" w:sz="4" w:space="0" w:color="auto"/>
              <w:bottom w:val="single" w:sz="4" w:space="0" w:color="auto"/>
              <w:right w:val="single" w:sz="4" w:space="0" w:color="auto"/>
            </w:tcBorders>
          </w:tcPr>
          <w:p w14:paraId="2C6BE723" w14:textId="754EEF3E" w:rsidR="0038641D" w:rsidRPr="00BC17EC" w:rsidRDefault="0038641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{3}</w:t>
            </w:r>
          </w:p>
        </w:tc>
        <w:tc>
          <w:tcPr>
            <w:tcW w:w="7242" w:type="dxa"/>
            <w:tcBorders>
              <w:top w:val="single" w:sz="4" w:space="0" w:color="auto"/>
              <w:left w:val="single" w:sz="4" w:space="0" w:color="auto"/>
              <w:bottom w:val="single" w:sz="4" w:space="0" w:color="auto"/>
              <w:right w:val="single" w:sz="4" w:space="0" w:color="auto"/>
            </w:tcBorders>
          </w:tcPr>
          <w:p w14:paraId="22E5B3B0" w14:textId="77777777" w:rsidR="0038641D" w:rsidRPr="00BC17EC" w:rsidRDefault="0038641D" w:rsidP="0038641D">
            <w:pPr>
              <w:spacing w:before="120" w:after="120"/>
              <w:rPr>
                <w:rFonts w:ascii="Times New Roman" w:hAnsi="Times New Roman" w:cs="Times New Roman"/>
                <w:i/>
                <w:iCs/>
                <w:color w:val="000000"/>
                <w:sz w:val="24"/>
              </w:rPr>
            </w:pPr>
            <w:r w:rsidRPr="00BC17EC">
              <w:rPr>
                <w:rFonts w:ascii="Times New Roman" w:hAnsi="Times New Roman" w:cs="Times New Roman"/>
                <w:i/>
                <w:iCs/>
                <w:color w:val="000000"/>
                <w:sz w:val="24"/>
              </w:rPr>
              <w:t>Model changes</w:t>
            </w:r>
          </w:p>
          <w:p w14:paraId="428EE788" w14:textId="612B2AE5" w:rsidR="0038641D" w:rsidRPr="00BC17EC" w:rsidRDefault="0038641D" w:rsidP="0038641D">
            <w:pPr>
              <w:spacing w:before="120" w:after="120"/>
              <w:jc w:val="both"/>
              <w:rPr>
                <w:rFonts w:ascii="Times New Roman" w:hAnsi="Times New Roman" w:cs="Times New Roman"/>
                <w:b/>
                <w:sz w:val="24"/>
                <w:lang w:eastAsia="ja-JP"/>
              </w:rPr>
            </w:pPr>
            <w:r w:rsidRPr="00BC17EC">
              <w:rPr>
                <w:rFonts w:ascii="Times New Roman" w:hAnsi="Times New Roman" w:cs="Times New Roman"/>
                <w:color w:val="000000"/>
                <w:sz w:val="24"/>
              </w:rPr>
              <w:t>Significant updates to the model to reflect recent experience (e.g. recalibration), as well as significant changes in model scope. If more than one model update has taken place, additional rows could be necessary.</w:t>
            </w:r>
          </w:p>
        </w:tc>
      </w:tr>
      <w:tr w:rsidR="0038641D" w:rsidRPr="00BC17EC" w14:paraId="5B4C9391" w14:textId="77777777" w:rsidTr="00997407">
        <w:tc>
          <w:tcPr>
            <w:tcW w:w="1172" w:type="dxa"/>
            <w:tcBorders>
              <w:top w:val="single" w:sz="4" w:space="0" w:color="auto"/>
              <w:left w:val="single" w:sz="4" w:space="0" w:color="auto"/>
              <w:bottom w:val="single" w:sz="4" w:space="0" w:color="auto"/>
              <w:right w:val="single" w:sz="4" w:space="0" w:color="auto"/>
            </w:tcBorders>
          </w:tcPr>
          <w:p w14:paraId="7FD17A41" w14:textId="703D0E10" w:rsidR="0038641D" w:rsidRPr="00BC17EC" w:rsidRDefault="0038641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{4}</w:t>
            </w:r>
          </w:p>
        </w:tc>
        <w:tc>
          <w:tcPr>
            <w:tcW w:w="7242" w:type="dxa"/>
            <w:tcBorders>
              <w:top w:val="single" w:sz="4" w:space="0" w:color="auto"/>
              <w:left w:val="single" w:sz="4" w:space="0" w:color="auto"/>
              <w:bottom w:val="single" w:sz="4" w:space="0" w:color="auto"/>
              <w:right w:val="single" w:sz="4" w:space="0" w:color="auto"/>
            </w:tcBorders>
          </w:tcPr>
          <w:p w14:paraId="7ADDFAE6" w14:textId="64A1D0A5" w:rsidR="00017528" w:rsidRPr="00BC17EC" w:rsidRDefault="00017528" w:rsidP="00017528">
            <w:pPr>
              <w:pStyle w:val="Default"/>
              <w:spacing w:before="120" w:after="120"/>
              <w:jc w:val="both"/>
              <w:rPr>
                <w:rFonts w:ascii="Times New Roman" w:hAnsi="Times New Roman" w:cs="Times New Roman"/>
                <w:lang w:val="en-US"/>
              </w:rPr>
            </w:pPr>
            <w:r w:rsidRPr="00BC17EC">
              <w:rPr>
                <w:rFonts w:ascii="Times New Roman" w:hAnsi="Times New Roman" w:cs="Times New Roman"/>
                <w:i/>
                <w:iCs/>
                <w:lang w:val="en-US"/>
              </w:rPr>
              <w:t>Methodology and policy</w:t>
            </w:r>
          </w:p>
          <w:p w14:paraId="224C119E" w14:textId="30EF4B55" w:rsidR="0038641D" w:rsidRPr="00BC17EC" w:rsidRDefault="00017528" w:rsidP="00017528">
            <w:pPr>
              <w:pStyle w:val="Default"/>
              <w:spacing w:before="120" w:after="120"/>
              <w:jc w:val="both"/>
              <w:rPr>
                <w:rFonts w:ascii="Times New Roman" w:hAnsi="Times New Roman" w:cs="Times New Roman"/>
                <w:b/>
                <w:lang w:eastAsia="ja-JP"/>
              </w:rPr>
            </w:pPr>
            <w:r w:rsidRPr="00BC17EC">
              <w:rPr>
                <w:rFonts w:ascii="Times New Roman" w:hAnsi="Times New Roman" w:cs="Times New Roman"/>
                <w:lang w:val="en-US"/>
              </w:rPr>
              <w:t xml:space="preserve">Methodology changes to the calculations driven by regulatory policy changes. </w:t>
            </w:r>
          </w:p>
        </w:tc>
      </w:tr>
      <w:tr w:rsidR="0038641D" w:rsidRPr="00BC17EC" w14:paraId="57CAD062" w14:textId="77777777" w:rsidTr="00997407">
        <w:tc>
          <w:tcPr>
            <w:tcW w:w="1172" w:type="dxa"/>
            <w:tcBorders>
              <w:top w:val="single" w:sz="4" w:space="0" w:color="auto"/>
              <w:left w:val="single" w:sz="4" w:space="0" w:color="auto"/>
              <w:bottom w:val="single" w:sz="4" w:space="0" w:color="auto"/>
              <w:right w:val="single" w:sz="4" w:space="0" w:color="auto"/>
            </w:tcBorders>
          </w:tcPr>
          <w:p w14:paraId="23C61238" w14:textId="5B7C28A7" w:rsidR="0038641D" w:rsidRPr="00BC17EC" w:rsidRDefault="0038641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{5}</w:t>
            </w:r>
          </w:p>
        </w:tc>
        <w:tc>
          <w:tcPr>
            <w:tcW w:w="7242" w:type="dxa"/>
            <w:tcBorders>
              <w:top w:val="single" w:sz="4" w:space="0" w:color="auto"/>
              <w:left w:val="single" w:sz="4" w:space="0" w:color="auto"/>
              <w:bottom w:val="single" w:sz="4" w:space="0" w:color="auto"/>
              <w:right w:val="single" w:sz="4" w:space="0" w:color="auto"/>
            </w:tcBorders>
          </w:tcPr>
          <w:p w14:paraId="020721E0" w14:textId="77777777" w:rsidR="00017528" w:rsidRPr="00BC17EC" w:rsidRDefault="00017528" w:rsidP="00017528">
            <w:pPr>
              <w:pStyle w:val="Default"/>
              <w:spacing w:before="120" w:after="120"/>
              <w:jc w:val="both"/>
              <w:rPr>
                <w:rFonts w:ascii="Times New Roman" w:hAnsi="Times New Roman" w:cs="Times New Roman"/>
                <w:lang w:val="en-US"/>
              </w:rPr>
            </w:pPr>
            <w:r w:rsidRPr="00BC17EC">
              <w:rPr>
                <w:rFonts w:ascii="Times New Roman" w:hAnsi="Times New Roman" w:cs="Times New Roman"/>
                <w:i/>
                <w:iCs/>
                <w:lang w:val="en-US"/>
              </w:rPr>
              <w:t>Acquisitions and disposals</w:t>
            </w:r>
          </w:p>
          <w:p w14:paraId="00B5C172" w14:textId="51AE4984" w:rsidR="0038641D" w:rsidRPr="00BC17EC" w:rsidRDefault="00017528" w:rsidP="00017528">
            <w:pPr>
              <w:pStyle w:val="Default"/>
              <w:spacing w:before="120" w:after="120"/>
              <w:jc w:val="both"/>
              <w:rPr>
                <w:rFonts w:ascii="Times New Roman" w:hAnsi="Times New Roman" w:cs="Times New Roman"/>
                <w:lang w:val="en-US"/>
              </w:rPr>
            </w:pPr>
            <w:r w:rsidRPr="00BC17EC">
              <w:rPr>
                <w:rFonts w:ascii="Times New Roman" w:hAnsi="Times New Roman" w:cs="Times New Roman"/>
                <w:lang w:val="en-US"/>
              </w:rPr>
              <w:t xml:space="preserve">Modifications due to acquisition or disposal of business/product lines or entities. </w:t>
            </w:r>
          </w:p>
        </w:tc>
      </w:tr>
      <w:tr w:rsidR="0038641D" w:rsidRPr="00BC17EC" w14:paraId="0AD3BB13" w14:textId="77777777" w:rsidTr="00997407">
        <w:tc>
          <w:tcPr>
            <w:tcW w:w="1172" w:type="dxa"/>
            <w:tcBorders>
              <w:top w:val="single" w:sz="4" w:space="0" w:color="auto"/>
              <w:left w:val="single" w:sz="4" w:space="0" w:color="auto"/>
              <w:bottom w:val="single" w:sz="4" w:space="0" w:color="auto"/>
              <w:right w:val="single" w:sz="4" w:space="0" w:color="auto"/>
            </w:tcBorders>
          </w:tcPr>
          <w:p w14:paraId="1AA9329F" w14:textId="4530838E" w:rsidR="0038641D" w:rsidRPr="00BC17EC" w:rsidRDefault="0038641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{6}</w:t>
            </w:r>
          </w:p>
        </w:tc>
        <w:tc>
          <w:tcPr>
            <w:tcW w:w="7242" w:type="dxa"/>
            <w:tcBorders>
              <w:top w:val="single" w:sz="4" w:space="0" w:color="auto"/>
              <w:left w:val="single" w:sz="4" w:space="0" w:color="auto"/>
              <w:bottom w:val="single" w:sz="4" w:space="0" w:color="auto"/>
              <w:right w:val="single" w:sz="4" w:space="0" w:color="auto"/>
            </w:tcBorders>
          </w:tcPr>
          <w:p w14:paraId="1C29357F" w14:textId="77777777" w:rsidR="006F5595" w:rsidRPr="00BC17EC" w:rsidRDefault="006F5595" w:rsidP="006F5595">
            <w:pPr>
              <w:pStyle w:val="Default"/>
              <w:spacing w:before="120" w:after="120"/>
              <w:jc w:val="both"/>
              <w:rPr>
                <w:rFonts w:ascii="Times New Roman" w:hAnsi="Times New Roman" w:cs="Times New Roman"/>
                <w:lang w:val="en-US"/>
              </w:rPr>
            </w:pPr>
            <w:r w:rsidRPr="00BC17EC">
              <w:rPr>
                <w:rFonts w:ascii="Times New Roman" w:hAnsi="Times New Roman" w:cs="Times New Roman"/>
                <w:i/>
                <w:iCs/>
                <w:lang w:val="en-US"/>
              </w:rPr>
              <w:t>Foreign exchange movements</w:t>
            </w:r>
          </w:p>
          <w:p w14:paraId="6807B5BB" w14:textId="73F60587" w:rsidR="0038641D" w:rsidRPr="00BC17EC" w:rsidRDefault="006F5595" w:rsidP="006F5595">
            <w:pPr>
              <w:pStyle w:val="Default"/>
              <w:spacing w:before="120" w:after="120"/>
              <w:jc w:val="both"/>
              <w:rPr>
                <w:rFonts w:ascii="Times New Roman" w:hAnsi="Times New Roman" w:cs="Times New Roman"/>
                <w:lang w:val="en-US"/>
              </w:rPr>
            </w:pPr>
            <w:r w:rsidRPr="00BC17EC">
              <w:rPr>
                <w:rFonts w:ascii="Times New Roman" w:hAnsi="Times New Roman" w:cs="Times New Roman"/>
                <w:lang w:val="en-US"/>
              </w:rPr>
              <w:t xml:space="preserve">Changes arising from foreign currency translation movements. </w:t>
            </w:r>
          </w:p>
        </w:tc>
      </w:tr>
      <w:tr w:rsidR="0038641D" w:rsidRPr="00BC17EC" w14:paraId="32BE06A4" w14:textId="77777777" w:rsidTr="00997407">
        <w:tc>
          <w:tcPr>
            <w:tcW w:w="1172" w:type="dxa"/>
            <w:tcBorders>
              <w:top w:val="single" w:sz="4" w:space="0" w:color="auto"/>
              <w:left w:val="single" w:sz="4" w:space="0" w:color="auto"/>
              <w:bottom w:val="single" w:sz="4" w:space="0" w:color="auto"/>
              <w:right w:val="single" w:sz="4" w:space="0" w:color="auto"/>
            </w:tcBorders>
          </w:tcPr>
          <w:p w14:paraId="77BC9034" w14:textId="7133C636" w:rsidR="0038641D" w:rsidRPr="00BC17EC" w:rsidRDefault="0038641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{7}</w:t>
            </w:r>
          </w:p>
        </w:tc>
        <w:tc>
          <w:tcPr>
            <w:tcW w:w="7242" w:type="dxa"/>
            <w:tcBorders>
              <w:top w:val="single" w:sz="4" w:space="0" w:color="auto"/>
              <w:left w:val="single" w:sz="4" w:space="0" w:color="auto"/>
              <w:bottom w:val="single" w:sz="4" w:space="0" w:color="auto"/>
              <w:right w:val="single" w:sz="4" w:space="0" w:color="auto"/>
            </w:tcBorders>
          </w:tcPr>
          <w:p w14:paraId="1B53C121" w14:textId="77777777" w:rsidR="00017528" w:rsidRPr="00BC17EC" w:rsidRDefault="00017528" w:rsidP="00017528">
            <w:pPr>
              <w:spacing w:before="120" w:after="120"/>
              <w:jc w:val="both"/>
              <w:rPr>
                <w:rFonts w:ascii="Times New Roman" w:hAnsi="Times New Roman" w:cs="Times New Roman"/>
                <w:sz w:val="24"/>
              </w:rPr>
            </w:pPr>
            <w:r w:rsidRPr="00BC17EC">
              <w:rPr>
                <w:rFonts w:ascii="Times New Roman" w:hAnsi="Times New Roman" w:cs="Times New Roman"/>
                <w:i/>
                <w:iCs/>
                <w:sz w:val="24"/>
              </w:rPr>
              <w:t>Other</w:t>
            </w:r>
          </w:p>
          <w:p w14:paraId="17F525F6" w14:textId="7641DC70" w:rsidR="0038641D" w:rsidRPr="00BC17EC" w:rsidRDefault="00017528" w:rsidP="00CF48E7">
            <w:pPr>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This category </w:t>
            </w:r>
            <w:proofErr w:type="gramStart"/>
            <w:r w:rsidR="00CF48E7" w:rsidRPr="00BC17EC">
              <w:rPr>
                <w:rFonts w:ascii="Times New Roman" w:hAnsi="Times New Roman" w:cs="Times New Roman"/>
                <w:sz w:val="24"/>
              </w:rPr>
              <w:t xml:space="preserve">shall </w:t>
            </w:r>
            <w:r w:rsidRPr="00BC17EC">
              <w:rPr>
                <w:rFonts w:ascii="Times New Roman" w:hAnsi="Times New Roman" w:cs="Times New Roman"/>
                <w:sz w:val="24"/>
              </w:rPr>
              <w:t>be used</w:t>
            </w:r>
            <w:proofErr w:type="gramEnd"/>
            <w:r w:rsidRPr="00BC17EC">
              <w:rPr>
                <w:rFonts w:ascii="Times New Roman" w:hAnsi="Times New Roman" w:cs="Times New Roman"/>
                <w:sz w:val="24"/>
              </w:rPr>
              <w:t xml:space="preserve"> to capture changes that cannot be attributed to any category</w:t>
            </w:r>
            <w:r w:rsidR="004B2C2B" w:rsidRPr="00BC17EC">
              <w:rPr>
                <w:rFonts w:ascii="Times New Roman" w:hAnsi="Times New Roman" w:cs="Times New Roman"/>
                <w:sz w:val="24"/>
              </w:rPr>
              <w:t xml:space="preserve"> of drivers included in rows 2 to 6, and the explanations regarding the </w:t>
            </w:r>
            <w:r w:rsidR="00CF48E7" w:rsidRPr="00BC17EC">
              <w:rPr>
                <w:rFonts w:ascii="Times New Roman" w:hAnsi="Times New Roman" w:cs="Times New Roman"/>
                <w:sz w:val="24"/>
              </w:rPr>
              <w:t xml:space="preserve">drivers </w:t>
            </w:r>
            <w:r w:rsidR="004B2C2B" w:rsidRPr="00BC17EC">
              <w:rPr>
                <w:rFonts w:ascii="Times New Roman" w:hAnsi="Times New Roman" w:cs="Times New Roman"/>
                <w:sz w:val="24"/>
              </w:rPr>
              <w:t>of these changes must be provided in the accompanying narrative</w:t>
            </w:r>
            <w:r w:rsidRPr="00BC17EC">
              <w:rPr>
                <w:rFonts w:ascii="Times New Roman" w:hAnsi="Times New Roman" w:cs="Times New Roman"/>
                <w:sz w:val="24"/>
              </w:rPr>
              <w:t xml:space="preserve">. </w:t>
            </w:r>
          </w:p>
        </w:tc>
      </w:tr>
      <w:tr w:rsidR="0038641D" w:rsidRPr="00BC17EC" w14:paraId="2ABD7A0B" w14:textId="77777777" w:rsidTr="00997407">
        <w:tc>
          <w:tcPr>
            <w:tcW w:w="1172" w:type="dxa"/>
            <w:tcBorders>
              <w:top w:val="single" w:sz="4" w:space="0" w:color="auto"/>
              <w:left w:val="single" w:sz="4" w:space="0" w:color="auto"/>
              <w:bottom w:val="single" w:sz="4" w:space="0" w:color="auto"/>
              <w:right w:val="single" w:sz="4" w:space="0" w:color="auto"/>
            </w:tcBorders>
          </w:tcPr>
          <w:p w14:paraId="657D8F37" w14:textId="05CC4F73" w:rsidR="0038641D" w:rsidRPr="00BC17EC" w:rsidRDefault="00C75E7F" w:rsidP="00C75E7F">
            <w:pPr>
              <w:spacing w:before="120" w:after="120"/>
              <w:jc w:val="center"/>
              <w:rPr>
                <w:rFonts w:ascii="Times New Roman" w:hAnsi="Times New Roman" w:cs="Times New Roman"/>
                <w:b/>
                <w:i/>
                <w:sz w:val="24"/>
                <w:lang w:eastAsia="ja-JP"/>
              </w:rPr>
            </w:pPr>
            <w:r w:rsidRPr="00BC17EC">
              <w:rPr>
                <w:rFonts w:ascii="Times New Roman" w:hAnsi="Times New Roman" w:cs="Times New Roman"/>
                <w:b/>
                <w:sz w:val="24"/>
                <w:lang w:eastAsia="ja-JP"/>
              </w:rPr>
              <w:t>{8}</w:t>
            </w:r>
          </w:p>
        </w:tc>
        <w:tc>
          <w:tcPr>
            <w:tcW w:w="7242" w:type="dxa"/>
            <w:tcBorders>
              <w:top w:val="single" w:sz="4" w:space="0" w:color="auto"/>
              <w:left w:val="single" w:sz="4" w:space="0" w:color="auto"/>
              <w:bottom w:val="single" w:sz="4" w:space="0" w:color="auto"/>
              <w:right w:val="single" w:sz="4" w:space="0" w:color="auto"/>
            </w:tcBorders>
          </w:tcPr>
          <w:p w14:paraId="77FAC313" w14:textId="57B2B989" w:rsidR="0038641D" w:rsidRPr="00BC17EC" w:rsidRDefault="00C75E7F"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 xml:space="preserve">RWAs at the end of the </w:t>
            </w:r>
            <w:r w:rsidR="00A12F41">
              <w:rPr>
                <w:rFonts w:ascii="Times New Roman" w:hAnsi="Times New Roman" w:cs="Times New Roman"/>
                <w:b/>
                <w:sz w:val="24"/>
                <w:lang w:eastAsia="ja-JP"/>
              </w:rPr>
              <w:t>disclosure</w:t>
            </w:r>
            <w:r w:rsidRPr="00BC17EC">
              <w:rPr>
                <w:rFonts w:ascii="Times New Roman" w:hAnsi="Times New Roman" w:cs="Times New Roman"/>
                <w:b/>
                <w:sz w:val="24"/>
                <w:lang w:eastAsia="ja-JP"/>
              </w:rPr>
              <w:t xml:space="preserve"> period</w:t>
            </w:r>
          </w:p>
          <w:p w14:paraId="1CEC27BF" w14:textId="3101E7A7" w:rsidR="00761299" w:rsidRPr="00BC17EC" w:rsidRDefault="00761299" w:rsidP="00761299">
            <w:pPr>
              <w:spacing w:before="120" w:after="120"/>
              <w:jc w:val="both"/>
              <w:rPr>
                <w:rFonts w:ascii="Times New Roman" w:hAnsi="Times New Roman" w:cs="Times New Roman"/>
                <w:b/>
                <w:sz w:val="24"/>
                <w:lang w:eastAsia="ja-JP"/>
              </w:rPr>
            </w:pPr>
            <w:proofErr w:type="gramStart"/>
            <w:r w:rsidRPr="00BC17EC">
              <w:rPr>
                <w:rFonts w:ascii="Times New Roman" w:hAnsi="Times New Roman" w:cs="Times New Roman"/>
                <w:sz w:val="24"/>
                <w:lang w:eastAsia="ja-JP"/>
              </w:rPr>
              <w:t xml:space="preserve">Risk weighted exposure amounts at the end of the period derived from </w:t>
            </w:r>
            <w:r w:rsidR="00D36C9F" w:rsidRPr="00BC17EC">
              <w:rPr>
                <w:rFonts w:ascii="Times New Roman" w:hAnsi="Times New Roman" w:cs="Times New Roman"/>
                <w:sz w:val="24"/>
                <w:lang w:eastAsia="ja-JP"/>
              </w:rPr>
              <w:t xml:space="preserve">the sum of </w:t>
            </w:r>
            <w:r w:rsidRPr="00BC17EC">
              <w:rPr>
                <w:rFonts w:ascii="Times New Roman" w:hAnsi="Times New Roman" w:cs="Times New Roman"/>
                <w:sz w:val="24"/>
                <w:lang w:eastAsia="ja-JP"/>
              </w:rPr>
              <w:t xml:space="preserve">own funds requirements in accordance with Article 364 </w:t>
            </w:r>
            <w:r w:rsidR="00F66AD0">
              <w:rPr>
                <w:rFonts w:ascii="Times New Roman" w:hAnsi="Times New Roman" w:cs="Times New Roman"/>
                <w:sz w:val="24"/>
                <w:lang w:eastAsia="ja-JP"/>
              </w:rPr>
              <w:t xml:space="preserve">CRR </w:t>
            </w:r>
            <w:r w:rsidRPr="00BC17EC">
              <w:rPr>
                <w:rFonts w:ascii="Times New Roman" w:hAnsi="Times New Roman" w:cs="Times New Roman"/>
                <w:sz w:val="24"/>
                <w:lang w:eastAsia="ja-JP"/>
              </w:rPr>
              <w:t xml:space="preserve">with the exception of </w:t>
            </w:r>
            <w:r w:rsidR="00F66AD0">
              <w:rPr>
                <w:rFonts w:ascii="Times New Roman" w:hAnsi="Times New Roman" w:cs="Times New Roman"/>
                <w:sz w:val="24"/>
                <w:lang w:eastAsia="ja-JP"/>
              </w:rPr>
              <w:t>point</w:t>
            </w:r>
            <w:r w:rsidRPr="00BC17EC">
              <w:rPr>
                <w:rFonts w:ascii="Times New Roman" w:hAnsi="Times New Roman" w:cs="Times New Roman"/>
                <w:sz w:val="24"/>
                <w:lang w:eastAsia="ja-JP"/>
              </w:rPr>
              <w:t xml:space="preserve">(a) of Article </w:t>
            </w:r>
            <w:r w:rsidR="00F66AD0">
              <w:rPr>
                <w:rFonts w:ascii="Times New Roman" w:hAnsi="Times New Roman" w:cs="Times New Roman"/>
                <w:sz w:val="24"/>
                <w:lang w:eastAsia="ja-JP"/>
              </w:rPr>
              <w:t xml:space="preserve">364 (2) </w:t>
            </w:r>
            <w:r w:rsidR="00012BC3" w:rsidRPr="00BC17EC">
              <w:rPr>
                <w:rFonts w:ascii="Times New Roman" w:hAnsi="Times New Roman" w:cs="Times New Roman"/>
                <w:sz w:val="24"/>
                <w:lang w:eastAsia="ja-JP"/>
              </w:rPr>
              <w:t>CRR</w:t>
            </w:r>
            <w:r w:rsidRPr="00BC17EC">
              <w:rPr>
                <w:rFonts w:ascii="Times New Roman" w:hAnsi="Times New Roman" w:cs="Times New Roman"/>
                <w:sz w:val="24"/>
                <w:lang w:eastAsia="ja-JP"/>
              </w:rPr>
              <w:t xml:space="preserve">, and any </w:t>
            </w:r>
            <w:r w:rsidRPr="00BC17EC">
              <w:rPr>
                <w:rFonts w:ascii="Times New Roman" w:hAnsi="Times New Roman" w:cs="Times New Roman"/>
                <w:sz w:val="24"/>
              </w:rPr>
              <w:t>additional own funds required by supervisors for institutions using the internal model approach for market risk,</w:t>
            </w:r>
            <w:r w:rsidRPr="00BC17EC">
              <w:rPr>
                <w:rFonts w:ascii="Times New Roman" w:hAnsi="Times New Roman" w:cs="Times New Roman"/>
                <w:sz w:val="24"/>
                <w:lang w:eastAsia="ja-JP"/>
              </w:rPr>
              <w:t xml:space="preserve"> multiplied by 12.5 in accordance with </w:t>
            </w:r>
            <w:r w:rsidR="00F66AD0">
              <w:rPr>
                <w:rFonts w:ascii="Times New Roman" w:hAnsi="Times New Roman" w:cs="Times New Roman"/>
                <w:sz w:val="24"/>
                <w:lang w:eastAsia="ja-JP"/>
              </w:rPr>
              <w:t>point (b) of A</w:t>
            </w:r>
            <w:r w:rsidRPr="00BC17EC">
              <w:rPr>
                <w:rFonts w:ascii="Times New Roman" w:hAnsi="Times New Roman" w:cs="Times New Roman"/>
                <w:sz w:val="24"/>
                <w:lang w:eastAsia="ja-JP"/>
              </w:rPr>
              <w:t xml:space="preserve">rticle 92 (4) </w:t>
            </w:r>
            <w:r w:rsidR="00F66AD0">
              <w:rPr>
                <w:rFonts w:ascii="Times New Roman" w:hAnsi="Times New Roman" w:cs="Times New Roman"/>
                <w:sz w:val="24"/>
                <w:lang w:eastAsia="ja-JP"/>
              </w:rPr>
              <w:t>CRR</w:t>
            </w:r>
            <w:r w:rsidRPr="00BC17EC">
              <w:rPr>
                <w:rFonts w:ascii="Times New Roman" w:hAnsi="Times New Roman" w:cs="Times New Roman"/>
                <w:sz w:val="24"/>
                <w:lang w:eastAsia="ja-JP"/>
              </w:rPr>
              <w:t>.</w:t>
            </w:r>
            <w:proofErr w:type="gramEnd"/>
            <w:r w:rsidRPr="00BC17EC">
              <w:rPr>
                <w:rFonts w:ascii="Times New Roman" w:hAnsi="Times New Roman" w:cs="Times New Roman"/>
                <w:sz w:val="24"/>
                <w:lang w:eastAsia="ja-JP"/>
              </w:rPr>
              <w:t xml:space="preserve">   </w:t>
            </w:r>
          </w:p>
        </w:tc>
      </w:tr>
      <w:tr w:rsidR="0038641D" w:rsidRPr="00BC17EC" w14:paraId="7FCE027C" w14:textId="77777777" w:rsidTr="00997407">
        <w:tc>
          <w:tcPr>
            <w:tcW w:w="1172" w:type="dxa"/>
            <w:tcBorders>
              <w:top w:val="single" w:sz="4" w:space="0" w:color="auto"/>
              <w:left w:val="single" w:sz="4" w:space="0" w:color="auto"/>
              <w:bottom w:val="single" w:sz="4" w:space="0" w:color="auto"/>
              <w:right w:val="single" w:sz="4" w:space="0" w:color="auto"/>
            </w:tcBorders>
          </w:tcPr>
          <w:p w14:paraId="6D65492D" w14:textId="10AE70D2" w:rsidR="0038641D" w:rsidRPr="00BC17EC" w:rsidRDefault="0038641D" w:rsidP="00C75E7F">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w:t>
            </w:r>
            <w:r w:rsidR="00C75E7F" w:rsidRPr="00BC17EC">
              <w:rPr>
                <w:rFonts w:ascii="Times New Roman" w:hAnsi="Times New Roman" w:cs="Times New Roman"/>
                <w:sz w:val="24"/>
              </w:rPr>
              <w:t>1a/1b</w:t>
            </w:r>
            <w:r w:rsidR="00C75E7F" w:rsidRPr="00BC17EC">
              <w:rPr>
                <w:rFonts w:ascii="Times New Roman" w:hAnsi="Times New Roman" w:cs="Times New Roman"/>
                <w:sz w:val="24"/>
                <w:lang w:eastAsia="ja-JP"/>
              </w:rPr>
              <w:t>}/</w:t>
            </w:r>
            <w:r w:rsidR="00C75E7F" w:rsidRPr="00BC17EC">
              <w:rPr>
                <w:rFonts w:ascii="Times New Roman" w:hAnsi="Times New Roman" w:cs="Times New Roman"/>
                <w:sz w:val="24"/>
              </w:rPr>
              <w:t xml:space="preserve"> </w:t>
            </w:r>
            <w:r w:rsidR="00C75E7F" w:rsidRPr="00BC17EC">
              <w:rPr>
                <w:rFonts w:ascii="Times New Roman" w:hAnsi="Times New Roman" w:cs="Times New Roman"/>
                <w:sz w:val="24"/>
                <w:lang w:eastAsia="ja-JP"/>
              </w:rPr>
              <w:t>{</w:t>
            </w:r>
            <w:r w:rsidR="00C75E7F" w:rsidRPr="00BC17EC">
              <w:rPr>
                <w:rFonts w:ascii="Times New Roman" w:hAnsi="Times New Roman" w:cs="Times New Roman"/>
                <w:sz w:val="24"/>
              </w:rPr>
              <w:t>8a/</w:t>
            </w: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61B53563" w14:textId="7D7703A0" w:rsidR="0038641D" w:rsidRPr="00BC17EC" w:rsidRDefault="00C75E7F" w:rsidP="00D3112B">
            <w:pPr>
              <w:spacing w:before="120" w:after="120"/>
              <w:jc w:val="both"/>
              <w:rPr>
                <w:rFonts w:ascii="Times New Roman" w:hAnsi="Times New Roman" w:cs="Times New Roman"/>
                <w:sz w:val="24"/>
              </w:rPr>
            </w:pPr>
            <w:proofErr w:type="gramStart"/>
            <w:r w:rsidRPr="00BC17EC">
              <w:rPr>
                <w:rFonts w:ascii="Times New Roman" w:hAnsi="Times New Roman" w:cs="Times New Roman"/>
                <w:sz w:val="24"/>
              </w:rPr>
              <w:t xml:space="preserve">Rows 1a/1b and 8a/8b </w:t>
            </w:r>
            <w:r w:rsidRPr="00262F11">
              <w:rPr>
                <w:rFonts w:ascii="Times New Roman" w:hAnsi="Times New Roman" w:cs="Times New Roman"/>
                <w:sz w:val="24"/>
              </w:rPr>
              <w:t>should</w:t>
            </w:r>
            <w:r w:rsidRPr="00BC17EC">
              <w:rPr>
                <w:rFonts w:ascii="Times New Roman" w:hAnsi="Times New Roman" w:cs="Times New Roman"/>
                <w:sz w:val="24"/>
              </w:rPr>
              <w:t xml:space="preserve"> be used when the RWA/own funds requirement for any of the columns a to </w:t>
            </w:r>
            <w:proofErr w:type="spellStart"/>
            <w:r w:rsidRPr="00BC17EC">
              <w:rPr>
                <w:rFonts w:ascii="Times New Roman" w:hAnsi="Times New Roman" w:cs="Times New Roman"/>
                <w:sz w:val="24"/>
              </w:rPr>
              <w:t>d</w:t>
            </w:r>
            <w:proofErr w:type="spellEnd"/>
            <w:r w:rsidRPr="00BC17EC">
              <w:rPr>
                <w:rFonts w:ascii="Times New Roman" w:hAnsi="Times New Roman" w:cs="Times New Roman"/>
                <w:sz w:val="24"/>
              </w:rPr>
              <w:t xml:space="preserve"> is the 60-day average (for </w:t>
            </w:r>
            <w:proofErr w:type="spellStart"/>
            <w:r w:rsidRPr="00BC17EC">
              <w:rPr>
                <w:rFonts w:ascii="Times New Roman" w:hAnsi="Times New Roman" w:cs="Times New Roman"/>
                <w:sz w:val="24"/>
              </w:rPr>
              <w:t>VaR</w:t>
            </w:r>
            <w:proofErr w:type="spellEnd"/>
            <w:r w:rsidRPr="00BC17EC">
              <w:rPr>
                <w:rFonts w:ascii="Times New Roman" w:hAnsi="Times New Roman" w:cs="Times New Roman"/>
                <w:sz w:val="24"/>
              </w:rPr>
              <w:t xml:space="preserve"> and </w:t>
            </w:r>
            <w:proofErr w:type="spellStart"/>
            <w:r w:rsidRPr="00BC17EC">
              <w:rPr>
                <w:rFonts w:ascii="Times New Roman" w:hAnsi="Times New Roman" w:cs="Times New Roman"/>
                <w:sz w:val="24"/>
              </w:rPr>
              <w:t>SVaR</w:t>
            </w:r>
            <w:proofErr w:type="spellEnd"/>
            <w:r w:rsidRPr="00BC17EC">
              <w:rPr>
                <w:rFonts w:ascii="Times New Roman" w:hAnsi="Times New Roman" w:cs="Times New Roman"/>
                <w:sz w:val="24"/>
              </w:rPr>
              <w:t xml:space="preserve">) or the 12-week average measure or the floor measure (for IRC </w:t>
            </w:r>
            <w:r w:rsidRPr="00BC17EC">
              <w:rPr>
                <w:rFonts w:ascii="Times New Roman" w:hAnsi="Times New Roman" w:cs="Times New Roman"/>
                <w:sz w:val="24"/>
              </w:rPr>
              <w:lastRenderedPageBreak/>
              <w:t xml:space="preserve">and Comprehensive risk measure) and not the RWA/own funds requirement at the end of the period (previous or </w:t>
            </w:r>
            <w:r w:rsidR="00A12F41">
              <w:rPr>
                <w:rFonts w:ascii="Times New Roman" w:hAnsi="Times New Roman" w:cs="Times New Roman"/>
                <w:sz w:val="24"/>
              </w:rPr>
              <w:t>disclosure</w:t>
            </w:r>
            <w:r w:rsidRPr="00BC17EC">
              <w:rPr>
                <w:rFonts w:ascii="Times New Roman" w:hAnsi="Times New Roman" w:cs="Times New Roman"/>
                <w:sz w:val="24"/>
              </w:rPr>
              <w:t xml:space="preserve">) </w:t>
            </w:r>
            <w:r w:rsidR="00586B1F">
              <w:rPr>
                <w:rFonts w:ascii="Times New Roman" w:hAnsi="Times New Roman" w:cs="Times New Roman"/>
                <w:sz w:val="24"/>
              </w:rPr>
              <w:t>in accordance with</w:t>
            </w:r>
            <w:r w:rsidR="0065593D" w:rsidRPr="00BC17EC">
              <w:rPr>
                <w:rFonts w:ascii="Times New Roman" w:hAnsi="Times New Roman" w:cs="Times New Roman"/>
                <w:sz w:val="24"/>
              </w:rPr>
              <w:t xml:space="preserve"> </w:t>
            </w:r>
            <w:r w:rsidR="00D3112B">
              <w:rPr>
                <w:rFonts w:ascii="Times New Roman" w:hAnsi="Times New Roman" w:cs="Times New Roman"/>
                <w:sz w:val="24"/>
              </w:rPr>
              <w:t xml:space="preserve">points </w:t>
            </w:r>
            <w:r w:rsidR="005D374F">
              <w:rPr>
                <w:rFonts w:ascii="Times New Roman" w:hAnsi="Times New Roman" w:cs="Times New Roman"/>
                <w:sz w:val="24"/>
              </w:rPr>
              <w:t>(</w:t>
            </w:r>
            <w:r w:rsidR="00D3112B">
              <w:rPr>
                <w:rFonts w:ascii="Times New Roman" w:hAnsi="Times New Roman" w:cs="Times New Roman"/>
                <w:sz w:val="24"/>
              </w:rPr>
              <w:t>a)(</w:t>
            </w:r>
            <w:proofErr w:type="spellStart"/>
            <w:r w:rsidR="00D3112B">
              <w:rPr>
                <w:rFonts w:ascii="Times New Roman" w:hAnsi="Times New Roman" w:cs="Times New Roman"/>
                <w:sz w:val="24"/>
              </w:rPr>
              <w:t>i</w:t>
            </w:r>
            <w:proofErr w:type="spellEnd"/>
            <w:r w:rsidR="00D3112B">
              <w:rPr>
                <w:rFonts w:ascii="Times New Roman" w:hAnsi="Times New Roman" w:cs="Times New Roman"/>
                <w:sz w:val="24"/>
              </w:rPr>
              <w:t>) and (b)(</w:t>
            </w:r>
            <w:proofErr w:type="spellStart"/>
            <w:r w:rsidR="00D3112B">
              <w:rPr>
                <w:rFonts w:ascii="Times New Roman" w:hAnsi="Times New Roman" w:cs="Times New Roman"/>
                <w:sz w:val="24"/>
              </w:rPr>
              <w:t>i</w:t>
            </w:r>
            <w:proofErr w:type="spellEnd"/>
            <w:r w:rsidR="00D3112B">
              <w:rPr>
                <w:rFonts w:ascii="Times New Roman" w:hAnsi="Times New Roman" w:cs="Times New Roman"/>
                <w:sz w:val="24"/>
              </w:rPr>
              <w:t xml:space="preserve">) of </w:t>
            </w:r>
            <w:r w:rsidR="0065593D" w:rsidRPr="00BC17EC">
              <w:rPr>
                <w:rFonts w:ascii="Times New Roman" w:hAnsi="Times New Roman" w:cs="Times New Roman"/>
                <w:sz w:val="24"/>
              </w:rPr>
              <w:t>Article 364 (1)</w:t>
            </w:r>
            <w:r w:rsidR="00D3112B">
              <w:rPr>
                <w:rFonts w:ascii="Times New Roman" w:hAnsi="Times New Roman" w:cs="Times New Roman"/>
                <w:sz w:val="24"/>
              </w:rPr>
              <w:t xml:space="preserve">, with point </w:t>
            </w:r>
            <w:r w:rsidR="00D3112B" w:rsidRPr="00BC17EC">
              <w:rPr>
                <w:rFonts w:ascii="Times New Roman" w:hAnsi="Times New Roman" w:cs="Times New Roman"/>
                <w:sz w:val="24"/>
              </w:rPr>
              <w:t>(b)(</w:t>
            </w:r>
            <w:proofErr w:type="spellStart"/>
            <w:r w:rsidR="00D3112B" w:rsidRPr="00BC17EC">
              <w:rPr>
                <w:rFonts w:ascii="Times New Roman" w:hAnsi="Times New Roman" w:cs="Times New Roman"/>
                <w:sz w:val="24"/>
              </w:rPr>
              <w:t>i</w:t>
            </w:r>
            <w:proofErr w:type="spellEnd"/>
            <w:r w:rsidR="00D3112B" w:rsidRPr="00BC17EC">
              <w:rPr>
                <w:rFonts w:ascii="Times New Roman" w:hAnsi="Times New Roman" w:cs="Times New Roman"/>
                <w:sz w:val="24"/>
              </w:rPr>
              <w:t xml:space="preserve">) </w:t>
            </w:r>
            <w:r w:rsidR="00D3112B">
              <w:rPr>
                <w:rFonts w:ascii="Times New Roman" w:hAnsi="Times New Roman" w:cs="Times New Roman"/>
                <w:sz w:val="24"/>
              </w:rPr>
              <w:t xml:space="preserve">of </w:t>
            </w:r>
            <w:r w:rsidR="0065593D" w:rsidRPr="00BC17EC">
              <w:rPr>
                <w:rFonts w:ascii="Times New Roman" w:hAnsi="Times New Roman" w:cs="Times New Roman"/>
                <w:sz w:val="24"/>
              </w:rPr>
              <w:t xml:space="preserve">Article 364(2) and </w:t>
            </w:r>
            <w:r w:rsidR="00D3112B">
              <w:rPr>
                <w:rFonts w:ascii="Times New Roman" w:hAnsi="Times New Roman" w:cs="Times New Roman"/>
                <w:sz w:val="24"/>
              </w:rPr>
              <w:t>with point (</w:t>
            </w:r>
            <w:r w:rsidR="00F823FC">
              <w:rPr>
                <w:rFonts w:ascii="Times New Roman" w:hAnsi="Times New Roman" w:cs="Times New Roman"/>
                <w:sz w:val="24"/>
              </w:rPr>
              <w:t>a) of</w:t>
            </w:r>
            <w:r w:rsidR="00D3112B">
              <w:rPr>
                <w:rFonts w:ascii="Times New Roman" w:hAnsi="Times New Roman" w:cs="Times New Roman"/>
                <w:sz w:val="24"/>
              </w:rPr>
              <w:t xml:space="preserve"> </w:t>
            </w:r>
            <w:r w:rsidR="0065593D" w:rsidRPr="00BC17EC">
              <w:rPr>
                <w:rFonts w:ascii="Times New Roman" w:hAnsi="Times New Roman" w:cs="Times New Roman"/>
                <w:sz w:val="24"/>
              </w:rPr>
              <w:t xml:space="preserve">Article 364(3) </w:t>
            </w:r>
            <w:r w:rsidR="00012BC3" w:rsidRPr="00BC17EC">
              <w:rPr>
                <w:rFonts w:ascii="Times New Roman" w:eastAsia="Times New Roman" w:hAnsi="Times New Roman" w:cs="Times New Roman"/>
                <w:sz w:val="24"/>
              </w:rPr>
              <w:t>CRR</w:t>
            </w:r>
            <w:r w:rsidRPr="00BC17EC">
              <w:rPr>
                <w:rFonts w:ascii="Times New Roman" w:hAnsi="Times New Roman" w:cs="Times New Roman"/>
                <w:sz w:val="24"/>
              </w:rPr>
              <w:t>.</w:t>
            </w:r>
            <w:proofErr w:type="gramEnd"/>
            <w:r w:rsidRPr="00BC17EC">
              <w:rPr>
                <w:rFonts w:ascii="Times New Roman" w:hAnsi="Times New Roman" w:cs="Times New Roman"/>
                <w:sz w:val="24"/>
              </w:rPr>
              <w:t xml:space="preserve"> </w:t>
            </w:r>
            <w:r w:rsidR="007B694D" w:rsidRPr="00BC17EC">
              <w:rPr>
                <w:rFonts w:ascii="Times New Roman" w:hAnsi="Times New Roman" w:cs="Times New Roman"/>
                <w:sz w:val="24"/>
              </w:rPr>
              <w:t xml:space="preserve">The amount disclosed in additional rows 1a and 8b should be the difference between the final derived RWEA on average measures, as </w:t>
            </w:r>
            <w:r w:rsidR="00B80ECC">
              <w:rPr>
                <w:rFonts w:ascii="Times New Roman" w:hAnsi="Times New Roman" w:cs="Times New Roman"/>
                <w:sz w:val="24"/>
              </w:rPr>
              <w:t>disclosed</w:t>
            </w:r>
            <w:r w:rsidR="007B694D" w:rsidRPr="00BC17EC">
              <w:rPr>
                <w:rFonts w:ascii="Times New Roman" w:hAnsi="Times New Roman" w:cs="Times New Roman"/>
                <w:sz w:val="24"/>
              </w:rPr>
              <w:t xml:space="preserve"> in rows 1 or 8, and the measures derived directly from the models disclosed in rows 1b/8a. </w:t>
            </w:r>
            <w:r w:rsidRPr="00BC17EC">
              <w:rPr>
                <w:rFonts w:ascii="Times New Roman" w:hAnsi="Times New Roman" w:cs="Times New Roman"/>
                <w:sz w:val="24"/>
              </w:rPr>
              <w:t>In these cases, additional rows for regulatory adjustment (1a and 8b) ensure that the institution is able to provide the source of changes in RWA/</w:t>
            </w:r>
            <w:r w:rsidR="0065593D" w:rsidRPr="00BC17EC">
              <w:rPr>
                <w:rFonts w:ascii="Times New Roman" w:hAnsi="Times New Roman" w:cs="Times New Roman"/>
                <w:sz w:val="24"/>
              </w:rPr>
              <w:t>own funds</w:t>
            </w:r>
            <w:r w:rsidRPr="00BC17EC">
              <w:rPr>
                <w:rFonts w:ascii="Times New Roman" w:hAnsi="Times New Roman" w:cs="Times New Roman"/>
                <w:sz w:val="24"/>
              </w:rPr>
              <w:t xml:space="preserve"> requirement on the basis of the last RWA/</w:t>
            </w:r>
            <w:r w:rsidR="0065593D" w:rsidRPr="00BC17EC">
              <w:rPr>
                <w:rFonts w:ascii="Times New Roman" w:hAnsi="Times New Roman" w:cs="Times New Roman"/>
                <w:sz w:val="24"/>
              </w:rPr>
              <w:t>own funds</w:t>
            </w:r>
            <w:r w:rsidRPr="00BC17EC">
              <w:rPr>
                <w:rFonts w:ascii="Times New Roman" w:hAnsi="Times New Roman" w:cs="Times New Roman"/>
                <w:sz w:val="24"/>
              </w:rPr>
              <w:t xml:space="preserve"> requirement measure at the end of the period (previous or </w:t>
            </w:r>
            <w:r w:rsidR="00A12F41">
              <w:rPr>
                <w:rFonts w:ascii="Times New Roman" w:hAnsi="Times New Roman" w:cs="Times New Roman"/>
                <w:sz w:val="24"/>
              </w:rPr>
              <w:t>disclosure</w:t>
            </w:r>
            <w:r w:rsidRPr="00BC17EC">
              <w:rPr>
                <w:rFonts w:ascii="Times New Roman" w:hAnsi="Times New Roman" w:cs="Times New Roman"/>
                <w:sz w:val="24"/>
              </w:rPr>
              <w:t>), disclosed in rows 1b and 8a. In this case, rows 2, 3, 4, 5, 6, 7 reconcile the value in row 1b and 8a</w:t>
            </w:r>
            <w:r w:rsidR="007B694D" w:rsidRPr="00BC17EC">
              <w:rPr>
                <w:rStyle w:val="FootnoteReference"/>
                <w:rFonts w:ascii="Times New Roman" w:hAnsi="Times New Roman" w:cs="Times New Roman"/>
                <w:sz w:val="24"/>
                <w:szCs w:val="24"/>
              </w:rPr>
              <w:footnoteReference w:id="6"/>
            </w:r>
            <w:r w:rsidRPr="00BC17EC">
              <w:rPr>
                <w:rFonts w:ascii="Times New Roman" w:hAnsi="Times New Roman" w:cs="Times New Roman"/>
                <w:sz w:val="24"/>
              </w:rPr>
              <w:t>.</w:t>
            </w:r>
            <w:r w:rsidR="007B694D" w:rsidRPr="00BC17EC">
              <w:rPr>
                <w:rFonts w:ascii="Times New Roman" w:hAnsi="Times New Roman" w:cs="Times New Roman"/>
                <w:sz w:val="24"/>
              </w:rPr>
              <w:t xml:space="preserve"> </w:t>
            </w:r>
          </w:p>
        </w:tc>
      </w:tr>
      <w:tr w:rsidR="0038641D" w:rsidRPr="00BC17EC" w14:paraId="3D7011CC" w14:textId="77777777" w:rsidTr="00997407">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1184DD" w14:textId="77777777" w:rsidR="0038641D" w:rsidRPr="00BC17EC" w:rsidRDefault="0038641D"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lastRenderedPageBreak/>
              <w:t>Column letter</w:t>
            </w:r>
          </w:p>
        </w:tc>
        <w:tc>
          <w:tcPr>
            <w:tcW w:w="7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22F079" w14:textId="77777777" w:rsidR="0038641D" w:rsidRPr="00BC17EC" w:rsidRDefault="0038641D"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68565D" w:rsidRPr="00BC17EC" w14:paraId="5C48C039" w14:textId="77777777" w:rsidTr="00997407">
        <w:tc>
          <w:tcPr>
            <w:tcW w:w="1172" w:type="dxa"/>
            <w:tcBorders>
              <w:top w:val="single" w:sz="4" w:space="0" w:color="auto"/>
              <w:left w:val="single" w:sz="4" w:space="0" w:color="auto"/>
              <w:bottom w:val="single" w:sz="4" w:space="0" w:color="auto"/>
              <w:right w:val="single" w:sz="4" w:space="0" w:color="auto"/>
            </w:tcBorders>
          </w:tcPr>
          <w:p w14:paraId="0F678FA9" w14:textId="22A534DD" w:rsidR="0068565D" w:rsidRPr="00BC17EC" w:rsidRDefault="0068565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{a}</w:t>
            </w:r>
          </w:p>
        </w:tc>
        <w:tc>
          <w:tcPr>
            <w:tcW w:w="7242" w:type="dxa"/>
            <w:tcBorders>
              <w:top w:val="single" w:sz="4" w:space="0" w:color="auto"/>
              <w:left w:val="single" w:sz="4" w:space="0" w:color="auto"/>
              <w:bottom w:val="single" w:sz="4" w:space="0" w:color="auto"/>
              <w:right w:val="single" w:sz="4" w:space="0" w:color="auto"/>
            </w:tcBorders>
          </w:tcPr>
          <w:p w14:paraId="12FF03FD" w14:textId="59D301BE" w:rsidR="0068565D" w:rsidRPr="00BC17EC" w:rsidRDefault="0068565D" w:rsidP="004E50CD">
            <w:pPr>
              <w:spacing w:before="120" w:after="120"/>
              <w:jc w:val="both"/>
              <w:rPr>
                <w:rFonts w:ascii="Times New Roman" w:hAnsi="Times New Roman" w:cs="Times New Roman"/>
                <w:b/>
                <w:sz w:val="24"/>
                <w:lang w:eastAsia="ja-JP"/>
              </w:rPr>
            </w:pPr>
            <w:proofErr w:type="spellStart"/>
            <w:r w:rsidRPr="00BC17EC">
              <w:rPr>
                <w:rFonts w:ascii="Times New Roman" w:hAnsi="Times New Roman" w:cs="Times New Roman"/>
                <w:i/>
                <w:sz w:val="24"/>
                <w:lang w:eastAsia="ja-JP"/>
              </w:rPr>
              <w:t>VaR</w:t>
            </w:r>
            <w:proofErr w:type="spellEnd"/>
            <w:r w:rsidRPr="00BC17EC">
              <w:rPr>
                <w:rFonts w:ascii="Times New Roman" w:hAnsi="Times New Roman" w:cs="Times New Roman"/>
                <w:i/>
                <w:sz w:val="24"/>
                <w:lang w:eastAsia="ja-JP"/>
              </w:rPr>
              <w:t xml:space="preserve"> </w:t>
            </w:r>
            <w:r w:rsidR="00EA61EE" w:rsidRPr="00BC17EC">
              <w:rPr>
                <w:rFonts w:ascii="Times New Roman" w:hAnsi="Times New Roman" w:cs="Times New Roman"/>
                <w:sz w:val="24"/>
                <w:lang w:eastAsia="ja-JP"/>
              </w:rPr>
              <w:t xml:space="preserve">Key drivers of changes over the period </w:t>
            </w:r>
            <w:r w:rsidR="00586B1F">
              <w:rPr>
                <w:rFonts w:ascii="Times New Roman" w:hAnsi="Times New Roman" w:cs="Times New Roman"/>
                <w:sz w:val="24"/>
                <w:lang w:eastAsia="ja-JP"/>
              </w:rPr>
              <w:t>in accordance with</w:t>
            </w:r>
            <w:r w:rsidR="00EA61EE" w:rsidRPr="00BC17EC">
              <w:rPr>
                <w:rFonts w:ascii="Times New Roman" w:hAnsi="Times New Roman" w:cs="Times New Roman"/>
                <w:sz w:val="24"/>
                <w:lang w:eastAsia="ja-JP"/>
              </w:rPr>
              <w:t xml:space="preserve"> row {2} to {7} </w:t>
            </w:r>
            <w:r w:rsidR="00DA01E7" w:rsidRPr="00BC17EC">
              <w:rPr>
                <w:rFonts w:ascii="Times New Roman" w:hAnsi="Times New Roman" w:cs="Times New Roman"/>
                <w:sz w:val="24"/>
                <w:lang w:eastAsia="ja-JP"/>
              </w:rPr>
              <w:t>(</w:t>
            </w:r>
            <w:proofErr w:type="gramStart"/>
            <w:r w:rsidR="00DA01E7" w:rsidRPr="00BC17EC">
              <w:rPr>
                <w:rFonts w:ascii="Times New Roman" w:hAnsi="Times New Roman" w:cs="Times New Roman"/>
                <w:sz w:val="24"/>
                <w:lang w:eastAsia="ja-JP"/>
              </w:rPr>
              <w:t>on the basis of</w:t>
            </w:r>
            <w:proofErr w:type="gramEnd"/>
            <w:r w:rsidR="00DA01E7" w:rsidRPr="00BC17EC">
              <w:rPr>
                <w:rFonts w:ascii="Times New Roman" w:hAnsi="Times New Roman" w:cs="Times New Roman"/>
                <w:sz w:val="24"/>
                <w:lang w:eastAsia="ja-JP"/>
              </w:rPr>
              <w:t xml:space="preserve"> a reasonable estimation), </w:t>
            </w:r>
            <w:r w:rsidR="00EA61EE" w:rsidRPr="00BC17EC">
              <w:rPr>
                <w:rFonts w:ascii="Times New Roman" w:hAnsi="Times New Roman" w:cs="Times New Roman"/>
                <w:sz w:val="24"/>
                <w:lang w:eastAsia="ja-JP"/>
              </w:rPr>
              <w:t>of the v</w:t>
            </w:r>
            <w:r w:rsidRPr="00BC17EC">
              <w:rPr>
                <w:rFonts w:ascii="Times New Roman" w:hAnsi="Times New Roman" w:cs="Times New Roman"/>
                <w:sz w:val="24"/>
                <w:lang w:eastAsia="ja-JP"/>
              </w:rPr>
              <w:t xml:space="preserve">alue at-risk </w:t>
            </w:r>
            <w:r w:rsidR="00EA61EE" w:rsidRPr="00BC17EC">
              <w:rPr>
                <w:rFonts w:ascii="Times New Roman" w:hAnsi="Times New Roman" w:cs="Times New Roman"/>
                <w:sz w:val="24"/>
                <w:lang w:eastAsia="ja-JP"/>
              </w:rPr>
              <w:t>RWAs derived from the o</w:t>
            </w:r>
            <w:r w:rsidR="00EA61EE" w:rsidRPr="00BC17EC">
              <w:rPr>
                <w:rFonts w:ascii="Times New Roman" w:eastAsia="Times New Roman" w:hAnsi="Times New Roman" w:cs="Times New Roman"/>
                <w:sz w:val="24"/>
              </w:rPr>
              <w:t>wn funds requirements in accordance with</w:t>
            </w:r>
            <w:r w:rsidR="002823FB">
              <w:rPr>
                <w:rFonts w:ascii="Times New Roman" w:eastAsia="Times New Roman" w:hAnsi="Times New Roman" w:cs="Times New Roman"/>
                <w:sz w:val="24"/>
              </w:rPr>
              <w:t xml:space="preserve"> point (a) of A</w:t>
            </w:r>
            <w:r w:rsidR="00EA61EE" w:rsidRPr="00BC17EC">
              <w:rPr>
                <w:rFonts w:ascii="Times New Roman" w:eastAsia="Times New Roman" w:hAnsi="Times New Roman" w:cs="Times New Roman"/>
                <w:sz w:val="24"/>
              </w:rPr>
              <w:t>rticle 364 (1)</w:t>
            </w:r>
            <w:r w:rsidR="0010164C" w:rsidRPr="00BC17EC">
              <w:rPr>
                <w:rFonts w:ascii="Times New Roman" w:hAnsi="Times New Roman" w:cs="Times New Roman"/>
                <w:sz w:val="24"/>
              </w:rPr>
              <w:t xml:space="preserve"> </w:t>
            </w:r>
            <w:r w:rsidR="00012BC3" w:rsidRPr="00BC17EC">
              <w:rPr>
                <w:rFonts w:ascii="Times New Roman" w:eastAsia="Times New Roman" w:hAnsi="Times New Roman" w:cs="Times New Roman"/>
                <w:sz w:val="24"/>
              </w:rPr>
              <w:t>CRR</w:t>
            </w:r>
            <w:r w:rsidR="004E50CD" w:rsidRPr="00BC17EC">
              <w:rPr>
                <w:rFonts w:ascii="Times New Roman" w:eastAsia="Times New Roman" w:hAnsi="Times New Roman" w:cs="Times New Roman"/>
                <w:sz w:val="24"/>
              </w:rPr>
              <w:t>.</w:t>
            </w:r>
            <w:r w:rsidR="00A94E1E" w:rsidRPr="00BC17EC">
              <w:rPr>
                <w:rFonts w:ascii="Times New Roman" w:eastAsia="Times New Roman" w:hAnsi="Times New Roman" w:cs="Times New Roman"/>
                <w:sz w:val="24"/>
              </w:rPr>
              <w:t xml:space="preserve"> </w:t>
            </w:r>
          </w:p>
        </w:tc>
      </w:tr>
      <w:tr w:rsidR="0068565D" w:rsidRPr="00BC17EC" w14:paraId="4B3899A5" w14:textId="77777777" w:rsidTr="00997407">
        <w:tc>
          <w:tcPr>
            <w:tcW w:w="1172" w:type="dxa"/>
            <w:tcBorders>
              <w:top w:val="single" w:sz="4" w:space="0" w:color="auto"/>
              <w:left w:val="single" w:sz="4" w:space="0" w:color="auto"/>
              <w:bottom w:val="single" w:sz="4" w:space="0" w:color="auto"/>
              <w:right w:val="single" w:sz="4" w:space="0" w:color="auto"/>
            </w:tcBorders>
          </w:tcPr>
          <w:p w14:paraId="6E033733" w14:textId="36E9BA42" w:rsidR="0068565D" w:rsidRPr="00BC17EC" w:rsidRDefault="0068565D" w:rsidP="006057D0">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{b}</w:t>
            </w:r>
          </w:p>
        </w:tc>
        <w:tc>
          <w:tcPr>
            <w:tcW w:w="7242" w:type="dxa"/>
            <w:tcBorders>
              <w:top w:val="single" w:sz="4" w:space="0" w:color="auto"/>
              <w:left w:val="single" w:sz="4" w:space="0" w:color="auto"/>
              <w:bottom w:val="single" w:sz="4" w:space="0" w:color="auto"/>
              <w:right w:val="single" w:sz="4" w:space="0" w:color="auto"/>
            </w:tcBorders>
          </w:tcPr>
          <w:p w14:paraId="38E96EA4" w14:textId="77777777" w:rsidR="0068565D" w:rsidRPr="00BC17EC" w:rsidRDefault="0010164C" w:rsidP="00997407">
            <w:pPr>
              <w:spacing w:before="120" w:after="120"/>
              <w:rPr>
                <w:rFonts w:ascii="Times New Roman" w:hAnsi="Times New Roman" w:cs="Times New Roman"/>
                <w:i/>
                <w:sz w:val="24"/>
                <w:lang w:eastAsia="ja-JP"/>
              </w:rPr>
            </w:pPr>
            <w:proofErr w:type="spellStart"/>
            <w:r w:rsidRPr="00BC17EC">
              <w:rPr>
                <w:rFonts w:ascii="Times New Roman" w:hAnsi="Times New Roman" w:cs="Times New Roman"/>
                <w:i/>
                <w:sz w:val="24"/>
                <w:lang w:eastAsia="ja-JP"/>
              </w:rPr>
              <w:t>SVaR</w:t>
            </w:r>
            <w:proofErr w:type="spellEnd"/>
          </w:p>
          <w:p w14:paraId="0C69A055" w14:textId="10B353AB" w:rsidR="0010164C" w:rsidRPr="00BC17EC" w:rsidRDefault="0010164C" w:rsidP="0010164C">
            <w:pPr>
              <w:spacing w:before="120" w:after="120"/>
              <w:jc w:val="both"/>
              <w:rPr>
                <w:rFonts w:ascii="Times New Roman" w:hAnsi="Times New Roman" w:cs="Times New Roman"/>
                <w:b/>
                <w:sz w:val="24"/>
                <w:lang w:eastAsia="ja-JP"/>
              </w:rPr>
            </w:pPr>
            <w:r w:rsidRPr="00BC17EC">
              <w:rPr>
                <w:rFonts w:ascii="Times New Roman" w:hAnsi="Times New Roman" w:cs="Times New Roman"/>
                <w:sz w:val="24"/>
                <w:lang w:eastAsia="ja-JP"/>
              </w:rPr>
              <w:t xml:space="preserve">Key drivers of changes over the period </w:t>
            </w:r>
            <w:r w:rsidR="00586B1F">
              <w:rPr>
                <w:rFonts w:ascii="Times New Roman" w:hAnsi="Times New Roman" w:cs="Times New Roman"/>
                <w:sz w:val="24"/>
                <w:lang w:eastAsia="ja-JP"/>
              </w:rPr>
              <w:t>in accordance with</w:t>
            </w:r>
            <w:r w:rsidRPr="00BC17EC">
              <w:rPr>
                <w:rFonts w:ascii="Times New Roman" w:hAnsi="Times New Roman" w:cs="Times New Roman"/>
                <w:sz w:val="24"/>
                <w:lang w:eastAsia="ja-JP"/>
              </w:rPr>
              <w:t xml:space="preserve"> row {2} to {7} </w:t>
            </w:r>
            <w:r w:rsidR="00DA01E7" w:rsidRPr="00BC17EC">
              <w:rPr>
                <w:rFonts w:ascii="Times New Roman" w:hAnsi="Times New Roman" w:cs="Times New Roman"/>
                <w:sz w:val="24"/>
                <w:lang w:eastAsia="ja-JP"/>
              </w:rPr>
              <w:t>(</w:t>
            </w:r>
            <w:proofErr w:type="gramStart"/>
            <w:r w:rsidR="00DA01E7" w:rsidRPr="00BC17EC">
              <w:rPr>
                <w:rFonts w:ascii="Times New Roman" w:hAnsi="Times New Roman" w:cs="Times New Roman"/>
                <w:sz w:val="24"/>
                <w:lang w:eastAsia="ja-JP"/>
              </w:rPr>
              <w:t>on the basis of</w:t>
            </w:r>
            <w:proofErr w:type="gramEnd"/>
            <w:r w:rsidR="00DA01E7" w:rsidRPr="00BC17EC">
              <w:rPr>
                <w:rFonts w:ascii="Times New Roman" w:hAnsi="Times New Roman" w:cs="Times New Roman"/>
                <w:sz w:val="24"/>
                <w:lang w:eastAsia="ja-JP"/>
              </w:rPr>
              <w:t xml:space="preserve"> a reasonable estimation), </w:t>
            </w:r>
            <w:r w:rsidRPr="00BC17EC">
              <w:rPr>
                <w:rFonts w:ascii="Times New Roman" w:hAnsi="Times New Roman" w:cs="Times New Roman"/>
                <w:sz w:val="24"/>
                <w:lang w:eastAsia="ja-JP"/>
              </w:rPr>
              <w:t>of the stressed value at-risk RWAs derived from the o</w:t>
            </w:r>
            <w:r w:rsidRPr="00BC17EC">
              <w:rPr>
                <w:rFonts w:ascii="Times New Roman" w:eastAsia="Times New Roman" w:hAnsi="Times New Roman" w:cs="Times New Roman"/>
                <w:sz w:val="24"/>
              </w:rPr>
              <w:t>wn funds requirements in accordance with</w:t>
            </w:r>
            <w:r w:rsidR="00EA3CC1">
              <w:rPr>
                <w:rFonts w:ascii="Times New Roman" w:eastAsia="Times New Roman" w:hAnsi="Times New Roman" w:cs="Times New Roman"/>
                <w:sz w:val="24"/>
              </w:rPr>
              <w:t xml:space="preserve"> point (b) of A</w:t>
            </w:r>
            <w:r w:rsidRPr="00BC17EC">
              <w:rPr>
                <w:rFonts w:ascii="Times New Roman" w:eastAsia="Times New Roman" w:hAnsi="Times New Roman" w:cs="Times New Roman"/>
                <w:sz w:val="24"/>
              </w:rPr>
              <w:t>rticle 364 (1)</w:t>
            </w:r>
            <w:r w:rsidRPr="00BC17EC">
              <w:rPr>
                <w:rFonts w:ascii="Times New Roman" w:hAnsi="Times New Roman" w:cs="Times New Roman"/>
                <w:sz w:val="24"/>
              </w:rPr>
              <w:t xml:space="preserve"> </w:t>
            </w:r>
            <w:r w:rsidR="00012BC3" w:rsidRPr="00BC17EC">
              <w:rPr>
                <w:rFonts w:ascii="Times New Roman" w:eastAsia="Times New Roman" w:hAnsi="Times New Roman" w:cs="Times New Roman"/>
                <w:sz w:val="24"/>
              </w:rPr>
              <w:t>CRR</w:t>
            </w:r>
            <w:r w:rsidR="00A94E1E" w:rsidRPr="00BC17EC">
              <w:rPr>
                <w:rFonts w:ascii="Times New Roman" w:eastAsia="Times New Roman" w:hAnsi="Times New Roman" w:cs="Times New Roman"/>
                <w:sz w:val="24"/>
              </w:rPr>
              <w:t>, and any additional own funds required by supervisors</w:t>
            </w:r>
            <w:r w:rsidRPr="00BC17EC">
              <w:rPr>
                <w:rFonts w:ascii="Times New Roman" w:eastAsia="Times New Roman" w:hAnsi="Times New Roman" w:cs="Times New Roman"/>
                <w:sz w:val="24"/>
              </w:rPr>
              <w:t>.</w:t>
            </w:r>
          </w:p>
        </w:tc>
      </w:tr>
      <w:tr w:rsidR="0068565D" w:rsidRPr="00BC17EC" w14:paraId="5AB61CEB" w14:textId="77777777" w:rsidTr="00997407">
        <w:tc>
          <w:tcPr>
            <w:tcW w:w="1172" w:type="dxa"/>
            <w:tcBorders>
              <w:top w:val="single" w:sz="4" w:space="0" w:color="auto"/>
              <w:left w:val="single" w:sz="4" w:space="0" w:color="auto"/>
              <w:bottom w:val="single" w:sz="4" w:space="0" w:color="auto"/>
              <w:right w:val="single" w:sz="4" w:space="0" w:color="auto"/>
            </w:tcBorders>
          </w:tcPr>
          <w:p w14:paraId="3859EC93" w14:textId="2E10F406" w:rsidR="0068565D" w:rsidRPr="00BC17EC" w:rsidRDefault="0068565D"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{c}</w:t>
            </w:r>
          </w:p>
        </w:tc>
        <w:tc>
          <w:tcPr>
            <w:tcW w:w="7242" w:type="dxa"/>
            <w:tcBorders>
              <w:top w:val="single" w:sz="4" w:space="0" w:color="auto"/>
              <w:left w:val="single" w:sz="4" w:space="0" w:color="auto"/>
              <w:bottom w:val="single" w:sz="4" w:space="0" w:color="auto"/>
              <w:right w:val="single" w:sz="4" w:space="0" w:color="auto"/>
            </w:tcBorders>
          </w:tcPr>
          <w:p w14:paraId="13C76B2C" w14:textId="77777777" w:rsidR="0068565D" w:rsidRPr="00BC17EC" w:rsidRDefault="0010164C" w:rsidP="00997407">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IRC</w:t>
            </w:r>
          </w:p>
          <w:p w14:paraId="6CD5A209" w14:textId="05F630AA" w:rsidR="0010164C" w:rsidRPr="00BC17EC" w:rsidRDefault="0010164C" w:rsidP="0010164C">
            <w:pPr>
              <w:autoSpaceDE w:val="0"/>
              <w:autoSpaceDN w:val="0"/>
              <w:adjustRightInd w:val="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Key drivers of changes over the period </w:t>
            </w:r>
            <w:r w:rsidR="00586B1F">
              <w:rPr>
                <w:rFonts w:ascii="Times New Roman" w:hAnsi="Times New Roman" w:cs="Times New Roman"/>
                <w:sz w:val="24"/>
                <w:lang w:eastAsia="ja-JP"/>
              </w:rPr>
              <w:t>in accordance with</w:t>
            </w:r>
            <w:r w:rsidRPr="00BC17EC">
              <w:rPr>
                <w:rFonts w:ascii="Times New Roman" w:hAnsi="Times New Roman" w:cs="Times New Roman"/>
                <w:sz w:val="24"/>
                <w:lang w:eastAsia="ja-JP"/>
              </w:rPr>
              <w:t xml:space="preserve"> row {2} to {7}</w:t>
            </w:r>
            <w:r w:rsidR="001555B7" w:rsidRPr="00BC17EC">
              <w:rPr>
                <w:rFonts w:ascii="Times New Roman" w:hAnsi="Times New Roman" w:cs="Times New Roman"/>
                <w:sz w:val="24"/>
                <w:lang w:eastAsia="ja-JP"/>
              </w:rPr>
              <w:t xml:space="preserve"> </w:t>
            </w:r>
            <w:r w:rsidR="00DA01E7" w:rsidRPr="00BC17EC">
              <w:rPr>
                <w:rFonts w:ascii="Times New Roman" w:hAnsi="Times New Roman" w:cs="Times New Roman"/>
                <w:sz w:val="24"/>
                <w:lang w:eastAsia="ja-JP"/>
              </w:rPr>
              <w:t>(</w:t>
            </w:r>
            <w:proofErr w:type="gramStart"/>
            <w:r w:rsidR="00DA01E7" w:rsidRPr="00BC17EC">
              <w:rPr>
                <w:rFonts w:ascii="Times New Roman" w:hAnsi="Times New Roman" w:cs="Times New Roman"/>
                <w:sz w:val="24"/>
                <w:lang w:eastAsia="ja-JP"/>
              </w:rPr>
              <w:t>on the basis of</w:t>
            </w:r>
            <w:proofErr w:type="gramEnd"/>
            <w:r w:rsidR="00DA01E7" w:rsidRPr="00BC17EC">
              <w:rPr>
                <w:rFonts w:ascii="Times New Roman" w:hAnsi="Times New Roman" w:cs="Times New Roman"/>
                <w:sz w:val="24"/>
                <w:lang w:eastAsia="ja-JP"/>
              </w:rPr>
              <w:t xml:space="preserve"> a reasonable estimation),</w:t>
            </w:r>
            <w:r w:rsidRPr="00BC17EC">
              <w:rPr>
                <w:rFonts w:ascii="Times New Roman" w:hAnsi="Times New Roman" w:cs="Times New Roman"/>
                <w:sz w:val="24"/>
                <w:lang w:eastAsia="ja-JP"/>
              </w:rPr>
              <w:t xml:space="preserve"> of </w:t>
            </w:r>
            <w:r w:rsidRPr="00BC17EC">
              <w:rPr>
                <w:rFonts w:ascii="Times New Roman" w:hAnsi="Times New Roman" w:cs="Times New Roman"/>
                <w:sz w:val="24"/>
              </w:rPr>
              <w:t xml:space="preserve">the incremental default and migration </w:t>
            </w:r>
            <w:r w:rsidRPr="00BC17EC">
              <w:rPr>
                <w:rFonts w:ascii="Times New Roman" w:hAnsi="Times New Roman" w:cs="Times New Roman"/>
                <w:sz w:val="24"/>
                <w:lang w:eastAsia="ja-JP"/>
              </w:rPr>
              <w:t>RWAs derived from the o</w:t>
            </w:r>
            <w:r w:rsidRPr="00BC17EC">
              <w:rPr>
                <w:rFonts w:ascii="Times New Roman" w:eastAsia="Times New Roman" w:hAnsi="Times New Roman" w:cs="Times New Roman"/>
                <w:sz w:val="24"/>
              </w:rPr>
              <w:t xml:space="preserve">wn funds requirements in accordance with </w:t>
            </w:r>
            <w:r w:rsidR="00670F92">
              <w:rPr>
                <w:rFonts w:ascii="Times New Roman" w:eastAsia="Times New Roman" w:hAnsi="Times New Roman" w:cs="Times New Roman"/>
                <w:sz w:val="24"/>
              </w:rPr>
              <w:t>point (b) of A</w:t>
            </w:r>
            <w:r w:rsidRPr="00BC17EC">
              <w:rPr>
                <w:rFonts w:ascii="Times New Roman" w:eastAsia="Times New Roman" w:hAnsi="Times New Roman" w:cs="Times New Roman"/>
                <w:sz w:val="24"/>
              </w:rPr>
              <w:t>rticle 364 (2</w:t>
            </w:r>
            <w:r w:rsidR="00670F92">
              <w:rPr>
                <w:rFonts w:ascii="Times New Roman" w:hAnsi="Times New Roman" w:cs="Times New Roman"/>
                <w:sz w:val="24"/>
              </w:rPr>
              <w:t>)</w:t>
            </w:r>
            <w:r w:rsidRPr="00BC17EC">
              <w:rPr>
                <w:rFonts w:ascii="Times New Roman" w:hAnsi="Times New Roman" w:cs="Times New Roman"/>
                <w:sz w:val="24"/>
              </w:rPr>
              <w:t xml:space="preserve"> </w:t>
            </w:r>
            <w:r w:rsidR="00012BC3" w:rsidRPr="00BC17EC">
              <w:rPr>
                <w:rFonts w:ascii="Times New Roman" w:eastAsia="Times New Roman" w:hAnsi="Times New Roman" w:cs="Times New Roman"/>
                <w:sz w:val="24"/>
              </w:rPr>
              <w:t>CRR</w:t>
            </w:r>
            <w:r w:rsidR="00A94E1E" w:rsidRPr="00BC17EC">
              <w:rPr>
                <w:rFonts w:ascii="Times New Roman" w:eastAsia="Times New Roman" w:hAnsi="Times New Roman" w:cs="Times New Roman"/>
                <w:sz w:val="24"/>
              </w:rPr>
              <w:t>, and any additional own funds required by supervisors</w:t>
            </w:r>
            <w:r w:rsidRPr="00BC17EC">
              <w:rPr>
                <w:rFonts w:ascii="Times New Roman" w:eastAsia="Times New Roman" w:hAnsi="Times New Roman" w:cs="Times New Roman"/>
                <w:sz w:val="24"/>
              </w:rPr>
              <w:t>.</w:t>
            </w:r>
          </w:p>
        </w:tc>
      </w:tr>
      <w:tr w:rsidR="0068565D" w:rsidRPr="00BC17EC" w14:paraId="48197BEC" w14:textId="77777777" w:rsidTr="00997407">
        <w:tc>
          <w:tcPr>
            <w:tcW w:w="1172" w:type="dxa"/>
            <w:tcBorders>
              <w:top w:val="single" w:sz="4" w:space="0" w:color="auto"/>
              <w:left w:val="single" w:sz="4" w:space="0" w:color="auto"/>
              <w:bottom w:val="single" w:sz="4" w:space="0" w:color="auto"/>
              <w:right w:val="single" w:sz="4" w:space="0" w:color="auto"/>
            </w:tcBorders>
          </w:tcPr>
          <w:p w14:paraId="08804BB7" w14:textId="2DCD0224" w:rsidR="0068565D" w:rsidRPr="00BC17EC" w:rsidRDefault="0068565D"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{d}</w:t>
            </w:r>
          </w:p>
        </w:tc>
        <w:tc>
          <w:tcPr>
            <w:tcW w:w="7242" w:type="dxa"/>
            <w:tcBorders>
              <w:top w:val="single" w:sz="4" w:space="0" w:color="auto"/>
              <w:left w:val="single" w:sz="4" w:space="0" w:color="auto"/>
              <w:bottom w:val="single" w:sz="4" w:space="0" w:color="auto"/>
              <w:right w:val="single" w:sz="4" w:space="0" w:color="auto"/>
            </w:tcBorders>
          </w:tcPr>
          <w:p w14:paraId="646728A9" w14:textId="262A8046" w:rsidR="0068565D" w:rsidRPr="00BC17EC" w:rsidRDefault="0010164C" w:rsidP="0010164C">
            <w:pPr>
              <w:spacing w:before="120" w:after="120"/>
              <w:jc w:val="both"/>
              <w:rPr>
                <w:rFonts w:ascii="Times New Roman" w:hAnsi="Times New Roman" w:cs="Times New Roman"/>
                <w:i/>
                <w:sz w:val="24"/>
                <w:lang w:eastAsia="ja-JP"/>
              </w:rPr>
            </w:pPr>
            <w:r w:rsidRPr="00BC17EC">
              <w:rPr>
                <w:rFonts w:ascii="Times New Roman" w:hAnsi="Times New Roman" w:cs="Times New Roman"/>
                <w:i/>
                <w:sz w:val="24"/>
                <w:lang w:eastAsia="ja-JP"/>
              </w:rPr>
              <w:t>Comprehensive risk measure</w:t>
            </w:r>
          </w:p>
          <w:p w14:paraId="3CE569D2" w14:textId="4ABCBEF6" w:rsidR="0010164C" w:rsidRPr="00BC17EC" w:rsidRDefault="0010164C" w:rsidP="003A529E">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Key drivers of changes over the period </w:t>
            </w:r>
            <w:r w:rsidR="00586B1F">
              <w:rPr>
                <w:rFonts w:ascii="Times New Roman" w:hAnsi="Times New Roman" w:cs="Times New Roman"/>
                <w:sz w:val="24"/>
                <w:lang w:eastAsia="ja-JP"/>
              </w:rPr>
              <w:t>in accordance with</w:t>
            </w:r>
            <w:r w:rsidRPr="00BC17EC">
              <w:rPr>
                <w:rFonts w:ascii="Times New Roman" w:hAnsi="Times New Roman" w:cs="Times New Roman"/>
                <w:sz w:val="24"/>
                <w:lang w:eastAsia="ja-JP"/>
              </w:rPr>
              <w:t xml:space="preserve"> row {2} to {7} </w:t>
            </w:r>
            <w:r w:rsidR="00DA01E7" w:rsidRPr="00BC17EC">
              <w:rPr>
                <w:rFonts w:ascii="Times New Roman" w:hAnsi="Times New Roman" w:cs="Times New Roman"/>
                <w:sz w:val="24"/>
                <w:lang w:eastAsia="ja-JP"/>
              </w:rPr>
              <w:t>(</w:t>
            </w:r>
            <w:proofErr w:type="gramStart"/>
            <w:r w:rsidR="00DA01E7" w:rsidRPr="00BC17EC">
              <w:rPr>
                <w:rFonts w:ascii="Times New Roman" w:hAnsi="Times New Roman" w:cs="Times New Roman"/>
                <w:sz w:val="24"/>
                <w:lang w:eastAsia="ja-JP"/>
              </w:rPr>
              <w:t>on the basis of</w:t>
            </w:r>
            <w:proofErr w:type="gramEnd"/>
            <w:r w:rsidR="00DA01E7" w:rsidRPr="00BC17EC">
              <w:rPr>
                <w:rFonts w:ascii="Times New Roman" w:hAnsi="Times New Roman" w:cs="Times New Roman"/>
                <w:sz w:val="24"/>
                <w:lang w:eastAsia="ja-JP"/>
              </w:rPr>
              <w:t xml:space="preserve"> a reasonable estimation), </w:t>
            </w:r>
            <w:r w:rsidRPr="00BC17EC">
              <w:rPr>
                <w:rFonts w:ascii="Times New Roman" w:hAnsi="Times New Roman" w:cs="Times New Roman"/>
                <w:sz w:val="24"/>
                <w:lang w:eastAsia="ja-JP"/>
              </w:rPr>
              <w:t xml:space="preserve">of </w:t>
            </w:r>
            <w:r w:rsidRPr="00BC17EC">
              <w:rPr>
                <w:rFonts w:ascii="Times New Roman" w:hAnsi="Times New Roman" w:cs="Times New Roman"/>
                <w:sz w:val="24"/>
              </w:rPr>
              <w:t xml:space="preserve">the </w:t>
            </w:r>
            <w:r w:rsidR="003A529E" w:rsidRPr="00BC17EC">
              <w:rPr>
                <w:rFonts w:ascii="Times New Roman" w:hAnsi="Times New Roman" w:cs="Times New Roman"/>
                <w:sz w:val="24"/>
              </w:rPr>
              <w:t xml:space="preserve">correlation trading portfolio </w:t>
            </w:r>
            <w:r w:rsidRPr="00BC17EC">
              <w:rPr>
                <w:rFonts w:ascii="Times New Roman" w:hAnsi="Times New Roman" w:cs="Times New Roman"/>
                <w:sz w:val="24"/>
                <w:lang w:eastAsia="ja-JP"/>
              </w:rPr>
              <w:t>RWAs derived from the o</w:t>
            </w:r>
            <w:r w:rsidRPr="00BC17EC">
              <w:rPr>
                <w:rFonts w:ascii="Times New Roman" w:eastAsia="Times New Roman" w:hAnsi="Times New Roman" w:cs="Times New Roman"/>
                <w:sz w:val="24"/>
              </w:rPr>
              <w:t xml:space="preserve">wn funds requirements in accordance with </w:t>
            </w:r>
            <w:r w:rsidR="009104B3">
              <w:rPr>
                <w:rFonts w:ascii="Times New Roman" w:eastAsia="Times New Roman" w:hAnsi="Times New Roman" w:cs="Times New Roman"/>
                <w:sz w:val="24"/>
              </w:rPr>
              <w:t>A</w:t>
            </w:r>
            <w:r w:rsidRPr="00BC17EC">
              <w:rPr>
                <w:rFonts w:ascii="Times New Roman" w:eastAsia="Times New Roman" w:hAnsi="Times New Roman" w:cs="Times New Roman"/>
                <w:sz w:val="24"/>
              </w:rPr>
              <w:t>rticle 364 (</w:t>
            </w:r>
            <w:r w:rsidR="003A529E" w:rsidRPr="00BC17EC">
              <w:rPr>
                <w:rFonts w:ascii="Times New Roman" w:eastAsia="Times New Roman" w:hAnsi="Times New Roman" w:cs="Times New Roman"/>
                <w:sz w:val="24"/>
              </w:rPr>
              <w:t>3</w:t>
            </w:r>
            <w:r w:rsidRPr="00BC17EC">
              <w:rPr>
                <w:rFonts w:ascii="Times New Roman" w:eastAsia="Times New Roman" w:hAnsi="Times New Roman" w:cs="Times New Roman"/>
                <w:sz w:val="24"/>
              </w:rPr>
              <w:t>)</w:t>
            </w:r>
            <w:r w:rsidRPr="00BC17EC">
              <w:rPr>
                <w:rFonts w:ascii="Times New Roman" w:hAnsi="Times New Roman" w:cs="Times New Roman"/>
                <w:sz w:val="24"/>
              </w:rPr>
              <w:t xml:space="preserve"> </w:t>
            </w:r>
            <w:r w:rsidR="00012BC3" w:rsidRPr="00BC17EC">
              <w:rPr>
                <w:rFonts w:ascii="Times New Roman" w:eastAsia="Times New Roman" w:hAnsi="Times New Roman" w:cs="Times New Roman"/>
                <w:sz w:val="24"/>
              </w:rPr>
              <w:t>CRR</w:t>
            </w:r>
            <w:r w:rsidR="00A94E1E" w:rsidRPr="00BC17EC">
              <w:rPr>
                <w:rFonts w:ascii="Times New Roman" w:eastAsia="Times New Roman" w:hAnsi="Times New Roman" w:cs="Times New Roman"/>
                <w:sz w:val="24"/>
              </w:rPr>
              <w:t>, and any additional own funds required by supervisors</w:t>
            </w:r>
            <w:r w:rsidRPr="00BC17EC">
              <w:rPr>
                <w:rFonts w:ascii="Times New Roman" w:eastAsia="Times New Roman" w:hAnsi="Times New Roman" w:cs="Times New Roman"/>
                <w:sz w:val="24"/>
              </w:rPr>
              <w:t>.</w:t>
            </w:r>
          </w:p>
        </w:tc>
      </w:tr>
      <w:tr w:rsidR="0068565D" w:rsidRPr="00BC17EC" w14:paraId="436A3491" w14:textId="77777777" w:rsidTr="00997407">
        <w:tc>
          <w:tcPr>
            <w:tcW w:w="1172" w:type="dxa"/>
            <w:tcBorders>
              <w:top w:val="single" w:sz="4" w:space="0" w:color="auto"/>
              <w:left w:val="single" w:sz="4" w:space="0" w:color="auto"/>
              <w:bottom w:val="single" w:sz="4" w:space="0" w:color="auto"/>
              <w:right w:val="single" w:sz="4" w:space="0" w:color="auto"/>
            </w:tcBorders>
          </w:tcPr>
          <w:p w14:paraId="33056439" w14:textId="2CD7FA58" w:rsidR="0068565D" w:rsidRPr="00BC17EC" w:rsidRDefault="0068565D"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{e}</w:t>
            </w:r>
          </w:p>
        </w:tc>
        <w:tc>
          <w:tcPr>
            <w:tcW w:w="7242" w:type="dxa"/>
            <w:tcBorders>
              <w:top w:val="single" w:sz="4" w:space="0" w:color="auto"/>
              <w:left w:val="single" w:sz="4" w:space="0" w:color="auto"/>
              <w:bottom w:val="single" w:sz="4" w:space="0" w:color="auto"/>
              <w:right w:val="single" w:sz="4" w:space="0" w:color="auto"/>
            </w:tcBorders>
          </w:tcPr>
          <w:p w14:paraId="6297D9FD" w14:textId="77777777" w:rsidR="0068565D" w:rsidRPr="00BC17EC" w:rsidRDefault="003E200F" w:rsidP="00997407">
            <w:pPr>
              <w:spacing w:before="120" w:after="120"/>
              <w:rPr>
                <w:rFonts w:ascii="Times New Roman" w:hAnsi="Times New Roman" w:cs="Times New Roman"/>
                <w:i/>
                <w:sz w:val="24"/>
                <w:lang w:eastAsia="ja-JP"/>
              </w:rPr>
            </w:pPr>
            <w:r w:rsidRPr="00BC17EC">
              <w:rPr>
                <w:rFonts w:ascii="Times New Roman" w:hAnsi="Times New Roman" w:cs="Times New Roman"/>
                <w:i/>
                <w:sz w:val="24"/>
                <w:lang w:eastAsia="ja-JP"/>
              </w:rPr>
              <w:t>Other</w:t>
            </w:r>
          </w:p>
          <w:p w14:paraId="70E2AF41" w14:textId="45F6BE08" w:rsidR="003E200F" w:rsidRPr="00BC17EC" w:rsidRDefault="003E200F" w:rsidP="005622B8">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lastRenderedPageBreak/>
              <w:t xml:space="preserve">Key drivers of changes over the period </w:t>
            </w:r>
            <w:r w:rsidR="00586B1F">
              <w:rPr>
                <w:rFonts w:ascii="Times New Roman" w:hAnsi="Times New Roman" w:cs="Times New Roman"/>
                <w:sz w:val="24"/>
                <w:lang w:eastAsia="ja-JP"/>
              </w:rPr>
              <w:t>in accordance with</w:t>
            </w:r>
            <w:r w:rsidRPr="00BC17EC">
              <w:rPr>
                <w:rFonts w:ascii="Times New Roman" w:hAnsi="Times New Roman" w:cs="Times New Roman"/>
                <w:sz w:val="24"/>
                <w:lang w:eastAsia="ja-JP"/>
              </w:rPr>
              <w:t xml:space="preserve"> row {2} to {7} of RWAs derived </w:t>
            </w:r>
          </w:p>
        </w:tc>
      </w:tr>
      <w:tr w:rsidR="0068565D" w:rsidRPr="00C2469C" w14:paraId="47D96981" w14:textId="77777777" w:rsidTr="00997407">
        <w:tc>
          <w:tcPr>
            <w:tcW w:w="1172" w:type="dxa"/>
            <w:tcBorders>
              <w:top w:val="single" w:sz="4" w:space="0" w:color="auto"/>
              <w:left w:val="single" w:sz="4" w:space="0" w:color="auto"/>
              <w:bottom w:val="single" w:sz="4" w:space="0" w:color="auto"/>
              <w:right w:val="single" w:sz="4" w:space="0" w:color="auto"/>
            </w:tcBorders>
          </w:tcPr>
          <w:p w14:paraId="1FD1CF06" w14:textId="74ABBE95" w:rsidR="0068565D" w:rsidRPr="00BC17EC" w:rsidRDefault="0068565D"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lastRenderedPageBreak/>
              <w:t>{f}</w:t>
            </w:r>
          </w:p>
        </w:tc>
        <w:tc>
          <w:tcPr>
            <w:tcW w:w="7242" w:type="dxa"/>
            <w:tcBorders>
              <w:top w:val="single" w:sz="4" w:space="0" w:color="auto"/>
              <w:left w:val="single" w:sz="4" w:space="0" w:color="auto"/>
              <w:bottom w:val="single" w:sz="4" w:space="0" w:color="auto"/>
              <w:right w:val="single" w:sz="4" w:space="0" w:color="auto"/>
            </w:tcBorders>
          </w:tcPr>
          <w:p w14:paraId="4EFFD69F" w14:textId="42E5D245" w:rsidR="0068565D" w:rsidRPr="00D95D1F" w:rsidRDefault="003E200F" w:rsidP="00997407">
            <w:pPr>
              <w:spacing w:before="120" w:after="120"/>
              <w:rPr>
                <w:rFonts w:ascii="Times New Roman" w:hAnsi="Times New Roman" w:cs="Times New Roman"/>
                <w:sz w:val="24"/>
                <w:lang w:val="es-ES" w:eastAsia="ja-JP"/>
              </w:rPr>
            </w:pPr>
            <w:r w:rsidRPr="00D95D1F">
              <w:rPr>
                <w:rFonts w:ascii="Times New Roman" w:hAnsi="Times New Roman" w:cs="Times New Roman"/>
                <w:sz w:val="24"/>
                <w:lang w:val="es-ES" w:eastAsia="ja-JP"/>
              </w:rPr>
              <w:t xml:space="preserve">Total </w:t>
            </w:r>
            <w:proofErr w:type="spellStart"/>
            <w:r w:rsidRPr="00D95D1F">
              <w:rPr>
                <w:rFonts w:ascii="Times New Roman" w:hAnsi="Times New Roman" w:cs="Times New Roman"/>
                <w:sz w:val="24"/>
                <w:lang w:val="es-ES" w:eastAsia="ja-JP"/>
              </w:rPr>
              <w:t>RWAs</w:t>
            </w:r>
            <w:proofErr w:type="spellEnd"/>
            <w:r w:rsidRPr="00D95D1F">
              <w:rPr>
                <w:rFonts w:ascii="Times New Roman" w:hAnsi="Times New Roman" w:cs="Times New Roman"/>
                <w:sz w:val="24"/>
                <w:lang w:val="es-ES" w:eastAsia="ja-JP"/>
              </w:rPr>
              <w:t xml:space="preserve"> (a</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b</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c</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d</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w:t>
            </w:r>
            <w:r w:rsidR="00D521ED" w:rsidRPr="00D95D1F">
              <w:rPr>
                <w:rFonts w:ascii="Times New Roman" w:hAnsi="Times New Roman" w:cs="Times New Roman"/>
                <w:sz w:val="24"/>
                <w:lang w:val="es-ES" w:eastAsia="ja-JP"/>
              </w:rPr>
              <w:t xml:space="preserve"> </w:t>
            </w:r>
            <w:r w:rsidRPr="00D95D1F">
              <w:rPr>
                <w:rFonts w:ascii="Times New Roman" w:hAnsi="Times New Roman" w:cs="Times New Roman"/>
                <w:sz w:val="24"/>
                <w:lang w:val="es-ES" w:eastAsia="ja-JP"/>
              </w:rPr>
              <w:t>e)</w:t>
            </w:r>
          </w:p>
        </w:tc>
      </w:tr>
      <w:tr w:rsidR="0068565D" w:rsidRPr="00BC17EC" w14:paraId="4C6FA2F5" w14:textId="77777777" w:rsidTr="00997407">
        <w:tc>
          <w:tcPr>
            <w:tcW w:w="1172" w:type="dxa"/>
            <w:tcBorders>
              <w:top w:val="single" w:sz="4" w:space="0" w:color="auto"/>
              <w:left w:val="single" w:sz="4" w:space="0" w:color="auto"/>
              <w:bottom w:val="single" w:sz="4" w:space="0" w:color="auto"/>
              <w:right w:val="single" w:sz="4" w:space="0" w:color="auto"/>
            </w:tcBorders>
          </w:tcPr>
          <w:p w14:paraId="2511E002" w14:textId="7BBB584E" w:rsidR="0068565D" w:rsidRPr="00BC17EC" w:rsidRDefault="0068565D" w:rsidP="006057D0">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{g }</w:t>
            </w:r>
          </w:p>
        </w:tc>
        <w:tc>
          <w:tcPr>
            <w:tcW w:w="7242" w:type="dxa"/>
            <w:tcBorders>
              <w:top w:val="single" w:sz="4" w:space="0" w:color="auto"/>
              <w:left w:val="single" w:sz="4" w:space="0" w:color="auto"/>
              <w:bottom w:val="single" w:sz="4" w:space="0" w:color="auto"/>
              <w:right w:val="single" w:sz="4" w:space="0" w:color="auto"/>
            </w:tcBorders>
          </w:tcPr>
          <w:p w14:paraId="39CB6F0A" w14:textId="32381411" w:rsidR="003E200F" w:rsidRPr="00BC17EC" w:rsidRDefault="003E200F" w:rsidP="003E200F">
            <w:pPr>
              <w:spacing w:before="120" w:after="120"/>
              <w:rPr>
                <w:rFonts w:ascii="Times New Roman" w:hAnsi="Times New Roman" w:cs="Times New Roman"/>
                <w:b/>
                <w:sz w:val="24"/>
                <w:lang w:eastAsia="ja-JP"/>
              </w:rPr>
            </w:pPr>
            <w:r w:rsidRPr="00BC17EC">
              <w:rPr>
                <w:rFonts w:ascii="Times New Roman" w:hAnsi="Times New Roman" w:cs="Times New Roman"/>
                <w:sz w:val="24"/>
                <w:lang w:eastAsia="ja-JP"/>
              </w:rPr>
              <w:t>Total own funds requirements (f x 8%)</w:t>
            </w:r>
          </w:p>
        </w:tc>
      </w:tr>
    </w:tbl>
    <w:p w14:paraId="2097F023" w14:textId="77777777" w:rsidR="00561C9D" w:rsidRPr="00BC17EC" w:rsidRDefault="00561C9D" w:rsidP="00707856">
      <w:pPr>
        <w:pStyle w:val="Titlelevel2"/>
        <w:rPr>
          <w:rFonts w:ascii="Times New Roman" w:hAnsi="Times New Roman" w:cs="Times New Roman"/>
          <w:b/>
          <w:color w:val="auto"/>
          <w:sz w:val="24"/>
          <w:lang w:val="en-GB"/>
        </w:rPr>
      </w:pPr>
    </w:p>
    <w:p w14:paraId="77E1E590" w14:textId="558D77CE" w:rsidR="006057D0" w:rsidRPr="00BC17EC" w:rsidRDefault="0060516B" w:rsidP="00707856">
      <w:pPr>
        <w:pStyle w:val="Titlelevel2"/>
        <w:rPr>
          <w:rFonts w:ascii="Times New Roman" w:hAnsi="Times New Roman" w:cs="Times New Roman"/>
          <w:color w:val="auto"/>
          <w:sz w:val="24"/>
        </w:rPr>
      </w:pPr>
      <w:r w:rsidRPr="00BC17EC">
        <w:rPr>
          <w:rFonts w:ascii="Times New Roman" w:hAnsi="Times New Roman" w:cs="Times New Roman"/>
          <w:b/>
          <w:color w:val="auto"/>
          <w:sz w:val="24"/>
          <w:lang w:val="en-GB"/>
        </w:rPr>
        <w:t>Template</w:t>
      </w:r>
      <w:r w:rsidR="009F78F1" w:rsidRPr="00BC17EC">
        <w:rPr>
          <w:rFonts w:ascii="Times New Roman" w:hAnsi="Times New Roman" w:cs="Times New Roman"/>
          <w:b/>
          <w:color w:val="auto"/>
          <w:sz w:val="24"/>
          <w:lang w:val="en-GB"/>
        </w:rPr>
        <w:t xml:space="preserve"> EU</w:t>
      </w:r>
      <w:r w:rsidRPr="00BC17EC">
        <w:rPr>
          <w:rFonts w:ascii="Times New Roman" w:hAnsi="Times New Roman" w:cs="Times New Roman"/>
          <w:b/>
          <w:color w:val="auto"/>
          <w:sz w:val="24"/>
          <w:lang w:val="en-GB"/>
        </w:rPr>
        <w:t xml:space="preserve"> </w:t>
      </w:r>
      <w:r w:rsidR="00DA01E7" w:rsidRPr="00BC17EC">
        <w:rPr>
          <w:rFonts w:ascii="Times New Roman" w:hAnsi="Times New Roman" w:cs="Times New Roman"/>
          <w:b/>
          <w:color w:val="auto"/>
          <w:sz w:val="24"/>
          <w:lang w:val="en-GB"/>
        </w:rPr>
        <w:t>MR3 - IMA values for trading portfolios</w:t>
      </w:r>
      <w:r w:rsidR="00BF35C9" w:rsidRPr="00BC17EC">
        <w:rPr>
          <w:rFonts w:ascii="Times New Roman" w:hAnsi="Times New Roman" w:cs="Times New Roman"/>
          <w:b/>
          <w:color w:val="auto"/>
          <w:sz w:val="24"/>
          <w:lang w:val="en-GB"/>
        </w:rPr>
        <w:t>:</w:t>
      </w:r>
      <w:r w:rsidR="00BF35C9" w:rsidRPr="00BC17EC">
        <w:rPr>
          <w:rFonts w:ascii="Times New Roman" w:hAnsi="Times New Roman" w:cs="Times New Roman"/>
          <w:color w:val="auto"/>
          <w:sz w:val="24"/>
        </w:rPr>
        <w:t xml:space="preserve"> fixed format</w:t>
      </w:r>
    </w:p>
    <w:p w14:paraId="7264A7C9" w14:textId="0EF6B02A" w:rsidR="008D75F4" w:rsidRPr="00BC17EC" w:rsidRDefault="00561C9D" w:rsidP="007A6198">
      <w:pPr>
        <w:pStyle w:val="Titlelevel2"/>
        <w:numPr>
          <w:ilvl w:val="0"/>
          <w:numId w:val="12"/>
        </w:numPr>
        <w:spacing w:before="0" w:after="0"/>
        <w:rPr>
          <w:rFonts w:ascii="Times New Roman" w:eastAsiaTheme="minorEastAsia" w:hAnsi="Times New Roman" w:cs="Times New Roman"/>
          <w:bCs w:val="0"/>
          <w:noProof/>
          <w:color w:val="000000"/>
          <w:sz w:val="24"/>
          <w:lang w:val="en-GB"/>
        </w:rPr>
      </w:pPr>
      <w:r w:rsidRPr="00BC17EC">
        <w:rPr>
          <w:rFonts w:ascii="Times New Roman" w:eastAsiaTheme="minorEastAsia" w:hAnsi="Times New Roman" w:cs="Times New Roman"/>
          <w:bCs w:val="0"/>
          <w:noProof/>
          <w:color w:val="000000"/>
          <w:sz w:val="24"/>
          <w:lang w:val="en-GB"/>
        </w:rPr>
        <w:t xml:space="preserve">Institutions shall </w:t>
      </w:r>
      <w:r w:rsidR="009F78F1" w:rsidRPr="00BC17EC">
        <w:rPr>
          <w:rFonts w:ascii="Times New Roman" w:eastAsiaTheme="minorEastAsia" w:hAnsi="Times New Roman" w:cs="Times New Roman"/>
          <w:bCs w:val="0"/>
          <w:noProof/>
          <w:color w:val="000000"/>
          <w:sz w:val="24"/>
          <w:lang w:val="en-GB"/>
        </w:rPr>
        <w:t>apply the instructions provided below in this Annex in</w:t>
      </w:r>
      <w:r w:rsidR="005C41D8" w:rsidRPr="00BC17EC">
        <w:rPr>
          <w:rFonts w:ascii="Times New Roman" w:eastAsiaTheme="minorEastAsia" w:hAnsi="Times New Roman" w:cs="Times New Roman"/>
          <w:bCs w:val="0"/>
          <w:noProof/>
          <w:color w:val="000000"/>
          <w:sz w:val="24"/>
          <w:lang w:val="en-GB"/>
        </w:rPr>
        <w:t xml:space="preserve"> order to complete template EU MR3</w:t>
      </w:r>
      <w:r w:rsidR="009F78F1" w:rsidRPr="00BC17EC">
        <w:rPr>
          <w:rFonts w:ascii="Times New Roman" w:eastAsiaTheme="minorEastAsia" w:hAnsi="Times New Roman" w:cs="Times New Roman"/>
          <w:bCs w:val="0"/>
          <w:noProof/>
          <w:color w:val="000000"/>
          <w:sz w:val="24"/>
          <w:lang w:val="en-GB"/>
        </w:rPr>
        <w:t xml:space="preserve"> as presented in Annex </w:t>
      </w:r>
      <w:r w:rsidR="00560C49">
        <w:rPr>
          <w:rFonts w:ascii="Times New Roman" w:eastAsiaTheme="minorEastAsia" w:hAnsi="Times New Roman" w:cs="Times New Roman"/>
          <w:bCs w:val="0"/>
          <w:noProof/>
          <w:color w:val="000000"/>
          <w:sz w:val="24"/>
          <w:lang w:val="en-GB"/>
        </w:rPr>
        <w:t>XXIX</w:t>
      </w:r>
      <w:r w:rsidR="009104B3">
        <w:rPr>
          <w:rFonts w:ascii="Times New Roman" w:eastAsiaTheme="minorEastAsia" w:hAnsi="Times New Roman" w:cs="Times New Roman"/>
          <w:bCs w:val="0"/>
          <w:noProof/>
          <w:color w:val="000000"/>
          <w:sz w:val="24"/>
          <w:lang w:val="en-GB"/>
        </w:rPr>
        <w:t xml:space="preserve"> to this Implementing Regulation</w:t>
      </w:r>
      <w:r w:rsidR="009F78F1" w:rsidRPr="00BC17EC">
        <w:rPr>
          <w:rFonts w:ascii="Times New Roman" w:eastAsiaTheme="minorEastAsia" w:hAnsi="Times New Roman" w:cs="Times New Roman"/>
          <w:bCs w:val="0"/>
          <w:noProof/>
          <w:color w:val="000000"/>
          <w:sz w:val="24"/>
          <w:lang w:val="en-GB"/>
        </w:rPr>
        <w:t xml:space="preserve">, </w:t>
      </w:r>
      <w:r w:rsidRPr="00BC17EC">
        <w:rPr>
          <w:rFonts w:ascii="Times New Roman" w:eastAsiaTheme="minorEastAsia" w:hAnsi="Times New Roman" w:cs="Times New Roman"/>
          <w:bCs w:val="0"/>
          <w:noProof/>
          <w:color w:val="000000"/>
          <w:sz w:val="24"/>
          <w:lang w:val="en-GB"/>
        </w:rPr>
        <w:t xml:space="preserve">in application of </w:t>
      </w:r>
      <w:r w:rsidR="00CA3BC1">
        <w:rPr>
          <w:rFonts w:ascii="Times New Roman" w:eastAsiaTheme="minorEastAsia" w:hAnsi="Times New Roman" w:cs="Times New Roman"/>
          <w:bCs w:val="0"/>
          <w:noProof/>
          <w:color w:val="000000"/>
          <w:sz w:val="24"/>
          <w:lang w:val="en-GB"/>
        </w:rPr>
        <w:t xml:space="preserve">point (d) of </w:t>
      </w:r>
      <w:r w:rsidRPr="00BC17EC">
        <w:rPr>
          <w:rFonts w:ascii="Times New Roman" w:eastAsiaTheme="minorEastAsia" w:hAnsi="Times New Roman" w:cs="Times New Roman"/>
          <w:bCs w:val="0"/>
          <w:noProof/>
          <w:color w:val="000000"/>
          <w:sz w:val="24"/>
          <w:lang w:val="en-GB"/>
        </w:rPr>
        <w:t>Article 455 CRR</w:t>
      </w:r>
    </w:p>
    <w:p w14:paraId="0B9C9053" w14:textId="77777777" w:rsidR="00561C9D" w:rsidRPr="00BC17EC" w:rsidRDefault="00561C9D" w:rsidP="00561C9D">
      <w:pPr>
        <w:pStyle w:val="Titlelevel2"/>
        <w:spacing w:before="0" w:after="0"/>
        <w:rPr>
          <w:rFonts w:ascii="Times New Roman" w:hAnsi="Times New Roman" w:cs="Times New Roman"/>
          <w:b/>
          <w:color w:val="auto"/>
          <w:sz w:val="24"/>
          <w:lang w:val="en-GB"/>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070"/>
      </w:tblGrid>
      <w:tr w:rsidR="006057D0" w:rsidRPr="00BC17EC" w14:paraId="5706FE85" w14:textId="77777777" w:rsidTr="00997407">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15DC5" w14:textId="77777777" w:rsidR="006057D0" w:rsidRPr="00BC17EC" w:rsidRDefault="006057D0" w:rsidP="00997407">
            <w:pPr>
              <w:spacing w:before="120" w:after="120"/>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6057D0" w:rsidRPr="00BC17EC" w14:paraId="1AF7244A" w14:textId="77777777" w:rsidTr="0073376A">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F17BF"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Row number</w:t>
            </w:r>
          </w:p>
        </w:tc>
        <w:tc>
          <w:tcPr>
            <w:tcW w:w="7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1ED5A6"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DA01E7" w:rsidRPr="00BC17EC" w14:paraId="1812E410"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1637DC57" w14:textId="4DC9BCCA" w:rsidR="00DA01E7" w:rsidRPr="00BC17EC" w:rsidRDefault="00DA01E7" w:rsidP="00DA01E7">
            <w:pPr>
              <w:spacing w:before="120" w:after="120"/>
              <w:jc w:val="center"/>
              <w:rPr>
                <w:rFonts w:ascii="Times New Roman" w:hAnsi="Times New Roman" w:cs="Times New Roman"/>
                <w:sz w:val="24"/>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6E5A9639" w14:textId="77777777" w:rsidR="00DA01E7" w:rsidRPr="00BC17EC" w:rsidRDefault="00DA01E7" w:rsidP="00DA01E7">
            <w:pPr>
              <w:spacing w:before="120" w:after="120"/>
              <w:jc w:val="both"/>
              <w:rPr>
                <w:rFonts w:ascii="Times New Roman" w:hAnsi="Times New Roman" w:cs="Times New Roman"/>
                <w:b/>
                <w:i/>
                <w:sz w:val="24"/>
                <w:lang w:eastAsia="ja-JP"/>
              </w:rPr>
            </w:pPr>
            <w:proofErr w:type="spellStart"/>
            <w:r w:rsidRPr="00BC17EC">
              <w:rPr>
                <w:rFonts w:ascii="Times New Roman" w:hAnsi="Times New Roman" w:cs="Times New Roman"/>
                <w:b/>
                <w:i/>
                <w:sz w:val="24"/>
                <w:lang w:eastAsia="ja-JP"/>
              </w:rPr>
              <w:t>VaR</w:t>
            </w:r>
            <w:proofErr w:type="spellEnd"/>
            <w:r w:rsidRPr="00BC17EC">
              <w:rPr>
                <w:rFonts w:ascii="Times New Roman" w:hAnsi="Times New Roman" w:cs="Times New Roman"/>
                <w:b/>
                <w:i/>
                <w:sz w:val="24"/>
                <w:lang w:eastAsia="ja-JP"/>
              </w:rPr>
              <w:t xml:space="preserve"> (10 day 99%)</w:t>
            </w:r>
          </w:p>
          <w:p w14:paraId="2F154AC3" w14:textId="5ED0C948" w:rsidR="00DA01E7" w:rsidRPr="00BC17EC" w:rsidRDefault="00D521ED" w:rsidP="00DA01E7">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Value at-risk</w:t>
            </w:r>
            <w:r w:rsidR="003575A8" w:rsidRPr="00BC17EC">
              <w:rPr>
                <w:rFonts w:ascii="Times New Roman" w:hAnsi="Times New Roman" w:cs="Times New Roman"/>
                <w:sz w:val="24"/>
                <w:lang w:eastAsia="ja-JP"/>
              </w:rPr>
              <w:t xml:space="preserve"> </w:t>
            </w:r>
            <w:r w:rsidR="00C67709" w:rsidRPr="00BC17EC">
              <w:rPr>
                <w:rFonts w:ascii="Times New Roman" w:hAnsi="Times New Roman" w:cs="Times New Roman"/>
                <w:sz w:val="24"/>
                <w:lang w:eastAsia="ja-JP"/>
              </w:rPr>
              <w:t xml:space="preserve">measure </w:t>
            </w:r>
            <w:r w:rsidR="003575A8" w:rsidRPr="00BC17EC">
              <w:rPr>
                <w:rFonts w:ascii="Times New Roman" w:hAnsi="Times New Roman" w:cs="Times New Roman"/>
                <w:sz w:val="24"/>
                <w:lang w:eastAsia="ja-JP"/>
              </w:rPr>
              <w:t xml:space="preserve">in </w:t>
            </w:r>
            <w:r w:rsidRPr="00BC17EC">
              <w:rPr>
                <w:rFonts w:ascii="Times New Roman" w:hAnsi="Times New Roman" w:cs="Times New Roman"/>
                <w:sz w:val="24"/>
                <w:lang w:eastAsia="ja-JP"/>
              </w:rPr>
              <w:t>accord</w:t>
            </w:r>
            <w:r w:rsidR="003575A8" w:rsidRPr="00BC17EC">
              <w:rPr>
                <w:rFonts w:ascii="Times New Roman" w:hAnsi="Times New Roman" w:cs="Times New Roman"/>
                <w:sz w:val="24"/>
                <w:lang w:eastAsia="ja-JP"/>
              </w:rPr>
              <w:t>ance with</w:t>
            </w:r>
            <w:r w:rsidRPr="00BC17EC">
              <w:rPr>
                <w:rFonts w:ascii="Times New Roman" w:hAnsi="Times New Roman" w:cs="Times New Roman"/>
                <w:sz w:val="24"/>
                <w:lang w:eastAsia="ja-JP"/>
              </w:rPr>
              <w:t xml:space="preserve"> Article 365 (1)</w:t>
            </w:r>
            <w:r w:rsidR="003575A8" w:rsidRPr="00BC17EC">
              <w:rPr>
                <w:rFonts w:ascii="Times New Roman" w:hAnsi="Times New Roman" w:cs="Times New Roman"/>
                <w:sz w:val="24"/>
              </w:rPr>
              <w:t xml:space="preserve"> </w:t>
            </w:r>
            <w:r w:rsidR="00012BC3" w:rsidRPr="00BC17EC">
              <w:rPr>
                <w:rFonts w:ascii="Times New Roman" w:eastAsia="Times New Roman" w:hAnsi="Times New Roman" w:cs="Times New Roman"/>
                <w:sz w:val="24"/>
              </w:rPr>
              <w:t>CRR</w:t>
            </w:r>
            <w:r w:rsidR="003575A8" w:rsidRPr="00BC17EC">
              <w:rPr>
                <w:rFonts w:ascii="Times New Roman" w:hAnsi="Times New Roman" w:cs="Times New Roman"/>
                <w:sz w:val="24"/>
                <w:lang w:eastAsia="ja-JP"/>
              </w:rPr>
              <w:t>.</w:t>
            </w:r>
          </w:p>
          <w:p w14:paraId="780CA495" w14:textId="111C51F0" w:rsidR="003575A8" w:rsidRPr="00BC17EC" w:rsidRDefault="003575A8" w:rsidP="00DA01E7">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The amounts </w:t>
            </w:r>
            <w:r w:rsidRPr="00BC17EC">
              <w:rPr>
                <w:rFonts w:ascii="Times New Roman" w:hAnsi="Times New Roman" w:cs="Times New Roman"/>
                <w:sz w:val="24"/>
              </w:rPr>
              <w:t>do not include additional own fund requirements on supervisor’s decision (related to the multiplier, for instance).</w:t>
            </w:r>
          </w:p>
        </w:tc>
      </w:tr>
      <w:tr w:rsidR="00DA01E7" w:rsidRPr="00BC17EC" w14:paraId="642BC4D6" w14:textId="77777777" w:rsidTr="0073376A">
        <w:tc>
          <w:tcPr>
            <w:tcW w:w="1250" w:type="dxa"/>
            <w:tcBorders>
              <w:top w:val="single" w:sz="4" w:space="0" w:color="auto"/>
              <w:left w:val="single" w:sz="4" w:space="0" w:color="auto"/>
              <w:bottom w:val="single" w:sz="4" w:space="0" w:color="auto"/>
              <w:right w:val="single" w:sz="4" w:space="0" w:color="auto"/>
            </w:tcBorders>
          </w:tcPr>
          <w:p w14:paraId="3F4B22B3" w14:textId="51654C90" w:rsidR="00DA01E7" w:rsidRPr="00BC17EC" w:rsidRDefault="00DA01E7" w:rsidP="003575A8">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{1}</w:t>
            </w:r>
            <w:r w:rsidR="003575A8" w:rsidRPr="00BC17EC">
              <w:rPr>
                <w:rFonts w:ascii="Times New Roman" w:hAnsi="Times New Roman" w:cs="Times New Roman"/>
                <w:sz w:val="24"/>
                <w:lang w:eastAsia="ja-JP"/>
              </w:rPr>
              <w:t>to</w:t>
            </w:r>
            <w:r w:rsidR="00583D8E" w:rsidRPr="00BC17EC">
              <w:rPr>
                <w:rFonts w:ascii="Times New Roman" w:hAnsi="Times New Roman" w:cs="Times New Roman"/>
                <w:sz w:val="24"/>
                <w:lang w:eastAsia="ja-JP"/>
              </w:rPr>
              <w:t>{</w:t>
            </w:r>
            <w:r w:rsidR="003575A8" w:rsidRPr="00BC17EC">
              <w:rPr>
                <w:rFonts w:ascii="Times New Roman" w:hAnsi="Times New Roman" w:cs="Times New Roman"/>
                <w:sz w:val="24"/>
                <w:lang w:eastAsia="ja-JP"/>
              </w:rPr>
              <w:t>4</w:t>
            </w:r>
            <w:r w:rsidR="00583D8E" w:rsidRPr="00BC17EC">
              <w:rPr>
                <w:rFonts w:ascii="Times New Roman" w:hAnsi="Times New Roman" w:cs="Times New Roman"/>
                <w:sz w:val="24"/>
                <w:lang w:eastAsia="ja-JP"/>
              </w:rPr>
              <w:t>}</w:t>
            </w:r>
          </w:p>
        </w:tc>
        <w:tc>
          <w:tcPr>
            <w:tcW w:w="7164" w:type="dxa"/>
            <w:tcBorders>
              <w:top w:val="single" w:sz="4" w:space="0" w:color="auto"/>
              <w:left w:val="single" w:sz="4" w:space="0" w:color="auto"/>
              <w:bottom w:val="single" w:sz="4" w:space="0" w:color="auto"/>
              <w:right w:val="single" w:sz="4" w:space="0" w:color="auto"/>
            </w:tcBorders>
          </w:tcPr>
          <w:p w14:paraId="407F0691" w14:textId="0D0D5BEB" w:rsidR="00DA01E7" w:rsidRPr="00BC17EC" w:rsidRDefault="00B45770" w:rsidP="003575A8">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Highest</w:t>
            </w:r>
            <w:r w:rsidR="00583D8E" w:rsidRPr="00BC17EC">
              <w:rPr>
                <w:rFonts w:ascii="Times New Roman" w:hAnsi="Times New Roman" w:cs="Times New Roman"/>
                <w:sz w:val="24"/>
                <w:lang w:eastAsia="ja-JP"/>
              </w:rPr>
              <w:t>/Lowest</w:t>
            </w:r>
            <w:r w:rsidR="003575A8" w:rsidRPr="00BC17EC">
              <w:rPr>
                <w:rFonts w:ascii="Times New Roman" w:hAnsi="Times New Roman" w:cs="Times New Roman"/>
                <w:sz w:val="24"/>
                <w:lang w:eastAsia="ja-JP"/>
              </w:rPr>
              <w:t xml:space="preserve">/mean </w:t>
            </w:r>
            <w:r w:rsidR="001555B7" w:rsidRPr="00BC17EC">
              <w:rPr>
                <w:rFonts w:ascii="Times New Roman" w:hAnsi="Times New Roman" w:cs="Times New Roman"/>
                <w:sz w:val="24"/>
                <w:lang w:eastAsia="ja-JP"/>
              </w:rPr>
              <w:t xml:space="preserve">of </w:t>
            </w:r>
            <w:r w:rsidRPr="00BC17EC">
              <w:rPr>
                <w:rFonts w:ascii="Times New Roman" w:hAnsi="Times New Roman" w:cs="Times New Roman"/>
                <w:sz w:val="24"/>
                <w:lang w:eastAsia="ja-JP"/>
              </w:rPr>
              <w:t>daily value at-risk measure</w:t>
            </w:r>
            <w:r w:rsidR="00C67709" w:rsidRPr="00BC17EC">
              <w:rPr>
                <w:rFonts w:ascii="Times New Roman" w:hAnsi="Times New Roman" w:cs="Times New Roman"/>
                <w:sz w:val="24"/>
                <w:lang w:eastAsia="ja-JP"/>
              </w:rPr>
              <w:t>s</w:t>
            </w:r>
            <w:r w:rsidRPr="00BC17EC">
              <w:rPr>
                <w:rFonts w:ascii="Times New Roman" w:hAnsi="Times New Roman" w:cs="Times New Roman"/>
                <w:sz w:val="24"/>
                <w:lang w:eastAsia="ja-JP"/>
              </w:rPr>
              <w:t xml:space="preserve"> </w:t>
            </w:r>
            <w:r w:rsidR="003575A8" w:rsidRPr="00BC17EC">
              <w:rPr>
                <w:rFonts w:ascii="Times New Roman" w:hAnsi="Times New Roman" w:cs="Times New Roman"/>
                <w:sz w:val="24"/>
                <w:lang w:eastAsia="ja-JP"/>
              </w:rPr>
              <w:t>over the period and period end daily value at-risk measure.</w:t>
            </w:r>
          </w:p>
        </w:tc>
      </w:tr>
      <w:tr w:rsidR="00DA01E7" w:rsidRPr="00BC17EC" w14:paraId="7BC7858D"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1D26DB78" w14:textId="1D6AACC5" w:rsidR="00DA01E7" w:rsidRPr="00BC17EC" w:rsidRDefault="00DA01E7" w:rsidP="00DA01E7">
            <w:pPr>
              <w:spacing w:before="120" w:after="120"/>
              <w:jc w:val="center"/>
              <w:rPr>
                <w:rFonts w:ascii="Times New Roman" w:hAnsi="Times New Roman" w:cs="Times New Roman"/>
                <w:sz w:val="24"/>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2441FB6D" w14:textId="77777777" w:rsidR="00DA01E7" w:rsidRPr="00BC17EC" w:rsidRDefault="00DA01E7" w:rsidP="00DA01E7">
            <w:pPr>
              <w:spacing w:before="120" w:after="120"/>
              <w:jc w:val="both"/>
              <w:rPr>
                <w:rFonts w:ascii="Times New Roman" w:hAnsi="Times New Roman" w:cs="Times New Roman"/>
                <w:b/>
                <w:i/>
                <w:sz w:val="24"/>
                <w:lang w:eastAsia="ja-JP"/>
              </w:rPr>
            </w:pPr>
            <w:proofErr w:type="spellStart"/>
            <w:r w:rsidRPr="00BC17EC">
              <w:rPr>
                <w:rFonts w:ascii="Times New Roman" w:hAnsi="Times New Roman" w:cs="Times New Roman"/>
                <w:b/>
                <w:i/>
                <w:sz w:val="24"/>
                <w:lang w:eastAsia="ja-JP"/>
              </w:rPr>
              <w:t>SVaR</w:t>
            </w:r>
            <w:proofErr w:type="spellEnd"/>
            <w:r w:rsidRPr="00BC17EC">
              <w:rPr>
                <w:rFonts w:ascii="Times New Roman" w:hAnsi="Times New Roman" w:cs="Times New Roman"/>
                <w:b/>
                <w:i/>
                <w:sz w:val="24"/>
                <w:lang w:eastAsia="ja-JP"/>
              </w:rPr>
              <w:t xml:space="preserve"> (10 day 99%)</w:t>
            </w:r>
          </w:p>
          <w:p w14:paraId="730846A0" w14:textId="0AC6C7DF" w:rsidR="00DA01E7" w:rsidRPr="00BC17EC" w:rsidRDefault="003575A8" w:rsidP="003575A8">
            <w:pPr>
              <w:spacing w:before="120" w:after="120"/>
              <w:jc w:val="both"/>
              <w:rPr>
                <w:rFonts w:ascii="Times New Roman" w:eastAsia="Times New Roman" w:hAnsi="Times New Roman" w:cs="Times New Roman"/>
                <w:sz w:val="24"/>
              </w:rPr>
            </w:pPr>
            <w:r w:rsidRPr="00BC17EC">
              <w:rPr>
                <w:rFonts w:ascii="Times New Roman" w:hAnsi="Times New Roman" w:cs="Times New Roman"/>
                <w:sz w:val="24"/>
                <w:lang w:eastAsia="ja-JP"/>
              </w:rPr>
              <w:t>Stressed Value at-risk</w:t>
            </w:r>
            <w:r w:rsidR="00C67709" w:rsidRPr="00BC17EC">
              <w:rPr>
                <w:rFonts w:ascii="Times New Roman" w:hAnsi="Times New Roman" w:cs="Times New Roman"/>
                <w:sz w:val="24"/>
                <w:lang w:eastAsia="ja-JP"/>
              </w:rPr>
              <w:t xml:space="preserve"> measure</w:t>
            </w:r>
            <w:r w:rsidRPr="00BC17EC">
              <w:rPr>
                <w:rFonts w:ascii="Times New Roman" w:hAnsi="Times New Roman" w:cs="Times New Roman"/>
                <w:sz w:val="24"/>
                <w:lang w:eastAsia="ja-JP"/>
              </w:rPr>
              <w:t xml:space="preserve"> in accordance with Article 365 (2)</w:t>
            </w:r>
            <w:r w:rsidRPr="00BC17EC">
              <w:rPr>
                <w:rFonts w:ascii="Times New Roman" w:hAnsi="Times New Roman" w:cs="Times New Roman"/>
                <w:sz w:val="24"/>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w:t>
            </w:r>
          </w:p>
          <w:p w14:paraId="76BE40C4" w14:textId="29824553" w:rsidR="00C67709" w:rsidRPr="00BC17EC" w:rsidRDefault="00C67709" w:rsidP="00C67709">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The amounts </w:t>
            </w:r>
            <w:r w:rsidRPr="00BC17EC">
              <w:rPr>
                <w:rFonts w:ascii="Times New Roman" w:hAnsi="Times New Roman" w:cs="Times New Roman"/>
                <w:sz w:val="24"/>
              </w:rPr>
              <w:t>do not include additional own fund requirements on supervisor’s decision (multiplier).</w:t>
            </w:r>
          </w:p>
        </w:tc>
      </w:tr>
      <w:tr w:rsidR="00DA01E7" w:rsidRPr="00BC17EC" w14:paraId="15D1262C" w14:textId="77777777" w:rsidTr="0073376A">
        <w:tc>
          <w:tcPr>
            <w:tcW w:w="1250" w:type="dxa"/>
            <w:tcBorders>
              <w:top w:val="single" w:sz="4" w:space="0" w:color="auto"/>
              <w:left w:val="single" w:sz="4" w:space="0" w:color="auto"/>
              <w:bottom w:val="single" w:sz="4" w:space="0" w:color="auto"/>
              <w:right w:val="single" w:sz="4" w:space="0" w:color="auto"/>
            </w:tcBorders>
          </w:tcPr>
          <w:p w14:paraId="68D34D2C" w14:textId="12A487FC" w:rsidR="00DA01E7" w:rsidRPr="00BC17EC" w:rsidRDefault="001555B7" w:rsidP="003575A8">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{5</w:t>
            </w:r>
            <w:r w:rsidR="003575A8" w:rsidRPr="00BC17EC">
              <w:rPr>
                <w:rFonts w:ascii="Times New Roman" w:hAnsi="Times New Roman" w:cs="Times New Roman"/>
                <w:sz w:val="24"/>
                <w:lang w:eastAsia="ja-JP"/>
              </w:rPr>
              <w:t>}to{</w:t>
            </w:r>
            <w:r w:rsidRPr="00BC17EC">
              <w:rPr>
                <w:rFonts w:ascii="Times New Roman" w:hAnsi="Times New Roman" w:cs="Times New Roman"/>
                <w:sz w:val="24"/>
                <w:lang w:eastAsia="ja-JP"/>
              </w:rPr>
              <w:t>8</w:t>
            </w:r>
            <w:r w:rsidR="003575A8" w:rsidRPr="00BC17EC">
              <w:rPr>
                <w:rFonts w:ascii="Times New Roman" w:hAnsi="Times New Roman" w:cs="Times New Roman"/>
                <w:sz w:val="24"/>
                <w:lang w:eastAsia="ja-JP"/>
              </w:rPr>
              <w:t>}</w:t>
            </w:r>
          </w:p>
        </w:tc>
        <w:tc>
          <w:tcPr>
            <w:tcW w:w="7164" w:type="dxa"/>
            <w:tcBorders>
              <w:top w:val="single" w:sz="4" w:space="0" w:color="auto"/>
              <w:left w:val="single" w:sz="4" w:space="0" w:color="auto"/>
              <w:bottom w:val="single" w:sz="4" w:space="0" w:color="auto"/>
              <w:right w:val="single" w:sz="4" w:space="0" w:color="auto"/>
            </w:tcBorders>
          </w:tcPr>
          <w:p w14:paraId="0D4471DF" w14:textId="00ADA372" w:rsidR="00032B51" w:rsidRPr="00BC17EC" w:rsidRDefault="001555B7" w:rsidP="001555B7">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Highest/Lowest/mean of stressed daily value at-risk measure over the period and period end daily value at-risk measure. </w:t>
            </w:r>
          </w:p>
        </w:tc>
      </w:tr>
      <w:tr w:rsidR="00032B51" w:rsidRPr="00BC17EC" w14:paraId="5D47D2F5"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0DF111AF" w14:textId="2072B57E" w:rsidR="00032B51" w:rsidRPr="00BC17EC" w:rsidRDefault="00032B51" w:rsidP="00DA01E7">
            <w:pPr>
              <w:spacing w:before="120" w:after="120"/>
              <w:jc w:val="center"/>
              <w:rPr>
                <w:rFonts w:ascii="Times New Roman" w:hAnsi="Times New Roman" w:cs="Times New Roman"/>
                <w:sz w:val="24"/>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12573BAC" w14:textId="77777777" w:rsidR="00032B51" w:rsidRPr="00BC17EC" w:rsidRDefault="00032B51" w:rsidP="00DA01E7">
            <w:pPr>
              <w:spacing w:before="120" w:after="120"/>
              <w:jc w:val="both"/>
              <w:rPr>
                <w:rFonts w:ascii="Times New Roman" w:hAnsi="Times New Roman" w:cs="Times New Roman"/>
                <w:b/>
                <w:i/>
                <w:sz w:val="24"/>
                <w:lang w:eastAsia="ja-JP"/>
              </w:rPr>
            </w:pPr>
            <w:r w:rsidRPr="00BC17EC">
              <w:rPr>
                <w:rFonts w:ascii="Times New Roman" w:hAnsi="Times New Roman" w:cs="Times New Roman"/>
                <w:b/>
                <w:i/>
                <w:sz w:val="24"/>
                <w:lang w:eastAsia="ja-JP"/>
              </w:rPr>
              <w:t>IRC (99.9%)</w:t>
            </w:r>
          </w:p>
          <w:p w14:paraId="09734C77" w14:textId="53F09F49" w:rsidR="00032B51" w:rsidRPr="00BC17EC" w:rsidRDefault="001555B7" w:rsidP="001555B7">
            <w:pPr>
              <w:spacing w:before="120" w:after="120"/>
              <w:jc w:val="both"/>
              <w:rPr>
                <w:rFonts w:ascii="Times New Roman" w:eastAsia="Times New Roman" w:hAnsi="Times New Roman" w:cs="Times New Roman"/>
                <w:sz w:val="24"/>
              </w:rPr>
            </w:pPr>
            <w:r w:rsidRPr="00BC17EC">
              <w:rPr>
                <w:rFonts w:ascii="Times New Roman" w:hAnsi="Times New Roman" w:cs="Times New Roman"/>
                <w:sz w:val="24"/>
                <w:lang w:eastAsia="ja-JP"/>
              </w:rPr>
              <w:t xml:space="preserve">Incremental default and migration risk value in accordance with </w:t>
            </w:r>
            <w:r w:rsidR="009104B3">
              <w:rPr>
                <w:rFonts w:ascii="Times New Roman" w:hAnsi="Times New Roman" w:cs="Times New Roman"/>
                <w:sz w:val="24"/>
                <w:lang w:eastAsia="ja-JP"/>
              </w:rPr>
              <w:t>S</w:t>
            </w:r>
            <w:r w:rsidRPr="00BC17EC">
              <w:rPr>
                <w:rFonts w:ascii="Times New Roman" w:hAnsi="Times New Roman" w:cs="Times New Roman"/>
                <w:sz w:val="24"/>
                <w:lang w:eastAsia="ja-JP"/>
              </w:rPr>
              <w:t>ection 3</w:t>
            </w:r>
            <w:r w:rsidR="009104B3">
              <w:rPr>
                <w:rFonts w:ascii="Times New Roman" w:hAnsi="Times New Roman" w:cs="Times New Roman"/>
                <w:sz w:val="24"/>
                <w:lang w:eastAsia="ja-JP"/>
              </w:rPr>
              <w:t xml:space="preserve"> of C</w:t>
            </w:r>
            <w:r w:rsidR="00E00837" w:rsidRPr="00BC17EC">
              <w:rPr>
                <w:rFonts w:ascii="Times New Roman" w:hAnsi="Times New Roman" w:cs="Times New Roman"/>
                <w:sz w:val="24"/>
                <w:lang w:eastAsia="ja-JP"/>
              </w:rPr>
              <w:t xml:space="preserve">hapter 5 of Title IV </w:t>
            </w:r>
            <w:r w:rsidR="009104B3">
              <w:rPr>
                <w:rFonts w:ascii="Times New Roman" w:hAnsi="Times New Roman" w:cs="Times New Roman"/>
                <w:sz w:val="24"/>
                <w:lang w:eastAsia="ja-JP"/>
              </w:rPr>
              <w:t xml:space="preserve">of </w:t>
            </w:r>
            <w:r w:rsidR="009104B3">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9104B3">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w:t>
            </w:r>
          </w:p>
          <w:p w14:paraId="74402E94" w14:textId="7A2DFAA9" w:rsidR="00C67709" w:rsidRPr="00BC17EC" w:rsidRDefault="00C67709" w:rsidP="00C67709">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The amounts </w:t>
            </w:r>
            <w:r w:rsidRPr="00BC17EC">
              <w:rPr>
                <w:rFonts w:ascii="Times New Roman" w:hAnsi="Times New Roman" w:cs="Times New Roman"/>
                <w:sz w:val="24"/>
              </w:rPr>
              <w:t>do not include additional own fund requirements on supervisor’s decision (multiplier).</w:t>
            </w:r>
          </w:p>
        </w:tc>
      </w:tr>
      <w:tr w:rsidR="00032B51" w:rsidRPr="00BC17EC" w14:paraId="750EAA4A" w14:textId="77777777" w:rsidTr="0073376A">
        <w:tc>
          <w:tcPr>
            <w:tcW w:w="1250" w:type="dxa"/>
            <w:tcBorders>
              <w:top w:val="single" w:sz="4" w:space="0" w:color="auto"/>
              <w:left w:val="single" w:sz="4" w:space="0" w:color="auto"/>
              <w:bottom w:val="single" w:sz="4" w:space="0" w:color="auto"/>
              <w:right w:val="single" w:sz="4" w:space="0" w:color="auto"/>
            </w:tcBorders>
          </w:tcPr>
          <w:p w14:paraId="7703DE34" w14:textId="0FCD0242" w:rsidR="00032B51" w:rsidRPr="00BC17EC" w:rsidRDefault="001555B7" w:rsidP="001555B7">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{9}to{1</w:t>
            </w:r>
            <w:r w:rsidR="00B2007C" w:rsidRPr="00BC17EC">
              <w:rPr>
                <w:rFonts w:ascii="Times New Roman" w:hAnsi="Times New Roman" w:cs="Times New Roman"/>
                <w:sz w:val="24"/>
                <w:lang w:eastAsia="ja-JP"/>
              </w:rPr>
              <w:t>2</w:t>
            </w:r>
            <w:r w:rsidRPr="00BC17EC">
              <w:rPr>
                <w:rFonts w:ascii="Times New Roman" w:hAnsi="Times New Roman" w:cs="Times New Roman"/>
                <w:sz w:val="24"/>
                <w:lang w:eastAsia="ja-JP"/>
              </w:rPr>
              <w:t>}</w:t>
            </w:r>
          </w:p>
        </w:tc>
        <w:tc>
          <w:tcPr>
            <w:tcW w:w="7164" w:type="dxa"/>
            <w:tcBorders>
              <w:top w:val="single" w:sz="4" w:space="0" w:color="auto"/>
              <w:left w:val="single" w:sz="4" w:space="0" w:color="auto"/>
              <w:bottom w:val="single" w:sz="4" w:space="0" w:color="auto"/>
              <w:right w:val="single" w:sz="4" w:space="0" w:color="auto"/>
            </w:tcBorders>
          </w:tcPr>
          <w:p w14:paraId="6A70663A" w14:textId="50F61EED" w:rsidR="00032B51" w:rsidRPr="00BC17EC" w:rsidRDefault="001555B7" w:rsidP="001555B7">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Highest/Lowest/mean of IRC measure</w:t>
            </w:r>
            <w:r w:rsidR="00C67709" w:rsidRPr="00BC17EC">
              <w:rPr>
                <w:rFonts w:ascii="Times New Roman" w:hAnsi="Times New Roman" w:cs="Times New Roman"/>
                <w:sz w:val="24"/>
                <w:lang w:eastAsia="ja-JP"/>
              </w:rPr>
              <w:t>s</w:t>
            </w:r>
            <w:r w:rsidRPr="00BC17EC">
              <w:rPr>
                <w:rFonts w:ascii="Times New Roman" w:hAnsi="Times New Roman" w:cs="Times New Roman"/>
                <w:sz w:val="24"/>
                <w:lang w:eastAsia="ja-JP"/>
              </w:rPr>
              <w:t xml:space="preserve"> over the period and period end daily value at-risk measure.</w:t>
            </w:r>
          </w:p>
        </w:tc>
      </w:tr>
      <w:tr w:rsidR="00032B51" w:rsidRPr="00BC17EC" w14:paraId="6B6B516A" w14:textId="77777777" w:rsidTr="0073376A">
        <w:tc>
          <w:tcPr>
            <w:tcW w:w="1250" w:type="dxa"/>
            <w:tcBorders>
              <w:top w:val="single" w:sz="4" w:space="0" w:color="auto"/>
              <w:left w:val="single" w:sz="4" w:space="0" w:color="auto"/>
              <w:bottom w:val="single" w:sz="4" w:space="0" w:color="auto"/>
              <w:right w:val="nil"/>
            </w:tcBorders>
            <w:shd w:val="clear" w:color="auto" w:fill="F2F2F2" w:themeFill="background1" w:themeFillShade="F2"/>
          </w:tcPr>
          <w:p w14:paraId="2774F020" w14:textId="65B63E1B" w:rsidR="00032B51" w:rsidRPr="00BC17EC" w:rsidRDefault="00032B51" w:rsidP="00DA01E7">
            <w:pPr>
              <w:spacing w:before="120" w:after="120"/>
              <w:jc w:val="center"/>
              <w:rPr>
                <w:rFonts w:ascii="Times New Roman" w:hAnsi="Times New Roman" w:cs="Times New Roman"/>
                <w:sz w:val="24"/>
                <w:lang w:eastAsia="ja-JP"/>
              </w:rPr>
            </w:pPr>
          </w:p>
        </w:tc>
        <w:tc>
          <w:tcPr>
            <w:tcW w:w="7164" w:type="dxa"/>
            <w:tcBorders>
              <w:top w:val="single" w:sz="4" w:space="0" w:color="auto"/>
              <w:left w:val="nil"/>
              <w:bottom w:val="single" w:sz="4" w:space="0" w:color="auto"/>
              <w:right w:val="single" w:sz="4" w:space="0" w:color="auto"/>
            </w:tcBorders>
            <w:shd w:val="clear" w:color="auto" w:fill="F2F2F2" w:themeFill="background1" w:themeFillShade="F2"/>
          </w:tcPr>
          <w:p w14:paraId="3798FC5E" w14:textId="77777777" w:rsidR="00032B51" w:rsidRPr="00BC17EC" w:rsidRDefault="00032B51" w:rsidP="00DA01E7">
            <w:pPr>
              <w:spacing w:before="120" w:after="120"/>
              <w:jc w:val="both"/>
              <w:rPr>
                <w:rFonts w:ascii="Times New Roman" w:hAnsi="Times New Roman" w:cs="Times New Roman"/>
                <w:b/>
                <w:i/>
                <w:sz w:val="24"/>
                <w:lang w:eastAsia="ja-JP"/>
              </w:rPr>
            </w:pPr>
            <w:r w:rsidRPr="00BC17EC">
              <w:rPr>
                <w:rFonts w:ascii="Times New Roman" w:hAnsi="Times New Roman" w:cs="Times New Roman"/>
                <w:b/>
                <w:i/>
                <w:sz w:val="24"/>
                <w:lang w:eastAsia="ja-JP"/>
              </w:rPr>
              <w:t>Comprehensive risk measure (99.9%)</w:t>
            </w:r>
          </w:p>
          <w:p w14:paraId="4C2CBD69" w14:textId="511B850A" w:rsidR="00032B51" w:rsidRPr="00BC17EC" w:rsidRDefault="00C67709" w:rsidP="00C67709">
            <w:pPr>
              <w:spacing w:before="120" w:after="120"/>
              <w:jc w:val="both"/>
              <w:rPr>
                <w:rFonts w:ascii="Times New Roman" w:hAnsi="Times New Roman" w:cs="Times New Roman"/>
                <w:sz w:val="24"/>
                <w:lang w:eastAsia="ja-JP"/>
              </w:rPr>
            </w:pPr>
            <w:r w:rsidRPr="00BC17EC">
              <w:rPr>
                <w:rFonts w:ascii="Times New Roman" w:hAnsi="Times New Roman" w:cs="Times New Roman"/>
                <w:sz w:val="24"/>
              </w:rPr>
              <w:t xml:space="preserve">Correlation trading portfolios value in accordance with </w:t>
            </w:r>
            <w:r w:rsidR="00264DD6">
              <w:rPr>
                <w:rFonts w:ascii="Times New Roman" w:hAnsi="Times New Roman" w:cs="Times New Roman"/>
                <w:sz w:val="24"/>
                <w:lang w:eastAsia="ja-JP"/>
              </w:rPr>
              <w:t>S</w:t>
            </w:r>
            <w:r w:rsidRPr="00BC17EC">
              <w:rPr>
                <w:rFonts w:ascii="Times New Roman" w:hAnsi="Times New Roman" w:cs="Times New Roman"/>
                <w:sz w:val="24"/>
                <w:lang w:eastAsia="ja-JP"/>
              </w:rPr>
              <w:t>ection 5</w:t>
            </w:r>
            <w:r w:rsidR="00264DD6">
              <w:rPr>
                <w:rFonts w:ascii="Times New Roman" w:hAnsi="Times New Roman" w:cs="Times New Roman"/>
                <w:sz w:val="24"/>
                <w:lang w:eastAsia="ja-JP"/>
              </w:rPr>
              <w:t xml:space="preserve"> of C</w:t>
            </w:r>
            <w:r w:rsidR="00E00837" w:rsidRPr="00BC17EC">
              <w:rPr>
                <w:rFonts w:ascii="Times New Roman" w:hAnsi="Times New Roman" w:cs="Times New Roman"/>
                <w:sz w:val="24"/>
                <w:lang w:eastAsia="ja-JP"/>
              </w:rPr>
              <w:t xml:space="preserve">hapter 5 of Title IV </w:t>
            </w:r>
            <w:r w:rsidR="00264DD6">
              <w:rPr>
                <w:rFonts w:ascii="Times New Roman" w:hAnsi="Times New Roman" w:cs="Times New Roman"/>
                <w:sz w:val="24"/>
                <w:lang w:eastAsia="ja-JP"/>
              </w:rPr>
              <w:t xml:space="preserve">of </w:t>
            </w:r>
            <w:r w:rsidR="00264DD6">
              <w:rPr>
                <w:rFonts w:ascii="Times New Roman" w:hAnsi="Times New Roman" w:cs="Times New Roman"/>
                <w:sz w:val="24"/>
                <w:lang w:val="en-GB" w:eastAsia="ja-JP"/>
              </w:rPr>
              <w:t>P</w:t>
            </w:r>
            <w:r w:rsidR="00E00837" w:rsidRPr="00BC17EC">
              <w:rPr>
                <w:rFonts w:ascii="Times New Roman" w:hAnsi="Times New Roman" w:cs="Times New Roman"/>
                <w:sz w:val="24"/>
                <w:lang w:val="en-GB" w:eastAsia="ja-JP"/>
              </w:rPr>
              <w:t xml:space="preserve">art </w:t>
            </w:r>
            <w:r w:rsidR="00264DD6">
              <w:rPr>
                <w:rFonts w:ascii="Times New Roman" w:hAnsi="Times New Roman" w:cs="Times New Roman"/>
                <w:sz w:val="24"/>
                <w:lang w:val="en-GB" w:eastAsia="ja-JP"/>
              </w:rPr>
              <w:t>T</w:t>
            </w:r>
            <w:r w:rsidR="00E00837" w:rsidRPr="00BC17EC">
              <w:rPr>
                <w:rFonts w:ascii="Times New Roman" w:hAnsi="Times New Roman" w:cs="Times New Roman"/>
                <w:sz w:val="24"/>
                <w:lang w:val="en-GB" w:eastAsia="ja-JP"/>
              </w:rPr>
              <w:t>hree</w:t>
            </w:r>
            <w:r w:rsidRPr="00BC17EC">
              <w:rPr>
                <w:rFonts w:ascii="Times New Roman" w:hAnsi="Times New Roman" w:cs="Times New Roman"/>
                <w:sz w:val="24"/>
                <w:lang w:eastAsia="ja-JP"/>
              </w:rPr>
              <w:t xml:space="preserve"> </w:t>
            </w:r>
            <w:r w:rsidR="00012BC3" w:rsidRPr="00BC17EC">
              <w:rPr>
                <w:rFonts w:ascii="Times New Roman" w:eastAsia="Times New Roman" w:hAnsi="Times New Roman" w:cs="Times New Roman"/>
                <w:sz w:val="24"/>
              </w:rPr>
              <w:t>CRR</w:t>
            </w:r>
            <w:r w:rsidRPr="00BC17EC">
              <w:rPr>
                <w:rFonts w:ascii="Times New Roman" w:eastAsia="Times New Roman" w:hAnsi="Times New Roman" w:cs="Times New Roman"/>
                <w:sz w:val="24"/>
              </w:rPr>
              <w:t>.</w:t>
            </w:r>
          </w:p>
        </w:tc>
      </w:tr>
      <w:tr w:rsidR="00032B51" w:rsidRPr="00BC17EC" w14:paraId="2ECDE37D" w14:textId="77777777" w:rsidTr="0073376A">
        <w:tc>
          <w:tcPr>
            <w:tcW w:w="1250" w:type="dxa"/>
            <w:tcBorders>
              <w:top w:val="single" w:sz="4" w:space="0" w:color="auto"/>
              <w:left w:val="single" w:sz="4" w:space="0" w:color="auto"/>
              <w:bottom w:val="single" w:sz="4" w:space="0" w:color="auto"/>
              <w:right w:val="single" w:sz="4" w:space="0" w:color="auto"/>
            </w:tcBorders>
          </w:tcPr>
          <w:p w14:paraId="7825AEEE" w14:textId="106C8D94" w:rsidR="00032B51" w:rsidRPr="00BC17EC" w:rsidRDefault="00B2007C" w:rsidP="00B2007C">
            <w:pPr>
              <w:spacing w:before="120" w:after="120"/>
              <w:jc w:val="center"/>
              <w:rPr>
                <w:rFonts w:ascii="Times New Roman" w:hAnsi="Times New Roman" w:cs="Times New Roman"/>
                <w:sz w:val="24"/>
                <w:lang w:eastAsia="ja-JP"/>
              </w:rPr>
            </w:pPr>
            <w:r w:rsidRPr="00BC17EC">
              <w:rPr>
                <w:rFonts w:ascii="Times New Roman" w:hAnsi="Times New Roman" w:cs="Times New Roman"/>
                <w:sz w:val="24"/>
                <w:lang w:eastAsia="ja-JP"/>
              </w:rPr>
              <w:t>{13}to{16}</w:t>
            </w:r>
          </w:p>
        </w:tc>
        <w:tc>
          <w:tcPr>
            <w:tcW w:w="7164" w:type="dxa"/>
            <w:tcBorders>
              <w:top w:val="single" w:sz="4" w:space="0" w:color="auto"/>
              <w:left w:val="single" w:sz="4" w:space="0" w:color="auto"/>
              <w:bottom w:val="single" w:sz="4" w:space="0" w:color="auto"/>
              <w:right w:val="single" w:sz="4" w:space="0" w:color="auto"/>
            </w:tcBorders>
          </w:tcPr>
          <w:p w14:paraId="58B4E54F" w14:textId="7347B15D" w:rsidR="00032B51" w:rsidRPr="00BC17EC" w:rsidRDefault="00C67709" w:rsidP="00C67709">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 xml:space="preserve">Highest/Lowest/mean of </w:t>
            </w:r>
            <w:r w:rsidRPr="00BC17EC">
              <w:rPr>
                <w:rFonts w:ascii="Times New Roman" w:hAnsi="Times New Roman" w:cs="Times New Roman"/>
                <w:sz w:val="24"/>
              </w:rPr>
              <w:t xml:space="preserve">correlation trading portfolios </w:t>
            </w:r>
            <w:r w:rsidRPr="00BC17EC">
              <w:rPr>
                <w:rFonts w:ascii="Times New Roman" w:hAnsi="Times New Roman" w:cs="Times New Roman"/>
                <w:sz w:val="24"/>
                <w:lang w:eastAsia="ja-JP"/>
              </w:rPr>
              <w:t>measures over the period and period end daily value at-risk measure.</w:t>
            </w:r>
          </w:p>
        </w:tc>
      </w:tr>
      <w:tr w:rsidR="00032B51" w:rsidRPr="00BC17EC" w14:paraId="1D836868" w14:textId="77777777" w:rsidTr="0073376A">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1F3B68" w14:textId="77777777" w:rsidR="00032B51" w:rsidRPr="00BC17EC" w:rsidRDefault="00032B51"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Column letter</w:t>
            </w:r>
          </w:p>
        </w:tc>
        <w:tc>
          <w:tcPr>
            <w:tcW w:w="7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6CDD6" w14:textId="77777777" w:rsidR="00032B51" w:rsidRPr="00BC17EC" w:rsidRDefault="00032B51"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032B51" w:rsidRPr="00BC17EC" w14:paraId="1B5594DB" w14:textId="77777777" w:rsidTr="0073376A">
        <w:tc>
          <w:tcPr>
            <w:tcW w:w="1250" w:type="dxa"/>
            <w:tcBorders>
              <w:top w:val="single" w:sz="4" w:space="0" w:color="auto"/>
              <w:left w:val="single" w:sz="4" w:space="0" w:color="auto"/>
              <w:bottom w:val="single" w:sz="4" w:space="0" w:color="auto"/>
              <w:right w:val="single" w:sz="4" w:space="0" w:color="auto"/>
            </w:tcBorders>
          </w:tcPr>
          <w:p w14:paraId="55491334" w14:textId="17705B76" w:rsidR="00032B51" w:rsidRPr="00BC17EC" w:rsidRDefault="00032B51" w:rsidP="00DA01E7">
            <w:pPr>
              <w:spacing w:before="120" w:after="120"/>
              <w:jc w:val="center"/>
              <w:rPr>
                <w:rFonts w:ascii="Times New Roman" w:hAnsi="Times New Roman" w:cs="Times New Roman"/>
                <w:b/>
                <w:sz w:val="24"/>
                <w:lang w:eastAsia="ja-JP"/>
              </w:rPr>
            </w:pPr>
            <w:r w:rsidRPr="00BC17EC">
              <w:rPr>
                <w:rFonts w:ascii="Times New Roman" w:hAnsi="Times New Roman" w:cs="Times New Roman"/>
                <w:sz w:val="24"/>
                <w:lang w:eastAsia="ja-JP"/>
              </w:rPr>
              <w:t>{</w:t>
            </w:r>
            <w:r w:rsidR="00DA73A8" w:rsidRPr="00BC17EC">
              <w:rPr>
                <w:rFonts w:ascii="Times New Roman" w:hAnsi="Times New Roman" w:cs="Times New Roman"/>
                <w:sz w:val="24"/>
                <w:lang w:eastAsia="ja-JP"/>
              </w:rPr>
              <w:t>a</w:t>
            </w:r>
            <w:r w:rsidRPr="00BC17EC">
              <w:rPr>
                <w:rFonts w:ascii="Times New Roman" w:hAnsi="Times New Roman" w:cs="Times New Roman"/>
                <w:sz w:val="24"/>
                <w:lang w:eastAsia="ja-JP"/>
              </w:rPr>
              <w:t>}</w:t>
            </w:r>
          </w:p>
        </w:tc>
        <w:tc>
          <w:tcPr>
            <w:tcW w:w="7164" w:type="dxa"/>
            <w:tcBorders>
              <w:top w:val="single" w:sz="4" w:space="0" w:color="auto"/>
              <w:left w:val="single" w:sz="4" w:space="0" w:color="auto"/>
              <w:bottom w:val="single" w:sz="4" w:space="0" w:color="auto"/>
              <w:right w:val="single" w:sz="4" w:space="0" w:color="auto"/>
            </w:tcBorders>
          </w:tcPr>
          <w:p w14:paraId="6F729F49" w14:textId="493571CD" w:rsidR="00032B51" w:rsidRPr="00BC17EC" w:rsidRDefault="0073376A" w:rsidP="00997407">
            <w:pPr>
              <w:spacing w:before="120" w:after="120"/>
              <w:rPr>
                <w:rFonts w:ascii="Times New Roman" w:hAnsi="Times New Roman" w:cs="Times New Roman"/>
                <w:sz w:val="24"/>
                <w:lang w:eastAsia="ja-JP"/>
              </w:rPr>
            </w:pPr>
            <w:r w:rsidRPr="00BC17EC">
              <w:rPr>
                <w:rFonts w:ascii="Times New Roman" w:hAnsi="Times New Roman" w:cs="Times New Roman"/>
                <w:sz w:val="24"/>
                <w:lang w:eastAsia="ja-JP"/>
              </w:rPr>
              <w:t xml:space="preserve">Highest/lowest/mean values over the </w:t>
            </w:r>
            <w:r w:rsidR="00A12F41">
              <w:rPr>
                <w:rFonts w:ascii="Times New Roman" w:hAnsi="Times New Roman" w:cs="Times New Roman"/>
                <w:sz w:val="24"/>
                <w:lang w:eastAsia="ja-JP"/>
              </w:rPr>
              <w:t>disclosure</w:t>
            </w:r>
            <w:r w:rsidRPr="00BC17EC">
              <w:rPr>
                <w:rFonts w:ascii="Times New Roman" w:hAnsi="Times New Roman" w:cs="Times New Roman"/>
                <w:sz w:val="24"/>
                <w:lang w:eastAsia="ja-JP"/>
              </w:rPr>
              <w:t xml:space="preserve"> period and end of period values corresponding to rows {1} to {16}.</w:t>
            </w:r>
          </w:p>
        </w:tc>
      </w:tr>
    </w:tbl>
    <w:p w14:paraId="737A280E" w14:textId="77777777" w:rsidR="00561C9D" w:rsidRPr="00BC17EC" w:rsidRDefault="00561C9D" w:rsidP="00DA01E7">
      <w:pPr>
        <w:pStyle w:val="Titlelevel2"/>
        <w:rPr>
          <w:rFonts w:ascii="Times New Roman" w:hAnsi="Times New Roman" w:cs="Times New Roman"/>
          <w:b/>
          <w:color w:val="auto"/>
          <w:sz w:val="24"/>
          <w:lang w:val="en-GB"/>
        </w:rPr>
      </w:pPr>
    </w:p>
    <w:p w14:paraId="556B34B1" w14:textId="2934F125" w:rsidR="006057D0" w:rsidRPr="00BC17EC" w:rsidRDefault="0060516B" w:rsidP="00DA01E7">
      <w:pPr>
        <w:pStyle w:val="Titlelevel2"/>
        <w:rPr>
          <w:rFonts w:ascii="Times New Roman" w:hAnsi="Times New Roman" w:cs="Times New Roman"/>
          <w:b/>
          <w:color w:val="auto"/>
          <w:sz w:val="24"/>
          <w:lang w:val="en-GB"/>
        </w:rPr>
      </w:pPr>
      <w:r w:rsidRPr="00BC17EC">
        <w:rPr>
          <w:rFonts w:ascii="Times New Roman" w:hAnsi="Times New Roman" w:cs="Times New Roman"/>
          <w:b/>
          <w:color w:val="auto"/>
          <w:sz w:val="24"/>
          <w:lang w:val="en-GB"/>
        </w:rPr>
        <w:t>Template</w:t>
      </w:r>
      <w:r w:rsidR="009F78F1" w:rsidRPr="00BC17EC">
        <w:rPr>
          <w:rFonts w:ascii="Times New Roman" w:hAnsi="Times New Roman" w:cs="Times New Roman"/>
          <w:b/>
          <w:color w:val="auto"/>
          <w:sz w:val="24"/>
          <w:lang w:val="en-GB"/>
        </w:rPr>
        <w:t xml:space="preserve"> EU</w:t>
      </w:r>
      <w:r w:rsidRPr="00BC17EC">
        <w:rPr>
          <w:rFonts w:ascii="Times New Roman" w:hAnsi="Times New Roman" w:cs="Times New Roman"/>
          <w:b/>
          <w:color w:val="auto"/>
          <w:sz w:val="24"/>
          <w:lang w:val="en-GB"/>
        </w:rPr>
        <w:t xml:space="preserve"> </w:t>
      </w:r>
      <w:r w:rsidR="0073376A" w:rsidRPr="00BC17EC">
        <w:rPr>
          <w:rFonts w:ascii="Times New Roman" w:hAnsi="Times New Roman" w:cs="Times New Roman"/>
          <w:b/>
          <w:color w:val="auto"/>
          <w:sz w:val="24"/>
          <w:lang w:val="en-GB"/>
        </w:rPr>
        <w:t xml:space="preserve">MR4 - Comparison of </w:t>
      </w:r>
      <w:proofErr w:type="spellStart"/>
      <w:r w:rsidR="0073376A" w:rsidRPr="00BC17EC">
        <w:rPr>
          <w:rFonts w:ascii="Times New Roman" w:hAnsi="Times New Roman" w:cs="Times New Roman"/>
          <w:b/>
          <w:color w:val="auto"/>
          <w:sz w:val="24"/>
          <w:lang w:val="en-GB"/>
        </w:rPr>
        <w:t>VaR</w:t>
      </w:r>
      <w:proofErr w:type="spellEnd"/>
      <w:r w:rsidR="0073376A" w:rsidRPr="00BC17EC">
        <w:rPr>
          <w:rFonts w:ascii="Times New Roman" w:hAnsi="Times New Roman" w:cs="Times New Roman"/>
          <w:b/>
          <w:color w:val="auto"/>
          <w:sz w:val="24"/>
          <w:lang w:val="en-GB"/>
        </w:rPr>
        <w:t xml:space="preserve"> estimates with gains/losses</w:t>
      </w:r>
      <w:r w:rsidR="00BF35C9" w:rsidRPr="00BC17EC">
        <w:rPr>
          <w:rFonts w:ascii="Times New Roman" w:hAnsi="Times New Roman" w:cs="Times New Roman"/>
          <w:b/>
          <w:color w:val="auto"/>
          <w:sz w:val="24"/>
          <w:lang w:val="en-GB"/>
        </w:rPr>
        <w:t xml:space="preserve">: </w:t>
      </w:r>
      <w:r w:rsidR="00454A07" w:rsidRPr="00BC17EC">
        <w:rPr>
          <w:rFonts w:ascii="Times New Roman" w:hAnsi="Times New Roman" w:cs="Times New Roman"/>
          <w:b/>
          <w:color w:val="auto"/>
          <w:sz w:val="24"/>
          <w:lang w:val="en-GB"/>
        </w:rPr>
        <w:t xml:space="preserve">Flexible table </w:t>
      </w:r>
    </w:p>
    <w:p w14:paraId="6452392B" w14:textId="28D10271" w:rsidR="00454A07" w:rsidRPr="00BC17EC" w:rsidRDefault="00454A07" w:rsidP="007A6198">
      <w:pPr>
        <w:pStyle w:val="Titlelevel2"/>
        <w:numPr>
          <w:ilvl w:val="0"/>
          <w:numId w:val="12"/>
        </w:numPr>
        <w:rPr>
          <w:rFonts w:ascii="Times New Roman" w:hAnsi="Times New Roman" w:cs="Times New Roman"/>
          <w:color w:val="auto"/>
          <w:sz w:val="24"/>
          <w:lang w:val="en-GB"/>
        </w:rPr>
      </w:pPr>
      <w:r w:rsidRPr="00BC17EC">
        <w:rPr>
          <w:rFonts w:ascii="Times New Roman" w:hAnsi="Times New Roman" w:cs="Times New Roman"/>
          <w:color w:val="auto"/>
          <w:sz w:val="24"/>
          <w:lang w:val="en-GB"/>
        </w:rPr>
        <w:t xml:space="preserve">In application of </w:t>
      </w:r>
      <w:r w:rsidR="00CA3BC1">
        <w:rPr>
          <w:rFonts w:ascii="Times New Roman" w:hAnsi="Times New Roman" w:cs="Times New Roman"/>
          <w:color w:val="auto"/>
          <w:sz w:val="24"/>
          <w:lang w:val="en-GB"/>
        </w:rPr>
        <w:t xml:space="preserve">point (g) of </w:t>
      </w:r>
      <w:r w:rsidRPr="00BC17EC">
        <w:rPr>
          <w:rFonts w:ascii="Times New Roman" w:hAnsi="Times New Roman" w:cs="Times New Roman"/>
          <w:color w:val="auto"/>
          <w:sz w:val="24"/>
          <w:lang w:val="en-GB"/>
        </w:rPr>
        <w:t>Article 455</w:t>
      </w:r>
      <w:r w:rsidR="00264DD6">
        <w:rPr>
          <w:rFonts w:ascii="Times New Roman" w:hAnsi="Times New Roman" w:cs="Times New Roman"/>
          <w:color w:val="auto"/>
          <w:sz w:val="24"/>
          <w:lang w:val="en-GB"/>
        </w:rPr>
        <w:t xml:space="preserve"> </w:t>
      </w:r>
      <w:proofErr w:type="gramStart"/>
      <w:r w:rsidR="00264DD6">
        <w:rPr>
          <w:rFonts w:ascii="Times New Roman" w:hAnsi="Times New Roman" w:cs="Times New Roman"/>
          <w:color w:val="auto"/>
          <w:sz w:val="24"/>
          <w:lang w:val="en-GB"/>
        </w:rPr>
        <w:t>CRR</w:t>
      </w:r>
      <w:proofErr w:type="gramEnd"/>
      <w:r w:rsidRPr="00BC17EC">
        <w:rPr>
          <w:rFonts w:ascii="Times New Roman" w:hAnsi="Times New Roman" w:cs="Times New Roman"/>
          <w:color w:val="auto"/>
          <w:sz w:val="24"/>
          <w:lang w:val="en-GB"/>
        </w:rPr>
        <w:t xml:space="preserve"> </w:t>
      </w:r>
      <w:r w:rsidR="009F78F1" w:rsidRPr="00BC17EC">
        <w:rPr>
          <w:rFonts w:ascii="Times New Roman" w:hAnsi="Times New Roman" w:cs="Times New Roman"/>
          <w:color w:val="auto"/>
          <w:sz w:val="24"/>
          <w:lang w:val="en-GB"/>
        </w:rPr>
        <w:t>i</w:t>
      </w:r>
      <w:r w:rsidRPr="00BC17EC">
        <w:rPr>
          <w:rFonts w:ascii="Times New Roman" w:hAnsi="Times New Roman" w:cs="Times New Roman"/>
          <w:color w:val="auto"/>
          <w:sz w:val="24"/>
          <w:lang w:val="en-GB"/>
        </w:rPr>
        <w:t xml:space="preserve">nstitutions shall disclose </w:t>
      </w:r>
      <w:r w:rsidR="0042080F" w:rsidRPr="00BC17EC">
        <w:rPr>
          <w:rFonts w:ascii="Times New Roman" w:hAnsi="Times New Roman" w:cs="Times New Roman"/>
          <w:color w:val="auto"/>
          <w:sz w:val="24"/>
          <w:lang w:val="en-GB"/>
        </w:rPr>
        <w:t>a chart</w:t>
      </w:r>
      <w:r w:rsidR="009F78F1" w:rsidRPr="00BC17EC">
        <w:rPr>
          <w:rFonts w:ascii="Times New Roman" w:hAnsi="Times New Roman" w:cs="Times New Roman"/>
          <w:color w:val="auto"/>
          <w:sz w:val="24"/>
          <w:lang w:val="en-GB"/>
        </w:rPr>
        <w:t xml:space="preserve"> as presented in Annex</w:t>
      </w:r>
      <w:r w:rsidR="00560C49">
        <w:rPr>
          <w:rFonts w:ascii="Times New Roman" w:hAnsi="Times New Roman" w:cs="Times New Roman"/>
          <w:color w:val="auto"/>
          <w:sz w:val="24"/>
          <w:lang w:val="en-GB"/>
        </w:rPr>
        <w:t xml:space="preserve"> XXIX</w:t>
      </w:r>
      <w:r w:rsidR="00262F11">
        <w:rPr>
          <w:rFonts w:ascii="Times New Roman" w:hAnsi="Times New Roman" w:cs="Times New Roman"/>
          <w:color w:val="auto"/>
          <w:sz w:val="24"/>
          <w:lang w:val="en-GB"/>
        </w:rPr>
        <w:t xml:space="preserve"> </w:t>
      </w:r>
      <w:r w:rsidR="00264DD6">
        <w:rPr>
          <w:rFonts w:ascii="Times New Roman" w:hAnsi="Times New Roman" w:cs="Times New Roman"/>
          <w:color w:val="auto"/>
          <w:sz w:val="24"/>
          <w:lang w:val="en-GB"/>
        </w:rPr>
        <w:t>to this Implementing Regulation</w:t>
      </w:r>
      <w:r w:rsidR="009F78F1" w:rsidRPr="00BC17EC">
        <w:rPr>
          <w:rFonts w:ascii="Times New Roman" w:hAnsi="Times New Roman" w:cs="Times New Roman"/>
          <w:color w:val="auto"/>
          <w:sz w:val="24"/>
          <w:lang w:val="en-GB"/>
        </w:rPr>
        <w:t xml:space="preserve">, </w:t>
      </w:r>
      <w:r w:rsidR="0042080F" w:rsidRPr="00BC17EC">
        <w:rPr>
          <w:rFonts w:ascii="Times New Roman" w:hAnsi="Times New Roman" w:cs="Times New Roman"/>
          <w:color w:val="auto"/>
          <w:sz w:val="24"/>
          <w:lang w:val="en-GB"/>
        </w:rPr>
        <w:t xml:space="preserve">including </w:t>
      </w:r>
      <w:r w:rsidRPr="00BC17EC">
        <w:rPr>
          <w:rFonts w:ascii="Times New Roman" w:hAnsi="Times New Roman" w:cs="Times New Roman"/>
          <w:color w:val="auto"/>
          <w:sz w:val="24"/>
          <w:lang w:val="en-GB"/>
        </w:rPr>
        <w:t>the information indicated in this table.</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6057D0" w:rsidRPr="00BC17EC" w14:paraId="7755E8A7" w14:textId="77777777" w:rsidTr="0037786A">
        <w:tc>
          <w:tcPr>
            <w:tcW w:w="84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A5D31" w14:textId="77777777" w:rsidR="006057D0" w:rsidRPr="00BC17EC" w:rsidRDefault="006057D0" w:rsidP="00997407">
            <w:pPr>
              <w:spacing w:before="120" w:after="120"/>
              <w:rPr>
                <w:rFonts w:ascii="Times New Roman" w:hAnsi="Times New Roman" w:cs="Times New Roman"/>
                <w:b/>
                <w:sz w:val="24"/>
                <w:lang w:val="en-GB"/>
              </w:rPr>
            </w:pPr>
            <w:r w:rsidRPr="00BC17EC">
              <w:rPr>
                <w:rFonts w:ascii="Times New Roman" w:hAnsi="Times New Roman" w:cs="Times New Roman"/>
                <w:b/>
                <w:sz w:val="24"/>
                <w:lang w:val="en-GB"/>
              </w:rPr>
              <w:t>Legal references and instructions</w:t>
            </w:r>
          </w:p>
        </w:tc>
      </w:tr>
      <w:tr w:rsidR="006057D0" w:rsidRPr="00BC17EC" w14:paraId="0451CFE2" w14:textId="77777777" w:rsidTr="0037786A">
        <w:tc>
          <w:tcPr>
            <w:tcW w:w="1172" w:type="dxa"/>
            <w:tcBorders>
              <w:top w:val="single" w:sz="4" w:space="0" w:color="auto"/>
              <w:left w:val="single" w:sz="4" w:space="0" w:color="auto"/>
              <w:bottom w:val="single" w:sz="4" w:space="0" w:color="auto"/>
              <w:right w:val="nil"/>
            </w:tcBorders>
            <w:shd w:val="clear" w:color="auto" w:fill="BFBFBF" w:themeFill="background1" w:themeFillShade="BF"/>
          </w:tcPr>
          <w:p w14:paraId="35CB564A" w14:textId="2CDB2DF9" w:rsidR="006057D0" w:rsidRPr="00BC17EC" w:rsidRDefault="006057D0" w:rsidP="00997407">
            <w:pPr>
              <w:spacing w:before="120" w:after="120"/>
              <w:rPr>
                <w:rFonts w:ascii="Times New Roman" w:hAnsi="Times New Roman" w:cs="Times New Roman"/>
                <w:b/>
                <w:sz w:val="24"/>
                <w:lang w:eastAsia="ja-JP"/>
              </w:rPr>
            </w:pPr>
          </w:p>
        </w:tc>
        <w:tc>
          <w:tcPr>
            <w:tcW w:w="7242" w:type="dxa"/>
            <w:tcBorders>
              <w:top w:val="single" w:sz="4" w:space="0" w:color="auto"/>
              <w:left w:val="nil"/>
              <w:bottom w:val="single" w:sz="4" w:space="0" w:color="auto"/>
              <w:right w:val="single" w:sz="4" w:space="0" w:color="auto"/>
            </w:tcBorders>
            <w:shd w:val="clear" w:color="auto" w:fill="BFBFBF" w:themeFill="background1" w:themeFillShade="BF"/>
            <w:hideMark/>
          </w:tcPr>
          <w:p w14:paraId="54BA2607" w14:textId="77777777" w:rsidR="006057D0" w:rsidRPr="00BC17EC" w:rsidRDefault="006057D0" w:rsidP="00997407">
            <w:pPr>
              <w:spacing w:before="120" w:after="120"/>
              <w:rPr>
                <w:rFonts w:ascii="Times New Roman" w:hAnsi="Times New Roman" w:cs="Times New Roman"/>
                <w:b/>
                <w:sz w:val="24"/>
                <w:lang w:eastAsia="ja-JP"/>
              </w:rPr>
            </w:pPr>
            <w:r w:rsidRPr="00BC17EC">
              <w:rPr>
                <w:rFonts w:ascii="Times New Roman" w:hAnsi="Times New Roman" w:cs="Times New Roman"/>
                <w:b/>
                <w:sz w:val="24"/>
                <w:lang w:eastAsia="ja-JP"/>
              </w:rPr>
              <w:t>Explanation</w:t>
            </w:r>
          </w:p>
        </w:tc>
      </w:tr>
      <w:tr w:rsidR="006057D0" w:rsidRPr="00BC17EC" w14:paraId="3FDF4BEE" w14:textId="77777777" w:rsidTr="00997407">
        <w:tc>
          <w:tcPr>
            <w:tcW w:w="1172" w:type="dxa"/>
            <w:tcBorders>
              <w:top w:val="single" w:sz="4" w:space="0" w:color="auto"/>
              <w:left w:val="single" w:sz="4" w:space="0" w:color="auto"/>
              <w:bottom w:val="single" w:sz="4" w:space="0" w:color="auto"/>
              <w:right w:val="single" w:sz="4" w:space="0" w:color="auto"/>
            </w:tcBorders>
          </w:tcPr>
          <w:p w14:paraId="51A0D5CF" w14:textId="77777777" w:rsidR="006057D0" w:rsidRPr="00BC17EC" w:rsidRDefault="006057D0" w:rsidP="00997407">
            <w:pPr>
              <w:spacing w:before="120" w:after="120"/>
              <w:rPr>
                <w:rFonts w:ascii="Times New Roman" w:hAnsi="Times New Roman" w:cs="Times New Roman"/>
                <w:b/>
                <w:sz w:val="24"/>
                <w:lang w:eastAsia="ja-JP"/>
              </w:rPr>
            </w:pPr>
          </w:p>
        </w:tc>
        <w:tc>
          <w:tcPr>
            <w:tcW w:w="7242" w:type="dxa"/>
            <w:tcBorders>
              <w:top w:val="single" w:sz="4" w:space="0" w:color="auto"/>
              <w:left w:val="single" w:sz="4" w:space="0" w:color="auto"/>
              <w:bottom w:val="single" w:sz="4" w:space="0" w:color="auto"/>
              <w:right w:val="single" w:sz="4" w:space="0" w:color="auto"/>
            </w:tcBorders>
          </w:tcPr>
          <w:p w14:paraId="223755B2" w14:textId="36BB93BA" w:rsidR="006057D0" w:rsidRPr="00BC17EC" w:rsidRDefault="0061387D" w:rsidP="0061387D">
            <w:pPr>
              <w:spacing w:before="120" w:after="120"/>
              <w:jc w:val="both"/>
              <w:rPr>
                <w:rFonts w:ascii="Times New Roman" w:hAnsi="Times New Roman" w:cs="Times New Roman"/>
                <w:sz w:val="24"/>
                <w:lang w:eastAsia="ja-JP"/>
              </w:rPr>
            </w:pPr>
            <w:r w:rsidRPr="00BC17EC">
              <w:rPr>
                <w:rFonts w:ascii="Times New Roman" w:hAnsi="Times New Roman" w:cs="Times New Roman"/>
                <w:sz w:val="24"/>
                <w:lang w:eastAsia="ja-JP"/>
              </w:rPr>
              <w:t>I</w:t>
            </w:r>
            <w:r w:rsidR="00BF35C9" w:rsidRPr="00BC17EC">
              <w:rPr>
                <w:rFonts w:ascii="Times New Roman" w:hAnsi="Times New Roman" w:cs="Times New Roman"/>
                <w:sz w:val="24"/>
                <w:lang w:eastAsia="ja-JP"/>
              </w:rPr>
              <w:t xml:space="preserve">nformation </w:t>
            </w:r>
            <w:r w:rsidRPr="00BC17EC">
              <w:rPr>
                <w:rFonts w:ascii="Times New Roman" w:hAnsi="Times New Roman" w:cs="Times New Roman"/>
                <w:sz w:val="24"/>
                <w:lang w:eastAsia="ja-JP"/>
              </w:rPr>
              <w:t xml:space="preserve">disclosed </w:t>
            </w:r>
            <w:r w:rsidR="00BF35C9" w:rsidRPr="00BC17EC">
              <w:rPr>
                <w:rFonts w:ascii="Times New Roman" w:hAnsi="Times New Roman" w:cs="Times New Roman"/>
                <w:sz w:val="24"/>
                <w:lang w:eastAsia="ja-JP"/>
              </w:rPr>
              <w:t xml:space="preserve">in accordance with </w:t>
            </w:r>
            <w:r w:rsidR="00CA3BC1">
              <w:rPr>
                <w:rFonts w:ascii="Times New Roman" w:hAnsi="Times New Roman" w:cs="Times New Roman"/>
                <w:sz w:val="24"/>
                <w:lang w:eastAsia="ja-JP"/>
              </w:rPr>
              <w:t xml:space="preserve">point (g) of </w:t>
            </w:r>
            <w:r w:rsidR="00264DD6">
              <w:rPr>
                <w:rFonts w:ascii="Times New Roman" w:hAnsi="Times New Roman" w:cs="Times New Roman"/>
                <w:sz w:val="24"/>
                <w:lang w:eastAsia="ja-JP"/>
              </w:rPr>
              <w:t>A</w:t>
            </w:r>
            <w:r w:rsidR="00BF35C9" w:rsidRPr="00BC17EC">
              <w:rPr>
                <w:rFonts w:ascii="Times New Roman" w:hAnsi="Times New Roman" w:cs="Times New Roman"/>
                <w:sz w:val="24"/>
                <w:lang w:eastAsia="ja-JP"/>
              </w:rPr>
              <w:t xml:space="preserve">rticle 455 </w:t>
            </w:r>
            <w:r w:rsidR="00012BC3" w:rsidRPr="00BC17EC">
              <w:rPr>
                <w:rFonts w:ascii="Times New Roman" w:eastAsia="Times New Roman" w:hAnsi="Times New Roman" w:cs="Times New Roman"/>
                <w:sz w:val="24"/>
              </w:rPr>
              <w:t>CRR</w:t>
            </w:r>
            <w:r w:rsidR="0037786A" w:rsidRPr="00BC17EC">
              <w:rPr>
                <w:rFonts w:ascii="Times New Roman" w:eastAsia="Times New Roman" w:hAnsi="Times New Roman" w:cs="Times New Roman"/>
                <w:sz w:val="24"/>
              </w:rPr>
              <w:t xml:space="preserve">, must reflect the risk measure used for regulatory purposes in accordance with Article 365 (1) </w:t>
            </w:r>
            <w:r w:rsidR="00012BC3" w:rsidRPr="00BC17EC">
              <w:rPr>
                <w:rFonts w:ascii="Times New Roman" w:eastAsia="Times New Roman" w:hAnsi="Times New Roman" w:cs="Times New Roman"/>
                <w:sz w:val="24"/>
              </w:rPr>
              <w:t>CRR</w:t>
            </w:r>
            <w:r w:rsidR="0037786A" w:rsidRPr="00BC17EC">
              <w:rPr>
                <w:rFonts w:ascii="Times New Roman" w:eastAsia="Times New Roman" w:hAnsi="Times New Roman" w:cs="Times New Roman"/>
                <w:sz w:val="24"/>
              </w:rPr>
              <w:t>, calibrated to a 1-day holding period to compare with the 99% confidence level with its trading outcomes.</w:t>
            </w:r>
            <w:r w:rsidRPr="00BC17EC">
              <w:rPr>
                <w:rFonts w:ascii="Times New Roman" w:hAnsi="Times New Roman" w:cs="Times New Roman"/>
                <w:sz w:val="24"/>
                <w:lang w:eastAsia="ja-JP"/>
              </w:rPr>
              <w:t xml:space="preserve"> </w:t>
            </w:r>
          </w:p>
        </w:tc>
      </w:tr>
      <w:tr w:rsidR="006057D0" w:rsidRPr="00BC17EC" w14:paraId="3C06BE94" w14:textId="77777777" w:rsidTr="00997407">
        <w:tc>
          <w:tcPr>
            <w:tcW w:w="1172" w:type="dxa"/>
            <w:tcBorders>
              <w:top w:val="single" w:sz="4" w:space="0" w:color="auto"/>
              <w:left w:val="single" w:sz="4" w:space="0" w:color="auto"/>
              <w:bottom w:val="single" w:sz="4" w:space="0" w:color="auto"/>
              <w:right w:val="single" w:sz="4" w:space="0" w:color="auto"/>
            </w:tcBorders>
          </w:tcPr>
          <w:p w14:paraId="7470C120" w14:textId="77777777" w:rsidR="006057D0" w:rsidRPr="00BC17EC" w:rsidRDefault="006057D0" w:rsidP="00997407">
            <w:pPr>
              <w:spacing w:before="120" w:after="120"/>
              <w:rPr>
                <w:rFonts w:ascii="Times New Roman" w:hAnsi="Times New Roman" w:cs="Times New Roman"/>
                <w:b/>
                <w:sz w:val="24"/>
                <w:lang w:eastAsia="ja-JP"/>
              </w:rPr>
            </w:pPr>
          </w:p>
        </w:tc>
        <w:tc>
          <w:tcPr>
            <w:tcW w:w="7242" w:type="dxa"/>
            <w:tcBorders>
              <w:top w:val="single" w:sz="4" w:space="0" w:color="auto"/>
              <w:left w:val="single" w:sz="4" w:space="0" w:color="auto"/>
              <w:bottom w:val="single" w:sz="4" w:space="0" w:color="auto"/>
              <w:right w:val="single" w:sz="4" w:space="0" w:color="auto"/>
            </w:tcBorders>
          </w:tcPr>
          <w:p w14:paraId="1D580C27" w14:textId="7098D4EA" w:rsidR="0061387D" w:rsidRPr="00BC17EC" w:rsidRDefault="0061387D" w:rsidP="0061387D">
            <w:pPr>
              <w:pStyle w:val="Default"/>
              <w:spacing w:before="120" w:after="120"/>
              <w:jc w:val="both"/>
              <w:rPr>
                <w:rFonts w:ascii="Times New Roman" w:hAnsi="Times New Roman" w:cs="Times New Roman"/>
              </w:rPr>
            </w:pPr>
            <w:r w:rsidRPr="00BC17EC">
              <w:rPr>
                <w:rFonts w:ascii="Times New Roman" w:hAnsi="Times New Roman" w:cs="Times New Roman"/>
              </w:rPr>
              <w:t>Institutions must present an analysis of ‘outliers’ (</w:t>
            </w:r>
            <w:proofErr w:type="spellStart"/>
            <w:r w:rsidRPr="00BC17EC">
              <w:rPr>
                <w:rFonts w:ascii="Times New Roman" w:hAnsi="Times New Roman" w:cs="Times New Roman"/>
              </w:rPr>
              <w:t>backtesting</w:t>
            </w:r>
            <w:proofErr w:type="spellEnd"/>
            <w:r w:rsidRPr="00BC17EC">
              <w:rPr>
                <w:rFonts w:ascii="Times New Roman" w:hAnsi="Times New Roman" w:cs="Times New Roman"/>
              </w:rPr>
              <w:t xml:space="preserve"> exceptions as per Article 366 </w:t>
            </w:r>
            <w:r w:rsidR="00012BC3" w:rsidRPr="00BC17EC">
              <w:rPr>
                <w:rFonts w:ascii="Times New Roman" w:hAnsi="Times New Roman" w:cs="Times New Roman"/>
              </w:rPr>
              <w:t>CRR</w:t>
            </w:r>
            <w:r w:rsidR="0060516B" w:rsidRPr="00BC17EC">
              <w:rPr>
                <w:rFonts w:ascii="Times New Roman" w:eastAsia="Times New Roman" w:hAnsi="Times New Roman" w:cs="Times New Roman"/>
              </w:rPr>
              <w:t>)</w:t>
            </w:r>
            <w:r w:rsidRPr="00BC17EC">
              <w:rPr>
                <w:rFonts w:ascii="Times New Roman" w:hAnsi="Times New Roman" w:cs="Times New Roman"/>
              </w:rPr>
              <w:t xml:space="preserve"> in </w:t>
            </w:r>
            <w:proofErr w:type="spellStart"/>
            <w:r w:rsidRPr="00BC17EC">
              <w:rPr>
                <w:rFonts w:ascii="Times New Roman" w:hAnsi="Times New Roman" w:cs="Times New Roman"/>
              </w:rPr>
              <w:t>backtested</w:t>
            </w:r>
            <w:proofErr w:type="spellEnd"/>
            <w:r w:rsidRPr="00BC17EC">
              <w:rPr>
                <w:rFonts w:ascii="Times New Roman" w:hAnsi="Times New Roman" w:cs="Times New Roman"/>
              </w:rPr>
              <w:t xml:space="preserve"> results, specifying the dates and the corresponding excess (</w:t>
            </w:r>
            <w:proofErr w:type="spellStart"/>
            <w:r w:rsidRPr="00BC17EC">
              <w:rPr>
                <w:rFonts w:ascii="Times New Roman" w:hAnsi="Times New Roman" w:cs="Times New Roman"/>
              </w:rPr>
              <w:t>VaR</w:t>
            </w:r>
            <w:proofErr w:type="spellEnd"/>
            <w:r w:rsidRPr="00BC17EC">
              <w:rPr>
                <w:rFonts w:ascii="Times New Roman" w:hAnsi="Times New Roman" w:cs="Times New Roman"/>
              </w:rPr>
              <w:t xml:space="preserve">-P&amp;L). The analysis should at least specify the key drivers of the exceptions. </w:t>
            </w:r>
          </w:p>
          <w:p w14:paraId="55D702D7" w14:textId="322D191C" w:rsidR="0061387D" w:rsidRPr="00BC17EC" w:rsidRDefault="0061387D" w:rsidP="0061387D">
            <w:pPr>
              <w:pStyle w:val="Default"/>
              <w:spacing w:before="120" w:after="120"/>
              <w:jc w:val="both"/>
              <w:rPr>
                <w:rFonts w:ascii="Times New Roman" w:hAnsi="Times New Roman" w:cs="Times New Roman"/>
              </w:rPr>
            </w:pPr>
            <w:r w:rsidRPr="00BC17EC">
              <w:rPr>
                <w:rFonts w:ascii="Times New Roman" w:hAnsi="Times New Roman" w:cs="Times New Roman"/>
              </w:rPr>
              <w:t xml:space="preserve">Institutions </w:t>
            </w:r>
            <w:r w:rsidR="007D6B1B" w:rsidRPr="00BC17EC">
              <w:rPr>
                <w:rFonts w:ascii="Times New Roman" w:hAnsi="Times New Roman" w:cs="Times New Roman"/>
              </w:rPr>
              <w:t>shall</w:t>
            </w:r>
            <w:r w:rsidRPr="00BC17EC">
              <w:rPr>
                <w:rFonts w:ascii="Times New Roman" w:hAnsi="Times New Roman" w:cs="Times New Roman"/>
              </w:rPr>
              <w:t xml:space="preserve"> disclose similar comparisons for actual P&amp;L and hypothetical P&amp;L (</w:t>
            </w:r>
            <w:r w:rsidR="00840FE1" w:rsidRPr="00BC17EC">
              <w:rPr>
                <w:rFonts w:ascii="Times New Roman" w:hAnsi="Times New Roman" w:cs="Times New Roman"/>
              </w:rPr>
              <w:t xml:space="preserve">i.e. </w:t>
            </w:r>
            <w:proofErr w:type="gramStart"/>
            <w:r w:rsidR="00840FE1" w:rsidRPr="00BC17EC">
              <w:rPr>
                <w:rFonts w:ascii="Times New Roman" w:hAnsi="Times New Roman" w:cs="Times New Roman"/>
              </w:rPr>
              <w:t>on the basis of</w:t>
            </w:r>
            <w:proofErr w:type="gramEnd"/>
            <w:r w:rsidR="00840FE1" w:rsidRPr="00BC17EC">
              <w:rPr>
                <w:rFonts w:ascii="Times New Roman" w:hAnsi="Times New Roman" w:cs="Times New Roman"/>
              </w:rPr>
              <w:t xml:space="preserve"> hypothetical changes in portfolio values that would occur if end-of-day positions remain unchanged) </w:t>
            </w:r>
            <w:r w:rsidRPr="00BC17EC">
              <w:rPr>
                <w:rFonts w:ascii="Times New Roman" w:hAnsi="Times New Roman" w:cs="Times New Roman"/>
              </w:rPr>
              <w:t xml:space="preserve">as per Article 366 </w:t>
            </w:r>
            <w:r w:rsidR="00012BC3" w:rsidRPr="00BC17EC">
              <w:rPr>
                <w:rFonts w:ascii="Times New Roman" w:hAnsi="Times New Roman" w:cs="Times New Roman"/>
              </w:rPr>
              <w:t>CRR</w:t>
            </w:r>
            <w:r w:rsidRPr="00BC17EC">
              <w:rPr>
                <w:rFonts w:ascii="Times New Roman" w:hAnsi="Times New Roman" w:cs="Times New Roman"/>
              </w:rPr>
              <w:t xml:space="preserve">. </w:t>
            </w:r>
          </w:p>
          <w:p w14:paraId="24ADD666" w14:textId="1677C187" w:rsidR="006057D0" w:rsidRPr="00BC17EC" w:rsidRDefault="0061387D" w:rsidP="007D6B1B">
            <w:pPr>
              <w:spacing w:before="120" w:after="120"/>
              <w:jc w:val="both"/>
              <w:rPr>
                <w:rFonts w:ascii="Times New Roman" w:hAnsi="Times New Roman" w:cs="Times New Roman"/>
                <w:b/>
                <w:sz w:val="24"/>
                <w:lang w:eastAsia="ja-JP"/>
              </w:rPr>
            </w:pPr>
            <w:r w:rsidRPr="00BC17EC">
              <w:rPr>
                <w:rFonts w:ascii="Times New Roman" w:hAnsi="Times New Roman" w:cs="Times New Roman"/>
                <w:sz w:val="24"/>
              </w:rPr>
              <w:t xml:space="preserve">Institutions </w:t>
            </w:r>
            <w:r w:rsidR="007D6B1B" w:rsidRPr="00BC17EC">
              <w:rPr>
                <w:rFonts w:ascii="Times New Roman" w:hAnsi="Times New Roman" w:cs="Times New Roman"/>
                <w:sz w:val="24"/>
              </w:rPr>
              <w:t>shall</w:t>
            </w:r>
            <w:r w:rsidR="00840FE1" w:rsidRPr="00BC17EC">
              <w:rPr>
                <w:rFonts w:ascii="Times New Roman" w:hAnsi="Times New Roman" w:cs="Times New Roman"/>
                <w:sz w:val="24"/>
              </w:rPr>
              <w:t xml:space="preserve"> complement this </w:t>
            </w:r>
            <w:r w:rsidRPr="00BC17EC">
              <w:rPr>
                <w:rFonts w:ascii="Times New Roman" w:hAnsi="Times New Roman" w:cs="Times New Roman"/>
                <w:sz w:val="24"/>
              </w:rPr>
              <w:t xml:space="preserve">information </w:t>
            </w:r>
            <w:r w:rsidR="00840FE1" w:rsidRPr="00BC17EC">
              <w:rPr>
                <w:rFonts w:ascii="Times New Roman" w:hAnsi="Times New Roman" w:cs="Times New Roman"/>
                <w:sz w:val="24"/>
              </w:rPr>
              <w:t xml:space="preserve">with information </w:t>
            </w:r>
            <w:r w:rsidRPr="00BC17EC">
              <w:rPr>
                <w:rFonts w:ascii="Times New Roman" w:hAnsi="Times New Roman" w:cs="Times New Roman"/>
                <w:sz w:val="24"/>
              </w:rPr>
              <w:t xml:space="preserve">about actual gains/losses, and especially to clarify whether they include reserves and, if not, how reserves </w:t>
            </w:r>
            <w:proofErr w:type="gramStart"/>
            <w:r w:rsidRPr="00BC17EC">
              <w:rPr>
                <w:rFonts w:ascii="Times New Roman" w:hAnsi="Times New Roman" w:cs="Times New Roman"/>
                <w:sz w:val="24"/>
              </w:rPr>
              <w:t>are integrated</w:t>
            </w:r>
            <w:proofErr w:type="gramEnd"/>
            <w:r w:rsidRPr="00BC17EC">
              <w:rPr>
                <w:rFonts w:ascii="Times New Roman" w:hAnsi="Times New Roman" w:cs="Times New Roman"/>
                <w:sz w:val="24"/>
              </w:rPr>
              <w:t xml:space="preserve"> into the </w:t>
            </w:r>
            <w:proofErr w:type="spellStart"/>
            <w:r w:rsidRPr="00BC17EC">
              <w:rPr>
                <w:rFonts w:ascii="Times New Roman" w:hAnsi="Times New Roman" w:cs="Times New Roman"/>
                <w:sz w:val="24"/>
              </w:rPr>
              <w:t>backtesting</w:t>
            </w:r>
            <w:proofErr w:type="spellEnd"/>
            <w:r w:rsidRPr="00BC17EC">
              <w:rPr>
                <w:rFonts w:ascii="Times New Roman" w:hAnsi="Times New Roman" w:cs="Times New Roman"/>
                <w:sz w:val="24"/>
              </w:rPr>
              <w:t xml:space="preserve"> process. </w:t>
            </w:r>
          </w:p>
        </w:tc>
      </w:tr>
      <w:bookmarkEnd w:id="0"/>
      <w:bookmarkEnd w:id="1"/>
      <w:bookmarkEnd w:id="2"/>
      <w:bookmarkEnd w:id="3"/>
      <w:bookmarkEnd w:id="4"/>
      <w:bookmarkEnd w:id="5"/>
      <w:bookmarkEnd w:id="6"/>
      <w:bookmarkEnd w:id="7"/>
      <w:bookmarkEnd w:id="8"/>
      <w:bookmarkEnd w:id="9"/>
    </w:tbl>
    <w:p w14:paraId="70AD2BE8" w14:textId="77777777" w:rsidR="006057D0" w:rsidRPr="006057D0" w:rsidRDefault="006057D0" w:rsidP="004E50CD">
      <w:pPr>
        <w:pStyle w:val="Titlelevel2"/>
        <w:spacing w:before="0" w:after="0"/>
        <w:rPr>
          <w:rFonts w:ascii="Times New Roman" w:hAnsi="Times New Roman" w:cs="Times New Roman"/>
          <w:b/>
          <w:color w:val="auto"/>
          <w:sz w:val="22"/>
          <w:szCs w:val="22"/>
          <w:lang w:val="en-GB"/>
        </w:rPr>
      </w:pPr>
    </w:p>
    <w:sectPr w:rsidR="006057D0" w:rsidRPr="006057D0"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2259" w14:textId="77777777" w:rsidR="00BC17EC" w:rsidRDefault="00BC17EC" w:rsidP="00A00E34">
      <w:r>
        <w:separator/>
      </w:r>
    </w:p>
    <w:p w14:paraId="5C386B73" w14:textId="77777777" w:rsidR="00BC17EC" w:rsidRDefault="00BC17EC"/>
  </w:endnote>
  <w:endnote w:type="continuationSeparator" w:id="0">
    <w:p w14:paraId="5249EE3F" w14:textId="77777777" w:rsidR="00BC17EC" w:rsidRDefault="00BC17EC" w:rsidP="00A00E34">
      <w:r>
        <w:continuationSeparator/>
      </w:r>
    </w:p>
    <w:p w14:paraId="7945DB66" w14:textId="77777777" w:rsidR="00BC17EC" w:rsidRDefault="00BC1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41F4" w14:textId="77777777" w:rsidR="006A300B" w:rsidRDefault="006A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8A11" w14:textId="77777777" w:rsidR="006A300B" w:rsidRDefault="006A3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4B3C" w14:textId="77777777" w:rsidR="006A300B" w:rsidRDefault="006A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B11B1" w14:textId="77777777" w:rsidR="00BC17EC" w:rsidRPr="00DB5E8F" w:rsidRDefault="00BC17EC">
      <w:pPr>
        <w:rPr>
          <w:sz w:val="12"/>
          <w:szCs w:val="12"/>
        </w:rPr>
      </w:pPr>
      <w:r w:rsidRPr="00DB5E8F">
        <w:rPr>
          <w:sz w:val="12"/>
          <w:szCs w:val="12"/>
        </w:rPr>
        <w:separator/>
      </w:r>
    </w:p>
  </w:footnote>
  <w:footnote w:type="continuationSeparator" w:id="0">
    <w:p w14:paraId="7AFC36AC" w14:textId="77777777" w:rsidR="00BC17EC" w:rsidRDefault="00BC17EC" w:rsidP="00A00E34">
      <w:r>
        <w:continuationSeparator/>
      </w:r>
    </w:p>
    <w:p w14:paraId="38CA710D" w14:textId="77777777" w:rsidR="00BC17EC" w:rsidRDefault="00BC17EC"/>
  </w:footnote>
  <w:footnote w:type="continuationNotice" w:id="1">
    <w:p w14:paraId="7BC5CB04" w14:textId="77777777" w:rsidR="00BC17EC" w:rsidRDefault="00BC17EC"/>
  </w:footnote>
  <w:footnote w:id="2">
    <w:p w14:paraId="243B6993" w14:textId="14CC89D5" w:rsidR="00BC17EC" w:rsidRDefault="00BC17EC" w:rsidP="00BC17EC">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t>, p.193</w:t>
      </w:r>
      <w:r w:rsidR="0067752C">
        <w:t>, 198, 206</w:t>
      </w:r>
      <w:r w:rsidRPr="00E018B1">
        <w:t>)</w:t>
      </w:r>
    </w:p>
    <w:p w14:paraId="165188D4" w14:textId="4426EC13" w:rsidR="00BC17EC" w:rsidRDefault="00BC17EC">
      <w:pPr>
        <w:pStyle w:val="FootnoteText"/>
      </w:pPr>
    </w:p>
  </w:footnote>
  <w:footnote w:id="3">
    <w:p w14:paraId="7B13A5C2" w14:textId="50AA5C19" w:rsidR="00D642EB" w:rsidRDefault="00D642EB">
      <w:pPr>
        <w:pStyle w:val="FootnoteText"/>
      </w:pPr>
      <w:r>
        <w:rPr>
          <w:rStyle w:val="FootnoteReference"/>
        </w:rPr>
        <w:footnoteRef/>
      </w:r>
      <w:r>
        <w:t xml:space="preserve"> </w:t>
      </w:r>
      <w:r w:rsidRPr="00B6448F">
        <w:rPr>
          <w:rFonts w:cstheme="minorHAnsi"/>
        </w:rPr>
        <w:t xml:space="preserve">As defined in Amended </w:t>
      </w:r>
      <w:r w:rsidRPr="00B6448F">
        <w:rPr>
          <w:rFonts w:cstheme="minorHAnsi"/>
          <w:bCs/>
        </w:rPr>
        <w:t xml:space="preserve"> </w:t>
      </w:r>
      <w:r w:rsidRPr="00D642EB">
        <w:rPr>
          <w:rFonts w:cstheme="minorHAnsi"/>
          <w:bCs/>
        </w:rPr>
        <w:t xml:space="preserve">COMMISSION DELEGATED REGULATION (EU) No 528/2014 </w:t>
      </w:r>
      <w:r w:rsidRPr="00B6448F">
        <w:rPr>
          <w:rFonts w:cstheme="minorHAnsi"/>
          <w:bCs/>
        </w:rPr>
        <w:t xml:space="preserve">of 12 March 2014 supplementing Regulation (EU) No 575/2013 of the European Parliament and of the Council with  regard to regulatory technical standards for non-delta risk of options in the </w:t>
      </w:r>
      <w:proofErr w:type="spellStart"/>
      <w:r w:rsidRPr="00B6448F">
        <w:rPr>
          <w:rFonts w:cstheme="minorHAnsi"/>
          <w:bCs/>
        </w:rPr>
        <w:t>standardised</w:t>
      </w:r>
      <w:proofErr w:type="spellEnd"/>
      <w:r w:rsidRPr="00B6448F">
        <w:rPr>
          <w:rFonts w:cstheme="minorHAnsi"/>
          <w:bCs/>
        </w:rPr>
        <w:t xml:space="preserve"> market risk approach (OJ L 148/29, 20.5.2014</w:t>
      </w:r>
      <w:r w:rsidR="00FC23F6">
        <w:rPr>
          <w:rFonts w:cstheme="minorHAnsi"/>
          <w:bCs/>
        </w:rPr>
        <w:t>, p. 2-3</w:t>
      </w:r>
      <w:r w:rsidRPr="00B6448F">
        <w:rPr>
          <w:rFonts w:cstheme="minorHAnsi"/>
          <w:bCs/>
        </w:rPr>
        <w:t>)</w:t>
      </w:r>
    </w:p>
  </w:footnote>
  <w:footnote w:id="4">
    <w:p w14:paraId="793FF73F" w14:textId="5B0457D5" w:rsidR="00D642EB" w:rsidRDefault="00D642EB">
      <w:pPr>
        <w:pStyle w:val="FootnoteText"/>
      </w:pPr>
      <w:r>
        <w:rPr>
          <w:rStyle w:val="FootnoteReference"/>
        </w:rPr>
        <w:footnoteRef/>
      </w:r>
      <w:r>
        <w:t xml:space="preserve"> </w:t>
      </w:r>
      <w:r w:rsidRPr="00B6448F">
        <w:rPr>
          <w:rFonts w:cstheme="minorHAnsi"/>
        </w:rPr>
        <w:t xml:space="preserve">As defined in Amended </w:t>
      </w:r>
      <w:r w:rsidRPr="00B6448F">
        <w:rPr>
          <w:rFonts w:cstheme="minorHAnsi"/>
          <w:bCs/>
        </w:rPr>
        <w:t xml:space="preserve"> </w:t>
      </w:r>
      <w:r w:rsidRPr="00D642EB">
        <w:rPr>
          <w:rFonts w:cstheme="minorHAnsi"/>
          <w:bCs/>
        </w:rPr>
        <w:t xml:space="preserve">COMMISSION DELEGATED REGULATION (EU) No 528/2014 </w:t>
      </w:r>
      <w:r w:rsidRPr="00B6448F">
        <w:rPr>
          <w:rFonts w:cstheme="minorHAnsi"/>
          <w:bCs/>
        </w:rPr>
        <w:t xml:space="preserve">of 12 March 2014 supplementing Regulation (EU) No 575/2013 of the European Parliament and of the Council with  regard to regulatory technical standards for non-delta risk of options in the </w:t>
      </w:r>
      <w:proofErr w:type="spellStart"/>
      <w:r w:rsidRPr="00B6448F">
        <w:rPr>
          <w:rFonts w:cstheme="minorHAnsi"/>
          <w:bCs/>
        </w:rPr>
        <w:t>standardised</w:t>
      </w:r>
      <w:proofErr w:type="spellEnd"/>
      <w:r w:rsidRPr="00B6448F">
        <w:rPr>
          <w:rFonts w:cstheme="minorHAnsi"/>
          <w:bCs/>
        </w:rPr>
        <w:t xml:space="preserve"> market risk approach (OJ L 148/29, 20.5.2014</w:t>
      </w:r>
      <w:r w:rsidR="00FC23F6">
        <w:rPr>
          <w:rFonts w:cstheme="minorHAnsi"/>
          <w:bCs/>
        </w:rPr>
        <w:t>, p. 3-5</w:t>
      </w:r>
      <w:r w:rsidRPr="00B6448F">
        <w:rPr>
          <w:rFonts w:cstheme="minorHAnsi"/>
          <w:bCs/>
        </w:rPr>
        <w:t>)</w:t>
      </w:r>
    </w:p>
  </w:footnote>
  <w:footnote w:id="5">
    <w:p w14:paraId="005611AD" w14:textId="0EA1C058" w:rsidR="00D642EB" w:rsidRDefault="00D642EB">
      <w:pPr>
        <w:pStyle w:val="FootnoteText"/>
      </w:pPr>
      <w:r>
        <w:rPr>
          <w:rStyle w:val="FootnoteReference"/>
        </w:rPr>
        <w:footnoteRef/>
      </w:r>
      <w:r>
        <w:t xml:space="preserve"> </w:t>
      </w:r>
      <w:r w:rsidRPr="00B6448F">
        <w:rPr>
          <w:rFonts w:cstheme="minorHAnsi"/>
        </w:rPr>
        <w:t xml:space="preserve">As defined in Amended </w:t>
      </w:r>
      <w:r w:rsidRPr="00B6448F">
        <w:rPr>
          <w:rFonts w:cstheme="minorHAnsi"/>
          <w:bCs/>
        </w:rPr>
        <w:t xml:space="preserve"> </w:t>
      </w:r>
      <w:r w:rsidRPr="00D642EB">
        <w:rPr>
          <w:rFonts w:cstheme="minorHAnsi"/>
          <w:bCs/>
        </w:rPr>
        <w:t xml:space="preserve">COMMISSION DELEGATED REGULATION (EU) No 528/2014 </w:t>
      </w:r>
      <w:r w:rsidRPr="00B6448F">
        <w:rPr>
          <w:rFonts w:cstheme="minorHAnsi"/>
          <w:bCs/>
        </w:rPr>
        <w:t xml:space="preserve">of 12 March 2014 supplementing Regulation (EU) No 575/2013 of the European Parliament and of the Council with  regard to regulatory technical standards for non-delta risk of options in the </w:t>
      </w:r>
      <w:proofErr w:type="spellStart"/>
      <w:r w:rsidRPr="00B6448F">
        <w:rPr>
          <w:rFonts w:cstheme="minorHAnsi"/>
          <w:bCs/>
        </w:rPr>
        <w:t>standardised</w:t>
      </w:r>
      <w:proofErr w:type="spellEnd"/>
      <w:r w:rsidRPr="00B6448F">
        <w:rPr>
          <w:rFonts w:cstheme="minorHAnsi"/>
          <w:bCs/>
        </w:rPr>
        <w:t xml:space="preserve"> market risk approach (OJ L 148/29, 20.5.2014</w:t>
      </w:r>
      <w:r w:rsidR="00FC23F6">
        <w:rPr>
          <w:rFonts w:cstheme="minorHAnsi"/>
          <w:bCs/>
        </w:rPr>
        <w:t>, p. 5-6</w:t>
      </w:r>
      <w:r w:rsidR="003D5C8B">
        <w:rPr>
          <w:rFonts w:cstheme="minorHAnsi"/>
          <w:bCs/>
        </w:rPr>
        <w:t>s</w:t>
      </w:r>
      <w:r w:rsidRPr="00B6448F">
        <w:rPr>
          <w:rFonts w:cstheme="minorHAnsi"/>
          <w:bCs/>
        </w:rPr>
        <w:t>)</w:t>
      </w:r>
    </w:p>
  </w:footnote>
  <w:footnote w:id="6">
    <w:p w14:paraId="1EEA25DC" w14:textId="0982BC48" w:rsidR="00BC17EC" w:rsidRDefault="00BC17EC">
      <w:pPr>
        <w:pStyle w:val="FootnoteText"/>
      </w:pPr>
      <w:r>
        <w:rPr>
          <w:rStyle w:val="FootnoteReference"/>
        </w:rPr>
        <w:footnoteRef/>
      </w:r>
      <w:r>
        <w:t xml:space="preserve"> See the illustration in the consolidated Basel standard in DIS 99.4:</w:t>
      </w:r>
    </w:p>
    <w:p w14:paraId="6BBB51CA" w14:textId="072903A5" w:rsidR="00BC17EC" w:rsidRPr="007B694D" w:rsidRDefault="00ED1788">
      <w:pPr>
        <w:pStyle w:val="FootnoteText"/>
      </w:pPr>
      <w:hyperlink r:id="rId1" w:history="1">
        <w:r w:rsidR="00BC17EC" w:rsidRPr="007A1F7F">
          <w:rPr>
            <w:rStyle w:val="Hyperlink"/>
            <w:rFonts w:ascii="Times New Roman" w:hAnsi="Times New Roman" w:cs="Times New Roman"/>
            <w:szCs w:val="22"/>
          </w:rPr>
          <w:t>https://www.bis.org/basel_framework/chapter/DIS/99.htm?inforce=20191215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BD6B" w14:textId="77777777" w:rsidR="006A300B" w:rsidRDefault="006A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A632" w14:textId="77777777" w:rsidR="006A300B" w:rsidRDefault="006A3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9B08" w14:textId="77777777" w:rsidR="006A300B" w:rsidRDefault="006A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44831"/>
    <w:multiLevelType w:val="hybridMultilevel"/>
    <w:tmpl w:val="8FBCC706"/>
    <w:lvl w:ilvl="0" w:tplc="A4E42E54">
      <w:start w:val="1"/>
      <w:numFmt w:val="decimal"/>
      <w:lvlText w:val="%1."/>
      <w:lvlJc w:val="left"/>
      <w:pPr>
        <w:ind w:left="1070" w:hanging="360"/>
      </w:pPr>
      <w:rPr>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29C464D"/>
    <w:multiLevelType w:val="hybridMultilevel"/>
    <w:tmpl w:val="7E3EA194"/>
    <w:lvl w:ilvl="0" w:tplc="C1D6BA5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5464B"/>
    <w:multiLevelType w:val="hybridMultilevel"/>
    <w:tmpl w:val="FC8E6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11"/>
  </w:num>
  <w:num w:numId="6">
    <w:abstractNumId w:val="1"/>
  </w:num>
  <w:num w:numId="7">
    <w:abstractNumId w:val="10"/>
  </w:num>
  <w:num w:numId="8">
    <w:abstractNumId w:val="9"/>
  </w:num>
  <w:num w:numId="9">
    <w:abstractNumId w:val="0"/>
  </w:num>
  <w:num w:numId="10">
    <w:abstractNumId w:val="4"/>
  </w:num>
  <w:num w:numId="11">
    <w:abstractNumId w:val="6"/>
  </w:num>
  <w:num w:numId="12">
    <w:abstractNumId w:val="3"/>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06AD"/>
    <w:rsid w:val="00001873"/>
    <w:rsid w:val="00003F50"/>
    <w:rsid w:val="00004BB9"/>
    <w:rsid w:val="00012BC3"/>
    <w:rsid w:val="00013281"/>
    <w:rsid w:val="00015DE4"/>
    <w:rsid w:val="00017528"/>
    <w:rsid w:val="000231B7"/>
    <w:rsid w:val="00027CA0"/>
    <w:rsid w:val="00030D65"/>
    <w:rsid w:val="00032B51"/>
    <w:rsid w:val="00040129"/>
    <w:rsid w:val="00052C7E"/>
    <w:rsid w:val="00056168"/>
    <w:rsid w:val="00060F40"/>
    <w:rsid w:val="00062830"/>
    <w:rsid w:val="00062937"/>
    <w:rsid w:val="00066A9A"/>
    <w:rsid w:val="000762E4"/>
    <w:rsid w:val="000774B3"/>
    <w:rsid w:val="00083C33"/>
    <w:rsid w:val="000843CD"/>
    <w:rsid w:val="0009691F"/>
    <w:rsid w:val="000A1AF7"/>
    <w:rsid w:val="000A1C81"/>
    <w:rsid w:val="000A2565"/>
    <w:rsid w:val="000A3851"/>
    <w:rsid w:val="000B1645"/>
    <w:rsid w:val="000B31B4"/>
    <w:rsid w:val="000C5A8A"/>
    <w:rsid w:val="000C7FD8"/>
    <w:rsid w:val="000D1FC3"/>
    <w:rsid w:val="000D3626"/>
    <w:rsid w:val="000D7A44"/>
    <w:rsid w:val="000E09DD"/>
    <w:rsid w:val="000E0C27"/>
    <w:rsid w:val="000E6D15"/>
    <w:rsid w:val="000F33D3"/>
    <w:rsid w:val="000F3E72"/>
    <w:rsid w:val="000F607B"/>
    <w:rsid w:val="000F6495"/>
    <w:rsid w:val="000F6FD8"/>
    <w:rsid w:val="0010164C"/>
    <w:rsid w:val="00106155"/>
    <w:rsid w:val="001061FA"/>
    <w:rsid w:val="00107D4B"/>
    <w:rsid w:val="0011517F"/>
    <w:rsid w:val="00121BB0"/>
    <w:rsid w:val="00121E46"/>
    <w:rsid w:val="0012686C"/>
    <w:rsid w:val="0013090C"/>
    <w:rsid w:val="00131C5D"/>
    <w:rsid w:val="00136E2D"/>
    <w:rsid w:val="00142DF6"/>
    <w:rsid w:val="00145D24"/>
    <w:rsid w:val="00152832"/>
    <w:rsid w:val="00154596"/>
    <w:rsid w:val="001555B7"/>
    <w:rsid w:val="00155D53"/>
    <w:rsid w:val="001600FC"/>
    <w:rsid w:val="001639AB"/>
    <w:rsid w:val="0016737A"/>
    <w:rsid w:val="001718C9"/>
    <w:rsid w:val="00171BE6"/>
    <w:rsid w:val="00172007"/>
    <w:rsid w:val="0017446F"/>
    <w:rsid w:val="00177CB9"/>
    <w:rsid w:val="00181385"/>
    <w:rsid w:val="001834D4"/>
    <w:rsid w:val="00192287"/>
    <w:rsid w:val="00192CC5"/>
    <w:rsid w:val="001A016C"/>
    <w:rsid w:val="001A0C8D"/>
    <w:rsid w:val="001A1984"/>
    <w:rsid w:val="001A2A81"/>
    <w:rsid w:val="001A32A3"/>
    <w:rsid w:val="001A5BD4"/>
    <w:rsid w:val="001A70A8"/>
    <w:rsid w:val="001B2C0D"/>
    <w:rsid w:val="001B6017"/>
    <w:rsid w:val="001B7A0B"/>
    <w:rsid w:val="001B7EB3"/>
    <w:rsid w:val="001C1FD9"/>
    <w:rsid w:val="001C5BC2"/>
    <w:rsid w:val="001C76ED"/>
    <w:rsid w:val="001D0179"/>
    <w:rsid w:val="001D01B2"/>
    <w:rsid w:val="001D723A"/>
    <w:rsid w:val="001E1188"/>
    <w:rsid w:val="001E2AB8"/>
    <w:rsid w:val="001E3599"/>
    <w:rsid w:val="001E4698"/>
    <w:rsid w:val="001F0720"/>
    <w:rsid w:val="001F1CB9"/>
    <w:rsid w:val="001F7501"/>
    <w:rsid w:val="00205878"/>
    <w:rsid w:val="00213D7B"/>
    <w:rsid w:val="00214DEC"/>
    <w:rsid w:val="00224761"/>
    <w:rsid w:val="00224A3F"/>
    <w:rsid w:val="00224D96"/>
    <w:rsid w:val="00225F30"/>
    <w:rsid w:val="002306C7"/>
    <w:rsid w:val="0023633E"/>
    <w:rsid w:val="00241BD8"/>
    <w:rsid w:val="002434B0"/>
    <w:rsid w:val="00250647"/>
    <w:rsid w:val="00251280"/>
    <w:rsid w:val="00251512"/>
    <w:rsid w:val="00254CA9"/>
    <w:rsid w:val="00262F11"/>
    <w:rsid w:val="00264DD6"/>
    <w:rsid w:val="00265F47"/>
    <w:rsid w:val="00266F94"/>
    <w:rsid w:val="0027418E"/>
    <w:rsid w:val="0027618C"/>
    <w:rsid w:val="002767AA"/>
    <w:rsid w:val="002823FB"/>
    <w:rsid w:val="00282B27"/>
    <w:rsid w:val="00290DA3"/>
    <w:rsid w:val="002921F0"/>
    <w:rsid w:val="00297DC1"/>
    <w:rsid w:val="002A0FF0"/>
    <w:rsid w:val="002A1440"/>
    <w:rsid w:val="002A3A19"/>
    <w:rsid w:val="002A43D9"/>
    <w:rsid w:val="002C0DCF"/>
    <w:rsid w:val="002D1867"/>
    <w:rsid w:val="002D38CB"/>
    <w:rsid w:val="002F110A"/>
    <w:rsid w:val="002F2009"/>
    <w:rsid w:val="00300859"/>
    <w:rsid w:val="00300924"/>
    <w:rsid w:val="003025A8"/>
    <w:rsid w:val="00307FA9"/>
    <w:rsid w:val="003129B6"/>
    <w:rsid w:val="00314D6E"/>
    <w:rsid w:val="003164A4"/>
    <w:rsid w:val="00320E57"/>
    <w:rsid w:val="003221EF"/>
    <w:rsid w:val="00322C23"/>
    <w:rsid w:val="003248A2"/>
    <w:rsid w:val="0033191C"/>
    <w:rsid w:val="003333C5"/>
    <w:rsid w:val="00350D0D"/>
    <w:rsid w:val="0035477B"/>
    <w:rsid w:val="003575A8"/>
    <w:rsid w:val="003604AA"/>
    <w:rsid w:val="00372952"/>
    <w:rsid w:val="00372BEC"/>
    <w:rsid w:val="0037786A"/>
    <w:rsid w:val="0038641D"/>
    <w:rsid w:val="00386DCE"/>
    <w:rsid w:val="00392385"/>
    <w:rsid w:val="0039741F"/>
    <w:rsid w:val="003A1224"/>
    <w:rsid w:val="003A4578"/>
    <w:rsid w:val="003A529E"/>
    <w:rsid w:val="003A6482"/>
    <w:rsid w:val="003B6056"/>
    <w:rsid w:val="003B6A5A"/>
    <w:rsid w:val="003C2719"/>
    <w:rsid w:val="003C2855"/>
    <w:rsid w:val="003C6475"/>
    <w:rsid w:val="003C7116"/>
    <w:rsid w:val="003D01F8"/>
    <w:rsid w:val="003D5C8B"/>
    <w:rsid w:val="003D6DC8"/>
    <w:rsid w:val="003D7A72"/>
    <w:rsid w:val="003E1E5A"/>
    <w:rsid w:val="003E200F"/>
    <w:rsid w:val="003E23AF"/>
    <w:rsid w:val="003E318D"/>
    <w:rsid w:val="00412567"/>
    <w:rsid w:val="004172D1"/>
    <w:rsid w:val="0042080F"/>
    <w:rsid w:val="00423F32"/>
    <w:rsid w:val="00424530"/>
    <w:rsid w:val="004356B5"/>
    <w:rsid w:val="0043577F"/>
    <w:rsid w:val="0043675A"/>
    <w:rsid w:val="00441F85"/>
    <w:rsid w:val="0044540E"/>
    <w:rsid w:val="00452468"/>
    <w:rsid w:val="0045301B"/>
    <w:rsid w:val="004541F3"/>
    <w:rsid w:val="00454A07"/>
    <w:rsid w:val="00455E0E"/>
    <w:rsid w:val="00465682"/>
    <w:rsid w:val="00466A4A"/>
    <w:rsid w:val="004719B4"/>
    <w:rsid w:val="00471CA1"/>
    <w:rsid w:val="00471CCE"/>
    <w:rsid w:val="00472269"/>
    <w:rsid w:val="0047368B"/>
    <w:rsid w:val="00474D9D"/>
    <w:rsid w:val="0047512D"/>
    <w:rsid w:val="00481AC4"/>
    <w:rsid w:val="00482FB6"/>
    <w:rsid w:val="004861EB"/>
    <w:rsid w:val="004918C1"/>
    <w:rsid w:val="004955E7"/>
    <w:rsid w:val="0049781D"/>
    <w:rsid w:val="004A2924"/>
    <w:rsid w:val="004A2F42"/>
    <w:rsid w:val="004A5BCD"/>
    <w:rsid w:val="004A5D8B"/>
    <w:rsid w:val="004A7965"/>
    <w:rsid w:val="004B15C1"/>
    <w:rsid w:val="004B2C2B"/>
    <w:rsid w:val="004B2FC0"/>
    <w:rsid w:val="004B3092"/>
    <w:rsid w:val="004B668A"/>
    <w:rsid w:val="004B7784"/>
    <w:rsid w:val="004C1B19"/>
    <w:rsid w:val="004C320A"/>
    <w:rsid w:val="004C6392"/>
    <w:rsid w:val="004D3523"/>
    <w:rsid w:val="004D7668"/>
    <w:rsid w:val="004E405B"/>
    <w:rsid w:val="004E50CD"/>
    <w:rsid w:val="004E5E50"/>
    <w:rsid w:val="004F09DC"/>
    <w:rsid w:val="004F0AB6"/>
    <w:rsid w:val="004F63DB"/>
    <w:rsid w:val="004F7817"/>
    <w:rsid w:val="00501CEC"/>
    <w:rsid w:val="00505C64"/>
    <w:rsid w:val="005105EF"/>
    <w:rsid w:val="00511500"/>
    <w:rsid w:val="005217BD"/>
    <w:rsid w:val="0052242A"/>
    <w:rsid w:val="00523895"/>
    <w:rsid w:val="00527FB3"/>
    <w:rsid w:val="005410AB"/>
    <w:rsid w:val="00541794"/>
    <w:rsid w:val="00543A44"/>
    <w:rsid w:val="00553275"/>
    <w:rsid w:val="00560C49"/>
    <w:rsid w:val="00561C9D"/>
    <w:rsid w:val="005622B8"/>
    <w:rsid w:val="00563DC6"/>
    <w:rsid w:val="00565691"/>
    <w:rsid w:val="005673AC"/>
    <w:rsid w:val="00571BB6"/>
    <w:rsid w:val="00574FB1"/>
    <w:rsid w:val="00575BA7"/>
    <w:rsid w:val="00582AA7"/>
    <w:rsid w:val="00583D8E"/>
    <w:rsid w:val="0058477C"/>
    <w:rsid w:val="0058568F"/>
    <w:rsid w:val="00586B1F"/>
    <w:rsid w:val="00591A53"/>
    <w:rsid w:val="00593D83"/>
    <w:rsid w:val="00594B24"/>
    <w:rsid w:val="005A079D"/>
    <w:rsid w:val="005A6911"/>
    <w:rsid w:val="005B5C09"/>
    <w:rsid w:val="005B7D63"/>
    <w:rsid w:val="005C202F"/>
    <w:rsid w:val="005C3DFF"/>
    <w:rsid w:val="005C41D8"/>
    <w:rsid w:val="005C498B"/>
    <w:rsid w:val="005C590A"/>
    <w:rsid w:val="005D0751"/>
    <w:rsid w:val="005D19A9"/>
    <w:rsid w:val="005D306B"/>
    <w:rsid w:val="005D374F"/>
    <w:rsid w:val="005D4005"/>
    <w:rsid w:val="005D40D1"/>
    <w:rsid w:val="005D7532"/>
    <w:rsid w:val="005E6D2B"/>
    <w:rsid w:val="006017FA"/>
    <w:rsid w:val="0060366F"/>
    <w:rsid w:val="0060516B"/>
    <w:rsid w:val="006057D0"/>
    <w:rsid w:val="006059B2"/>
    <w:rsid w:val="00606B03"/>
    <w:rsid w:val="00610305"/>
    <w:rsid w:val="00610419"/>
    <w:rsid w:val="00611DDB"/>
    <w:rsid w:val="00612C7B"/>
    <w:rsid w:val="0061387D"/>
    <w:rsid w:val="00615CA4"/>
    <w:rsid w:val="006209BD"/>
    <w:rsid w:val="00621A04"/>
    <w:rsid w:val="006224C1"/>
    <w:rsid w:val="00622726"/>
    <w:rsid w:val="006264CA"/>
    <w:rsid w:val="006269B7"/>
    <w:rsid w:val="00627FC1"/>
    <w:rsid w:val="006307A5"/>
    <w:rsid w:val="00633DC7"/>
    <w:rsid w:val="00636E1D"/>
    <w:rsid w:val="00640FD6"/>
    <w:rsid w:val="006449C6"/>
    <w:rsid w:val="00653220"/>
    <w:rsid w:val="00655112"/>
    <w:rsid w:val="0065593D"/>
    <w:rsid w:val="00663B0A"/>
    <w:rsid w:val="006641F8"/>
    <w:rsid w:val="006671A5"/>
    <w:rsid w:val="00670254"/>
    <w:rsid w:val="00670F92"/>
    <w:rsid w:val="0067752C"/>
    <w:rsid w:val="00680E3F"/>
    <w:rsid w:val="0068565D"/>
    <w:rsid w:val="006973AC"/>
    <w:rsid w:val="006A0D6A"/>
    <w:rsid w:val="006A143D"/>
    <w:rsid w:val="006A300B"/>
    <w:rsid w:val="006C186D"/>
    <w:rsid w:val="006D4C70"/>
    <w:rsid w:val="006D7393"/>
    <w:rsid w:val="006E206F"/>
    <w:rsid w:val="006E48FA"/>
    <w:rsid w:val="006E55E1"/>
    <w:rsid w:val="006E5B84"/>
    <w:rsid w:val="006F0B70"/>
    <w:rsid w:val="006F2E13"/>
    <w:rsid w:val="006F445D"/>
    <w:rsid w:val="006F5595"/>
    <w:rsid w:val="006F72C6"/>
    <w:rsid w:val="00703E4E"/>
    <w:rsid w:val="0070410C"/>
    <w:rsid w:val="007071C6"/>
    <w:rsid w:val="00707856"/>
    <w:rsid w:val="00711E1C"/>
    <w:rsid w:val="00712D2C"/>
    <w:rsid w:val="00714810"/>
    <w:rsid w:val="00721FBA"/>
    <w:rsid w:val="00730352"/>
    <w:rsid w:val="0073376A"/>
    <w:rsid w:val="00736B4D"/>
    <w:rsid w:val="00742839"/>
    <w:rsid w:val="00742D0A"/>
    <w:rsid w:val="00743C39"/>
    <w:rsid w:val="0075194B"/>
    <w:rsid w:val="00752710"/>
    <w:rsid w:val="00755505"/>
    <w:rsid w:val="00761299"/>
    <w:rsid w:val="0076316D"/>
    <w:rsid w:val="00772993"/>
    <w:rsid w:val="007815FB"/>
    <w:rsid w:val="00781D80"/>
    <w:rsid w:val="00791DE5"/>
    <w:rsid w:val="00793737"/>
    <w:rsid w:val="007A0054"/>
    <w:rsid w:val="007A2A87"/>
    <w:rsid w:val="007A3415"/>
    <w:rsid w:val="007A38F2"/>
    <w:rsid w:val="007A44A6"/>
    <w:rsid w:val="007A5353"/>
    <w:rsid w:val="007A57D6"/>
    <w:rsid w:val="007A6198"/>
    <w:rsid w:val="007B0F28"/>
    <w:rsid w:val="007B3D63"/>
    <w:rsid w:val="007B694D"/>
    <w:rsid w:val="007B69D6"/>
    <w:rsid w:val="007C4A5F"/>
    <w:rsid w:val="007C51A8"/>
    <w:rsid w:val="007C55D0"/>
    <w:rsid w:val="007D2579"/>
    <w:rsid w:val="007D2FDE"/>
    <w:rsid w:val="007D6B1B"/>
    <w:rsid w:val="007E17FF"/>
    <w:rsid w:val="007E39E1"/>
    <w:rsid w:val="007E57CE"/>
    <w:rsid w:val="007E682F"/>
    <w:rsid w:val="00810F8E"/>
    <w:rsid w:val="008123E1"/>
    <w:rsid w:val="00813ADB"/>
    <w:rsid w:val="00813BAC"/>
    <w:rsid w:val="00813CD4"/>
    <w:rsid w:val="00815126"/>
    <w:rsid w:val="0082162A"/>
    <w:rsid w:val="00821B9D"/>
    <w:rsid w:val="00823FF9"/>
    <w:rsid w:val="00831FBD"/>
    <w:rsid w:val="00840FE1"/>
    <w:rsid w:val="00844594"/>
    <w:rsid w:val="0084468C"/>
    <w:rsid w:val="00844EE2"/>
    <w:rsid w:val="00846C63"/>
    <w:rsid w:val="0085041F"/>
    <w:rsid w:val="00851DC4"/>
    <w:rsid w:val="008539BB"/>
    <w:rsid w:val="008552A0"/>
    <w:rsid w:val="00856198"/>
    <w:rsid w:val="008564AA"/>
    <w:rsid w:val="00861366"/>
    <w:rsid w:val="00862D23"/>
    <w:rsid w:val="00865492"/>
    <w:rsid w:val="00867CB4"/>
    <w:rsid w:val="008708AB"/>
    <w:rsid w:val="00874ED5"/>
    <w:rsid w:val="008769C5"/>
    <w:rsid w:val="008810BC"/>
    <w:rsid w:val="00890E8C"/>
    <w:rsid w:val="008938A4"/>
    <w:rsid w:val="008A40BC"/>
    <w:rsid w:val="008A5212"/>
    <w:rsid w:val="008B0845"/>
    <w:rsid w:val="008C1A94"/>
    <w:rsid w:val="008C27E6"/>
    <w:rsid w:val="008C5B82"/>
    <w:rsid w:val="008C6A4E"/>
    <w:rsid w:val="008D1A9C"/>
    <w:rsid w:val="008D6E5A"/>
    <w:rsid w:val="008D75F4"/>
    <w:rsid w:val="008E3D64"/>
    <w:rsid w:val="008F0F53"/>
    <w:rsid w:val="008F3908"/>
    <w:rsid w:val="008F44EB"/>
    <w:rsid w:val="009001D9"/>
    <w:rsid w:val="009014B6"/>
    <w:rsid w:val="009104B3"/>
    <w:rsid w:val="00912882"/>
    <w:rsid w:val="00912895"/>
    <w:rsid w:val="00916645"/>
    <w:rsid w:val="00917690"/>
    <w:rsid w:val="009210DE"/>
    <w:rsid w:val="0092311E"/>
    <w:rsid w:val="00930C30"/>
    <w:rsid w:val="00934B75"/>
    <w:rsid w:val="00937718"/>
    <w:rsid w:val="0094125D"/>
    <w:rsid w:val="00943B87"/>
    <w:rsid w:val="00943C57"/>
    <w:rsid w:val="00950374"/>
    <w:rsid w:val="00950901"/>
    <w:rsid w:val="009531CB"/>
    <w:rsid w:val="0096160F"/>
    <w:rsid w:val="00965B6B"/>
    <w:rsid w:val="00965B80"/>
    <w:rsid w:val="00967458"/>
    <w:rsid w:val="00973859"/>
    <w:rsid w:val="00974AA6"/>
    <w:rsid w:val="00993B1E"/>
    <w:rsid w:val="00997407"/>
    <w:rsid w:val="009A5D23"/>
    <w:rsid w:val="009B033C"/>
    <w:rsid w:val="009B4D5A"/>
    <w:rsid w:val="009B7766"/>
    <w:rsid w:val="009C0CAF"/>
    <w:rsid w:val="009C12C9"/>
    <w:rsid w:val="009C1CE7"/>
    <w:rsid w:val="009D55F7"/>
    <w:rsid w:val="009D7FCB"/>
    <w:rsid w:val="009E2A11"/>
    <w:rsid w:val="009E38A2"/>
    <w:rsid w:val="009E4107"/>
    <w:rsid w:val="009E4C77"/>
    <w:rsid w:val="009E66AA"/>
    <w:rsid w:val="009E76BE"/>
    <w:rsid w:val="009E79BF"/>
    <w:rsid w:val="009F0E2F"/>
    <w:rsid w:val="009F12DA"/>
    <w:rsid w:val="009F3FE6"/>
    <w:rsid w:val="009F4E0E"/>
    <w:rsid w:val="009F53AF"/>
    <w:rsid w:val="009F78F1"/>
    <w:rsid w:val="00A00793"/>
    <w:rsid w:val="00A00E34"/>
    <w:rsid w:val="00A062C7"/>
    <w:rsid w:val="00A10257"/>
    <w:rsid w:val="00A11971"/>
    <w:rsid w:val="00A12F41"/>
    <w:rsid w:val="00A14332"/>
    <w:rsid w:val="00A17AD1"/>
    <w:rsid w:val="00A23608"/>
    <w:rsid w:val="00A27B9D"/>
    <w:rsid w:val="00A27D88"/>
    <w:rsid w:val="00A304D0"/>
    <w:rsid w:val="00A32673"/>
    <w:rsid w:val="00A37FED"/>
    <w:rsid w:val="00A41ECC"/>
    <w:rsid w:val="00A4409F"/>
    <w:rsid w:val="00A4607D"/>
    <w:rsid w:val="00A53EC9"/>
    <w:rsid w:val="00A62DEA"/>
    <w:rsid w:val="00A725D6"/>
    <w:rsid w:val="00A72C70"/>
    <w:rsid w:val="00A72C7D"/>
    <w:rsid w:val="00A72CD2"/>
    <w:rsid w:val="00A7626D"/>
    <w:rsid w:val="00A81586"/>
    <w:rsid w:val="00A8416A"/>
    <w:rsid w:val="00A86C90"/>
    <w:rsid w:val="00A905E9"/>
    <w:rsid w:val="00A92440"/>
    <w:rsid w:val="00A9334C"/>
    <w:rsid w:val="00A94E1E"/>
    <w:rsid w:val="00AB104D"/>
    <w:rsid w:val="00AB2476"/>
    <w:rsid w:val="00AB2A79"/>
    <w:rsid w:val="00AD0C73"/>
    <w:rsid w:val="00AD7F13"/>
    <w:rsid w:val="00AE1A2D"/>
    <w:rsid w:val="00AE5347"/>
    <w:rsid w:val="00AE55F6"/>
    <w:rsid w:val="00AE56DB"/>
    <w:rsid w:val="00AE5F3C"/>
    <w:rsid w:val="00AE79FD"/>
    <w:rsid w:val="00AF3432"/>
    <w:rsid w:val="00AF5FB0"/>
    <w:rsid w:val="00AF698B"/>
    <w:rsid w:val="00AF7442"/>
    <w:rsid w:val="00B03D05"/>
    <w:rsid w:val="00B07A7E"/>
    <w:rsid w:val="00B111A0"/>
    <w:rsid w:val="00B115D7"/>
    <w:rsid w:val="00B13C87"/>
    <w:rsid w:val="00B1710D"/>
    <w:rsid w:val="00B2007C"/>
    <w:rsid w:val="00B32510"/>
    <w:rsid w:val="00B3595C"/>
    <w:rsid w:val="00B36D5E"/>
    <w:rsid w:val="00B41F41"/>
    <w:rsid w:val="00B42808"/>
    <w:rsid w:val="00B43E07"/>
    <w:rsid w:val="00B45770"/>
    <w:rsid w:val="00B526A8"/>
    <w:rsid w:val="00B529AC"/>
    <w:rsid w:val="00B53D53"/>
    <w:rsid w:val="00B55C07"/>
    <w:rsid w:val="00B55FAB"/>
    <w:rsid w:val="00B61210"/>
    <w:rsid w:val="00B6734E"/>
    <w:rsid w:val="00B73040"/>
    <w:rsid w:val="00B75B00"/>
    <w:rsid w:val="00B76198"/>
    <w:rsid w:val="00B80ACA"/>
    <w:rsid w:val="00B80ECC"/>
    <w:rsid w:val="00B813A4"/>
    <w:rsid w:val="00B82046"/>
    <w:rsid w:val="00B83D9D"/>
    <w:rsid w:val="00B84529"/>
    <w:rsid w:val="00B96F7F"/>
    <w:rsid w:val="00B97826"/>
    <w:rsid w:val="00BA414B"/>
    <w:rsid w:val="00BB2111"/>
    <w:rsid w:val="00BB3DBD"/>
    <w:rsid w:val="00BB55AB"/>
    <w:rsid w:val="00BC17EC"/>
    <w:rsid w:val="00BC7FD2"/>
    <w:rsid w:val="00BD36EC"/>
    <w:rsid w:val="00BD47F0"/>
    <w:rsid w:val="00BE5B8B"/>
    <w:rsid w:val="00BF35C9"/>
    <w:rsid w:val="00BF5E03"/>
    <w:rsid w:val="00C03AE7"/>
    <w:rsid w:val="00C05D9D"/>
    <w:rsid w:val="00C12FA8"/>
    <w:rsid w:val="00C2469C"/>
    <w:rsid w:val="00C261D1"/>
    <w:rsid w:val="00C35592"/>
    <w:rsid w:val="00C356AF"/>
    <w:rsid w:val="00C4123C"/>
    <w:rsid w:val="00C41927"/>
    <w:rsid w:val="00C439D6"/>
    <w:rsid w:val="00C43FD9"/>
    <w:rsid w:val="00C44EB2"/>
    <w:rsid w:val="00C47E8F"/>
    <w:rsid w:val="00C53C7C"/>
    <w:rsid w:val="00C54CC8"/>
    <w:rsid w:val="00C57BC4"/>
    <w:rsid w:val="00C57EDE"/>
    <w:rsid w:val="00C60915"/>
    <w:rsid w:val="00C67709"/>
    <w:rsid w:val="00C7005A"/>
    <w:rsid w:val="00C71B7D"/>
    <w:rsid w:val="00C75E7F"/>
    <w:rsid w:val="00C87617"/>
    <w:rsid w:val="00C964B8"/>
    <w:rsid w:val="00CA3BC1"/>
    <w:rsid w:val="00CB380B"/>
    <w:rsid w:val="00CB7909"/>
    <w:rsid w:val="00CD4AF7"/>
    <w:rsid w:val="00CD4C1C"/>
    <w:rsid w:val="00CD5E13"/>
    <w:rsid w:val="00CE10B8"/>
    <w:rsid w:val="00CE3517"/>
    <w:rsid w:val="00CE58A4"/>
    <w:rsid w:val="00CF14F7"/>
    <w:rsid w:val="00CF48E7"/>
    <w:rsid w:val="00D00E7F"/>
    <w:rsid w:val="00D01670"/>
    <w:rsid w:val="00D055CB"/>
    <w:rsid w:val="00D05C26"/>
    <w:rsid w:val="00D062AC"/>
    <w:rsid w:val="00D07969"/>
    <w:rsid w:val="00D10FE9"/>
    <w:rsid w:val="00D120EF"/>
    <w:rsid w:val="00D152E7"/>
    <w:rsid w:val="00D15E4A"/>
    <w:rsid w:val="00D21F91"/>
    <w:rsid w:val="00D261F9"/>
    <w:rsid w:val="00D26F4C"/>
    <w:rsid w:val="00D3112B"/>
    <w:rsid w:val="00D33027"/>
    <w:rsid w:val="00D36C9F"/>
    <w:rsid w:val="00D3796C"/>
    <w:rsid w:val="00D44360"/>
    <w:rsid w:val="00D521ED"/>
    <w:rsid w:val="00D53948"/>
    <w:rsid w:val="00D549B9"/>
    <w:rsid w:val="00D557EE"/>
    <w:rsid w:val="00D56058"/>
    <w:rsid w:val="00D5720E"/>
    <w:rsid w:val="00D57D71"/>
    <w:rsid w:val="00D57F4B"/>
    <w:rsid w:val="00D642EB"/>
    <w:rsid w:val="00D656AD"/>
    <w:rsid w:val="00D71F74"/>
    <w:rsid w:val="00D7238F"/>
    <w:rsid w:val="00D76E91"/>
    <w:rsid w:val="00D849AA"/>
    <w:rsid w:val="00D872D1"/>
    <w:rsid w:val="00D93DDB"/>
    <w:rsid w:val="00D95D1F"/>
    <w:rsid w:val="00D97BBA"/>
    <w:rsid w:val="00DA01E7"/>
    <w:rsid w:val="00DA6122"/>
    <w:rsid w:val="00DA73A8"/>
    <w:rsid w:val="00DB1D1F"/>
    <w:rsid w:val="00DB4809"/>
    <w:rsid w:val="00DB5E8F"/>
    <w:rsid w:val="00DC0972"/>
    <w:rsid w:val="00DC19BC"/>
    <w:rsid w:val="00DC3E99"/>
    <w:rsid w:val="00DC7C3E"/>
    <w:rsid w:val="00DD34F3"/>
    <w:rsid w:val="00DE30E0"/>
    <w:rsid w:val="00DF6A73"/>
    <w:rsid w:val="00E00837"/>
    <w:rsid w:val="00E027E0"/>
    <w:rsid w:val="00E03546"/>
    <w:rsid w:val="00E04976"/>
    <w:rsid w:val="00E06691"/>
    <w:rsid w:val="00E1462B"/>
    <w:rsid w:val="00E14792"/>
    <w:rsid w:val="00E14AA0"/>
    <w:rsid w:val="00E22BCE"/>
    <w:rsid w:val="00E258D8"/>
    <w:rsid w:val="00E326FF"/>
    <w:rsid w:val="00E34B8E"/>
    <w:rsid w:val="00E361B0"/>
    <w:rsid w:val="00E374D9"/>
    <w:rsid w:val="00E40847"/>
    <w:rsid w:val="00E40FF8"/>
    <w:rsid w:val="00E41563"/>
    <w:rsid w:val="00E52D11"/>
    <w:rsid w:val="00E55AB5"/>
    <w:rsid w:val="00E574A1"/>
    <w:rsid w:val="00E62DB8"/>
    <w:rsid w:val="00E63010"/>
    <w:rsid w:val="00E65948"/>
    <w:rsid w:val="00E677EF"/>
    <w:rsid w:val="00E7159B"/>
    <w:rsid w:val="00E72D02"/>
    <w:rsid w:val="00E859DF"/>
    <w:rsid w:val="00E86C57"/>
    <w:rsid w:val="00E87041"/>
    <w:rsid w:val="00E95201"/>
    <w:rsid w:val="00E95937"/>
    <w:rsid w:val="00E95E05"/>
    <w:rsid w:val="00EA1807"/>
    <w:rsid w:val="00EA3CC1"/>
    <w:rsid w:val="00EA4947"/>
    <w:rsid w:val="00EA61EE"/>
    <w:rsid w:val="00EB7734"/>
    <w:rsid w:val="00EC0C41"/>
    <w:rsid w:val="00EC11F0"/>
    <w:rsid w:val="00EC1594"/>
    <w:rsid w:val="00EC1C8C"/>
    <w:rsid w:val="00ED1788"/>
    <w:rsid w:val="00ED2521"/>
    <w:rsid w:val="00ED2FB9"/>
    <w:rsid w:val="00ED518B"/>
    <w:rsid w:val="00ED6873"/>
    <w:rsid w:val="00EE0C7D"/>
    <w:rsid w:val="00EE456B"/>
    <w:rsid w:val="00EF20A6"/>
    <w:rsid w:val="00EF35BF"/>
    <w:rsid w:val="00EF381C"/>
    <w:rsid w:val="00F00C37"/>
    <w:rsid w:val="00F034AC"/>
    <w:rsid w:val="00F11834"/>
    <w:rsid w:val="00F15837"/>
    <w:rsid w:val="00F160D2"/>
    <w:rsid w:val="00F2068C"/>
    <w:rsid w:val="00F27D66"/>
    <w:rsid w:val="00F4748D"/>
    <w:rsid w:val="00F53497"/>
    <w:rsid w:val="00F53841"/>
    <w:rsid w:val="00F53B21"/>
    <w:rsid w:val="00F54018"/>
    <w:rsid w:val="00F6019F"/>
    <w:rsid w:val="00F612B3"/>
    <w:rsid w:val="00F653FF"/>
    <w:rsid w:val="00F657C0"/>
    <w:rsid w:val="00F66AD0"/>
    <w:rsid w:val="00F7064A"/>
    <w:rsid w:val="00F747AD"/>
    <w:rsid w:val="00F81FF2"/>
    <w:rsid w:val="00F823FC"/>
    <w:rsid w:val="00F87F11"/>
    <w:rsid w:val="00F942CA"/>
    <w:rsid w:val="00F9452C"/>
    <w:rsid w:val="00FA1851"/>
    <w:rsid w:val="00FA53CB"/>
    <w:rsid w:val="00FA5D83"/>
    <w:rsid w:val="00FA6041"/>
    <w:rsid w:val="00FB7206"/>
    <w:rsid w:val="00FC046F"/>
    <w:rsid w:val="00FC147E"/>
    <w:rsid w:val="00FC1D72"/>
    <w:rsid w:val="00FC23F6"/>
    <w:rsid w:val="00FC6DF9"/>
    <w:rsid w:val="00FE0C92"/>
    <w:rsid w:val="00FE156E"/>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33EF943"/>
  <w15:docId w15:val="{874C9343-BD19-4C23-B5DA-DB52F6A8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lang w:val="en-GB"/>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lang w:val="en-GB"/>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character" w:customStyle="1" w:styleId="TableTitleChar">
    <w:name w:val="TableTitle Char"/>
    <w:basedOn w:val="DefaultParagraphFont"/>
    <w:link w:val="TableTitle"/>
    <w:locked/>
    <w:rsid w:val="00AD7F13"/>
    <w:rPr>
      <w:rFonts w:ascii="Arial" w:eastAsia="MS Mincho" w:hAnsi="Arial" w:cs="Times New Roman"/>
      <w:b/>
      <w:noProof/>
      <w:sz w:val="22"/>
      <w:szCs w:val="20"/>
      <w:lang w:val="en-GB"/>
    </w:rPr>
  </w:style>
  <w:style w:type="paragraph" w:customStyle="1" w:styleId="TableTitle">
    <w:name w:val="TableTitle"/>
    <w:basedOn w:val="Normal"/>
    <w:next w:val="Normal"/>
    <w:link w:val="TableTitleChar"/>
    <w:rsid w:val="00AD7F13"/>
    <w:pPr>
      <w:keepNext/>
      <w:spacing w:before="120" w:after="240"/>
      <w:jc w:val="center"/>
    </w:pPr>
    <w:rPr>
      <w:rFonts w:ascii="Arial" w:eastAsia="MS Mincho" w:hAnsi="Arial" w:cs="Times New Roman"/>
      <w:b/>
      <w:noProof/>
      <w:szCs w:val="20"/>
      <w:lang w:val="en-GB"/>
    </w:rPr>
  </w:style>
  <w:style w:type="character" w:styleId="FollowedHyperlink">
    <w:name w:val="FollowedHyperlink"/>
    <w:basedOn w:val="DefaultParagraphFont"/>
    <w:uiPriority w:val="99"/>
    <w:semiHidden/>
    <w:unhideWhenUsed/>
    <w:rsid w:val="007B6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472412997">
      <w:bodyDiv w:val="1"/>
      <w:marLeft w:val="0"/>
      <w:marRight w:val="0"/>
      <w:marTop w:val="0"/>
      <w:marBottom w:val="0"/>
      <w:divBdr>
        <w:top w:val="none" w:sz="0" w:space="0" w:color="auto"/>
        <w:left w:val="none" w:sz="0" w:space="0" w:color="auto"/>
        <w:bottom w:val="none" w:sz="0" w:space="0" w:color="auto"/>
        <w:right w:val="none" w:sz="0" w:space="0" w:color="auto"/>
      </w:divBdr>
    </w:div>
    <w:div w:id="937131736">
      <w:bodyDiv w:val="1"/>
      <w:marLeft w:val="0"/>
      <w:marRight w:val="0"/>
      <w:marTop w:val="0"/>
      <w:marBottom w:val="0"/>
      <w:divBdr>
        <w:top w:val="none" w:sz="0" w:space="0" w:color="auto"/>
        <w:left w:val="none" w:sz="0" w:space="0" w:color="auto"/>
        <w:bottom w:val="none" w:sz="0" w:space="0" w:color="auto"/>
        <w:right w:val="none" w:sz="0" w:space="0" w:color="auto"/>
      </w:divBdr>
    </w:div>
    <w:div w:id="1013384313">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16161239">
      <w:bodyDiv w:val="1"/>
      <w:marLeft w:val="0"/>
      <w:marRight w:val="0"/>
      <w:marTop w:val="0"/>
      <w:marBottom w:val="0"/>
      <w:divBdr>
        <w:top w:val="none" w:sz="0" w:space="0" w:color="auto"/>
        <w:left w:val="none" w:sz="0" w:space="0" w:color="auto"/>
        <w:bottom w:val="none" w:sz="0" w:space="0" w:color="auto"/>
        <w:right w:val="none" w:sz="0" w:space="0" w:color="auto"/>
      </w:divBdr>
    </w:div>
    <w:div w:id="1300764959">
      <w:bodyDiv w:val="1"/>
      <w:marLeft w:val="0"/>
      <w:marRight w:val="0"/>
      <w:marTop w:val="0"/>
      <w:marBottom w:val="0"/>
      <w:divBdr>
        <w:top w:val="none" w:sz="0" w:space="0" w:color="auto"/>
        <w:left w:val="none" w:sz="0" w:space="0" w:color="auto"/>
        <w:bottom w:val="none" w:sz="0" w:space="0" w:color="auto"/>
        <w:right w:val="none" w:sz="0" w:space="0" w:color="auto"/>
      </w:divBdr>
    </w:div>
    <w:div w:id="1309437755">
      <w:bodyDiv w:val="1"/>
      <w:marLeft w:val="0"/>
      <w:marRight w:val="0"/>
      <w:marTop w:val="0"/>
      <w:marBottom w:val="0"/>
      <w:divBdr>
        <w:top w:val="none" w:sz="0" w:space="0" w:color="auto"/>
        <w:left w:val="none" w:sz="0" w:space="0" w:color="auto"/>
        <w:bottom w:val="none" w:sz="0" w:space="0" w:color="auto"/>
        <w:right w:val="none" w:sz="0" w:space="0" w:color="auto"/>
      </w:divBdr>
    </w:div>
    <w:div w:id="1380545783">
      <w:bodyDiv w:val="1"/>
      <w:marLeft w:val="0"/>
      <w:marRight w:val="0"/>
      <w:marTop w:val="0"/>
      <w:marBottom w:val="0"/>
      <w:divBdr>
        <w:top w:val="none" w:sz="0" w:space="0" w:color="auto"/>
        <w:left w:val="none" w:sz="0" w:space="0" w:color="auto"/>
        <w:bottom w:val="none" w:sz="0" w:space="0" w:color="auto"/>
        <w:right w:val="none" w:sz="0" w:space="0" w:color="auto"/>
      </w:divBdr>
    </w:div>
    <w:div w:id="1429085705">
      <w:bodyDiv w:val="1"/>
      <w:marLeft w:val="0"/>
      <w:marRight w:val="0"/>
      <w:marTop w:val="0"/>
      <w:marBottom w:val="0"/>
      <w:divBdr>
        <w:top w:val="none" w:sz="0" w:space="0" w:color="auto"/>
        <w:left w:val="none" w:sz="0" w:space="0" w:color="auto"/>
        <w:bottom w:val="none" w:sz="0" w:space="0" w:color="auto"/>
        <w:right w:val="none" w:sz="0" w:space="0" w:color="auto"/>
      </w:divBdr>
    </w:div>
    <w:div w:id="1648053435">
      <w:bodyDiv w:val="1"/>
      <w:marLeft w:val="0"/>
      <w:marRight w:val="0"/>
      <w:marTop w:val="0"/>
      <w:marBottom w:val="0"/>
      <w:divBdr>
        <w:top w:val="none" w:sz="0" w:space="0" w:color="auto"/>
        <w:left w:val="none" w:sz="0" w:space="0" w:color="auto"/>
        <w:bottom w:val="none" w:sz="0" w:space="0" w:color="auto"/>
        <w:right w:val="none" w:sz="0" w:space="0" w:color="auto"/>
      </w:divBdr>
    </w:div>
    <w:div w:id="191642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asel_framework/chapter/DIS/99.htm?inforce=20191215"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BCA4-8410-4F27-A8CB-0668CC96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6667</Words>
  <Characters>20204</Characters>
  <Application>Microsoft Office Word</Application>
  <DocSecurity>0</DocSecurity>
  <Lines>6734</Lines>
  <Paragraphs>5374</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OP</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56</cp:revision>
  <cp:lastPrinted>2018-10-29T17:53:00Z</cp:lastPrinted>
  <dcterms:created xsi:type="dcterms:W3CDTF">2020-03-17T13:26:00Z</dcterms:created>
  <dcterms:modified xsi:type="dcterms:W3CDTF">2020-06-22T16:10:00Z</dcterms:modified>
</cp:coreProperties>
</file>